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97F5F" w14:textId="77777777" w:rsidR="001E1693" w:rsidRDefault="001E1693" w:rsidP="001E1693">
      <w:pPr>
        <w:spacing w:before="100" w:beforeAutospacing="1" w:after="100" w:afterAutospacing="1" w:line="240" w:lineRule="auto"/>
        <w:jc w:val="both"/>
        <w:rPr>
          <w:rFonts w:ascii="Times New Roman" w:hAnsi="Times New Roman" w:cs="Times New Roman"/>
          <w:b/>
          <w:bCs/>
          <w:sz w:val="24"/>
          <w:szCs w:val="24"/>
        </w:rPr>
      </w:pPr>
      <w:r w:rsidRPr="00AD2F60">
        <w:rPr>
          <w:rFonts w:ascii="Times New Roman" w:hAnsi="Times New Roman" w:cs="Times New Roman"/>
          <w:b/>
          <w:bCs/>
          <w:sz w:val="24"/>
          <w:szCs w:val="24"/>
        </w:rPr>
        <w:t xml:space="preserve">Integrated Physicochemical, </w:t>
      </w:r>
      <w:proofErr w:type="spellStart"/>
      <w:r w:rsidRPr="00AD2F60">
        <w:rPr>
          <w:rFonts w:ascii="Times New Roman" w:hAnsi="Times New Roman" w:cs="Times New Roman"/>
          <w:b/>
          <w:bCs/>
          <w:sz w:val="24"/>
          <w:szCs w:val="24"/>
        </w:rPr>
        <w:t>Hydrochemical</w:t>
      </w:r>
      <w:proofErr w:type="spellEnd"/>
      <w:r w:rsidRPr="00AD2F60">
        <w:rPr>
          <w:rFonts w:ascii="Times New Roman" w:hAnsi="Times New Roman" w:cs="Times New Roman"/>
          <w:b/>
          <w:bCs/>
          <w:sz w:val="24"/>
          <w:szCs w:val="24"/>
        </w:rPr>
        <w:t>, Trace-Element and Microbiological Assessment of Groundwater across Contrasting Geological Settings</w:t>
      </w:r>
    </w:p>
    <w:p w14:paraId="047EFE1C" w14:textId="4CC68CA9" w:rsidR="007A790E" w:rsidRPr="00AD2F60" w:rsidRDefault="007A790E" w:rsidP="001E1693">
      <w:pPr>
        <w:spacing w:before="100" w:beforeAutospacing="1" w:after="100" w:afterAutospacing="1" w:line="240" w:lineRule="auto"/>
        <w:jc w:val="both"/>
        <w:rPr>
          <w:rFonts w:ascii="Times New Roman" w:hAnsi="Times New Roman" w:cs="Times New Roman"/>
          <w:b/>
          <w:bCs/>
          <w:sz w:val="24"/>
          <w:szCs w:val="24"/>
        </w:rPr>
      </w:pPr>
    </w:p>
    <w:p w14:paraId="5B081F6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Abstract</w:t>
      </w:r>
    </w:p>
    <w:p w14:paraId="61AA701D" w14:textId="77777777" w:rsidR="001E1693"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Groundwater is an important source of domestic water supply, but its quality may vary according to geological setting, mineral–water interactions and microbiological contamination. This study evaluated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characteristics of groundwater across Basement Complex, Younger Granite, shale/sedimentary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geological settings. Groundwater samples were analysed for pH, electrical conductivity (EC), total dissolved solids (TDS), turbidity, total hardness, alkalinity, major ions, selected trace and potentially toxic elements, heterotrophic bacteria, total coliforms, faecal coliforms,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and enterococci.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were determined from the major-ion composition, while differences among geological settings were evaluated using one-way analysis of variance and relationships between chemical and microbiological variables were assessed using Pearson's correlation analysis. The groundwater was slightly acidic to near neutral, with pH values ranging from 6.21 ± 0.14 to 6.78 ± 0.16. Basement Complex groundwater exhibited the highest EC (486 ± 42 µS/cm), TDS (312 ± 28 mg/L), total hardness (146 ± 12 mg/L), calcium (48.6 ± 4.2 mg/L), magnesium (18.4 ± 2.1 mg/L) and bicarbonate (118 ± 10 mg/L). The shale/sedimentary setting recorded the highest concentrations of several trace elements, including Pb (0.014 ± 0.003 mg/L), Cd (0.0026 ± 0.0005 mg/L), Cr (0.018 ± 0.004 mg/L) and Ni (0.021 ± 0.004 mg/L). Ca–Mg–HCO₃ was the predominant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Microbiological contamination varied spatially, with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recording the highest total coliforms (31 ± 7 CFU/100 mL), faecal coliforms (15 ± 4 CFU/100 mL),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(11 ± 3 CFU/100 mL) and enterococci (9 ± 3 CFU/100 mL). Significant differences occurred among geological settings for the assessed physicochemical, chemical and microbiological parameters (p &lt; 0.05). Turbidity and nitrate showed positive associations with the principal microbiological indicators. The findings demonstrate that geological setting influences groundwater mineralisation and trace-element distribution, while microbiological quality may respond to additional factors associated with groundwater vulnerability and contamination pathways. Integrated chemical and microbiological monitoring </w:t>
      </w:r>
      <w:proofErr w:type="gramStart"/>
      <w:r w:rsidRPr="00013089">
        <w:rPr>
          <w:rFonts w:ascii="Times New Roman" w:eastAsia="Times New Roman" w:hAnsi="Times New Roman" w:cs="Times New Roman"/>
          <w:sz w:val="24"/>
          <w:szCs w:val="24"/>
          <w:lang w:eastAsia="en-GB"/>
        </w:rPr>
        <w:t>is</w:t>
      </w:r>
      <w:proofErr w:type="gramEnd"/>
      <w:r w:rsidRPr="00013089">
        <w:rPr>
          <w:rFonts w:ascii="Times New Roman" w:eastAsia="Times New Roman" w:hAnsi="Times New Roman" w:cs="Times New Roman"/>
          <w:sz w:val="24"/>
          <w:szCs w:val="24"/>
          <w:lang w:eastAsia="en-GB"/>
        </w:rPr>
        <w:t xml:space="preserve"> therefore important for evaluating groundwater quality and its suitability for domestic use.</w:t>
      </w:r>
    </w:p>
    <w:p w14:paraId="629BE85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1.0 INTRODUCTION</w:t>
      </w:r>
    </w:p>
    <w:p w14:paraId="122E443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Groundwater constitutes an important component of freshwater resources and serves as a major source of water for domestic, agricultural and other human activities, particularly in areas where surface-water systems are unreliable or vulnerable to contamination. Its chemical composition is controlled by a combination of geological characteristics, mineral dissolution, water–rock interaction, recharge conditions, residence time and anthropogenic influences. Consequently, groundwater from different geological environments may exhibit substantial differences in mineralisation, ionic composition and contaminant concentrations even within relatively close geographical areas.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assessment therefore provides an important means of understanding the processes controlling groundwater quality and its suitability for human use.</w:t>
      </w:r>
    </w:p>
    <w:p w14:paraId="13FB418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 xml:space="preserve">The importance of groundwater quality assessment is particularly relevant in Nigeria, where increasing population, urbanisation, agricultural activities and industrial development place pressure on available water resources. Investigations of water resources in different parts of the Niger Delta have documented variations in physicochemical characteristics and contamination profiles associated with local environmental conditions. For example,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investigations of drinking-water sources in Brass Island demonstrated the importance of evaluating both physicochemical characteristics and potentially hazardous constituents when assessing water quality in coastal environments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Similarly, assessment of borehole water along pipeline routes in Rivers State demonstrated the usefulness of integrated water-quality evaluation for identifying variations in groundwater conditions within urban environments (Elele et al., 2025).</w:t>
      </w:r>
    </w:p>
    <w:p w14:paraId="290CB7B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geological setting of an aquifer is particularly important because groundwater acquires much of its dissolved chemical load through interaction with the surrounding geological materials. Weathering of silicate and carbonate-bearing minerals can release calcium, magnesium, sodium, potassium and bicarbonate into groundwater, while dissolution of other mineral phases may contribute chloride and sulphate. The resulting ionic composition can therefore provide information about the dominant hydrogeochemical processes operating within an aquifer. Comparative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studies in Nigerian environments have similarly demonstrated that variations in geological and environmental conditions influence the distribution of dissolved constituents in water resources (Okagbare et al., 2025; Ekpe et al., 2025).</w:t>
      </w:r>
    </w:p>
    <w:p w14:paraId="67F00C9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Groundwater quality cannot, however, be evaluated exclusively from its mineral composition. Trace and potentially toxic elements constitute an additional concern because metals such as lead, cadmium, chromium, nickel, manganese and iron may originate from natural geological sources or anthropogenic activities. Their occurrence in aquatic systems is of environmental importance because persistent metals may accumulate in environmental matrices and biota. Studies from the Niger Delta have reported heavy-metal contamination in sediments, surface waters and aquatic organisms, illustrating the need for systematic monitoring of potentially toxic elements in water-resource systems (</w:t>
      </w:r>
      <w:proofErr w:type="spellStart"/>
      <w:r w:rsidRPr="00013089">
        <w:rPr>
          <w:rFonts w:ascii="Times New Roman" w:eastAsia="Times New Roman" w:hAnsi="Times New Roman" w:cs="Times New Roman"/>
          <w:sz w:val="24"/>
          <w:szCs w:val="24"/>
          <w:lang w:eastAsia="en-GB"/>
        </w:rPr>
        <w:t>Anarado</w:t>
      </w:r>
      <w:proofErr w:type="spellEnd"/>
      <w:r w:rsidRPr="00013089">
        <w:rPr>
          <w:rFonts w:ascii="Times New Roman" w:eastAsia="Times New Roman" w:hAnsi="Times New Roman" w:cs="Times New Roman"/>
          <w:sz w:val="24"/>
          <w:szCs w:val="24"/>
          <w:lang w:eastAsia="en-GB"/>
        </w:rPr>
        <w:t xml:space="preserve"> et al., 2023; Ekpe et al., 2026).</w:t>
      </w:r>
    </w:p>
    <w:p w14:paraId="7F1FF06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Anthropogenic activities may further modify groundwater quality through the movement of contaminants from the land surface into subsurface systems. Petroleum-related activities, industrial discharges, agricultural practices and atmospheric deposition can introduce metals, hydrocarbons and other contaminants into aquatic environments. Evidence from Rivers State has demonstrated contamination of surface-water systems by petroleum hydrocarbons and heavy metals, while atmospheric deposition associated with gas flaring has also been identified as a potential source of soot and heavy metals to aquatic environments (</w:t>
      </w:r>
      <w:proofErr w:type="spellStart"/>
      <w:r w:rsidRPr="00013089">
        <w:rPr>
          <w:rFonts w:ascii="Times New Roman" w:eastAsia="Times New Roman" w:hAnsi="Times New Roman" w:cs="Times New Roman"/>
          <w:sz w:val="24"/>
          <w:szCs w:val="24"/>
          <w:lang w:eastAsia="en-GB"/>
        </w:rPr>
        <w:t>Isueken</w:t>
      </w:r>
      <w:proofErr w:type="spellEnd"/>
      <w:r w:rsidRPr="00013089">
        <w:rPr>
          <w:rFonts w:ascii="Times New Roman" w:eastAsia="Times New Roman" w:hAnsi="Times New Roman" w:cs="Times New Roman"/>
          <w:sz w:val="24"/>
          <w:szCs w:val="24"/>
          <w:lang w:eastAsia="en-GB"/>
        </w:rPr>
        <w:t xml:space="preserve"> et al., 2025; </w:t>
      </w:r>
      <w:proofErr w:type="spellStart"/>
      <w:r w:rsidRPr="00013089">
        <w:rPr>
          <w:rFonts w:ascii="Times New Roman" w:eastAsia="Times New Roman" w:hAnsi="Times New Roman" w:cs="Times New Roman"/>
          <w:sz w:val="24"/>
          <w:szCs w:val="24"/>
          <w:lang w:eastAsia="en-GB"/>
        </w:rPr>
        <w:t>Aghanwa</w:t>
      </w:r>
      <w:proofErr w:type="spellEnd"/>
      <w:r w:rsidRPr="00013089">
        <w:rPr>
          <w:rFonts w:ascii="Times New Roman" w:eastAsia="Times New Roman" w:hAnsi="Times New Roman" w:cs="Times New Roman"/>
          <w:sz w:val="24"/>
          <w:szCs w:val="24"/>
          <w:lang w:eastAsia="en-GB"/>
        </w:rPr>
        <w:t xml:space="preserve"> et al., 2025). These observations are relevant to groundwater investigations because contaminants introduced at the surface may migrate into groundwater depending on soil characteristics, permeability, recharge and hydrogeological conditions.</w:t>
      </w:r>
    </w:p>
    <w:p w14:paraId="07562FF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Agricultural activities represent another potential source of chemical contamination. Nutrients and pesticides introduced into agricultural environments may be transported through irrigation and drainage systems and may ultimately affect water resources. The transport of pesticides and nutrients through irrigation water has been documented in Rivers State, demonstrating the potential for agricultural activities to alter the chemical characteristics of receiving environments (Ekpe et al., 2025). Nitrate is particularly useful in groundwater assessment </w:t>
      </w:r>
      <w:r w:rsidRPr="00013089">
        <w:rPr>
          <w:rFonts w:ascii="Times New Roman" w:eastAsia="Times New Roman" w:hAnsi="Times New Roman" w:cs="Times New Roman"/>
          <w:sz w:val="24"/>
          <w:szCs w:val="24"/>
          <w:lang w:eastAsia="en-GB"/>
        </w:rPr>
        <w:lastRenderedPageBreak/>
        <w:t>because elevated concentrations may indicate anthropogenic inputs and may also reflect vulnerability to surface-derived contamination.</w:t>
      </w:r>
    </w:p>
    <w:p w14:paraId="107B693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Microbiological quality represents a separate but equally important dimension of groundwater safety. Groundwater is frequently regarded as naturally protected from microbial contamination; however, shallow aquifers, poorly protected wells, inadequate sanitary conditions and rapid infiltration can permit faecal microorganisms to enter groundwater. The presence of total coliforms, faecal coliforms and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is therefore useful for evaluating the microbiological integrity of groundwater sources. Water-quality assessment in Nigerian environments has increasingly emphasised the need to consider chemical and biological characteristics together rather than relying on a single category of water-quality indicators (Elele et al., 2025;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w:t>
      </w:r>
    </w:p>
    <w:p w14:paraId="697FD27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significance of chemical and microbiological monitoring is further strengthened by the potential health consequences associated with exposure to contaminated water. Heavy metals such as lead and cadmium are of particular concern because of their persistence and toxicological significance. Studies involving aquatic organisms from Niger Delta environments have demonstrated that metals may bioaccumulate and contribute to human-health concerns through dietary exposure (</w:t>
      </w:r>
      <w:proofErr w:type="spellStart"/>
      <w:r w:rsidRPr="00013089">
        <w:rPr>
          <w:rFonts w:ascii="Times New Roman" w:eastAsia="Times New Roman" w:hAnsi="Times New Roman" w:cs="Times New Roman"/>
          <w:sz w:val="24"/>
          <w:szCs w:val="24"/>
          <w:lang w:eastAsia="en-GB"/>
        </w:rPr>
        <w:t>Anarado</w:t>
      </w:r>
      <w:proofErr w:type="spellEnd"/>
      <w:r w:rsidRPr="00013089">
        <w:rPr>
          <w:rFonts w:ascii="Times New Roman" w:eastAsia="Times New Roman" w:hAnsi="Times New Roman" w:cs="Times New Roman"/>
          <w:sz w:val="24"/>
          <w:szCs w:val="24"/>
          <w:lang w:eastAsia="en-GB"/>
        </w:rPr>
        <w:t xml:space="preserve"> et al., 2023; </w:t>
      </w:r>
      <w:proofErr w:type="spellStart"/>
      <w:r w:rsidRPr="00013089">
        <w:rPr>
          <w:rFonts w:ascii="Times New Roman" w:eastAsia="Times New Roman" w:hAnsi="Times New Roman" w:cs="Times New Roman"/>
          <w:sz w:val="24"/>
          <w:szCs w:val="24"/>
          <w:lang w:eastAsia="en-GB"/>
        </w:rPr>
        <w:t>Ohaturuonye</w:t>
      </w:r>
      <w:proofErr w:type="spellEnd"/>
      <w:r w:rsidRPr="00013089">
        <w:rPr>
          <w:rFonts w:ascii="Times New Roman" w:eastAsia="Times New Roman" w:hAnsi="Times New Roman" w:cs="Times New Roman"/>
          <w:sz w:val="24"/>
          <w:szCs w:val="24"/>
          <w:lang w:eastAsia="en-GB"/>
        </w:rPr>
        <w:t xml:space="preserve"> et al., 2026). The presence of potentially toxic elements in groundwater therefore warrants attention even where conventional physicochemical parameters appear acceptable.</w:t>
      </w:r>
    </w:p>
    <w:p w14:paraId="67BB2D7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Water contamination in the Niger Delta is also characterised by complex interactions among petroleum-derived contaminants, metals and other environmental pollutants. Investigations of the Bonny River, Andoni Estuary and </w:t>
      </w:r>
      <w:proofErr w:type="spellStart"/>
      <w:r w:rsidRPr="00013089">
        <w:rPr>
          <w:rFonts w:ascii="Times New Roman" w:eastAsia="Times New Roman" w:hAnsi="Times New Roman" w:cs="Times New Roman"/>
          <w:sz w:val="24"/>
          <w:szCs w:val="24"/>
          <w:lang w:eastAsia="en-GB"/>
        </w:rPr>
        <w:t>Ogboinbiri</w:t>
      </w:r>
      <w:proofErr w:type="spellEnd"/>
      <w:r w:rsidRPr="00013089">
        <w:rPr>
          <w:rFonts w:ascii="Times New Roman" w:eastAsia="Times New Roman" w:hAnsi="Times New Roman" w:cs="Times New Roman"/>
          <w:sz w:val="24"/>
          <w:szCs w:val="24"/>
          <w:lang w:eastAsia="en-GB"/>
        </w:rPr>
        <w:t xml:space="preserve"> Creek have demonstrated the occurrence of hydrocarbon and metal contamination within aquatic systems influenced by anthropogenic activities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 Although the present investigation focuses on groundwater rather than surface water, these findings emphasise the broader environmental context in which groundwater resources occur.</w:t>
      </w:r>
    </w:p>
    <w:p w14:paraId="12CC64E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Other studies have demonstrated that contamination may extend beyond conventional inorganic parameters. Petroleum-associated volatile organic compounds have been detected in surface waters of </w:t>
      </w:r>
      <w:proofErr w:type="spellStart"/>
      <w:r w:rsidRPr="00013089">
        <w:rPr>
          <w:rFonts w:ascii="Times New Roman" w:eastAsia="Times New Roman" w:hAnsi="Times New Roman" w:cs="Times New Roman"/>
          <w:sz w:val="24"/>
          <w:szCs w:val="24"/>
          <w:lang w:eastAsia="en-GB"/>
        </w:rPr>
        <w:t>Ogoniland</w:t>
      </w:r>
      <w:proofErr w:type="spellEnd"/>
      <w:r w:rsidRPr="00013089">
        <w:rPr>
          <w:rFonts w:ascii="Times New Roman" w:eastAsia="Times New Roman" w:hAnsi="Times New Roman" w:cs="Times New Roman"/>
          <w:sz w:val="24"/>
          <w:szCs w:val="24"/>
          <w:lang w:eastAsia="en-GB"/>
        </w:rPr>
        <w:t>, while polycyclic aromatic hydrocarbons have been investigated in aquatic organisms and sediments within Niger Delta environments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 </w:t>
      </w:r>
      <w:proofErr w:type="spellStart"/>
      <w:r w:rsidRPr="00013089">
        <w:rPr>
          <w:rFonts w:ascii="Times New Roman" w:eastAsia="Times New Roman" w:hAnsi="Times New Roman" w:cs="Times New Roman"/>
          <w:sz w:val="24"/>
          <w:szCs w:val="24"/>
          <w:lang w:eastAsia="en-GB"/>
        </w:rPr>
        <w:t>Ekwere</w:t>
      </w:r>
      <w:proofErr w:type="spellEnd"/>
      <w:r w:rsidRPr="00013089">
        <w:rPr>
          <w:rFonts w:ascii="Times New Roman" w:eastAsia="Times New Roman" w:hAnsi="Times New Roman" w:cs="Times New Roman"/>
          <w:sz w:val="24"/>
          <w:szCs w:val="24"/>
          <w:lang w:eastAsia="en-GB"/>
        </w:rPr>
        <w:t xml:space="preserve"> et al., 2025). Such findings highlight the vulnerability of Nigerian aquatic resources to multiple contaminant classes and reinforce the need for location-specific assessment of water quality.</w:t>
      </w:r>
    </w:p>
    <w:p w14:paraId="4647EBF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assessment of groundwater should therefore integrate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indicators. Such an integrated approach enables differentiation between natural geochemical controls and potential contamination signals. It can also reveal situations in which relatively low mineralisation does not necessarily correspond to better microbiological quality, since chemical and biological indicators may respond to different environmental processes. This distinction is important when interpreting groundwater from contrasting geological environments.</w:t>
      </w:r>
    </w:p>
    <w:p w14:paraId="5034AB8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International drinking-water guidelines provide useful benchmarks for evaluating the significance of measured chemical and microbiological characteristics. The World Health Organization provides guideline values for a range of chemical and microbiological parameters relevant to drinking-water safety, while the United States Environmental Protection Agency </w:t>
      </w:r>
      <w:r w:rsidRPr="00013089">
        <w:rPr>
          <w:rFonts w:ascii="Times New Roman" w:eastAsia="Times New Roman" w:hAnsi="Times New Roman" w:cs="Times New Roman"/>
          <w:sz w:val="24"/>
          <w:szCs w:val="24"/>
          <w:lang w:eastAsia="en-GB"/>
        </w:rPr>
        <w:lastRenderedPageBreak/>
        <w:t>provides national primary drinking-water standards for regulated contaminants (World Health Organization [WHO], 2022; United States Environmental Protection Agency [USEPA], n.d.).</w:t>
      </w:r>
    </w:p>
    <w:p w14:paraId="0FA59F2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Despite increasing research on water quality in the Niger Delta, comparatively integrated information on how geological setting influences groundwater mineralisation, major-ion chemistry, potentially toxic elements and microbiological indicators remains limited. This is particularly important where contrasting geological units occur within the same broader geographical region. The present study therefore evaluates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characteristics of groundwater across Basement Complex, Younger Granite, shale/sedimentary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geological settings. The study further examines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spatial differences in microbial indicators and relationships between groundwater chemistry and microbiological quality to provide an integrated assessment of groundwater characteristics across contrasting geological environments.</w:t>
      </w:r>
    </w:p>
    <w:p w14:paraId="5FD87D9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2.0 Materials and Methods</w:t>
      </w:r>
    </w:p>
    <w:p w14:paraId="0F5676C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 Study Area</w:t>
      </w:r>
    </w:p>
    <w:p w14:paraId="0316716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study was conducted to characterise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and microbiological quality of groundwater occurring within different geological settings. The investigated groundwater environments comprised Basement Complex, Younger Granite, shale/sedimentary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geological domains. These geological settings were selected to provide a basis for evaluating the influence of lithology and hydrogeological conditions on groundwater chemistry and microbiological quality.</w:t>
      </w:r>
    </w:p>
    <w:p w14:paraId="0F08509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2.2 Study Design and Sampling</w:t>
      </w:r>
    </w:p>
    <w:p w14:paraId="4D09374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 comparative cross-sectional sampling design was adopted. Groundwater samples were collected from representative sources within each of the four geological settings. Sampling locations were selected to provide adequate spatial representation of the respective geological domains. At each sampling point, groundwater samples were collected in appropriately pre-cleaned containers for physicochemical, chemical and microbiological analyses.</w:t>
      </w:r>
    </w:p>
    <w:p w14:paraId="7599AD8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Samples intended for microbiological analysis were collected aseptically in sterile containers, while samples for chemical analysis were collected in acid-washed polyethylene bottles. Samples were appropriately labelled with sampling location, geological setting, date and sample identification code. Microbiological samples were transported to the laboratory under cooled conditions and analysed as soon as practicable after collection.</w:t>
      </w:r>
    </w:p>
    <w:p w14:paraId="23A1EF2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2.3 In Situ Measurements</w:t>
      </w:r>
    </w:p>
    <w:p w14:paraId="165F808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Temperature, pH, electrical conductivity (EC) and turbidity were determined using calibrated field or laboratory instruments. The pH meter was calibrated using appropriate standard buffer solutions before measurement. Electrical conductivity was measured after calibration with a standard conductivity solution, while turbidity was determined using a calibrated nephelometric turbidity instrument. Temperature was measured concurrently with the field measurements.</w:t>
      </w:r>
    </w:p>
    <w:p w14:paraId="68D3B0E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2.4 Determination of Total Dissolved Solids</w:t>
      </w:r>
    </w:p>
    <w:p w14:paraId="1C37A98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Total dissolved solids (TDS) were determined either instrumentally or from the measured electrical conductivity using the appropriate conversion relationship where applicable. The results were expressed in mg/L.</w:t>
      </w:r>
    </w:p>
    <w:p w14:paraId="1E6E63D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2.5 Determination of Total Hardness</w:t>
      </w:r>
    </w:p>
    <w:p w14:paraId="0BF864B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Total hardness was determined by the ethylenediaminetetraacetic acid (EDTA) complexometric titration method. An aliquot of the groundwater sample was buffered to the required pH and titrated against standardised EDTA solution using an appropriate metallochromic indicator. The concentration of total hardness was calculated from the volume of EDTA consumed and expressed as mg/L </w:t>
      </w:r>
      <w:proofErr w:type="spellStart"/>
      <w:r w:rsidRPr="00013089">
        <w:rPr>
          <w:rFonts w:ascii="Times New Roman" w:eastAsia="Times New Roman" w:hAnsi="Times New Roman" w:cs="Times New Roman"/>
          <w:sz w:val="24"/>
          <w:szCs w:val="24"/>
          <w:lang w:eastAsia="en-GB"/>
        </w:rPr>
        <w:t>CaCO</w:t>
      </w:r>
      <w:proofErr w:type="spellEnd"/>
      <w:r w:rsidRPr="00013089">
        <w:rPr>
          <w:rFonts w:ascii="Times New Roman" w:eastAsia="Times New Roman" w:hAnsi="Times New Roman" w:cs="Times New Roman"/>
          <w:sz w:val="24"/>
          <w:szCs w:val="24"/>
          <w:lang w:eastAsia="en-GB"/>
        </w:rPr>
        <w:t>₃.</w:t>
      </w:r>
    </w:p>
    <w:p w14:paraId="533C191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2.6 Determination of Alkalinity</w:t>
      </w:r>
    </w:p>
    <w:p w14:paraId="439A8C8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Alkalinity was determined by acid titration. A measured volume of groundwater was titrated against a standard acid solution using appropriate indicator endpoints. The alkalinity concentration was calculated and expressed as mg/L </w:t>
      </w:r>
      <w:proofErr w:type="spellStart"/>
      <w:r w:rsidRPr="00013089">
        <w:rPr>
          <w:rFonts w:ascii="Times New Roman" w:eastAsia="Times New Roman" w:hAnsi="Times New Roman" w:cs="Times New Roman"/>
          <w:sz w:val="24"/>
          <w:szCs w:val="24"/>
          <w:lang w:eastAsia="en-GB"/>
        </w:rPr>
        <w:t>CaCO</w:t>
      </w:r>
      <w:proofErr w:type="spellEnd"/>
      <w:r w:rsidRPr="00013089">
        <w:rPr>
          <w:rFonts w:ascii="Times New Roman" w:eastAsia="Times New Roman" w:hAnsi="Times New Roman" w:cs="Times New Roman"/>
          <w:sz w:val="24"/>
          <w:szCs w:val="24"/>
          <w:lang w:eastAsia="en-GB"/>
        </w:rPr>
        <w:t>₃.</w:t>
      </w:r>
    </w:p>
    <w:p w14:paraId="1B0EBBD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2.7 Determination of Major Ions</w:t>
      </w:r>
    </w:p>
    <w:p w14:paraId="1F49E16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 cations calcium (Ca²⁺), magnesium (Mg²⁺), sodium (Na⁺) and potassium (K⁺), and the major anions bicarbonate (HCO₃⁻), chloride (Cl⁻), sulphate (SO₄²⁻) and nitrate (NO₃⁻) were determined using standard analytical procedures.</w:t>
      </w:r>
    </w:p>
    <w:p w14:paraId="705A121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Calcium and magnesium were determined by appropriate complexometric methods, while sodium and potassium were determined instrumentally using flame emission spectrometry or an equivalent validated analytical procedure. Chloride was determined by argentometric titration, while sulphate and nitrate were determined using suitable spectrophotometric methods. Bicarbonate concentration was obtained from alkalinity determination where appropriate. All analytical procedures incorporated calibration standards, reagent blanks and appropriate quality-control measures.</w:t>
      </w:r>
    </w:p>
    <w:p w14:paraId="4A76354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2.8 Determination of Trace and Potentially Toxic Elements</w:t>
      </w:r>
    </w:p>
    <w:p w14:paraId="33E7EFE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Groundwater samples intended for trace-element analysis were preserved with high-purity nitric acid to minimise adsorption and precipitation of dissolved metals. Prior to instrumental analysis, samples were appropriately digested where required. Concentrations of iron (Fe), manganese (Mn), lead (Pb), cadmium (Cd), chromium (Cr), nickel (Ni), copper (Cu) and zinc (Zn) were determined using an appropriate validated atomic spectrometric technique, such as atomic absorption spectrophotometry or inductively coupled plasma optical emission spectrometry, depending on instrument availability.</w:t>
      </w:r>
    </w:p>
    <w:p w14:paraId="63EACFA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Calibration standards were prepared from certified stock solutions. Analytical blanks, calibration checks and replicate analyses were included to monitor contamination, instrument stability and analytical precision. Results were expressed in mg/L.</w:t>
      </w:r>
    </w:p>
    <w:p w14:paraId="422CFAA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 xml:space="preserve">2.9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 Classification</w:t>
      </w:r>
    </w:p>
    <w:p w14:paraId="5297DED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characteristics of the groundwater samples were interpreted using the relative abundance of the major cations and anions.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were classified </w:t>
      </w:r>
      <w:r w:rsidRPr="00013089">
        <w:rPr>
          <w:rFonts w:ascii="Times New Roman" w:eastAsia="Times New Roman" w:hAnsi="Times New Roman" w:cs="Times New Roman"/>
          <w:sz w:val="24"/>
          <w:szCs w:val="24"/>
          <w:lang w:eastAsia="en-GB"/>
        </w:rPr>
        <w:lastRenderedPageBreak/>
        <w:t>according to the dominant ionic composition of the groundwater. The principal facies identified included Ca–Mg–HCO₃, Ca–Mg–Cl–HCO₃, Na–Ca–HCO₃–Cl, Na–Cl and Mg–Ca–SO₄ types. The percentage distribution of the different facies was determined for each geological setting.</w:t>
      </w:r>
    </w:p>
    <w:p w14:paraId="274C843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2.10 Microbiological Analysis</w:t>
      </w:r>
    </w:p>
    <w:p w14:paraId="3D7A29D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Microbiological quality was assessed by determining heterotrophic bacterial counts and selected faecal-indicator organisms. Serial ten-fold dilutions of the groundwater samples were prepared aseptically using sterile diluent. Appropriate aliquots were inoculated onto suitable microbiological media using standard pour-plate, spread-plate or membrane-filtration techniques, depending on the target organism.</w:t>
      </w:r>
    </w:p>
    <w:p w14:paraId="12A33B5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Heterotrophic bacteria were enumerated after incubation under appropriate temperature and time conditions, and results were expressed as colony-forming units per millilitre (CFU/mL). Total coliforms and faecal coliforms were enumerated using appropriate selective or differential media.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was determined using an appropriate confirmatory culture or chromogenic method, while enterococci were enumerated using a selective medium appropriate for their recovery.</w:t>
      </w:r>
    </w:p>
    <w:p w14:paraId="1B27B76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Representative bacterial colonies were characterised using colony morphology, Gram staining and relevant biochemical tests. Where applicable, confirmatory identification was performed using an appropriate commercial identification system or other validated microbiological method.</w:t>
      </w:r>
    </w:p>
    <w:p w14:paraId="5DB45CA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2.11 Quality Assurance and Quality Control</w:t>
      </w:r>
    </w:p>
    <w:p w14:paraId="6B53A29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Quality assurance procedures were implemented throughout sample collection, preparation and analysis. Analytical glassware was thoroughly cleaned and appropriately rinsed before use. Reagent blanks, calibration standards, duplicate samples and replicate analyses were included where applicable. Instruments were calibrated before use and recalibrated when necessary. Microbiological analyses were performed using sterile materials and aseptic techniques to minimise cross-contamination. Results were accepted only when analytical quality-control criteria were satisfactory.</w:t>
      </w:r>
    </w:p>
    <w:p w14:paraId="0291B44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2.12 Statistical Analysis</w:t>
      </w:r>
    </w:p>
    <w:p w14:paraId="2ABEDD6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data were entered into a statistical analysis package and subjected to descriptive and inferential statistical analyses. Results were expressed as mean ± standard deviation (SD). Differences in physicochemical, chemical and microbiological parameters among the four geological settings were evaluated using one-way analysis of variance (ANOVA). Where significant differences were detected, appropriate post-hoc comparisons would be used to identify the groups responsible for the observed variation.</w:t>
      </w:r>
    </w:p>
    <w:p w14:paraId="774022F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Pearson's correlation analysis was used to evaluate relationships between selected groundwater physicochemical parameters and microbiological indicators. Correlation coefficients (r) were interpreted according to the direction and strength of the relationships. Statistical significance was established at p &lt; 0.05.</w:t>
      </w:r>
    </w:p>
    <w:p w14:paraId="728B36B3" w14:textId="77777777" w:rsidR="001E1693" w:rsidRPr="00013089" w:rsidRDefault="001E1693" w:rsidP="001E1693">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GB"/>
        </w:rPr>
      </w:pPr>
      <w:r w:rsidRPr="00013089">
        <w:rPr>
          <w:rFonts w:ascii="Times New Roman" w:eastAsia="Times New Roman" w:hAnsi="Times New Roman" w:cs="Times New Roman"/>
          <w:b/>
          <w:bCs/>
          <w:kern w:val="36"/>
          <w:sz w:val="24"/>
          <w:szCs w:val="24"/>
          <w:lang w:eastAsia="en-GB"/>
        </w:rPr>
        <w:t>3.0 Results</w:t>
      </w:r>
    </w:p>
    <w:p w14:paraId="61BE555B"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lastRenderedPageBreak/>
        <w:t>3.1 Physicochemical Characteristics of Groundwater</w:t>
      </w:r>
    </w:p>
    <w:p w14:paraId="5DDD664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physicochemical characteristics of groundwater varied across the investigated geological settings. The pH values indicated slightly acidic to near-neutral conditions, ranging from 6.21 ± 0.14 in the shale/sedimentary setting to 6.78 ± 0.16 in the Younger Granite setting. Electrical conductivity (EC), total dissolved solids (TDS), total hardness and alkalinity were highest in the Basement Complex groundwater,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recorded the lowest values for most mineralisation-related parameters. Turbidity was highest in the shale/sedimentary setting.</w:t>
      </w:r>
    </w:p>
    <w:p w14:paraId="11AA03BF" w14:textId="1FCECF7C"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1: Physicochemical characteristics of groundwater across the investigated geological settings</w:t>
      </w:r>
    </w:p>
    <w:tbl>
      <w:tblPr>
        <w:tblStyle w:val="TableGrid"/>
        <w:tblW w:w="0" w:type="auto"/>
        <w:tblLook w:val="04A0" w:firstRow="1" w:lastRow="0" w:firstColumn="1" w:lastColumn="0" w:noHBand="0" w:noVBand="1"/>
      </w:tblPr>
      <w:tblGrid>
        <w:gridCol w:w="1878"/>
        <w:gridCol w:w="1681"/>
        <w:gridCol w:w="1518"/>
        <w:gridCol w:w="2150"/>
        <w:gridCol w:w="1789"/>
      </w:tblGrid>
      <w:tr w:rsidR="001E1693" w:rsidRPr="00013089" w14:paraId="7CF44266" w14:textId="77777777" w:rsidTr="00D13818">
        <w:tc>
          <w:tcPr>
            <w:tcW w:w="0" w:type="auto"/>
            <w:hideMark/>
          </w:tcPr>
          <w:p w14:paraId="425E683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w:t>
            </w:r>
          </w:p>
        </w:tc>
        <w:tc>
          <w:tcPr>
            <w:tcW w:w="0" w:type="auto"/>
            <w:hideMark/>
          </w:tcPr>
          <w:p w14:paraId="3AD0D7C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78F3BAC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3952107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1C4E2528"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7DBD6B86" w14:textId="77777777" w:rsidTr="00D13818">
        <w:tc>
          <w:tcPr>
            <w:tcW w:w="0" w:type="auto"/>
            <w:hideMark/>
          </w:tcPr>
          <w:p w14:paraId="41A43F3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5519D3B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6.42 ± 0.18</w:t>
            </w:r>
          </w:p>
        </w:tc>
        <w:tc>
          <w:tcPr>
            <w:tcW w:w="0" w:type="auto"/>
            <w:hideMark/>
          </w:tcPr>
          <w:p w14:paraId="5ADB9F7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6.78 ± 0.16</w:t>
            </w:r>
          </w:p>
        </w:tc>
        <w:tc>
          <w:tcPr>
            <w:tcW w:w="0" w:type="auto"/>
            <w:hideMark/>
          </w:tcPr>
          <w:p w14:paraId="36819AD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6.21 ± 0.14</w:t>
            </w:r>
          </w:p>
        </w:tc>
        <w:tc>
          <w:tcPr>
            <w:tcW w:w="0" w:type="auto"/>
            <w:hideMark/>
          </w:tcPr>
          <w:p w14:paraId="251DA7D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6.63 ± 0.17</w:t>
            </w:r>
          </w:p>
        </w:tc>
      </w:tr>
      <w:tr w:rsidR="001E1693" w:rsidRPr="00013089" w14:paraId="095D03C4" w14:textId="77777777" w:rsidTr="00D13818">
        <w:tc>
          <w:tcPr>
            <w:tcW w:w="0" w:type="auto"/>
            <w:hideMark/>
          </w:tcPr>
          <w:p w14:paraId="66D2F44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 (µS/cm)</w:t>
            </w:r>
          </w:p>
        </w:tc>
        <w:tc>
          <w:tcPr>
            <w:tcW w:w="0" w:type="auto"/>
            <w:hideMark/>
          </w:tcPr>
          <w:p w14:paraId="45F1562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 ± 42</w:t>
            </w:r>
          </w:p>
        </w:tc>
        <w:tc>
          <w:tcPr>
            <w:tcW w:w="0" w:type="auto"/>
            <w:hideMark/>
          </w:tcPr>
          <w:p w14:paraId="5681F4C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 ± 31</w:t>
            </w:r>
          </w:p>
        </w:tc>
        <w:tc>
          <w:tcPr>
            <w:tcW w:w="0" w:type="auto"/>
            <w:hideMark/>
          </w:tcPr>
          <w:p w14:paraId="5298200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 ± 36</w:t>
            </w:r>
          </w:p>
        </w:tc>
        <w:tc>
          <w:tcPr>
            <w:tcW w:w="0" w:type="auto"/>
            <w:hideMark/>
          </w:tcPr>
          <w:p w14:paraId="31118D0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 ± 27</w:t>
            </w:r>
          </w:p>
        </w:tc>
      </w:tr>
      <w:tr w:rsidR="001E1693" w:rsidRPr="00013089" w14:paraId="444B8F9A" w14:textId="77777777" w:rsidTr="00D13818">
        <w:tc>
          <w:tcPr>
            <w:tcW w:w="0" w:type="auto"/>
            <w:hideMark/>
          </w:tcPr>
          <w:p w14:paraId="50663A1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 (mg/L)</w:t>
            </w:r>
          </w:p>
        </w:tc>
        <w:tc>
          <w:tcPr>
            <w:tcW w:w="0" w:type="auto"/>
            <w:hideMark/>
          </w:tcPr>
          <w:p w14:paraId="7CCF4D8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 ± 28</w:t>
            </w:r>
          </w:p>
        </w:tc>
        <w:tc>
          <w:tcPr>
            <w:tcW w:w="0" w:type="auto"/>
            <w:hideMark/>
          </w:tcPr>
          <w:p w14:paraId="37DF528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 ± 21</w:t>
            </w:r>
          </w:p>
        </w:tc>
        <w:tc>
          <w:tcPr>
            <w:tcW w:w="0" w:type="auto"/>
            <w:hideMark/>
          </w:tcPr>
          <w:p w14:paraId="0D6E986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 ± 24</w:t>
            </w:r>
          </w:p>
        </w:tc>
        <w:tc>
          <w:tcPr>
            <w:tcW w:w="0" w:type="auto"/>
            <w:hideMark/>
          </w:tcPr>
          <w:p w14:paraId="66D9958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 ± 18</w:t>
            </w:r>
          </w:p>
        </w:tc>
      </w:tr>
      <w:tr w:rsidR="001E1693" w:rsidRPr="00013089" w14:paraId="114333FC" w14:textId="77777777" w:rsidTr="00D13818">
        <w:tc>
          <w:tcPr>
            <w:tcW w:w="0" w:type="auto"/>
            <w:hideMark/>
          </w:tcPr>
          <w:p w14:paraId="21D0DC1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Turbidity (NTU)</w:t>
            </w:r>
          </w:p>
        </w:tc>
        <w:tc>
          <w:tcPr>
            <w:tcW w:w="0" w:type="auto"/>
            <w:hideMark/>
          </w:tcPr>
          <w:p w14:paraId="649738D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2.84 ± 0.42</w:t>
            </w:r>
          </w:p>
        </w:tc>
        <w:tc>
          <w:tcPr>
            <w:tcW w:w="0" w:type="auto"/>
            <w:hideMark/>
          </w:tcPr>
          <w:p w14:paraId="186C609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2.16 ± 0.36</w:t>
            </w:r>
          </w:p>
        </w:tc>
        <w:tc>
          <w:tcPr>
            <w:tcW w:w="0" w:type="auto"/>
            <w:hideMark/>
          </w:tcPr>
          <w:p w14:paraId="10C1EAC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3.18 ± 0.51</w:t>
            </w:r>
          </w:p>
        </w:tc>
        <w:tc>
          <w:tcPr>
            <w:tcW w:w="0" w:type="auto"/>
            <w:hideMark/>
          </w:tcPr>
          <w:p w14:paraId="7A57B18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2.47 ± 0.39</w:t>
            </w:r>
          </w:p>
        </w:tc>
      </w:tr>
      <w:tr w:rsidR="001E1693" w:rsidRPr="00013089" w14:paraId="24EF2B52" w14:textId="77777777" w:rsidTr="00D13818">
        <w:tc>
          <w:tcPr>
            <w:tcW w:w="0" w:type="auto"/>
            <w:hideMark/>
          </w:tcPr>
          <w:p w14:paraId="5A2E023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 (mg/L)</w:t>
            </w:r>
          </w:p>
        </w:tc>
        <w:tc>
          <w:tcPr>
            <w:tcW w:w="0" w:type="auto"/>
            <w:hideMark/>
          </w:tcPr>
          <w:p w14:paraId="3217F69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 ± 12</w:t>
            </w:r>
          </w:p>
        </w:tc>
        <w:tc>
          <w:tcPr>
            <w:tcW w:w="0" w:type="auto"/>
            <w:hideMark/>
          </w:tcPr>
          <w:p w14:paraId="5C5C977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 ± 10</w:t>
            </w:r>
          </w:p>
        </w:tc>
        <w:tc>
          <w:tcPr>
            <w:tcW w:w="0" w:type="auto"/>
            <w:hideMark/>
          </w:tcPr>
          <w:p w14:paraId="672B6D1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 ± 11</w:t>
            </w:r>
          </w:p>
        </w:tc>
        <w:tc>
          <w:tcPr>
            <w:tcW w:w="0" w:type="auto"/>
            <w:hideMark/>
          </w:tcPr>
          <w:p w14:paraId="0804384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 ± 9</w:t>
            </w:r>
          </w:p>
        </w:tc>
      </w:tr>
      <w:tr w:rsidR="001E1693" w:rsidRPr="00013089" w14:paraId="66BE65FC" w14:textId="77777777" w:rsidTr="00D13818">
        <w:tc>
          <w:tcPr>
            <w:tcW w:w="0" w:type="auto"/>
            <w:hideMark/>
          </w:tcPr>
          <w:p w14:paraId="065DBF7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Alkalinity (mg/L)</w:t>
            </w:r>
          </w:p>
        </w:tc>
        <w:tc>
          <w:tcPr>
            <w:tcW w:w="0" w:type="auto"/>
            <w:hideMark/>
          </w:tcPr>
          <w:p w14:paraId="5587B19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 ± 10</w:t>
            </w:r>
          </w:p>
        </w:tc>
        <w:tc>
          <w:tcPr>
            <w:tcW w:w="0" w:type="auto"/>
            <w:hideMark/>
          </w:tcPr>
          <w:p w14:paraId="51B4DAE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 ± 8</w:t>
            </w:r>
          </w:p>
        </w:tc>
        <w:tc>
          <w:tcPr>
            <w:tcW w:w="0" w:type="auto"/>
            <w:hideMark/>
          </w:tcPr>
          <w:p w14:paraId="223DA83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 ± 9</w:t>
            </w:r>
          </w:p>
        </w:tc>
        <w:tc>
          <w:tcPr>
            <w:tcW w:w="0" w:type="auto"/>
            <w:hideMark/>
          </w:tcPr>
          <w:p w14:paraId="326BA5A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7</w:t>
            </w:r>
          </w:p>
        </w:tc>
      </w:tr>
      <w:tr w:rsidR="001E1693" w:rsidRPr="00013089" w14:paraId="41E8004C" w14:textId="77777777" w:rsidTr="00D13818">
        <w:tc>
          <w:tcPr>
            <w:tcW w:w="0" w:type="auto"/>
            <w:hideMark/>
          </w:tcPr>
          <w:p w14:paraId="315B537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Temperature (°C)</w:t>
            </w:r>
          </w:p>
        </w:tc>
        <w:tc>
          <w:tcPr>
            <w:tcW w:w="0" w:type="auto"/>
            <w:hideMark/>
          </w:tcPr>
          <w:p w14:paraId="179E74D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26.4 ± 0.5</w:t>
            </w:r>
          </w:p>
        </w:tc>
        <w:tc>
          <w:tcPr>
            <w:tcW w:w="0" w:type="auto"/>
            <w:hideMark/>
          </w:tcPr>
          <w:p w14:paraId="34F5502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26.1 ± 0.4</w:t>
            </w:r>
          </w:p>
        </w:tc>
        <w:tc>
          <w:tcPr>
            <w:tcW w:w="0" w:type="auto"/>
            <w:hideMark/>
          </w:tcPr>
          <w:p w14:paraId="4211695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26.7 ± 0.5</w:t>
            </w:r>
          </w:p>
        </w:tc>
        <w:tc>
          <w:tcPr>
            <w:tcW w:w="0" w:type="auto"/>
            <w:hideMark/>
          </w:tcPr>
          <w:p w14:paraId="3102579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26.2 ± 0.4</w:t>
            </w:r>
          </w:p>
        </w:tc>
      </w:tr>
    </w:tbl>
    <w:p w14:paraId="7C602A6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1048174D"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3.2 Major-Ion Chemistry</w:t>
      </w:r>
    </w:p>
    <w:p w14:paraId="38B2A2F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major-ion composition showed distinct differences among the geological settings. Calcium and magnesium were the dominant alkaline-earth cations, with their highest concentrations occurring in the Basement Complex setting. Sodium was comparatively higher in the shale/sedimentary setting. Bicarbonate was the dominant anion across all settings, while chloride, sulphate and nitrate showed relatively elevated concentrations in the shale/sedimentary groundwater.</w:t>
      </w:r>
    </w:p>
    <w:p w14:paraId="3821B358" w14:textId="574809E0"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2: Major-ion concentrations of groundwater across the investigated geological settings</w:t>
      </w:r>
    </w:p>
    <w:tbl>
      <w:tblPr>
        <w:tblStyle w:val="TableGrid"/>
        <w:tblW w:w="0" w:type="auto"/>
        <w:tblLook w:val="04A0" w:firstRow="1" w:lastRow="0" w:firstColumn="1" w:lastColumn="0" w:noHBand="0" w:noVBand="1"/>
      </w:tblPr>
      <w:tblGrid>
        <w:gridCol w:w="1717"/>
        <w:gridCol w:w="1738"/>
        <w:gridCol w:w="1568"/>
        <w:gridCol w:w="2150"/>
        <w:gridCol w:w="1843"/>
      </w:tblGrid>
      <w:tr w:rsidR="001E1693" w:rsidRPr="00013089" w14:paraId="4EBA7CE4" w14:textId="77777777" w:rsidTr="00D13818">
        <w:tc>
          <w:tcPr>
            <w:tcW w:w="0" w:type="auto"/>
            <w:hideMark/>
          </w:tcPr>
          <w:p w14:paraId="7FEA0EDB"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 (mg/L)</w:t>
            </w:r>
          </w:p>
        </w:tc>
        <w:tc>
          <w:tcPr>
            <w:tcW w:w="0" w:type="auto"/>
            <w:hideMark/>
          </w:tcPr>
          <w:p w14:paraId="5148EA3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754ED13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6BBE225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7839713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3DCFB2D1" w14:textId="77777777" w:rsidTr="00D13818">
        <w:tc>
          <w:tcPr>
            <w:tcW w:w="0" w:type="auto"/>
            <w:hideMark/>
          </w:tcPr>
          <w:p w14:paraId="63560C2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Ca²⁺</w:t>
            </w:r>
          </w:p>
        </w:tc>
        <w:tc>
          <w:tcPr>
            <w:tcW w:w="0" w:type="auto"/>
            <w:hideMark/>
          </w:tcPr>
          <w:p w14:paraId="771DC98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 ± 4.2</w:t>
            </w:r>
          </w:p>
        </w:tc>
        <w:tc>
          <w:tcPr>
            <w:tcW w:w="0" w:type="auto"/>
            <w:hideMark/>
          </w:tcPr>
          <w:p w14:paraId="4CCA10B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36.8 ± 3.5</w:t>
            </w:r>
          </w:p>
        </w:tc>
        <w:tc>
          <w:tcPr>
            <w:tcW w:w="0" w:type="auto"/>
            <w:hideMark/>
          </w:tcPr>
          <w:p w14:paraId="7EEF5AD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41.7 ± 3.8</w:t>
            </w:r>
          </w:p>
        </w:tc>
        <w:tc>
          <w:tcPr>
            <w:tcW w:w="0" w:type="auto"/>
            <w:hideMark/>
          </w:tcPr>
          <w:p w14:paraId="3F7D1D0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29.4 ± 2.9</w:t>
            </w:r>
          </w:p>
        </w:tc>
      </w:tr>
      <w:tr w:rsidR="001E1693" w:rsidRPr="00013089" w14:paraId="6A7213D3" w14:textId="77777777" w:rsidTr="00D13818">
        <w:tc>
          <w:tcPr>
            <w:tcW w:w="0" w:type="auto"/>
            <w:hideMark/>
          </w:tcPr>
          <w:p w14:paraId="640BDFE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Mg²⁺</w:t>
            </w:r>
          </w:p>
        </w:tc>
        <w:tc>
          <w:tcPr>
            <w:tcW w:w="0" w:type="auto"/>
            <w:hideMark/>
          </w:tcPr>
          <w:p w14:paraId="3698A06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 ± 2.1</w:t>
            </w:r>
          </w:p>
        </w:tc>
        <w:tc>
          <w:tcPr>
            <w:tcW w:w="0" w:type="auto"/>
            <w:hideMark/>
          </w:tcPr>
          <w:p w14:paraId="184EEF0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14.2 ± 1.7</w:t>
            </w:r>
          </w:p>
        </w:tc>
        <w:tc>
          <w:tcPr>
            <w:tcW w:w="0" w:type="auto"/>
            <w:hideMark/>
          </w:tcPr>
          <w:p w14:paraId="2733D3C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 ± 1.9</w:t>
            </w:r>
          </w:p>
        </w:tc>
        <w:tc>
          <w:tcPr>
            <w:tcW w:w="0" w:type="auto"/>
            <w:hideMark/>
          </w:tcPr>
          <w:p w14:paraId="0A51428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11.6 ± 1.4</w:t>
            </w:r>
          </w:p>
        </w:tc>
      </w:tr>
      <w:tr w:rsidR="001E1693" w:rsidRPr="00013089" w14:paraId="4BD1A682" w14:textId="77777777" w:rsidTr="00D13818">
        <w:tc>
          <w:tcPr>
            <w:tcW w:w="0" w:type="auto"/>
            <w:hideMark/>
          </w:tcPr>
          <w:p w14:paraId="356F7D3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w:t>
            </w:r>
          </w:p>
        </w:tc>
        <w:tc>
          <w:tcPr>
            <w:tcW w:w="0" w:type="auto"/>
            <w:hideMark/>
          </w:tcPr>
          <w:p w14:paraId="1124631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22.7 ± 2.5</w:t>
            </w:r>
          </w:p>
        </w:tc>
        <w:tc>
          <w:tcPr>
            <w:tcW w:w="0" w:type="auto"/>
            <w:hideMark/>
          </w:tcPr>
          <w:p w14:paraId="3BFAC36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18.6 ± 2.0</w:t>
            </w:r>
          </w:p>
        </w:tc>
        <w:tc>
          <w:tcPr>
            <w:tcW w:w="0" w:type="auto"/>
            <w:hideMark/>
          </w:tcPr>
          <w:p w14:paraId="1E26E99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31.4 ± 3.1</w:t>
            </w:r>
          </w:p>
        </w:tc>
        <w:tc>
          <w:tcPr>
            <w:tcW w:w="0" w:type="auto"/>
            <w:hideMark/>
          </w:tcPr>
          <w:p w14:paraId="55DAF40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 ± 1.9</w:t>
            </w:r>
          </w:p>
        </w:tc>
      </w:tr>
      <w:tr w:rsidR="001E1693" w:rsidRPr="00013089" w14:paraId="23E87585" w14:textId="77777777" w:rsidTr="00D13818">
        <w:tc>
          <w:tcPr>
            <w:tcW w:w="0" w:type="auto"/>
            <w:hideMark/>
          </w:tcPr>
          <w:p w14:paraId="44EDB8D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K⁺</w:t>
            </w:r>
          </w:p>
        </w:tc>
        <w:tc>
          <w:tcPr>
            <w:tcW w:w="0" w:type="auto"/>
            <w:hideMark/>
          </w:tcPr>
          <w:p w14:paraId="6EDA0F3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3.8 ± 0.5</w:t>
            </w:r>
          </w:p>
        </w:tc>
        <w:tc>
          <w:tcPr>
            <w:tcW w:w="0" w:type="auto"/>
            <w:hideMark/>
          </w:tcPr>
          <w:p w14:paraId="3E86806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 ± 0.4</w:t>
            </w:r>
          </w:p>
        </w:tc>
        <w:tc>
          <w:tcPr>
            <w:tcW w:w="0" w:type="auto"/>
            <w:hideMark/>
          </w:tcPr>
          <w:p w14:paraId="48F8DDF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4.6 ± 0.6</w:t>
            </w:r>
          </w:p>
        </w:tc>
        <w:tc>
          <w:tcPr>
            <w:tcW w:w="0" w:type="auto"/>
            <w:hideMark/>
          </w:tcPr>
          <w:p w14:paraId="0E6716F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 ± 0.4</w:t>
            </w:r>
          </w:p>
        </w:tc>
      </w:tr>
      <w:tr w:rsidR="001E1693" w:rsidRPr="00013089" w14:paraId="52F79AEA" w14:textId="77777777" w:rsidTr="00D13818">
        <w:tc>
          <w:tcPr>
            <w:tcW w:w="0" w:type="auto"/>
            <w:hideMark/>
          </w:tcPr>
          <w:p w14:paraId="27F131D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HCO₃⁻</w:t>
            </w:r>
          </w:p>
        </w:tc>
        <w:tc>
          <w:tcPr>
            <w:tcW w:w="0" w:type="auto"/>
            <w:hideMark/>
          </w:tcPr>
          <w:p w14:paraId="6B125D6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 ± 10</w:t>
            </w:r>
          </w:p>
        </w:tc>
        <w:tc>
          <w:tcPr>
            <w:tcW w:w="0" w:type="auto"/>
            <w:hideMark/>
          </w:tcPr>
          <w:p w14:paraId="3A96E14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 ± 8</w:t>
            </w:r>
          </w:p>
        </w:tc>
        <w:tc>
          <w:tcPr>
            <w:tcW w:w="0" w:type="auto"/>
            <w:hideMark/>
          </w:tcPr>
          <w:p w14:paraId="494D7A7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 ± 9</w:t>
            </w:r>
          </w:p>
        </w:tc>
        <w:tc>
          <w:tcPr>
            <w:tcW w:w="0" w:type="auto"/>
            <w:hideMark/>
          </w:tcPr>
          <w:p w14:paraId="3C603C5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7</w:t>
            </w:r>
          </w:p>
        </w:tc>
      </w:tr>
      <w:tr w:rsidR="001E1693" w:rsidRPr="00013089" w14:paraId="3826DA27" w14:textId="77777777" w:rsidTr="00D13818">
        <w:tc>
          <w:tcPr>
            <w:tcW w:w="0" w:type="auto"/>
            <w:hideMark/>
          </w:tcPr>
          <w:p w14:paraId="7FFEDD8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Cl⁻</w:t>
            </w:r>
          </w:p>
        </w:tc>
        <w:tc>
          <w:tcPr>
            <w:tcW w:w="0" w:type="auto"/>
            <w:hideMark/>
          </w:tcPr>
          <w:p w14:paraId="6F85215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34.6 ± 3.7</w:t>
            </w:r>
          </w:p>
        </w:tc>
        <w:tc>
          <w:tcPr>
            <w:tcW w:w="0" w:type="auto"/>
            <w:hideMark/>
          </w:tcPr>
          <w:p w14:paraId="615CE15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28.2 ± 3.1</w:t>
            </w:r>
          </w:p>
        </w:tc>
        <w:tc>
          <w:tcPr>
            <w:tcW w:w="0" w:type="auto"/>
            <w:hideMark/>
          </w:tcPr>
          <w:p w14:paraId="433DC59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46.8 ± 4.2</w:t>
            </w:r>
          </w:p>
        </w:tc>
        <w:tc>
          <w:tcPr>
            <w:tcW w:w="0" w:type="auto"/>
            <w:hideMark/>
          </w:tcPr>
          <w:p w14:paraId="33D2C6F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24.7 ± 2.8</w:t>
            </w:r>
          </w:p>
        </w:tc>
      </w:tr>
      <w:tr w:rsidR="001E1693" w:rsidRPr="00013089" w14:paraId="00CC17D9" w14:textId="77777777" w:rsidTr="00D13818">
        <w:tc>
          <w:tcPr>
            <w:tcW w:w="0" w:type="auto"/>
            <w:hideMark/>
          </w:tcPr>
          <w:p w14:paraId="458BD26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SO₄²⁻</w:t>
            </w:r>
          </w:p>
        </w:tc>
        <w:tc>
          <w:tcPr>
            <w:tcW w:w="0" w:type="auto"/>
            <w:hideMark/>
          </w:tcPr>
          <w:p w14:paraId="201370C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22.8 ± 2.6</w:t>
            </w:r>
          </w:p>
        </w:tc>
        <w:tc>
          <w:tcPr>
            <w:tcW w:w="0" w:type="auto"/>
            <w:hideMark/>
          </w:tcPr>
          <w:p w14:paraId="24DAD82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 ± 2.1</w:t>
            </w:r>
          </w:p>
        </w:tc>
        <w:tc>
          <w:tcPr>
            <w:tcW w:w="0" w:type="auto"/>
            <w:hideMark/>
          </w:tcPr>
          <w:p w14:paraId="7AA29FF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31.6 ± 3.3</w:t>
            </w:r>
          </w:p>
        </w:tc>
        <w:tc>
          <w:tcPr>
            <w:tcW w:w="0" w:type="auto"/>
            <w:hideMark/>
          </w:tcPr>
          <w:p w14:paraId="4BE08E9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16.2 ± 1.9</w:t>
            </w:r>
          </w:p>
        </w:tc>
      </w:tr>
      <w:tr w:rsidR="001E1693" w:rsidRPr="00013089" w14:paraId="00A1EF25" w14:textId="77777777" w:rsidTr="00D13818">
        <w:tc>
          <w:tcPr>
            <w:tcW w:w="0" w:type="auto"/>
            <w:hideMark/>
          </w:tcPr>
          <w:p w14:paraId="30BB882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NO₃⁻</w:t>
            </w:r>
          </w:p>
        </w:tc>
        <w:tc>
          <w:tcPr>
            <w:tcW w:w="0" w:type="auto"/>
            <w:hideMark/>
          </w:tcPr>
          <w:p w14:paraId="2562C2A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7.8 ± 1.4</w:t>
            </w:r>
          </w:p>
        </w:tc>
        <w:tc>
          <w:tcPr>
            <w:tcW w:w="0" w:type="auto"/>
            <w:hideMark/>
          </w:tcPr>
          <w:p w14:paraId="58D1F2B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6.4 ± 1.2</w:t>
            </w:r>
          </w:p>
        </w:tc>
        <w:tc>
          <w:tcPr>
            <w:tcW w:w="0" w:type="auto"/>
            <w:hideMark/>
          </w:tcPr>
          <w:p w14:paraId="0958621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12.6 ± 1.8</w:t>
            </w:r>
          </w:p>
        </w:tc>
        <w:tc>
          <w:tcPr>
            <w:tcW w:w="0" w:type="auto"/>
            <w:hideMark/>
          </w:tcPr>
          <w:p w14:paraId="1EB77F7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1.5</w:t>
            </w:r>
          </w:p>
        </w:tc>
      </w:tr>
    </w:tbl>
    <w:p w14:paraId="5F601C0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05204497"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3.3 Trace and Potentially Toxic Elements</w:t>
      </w:r>
    </w:p>
    <w:p w14:paraId="41F4001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Trace-element concentrations varied among the geological settings. Iron and manganese showed comparatively greater concentrations in the Basement Complex and shale/sedimentary groundwater. The shale/sedimentary setting also recorded the highest concentrations of Pb, Cd, Cr, Ni, Cu and Zn,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generally had the lowest concentrations.</w:t>
      </w:r>
    </w:p>
    <w:p w14:paraId="48B444C7" w14:textId="01AFCD11"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Table.3: Trace and potentially toxic elements in groundwater across the investigated geological settings</w:t>
      </w:r>
    </w:p>
    <w:tbl>
      <w:tblPr>
        <w:tblStyle w:val="TableGrid"/>
        <w:tblW w:w="0" w:type="auto"/>
        <w:tblLook w:val="04A0" w:firstRow="1" w:lastRow="0" w:firstColumn="1" w:lastColumn="0" w:noHBand="0" w:noVBand="1"/>
      </w:tblPr>
      <w:tblGrid>
        <w:gridCol w:w="1717"/>
        <w:gridCol w:w="1738"/>
        <w:gridCol w:w="1568"/>
        <w:gridCol w:w="2150"/>
        <w:gridCol w:w="1843"/>
      </w:tblGrid>
      <w:tr w:rsidR="001E1693" w:rsidRPr="00013089" w14:paraId="184AC9D7" w14:textId="77777777" w:rsidTr="00D13818">
        <w:tc>
          <w:tcPr>
            <w:tcW w:w="0" w:type="auto"/>
            <w:hideMark/>
          </w:tcPr>
          <w:p w14:paraId="46BF58A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 (mg/L)</w:t>
            </w:r>
          </w:p>
        </w:tc>
        <w:tc>
          <w:tcPr>
            <w:tcW w:w="0" w:type="auto"/>
            <w:hideMark/>
          </w:tcPr>
          <w:p w14:paraId="35B856F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7BECC480"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453B57FD"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10AB578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14611A48" w14:textId="77777777" w:rsidTr="00D13818">
        <w:tc>
          <w:tcPr>
            <w:tcW w:w="0" w:type="auto"/>
            <w:hideMark/>
          </w:tcPr>
          <w:p w14:paraId="082DFC2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672E01E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0.42 ± 0.06</w:t>
            </w:r>
          </w:p>
        </w:tc>
        <w:tc>
          <w:tcPr>
            <w:tcW w:w="0" w:type="auto"/>
            <w:hideMark/>
          </w:tcPr>
          <w:p w14:paraId="6B0B260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0.24 ± 0.04</w:t>
            </w:r>
          </w:p>
        </w:tc>
        <w:tc>
          <w:tcPr>
            <w:tcW w:w="0" w:type="auto"/>
            <w:hideMark/>
          </w:tcPr>
          <w:p w14:paraId="25BE95B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0.51 ± 0.07</w:t>
            </w:r>
          </w:p>
        </w:tc>
        <w:tc>
          <w:tcPr>
            <w:tcW w:w="0" w:type="auto"/>
            <w:hideMark/>
          </w:tcPr>
          <w:p w14:paraId="1B833A5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0.19 ± 0.03</w:t>
            </w:r>
          </w:p>
        </w:tc>
      </w:tr>
      <w:tr w:rsidR="001E1693" w:rsidRPr="00013089" w14:paraId="50F31C97" w14:textId="77777777" w:rsidTr="00D13818">
        <w:tc>
          <w:tcPr>
            <w:tcW w:w="0" w:type="auto"/>
            <w:hideMark/>
          </w:tcPr>
          <w:p w14:paraId="6C3A025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Mn</w:t>
            </w:r>
          </w:p>
        </w:tc>
        <w:tc>
          <w:tcPr>
            <w:tcW w:w="0" w:type="auto"/>
            <w:hideMark/>
          </w:tcPr>
          <w:p w14:paraId="08798B3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0.084 ± 0.012</w:t>
            </w:r>
          </w:p>
        </w:tc>
        <w:tc>
          <w:tcPr>
            <w:tcW w:w="0" w:type="auto"/>
            <w:hideMark/>
          </w:tcPr>
          <w:p w14:paraId="39DDB5B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0.052 ± 0.009</w:t>
            </w:r>
          </w:p>
        </w:tc>
        <w:tc>
          <w:tcPr>
            <w:tcW w:w="0" w:type="auto"/>
            <w:hideMark/>
          </w:tcPr>
          <w:p w14:paraId="0991CC7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0.096 ± 0.014</w:t>
            </w:r>
          </w:p>
        </w:tc>
        <w:tc>
          <w:tcPr>
            <w:tcW w:w="0" w:type="auto"/>
            <w:hideMark/>
          </w:tcPr>
          <w:p w14:paraId="395D723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0.041 ± 0.008</w:t>
            </w:r>
          </w:p>
        </w:tc>
      </w:tr>
      <w:tr w:rsidR="001E1693" w:rsidRPr="00013089" w14:paraId="2CAD4515" w14:textId="77777777" w:rsidTr="00D13818">
        <w:tc>
          <w:tcPr>
            <w:tcW w:w="0" w:type="auto"/>
            <w:hideMark/>
          </w:tcPr>
          <w:p w14:paraId="199CB5A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Pb</w:t>
            </w:r>
          </w:p>
        </w:tc>
        <w:tc>
          <w:tcPr>
            <w:tcW w:w="0" w:type="auto"/>
            <w:hideMark/>
          </w:tcPr>
          <w:p w14:paraId="2BF2B27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0.009 ± 0.002</w:t>
            </w:r>
          </w:p>
        </w:tc>
        <w:tc>
          <w:tcPr>
            <w:tcW w:w="0" w:type="auto"/>
            <w:hideMark/>
          </w:tcPr>
          <w:p w14:paraId="18B592C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0.006 ± 0.001</w:t>
            </w:r>
          </w:p>
        </w:tc>
        <w:tc>
          <w:tcPr>
            <w:tcW w:w="0" w:type="auto"/>
            <w:hideMark/>
          </w:tcPr>
          <w:p w14:paraId="08CC35A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0.014 ± 0.003</w:t>
            </w:r>
          </w:p>
        </w:tc>
        <w:tc>
          <w:tcPr>
            <w:tcW w:w="0" w:type="auto"/>
            <w:hideMark/>
          </w:tcPr>
          <w:p w14:paraId="1D3245D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0.005 ± 0.001</w:t>
            </w:r>
          </w:p>
        </w:tc>
      </w:tr>
      <w:tr w:rsidR="001E1693" w:rsidRPr="00013089" w14:paraId="69F08887" w14:textId="77777777" w:rsidTr="00D13818">
        <w:tc>
          <w:tcPr>
            <w:tcW w:w="0" w:type="auto"/>
            <w:hideMark/>
          </w:tcPr>
          <w:p w14:paraId="0E400E8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Cd</w:t>
            </w:r>
          </w:p>
        </w:tc>
        <w:tc>
          <w:tcPr>
            <w:tcW w:w="0" w:type="auto"/>
            <w:hideMark/>
          </w:tcPr>
          <w:p w14:paraId="4A79E0A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0.0018 ± 0.0004</w:t>
            </w:r>
          </w:p>
        </w:tc>
        <w:tc>
          <w:tcPr>
            <w:tcW w:w="0" w:type="auto"/>
            <w:hideMark/>
          </w:tcPr>
          <w:p w14:paraId="40AB51F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0.0012 ± 0.0003</w:t>
            </w:r>
          </w:p>
        </w:tc>
        <w:tc>
          <w:tcPr>
            <w:tcW w:w="0" w:type="auto"/>
            <w:hideMark/>
          </w:tcPr>
          <w:p w14:paraId="077328A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0.0026 ± 0.0005</w:t>
            </w:r>
          </w:p>
        </w:tc>
        <w:tc>
          <w:tcPr>
            <w:tcW w:w="0" w:type="auto"/>
            <w:hideMark/>
          </w:tcPr>
          <w:p w14:paraId="67EC291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0.0010 ± 0.0002</w:t>
            </w:r>
          </w:p>
        </w:tc>
      </w:tr>
      <w:tr w:rsidR="001E1693" w:rsidRPr="00013089" w14:paraId="23DDDA73" w14:textId="77777777" w:rsidTr="00D13818">
        <w:tc>
          <w:tcPr>
            <w:tcW w:w="0" w:type="auto"/>
            <w:hideMark/>
          </w:tcPr>
          <w:p w14:paraId="4BB29FF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Cr</w:t>
            </w:r>
          </w:p>
        </w:tc>
        <w:tc>
          <w:tcPr>
            <w:tcW w:w="0" w:type="auto"/>
            <w:hideMark/>
          </w:tcPr>
          <w:p w14:paraId="1EAEFF4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0.012 ± 0.003</w:t>
            </w:r>
          </w:p>
        </w:tc>
        <w:tc>
          <w:tcPr>
            <w:tcW w:w="0" w:type="auto"/>
            <w:hideMark/>
          </w:tcPr>
          <w:p w14:paraId="3A83092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0.008 ± 0.002</w:t>
            </w:r>
          </w:p>
        </w:tc>
        <w:tc>
          <w:tcPr>
            <w:tcW w:w="0" w:type="auto"/>
            <w:hideMark/>
          </w:tcPr>
          <w:p w14:paraId="5002DAE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0.018 ± 0.004</w:t>
            </w:r>
          </w:p>
        </w:tc>
        <w:tc>
          <w:tcPr>
            <w:tcW w:w="0" w:type="auto"/>
            <w:hideMark/>
          </w:tcPr>
          <w:p w14:paraId="1894E9E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0.007 ± 0.002</w:t>
            </w:r>
          </w:p>
        </w:tc>
      </w:tr>
      <w:tr w:rsidR="001E1693" w:rsidRPr="00013089" w14:paraId="1C387843" w14:textId="77777777" w:rsidTr="00D13818">
        <w:tc>
          <w:tcPr>
            <w:tcW w:w="0" w:type="auto"/>
            <w:hideMark/>
          </w:tcPr>
          <w:p w14:paraId="1112229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Ni</w:t>
            </w:r>
          </w:p>
        </w:tc>
        <w:tc>
          <w:tcPr>
            <w:tcW w:w="0" w:type="auto"/>
            <w:hideMark/>
          </w:tcPr>
          <w:p w14:paraId="7FC649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0.016 ± 0.003</w:t>
            </w:r>
          </w:p>
        </w:tc>
        <w:tc>
          <w:tcPr>
            <w:tcW w:w="0" w:type="auto"/>
            <w:hideMark/>
          </w:tcPr>
          <w:p w14:paraId="751017F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0.011 ± 0.002</w:t>
            </w:r>
          </w:p>
        </w:tc>
        <w:tc>
          <w:tcPr>
            <w:tcW w:w="0" w:type="auto"/>
            <w:hideMark/>
          </w:tcPr>
          <w:p w14:paraId="05734D9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0.021 ± 0.004</w:t>
            </w:r>
          </w:p>
        </w:tc>
        <w:tc>
          <w:tcPr>
            <w:tcW w:w="0" w:type="auto"/>
            <w:hideMark/>
          </w:tcPr>
          <w:p w14:paraId="3374A05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0.009 ± 0.002</w:t>
            </w:r>
          </w:p>
        </w:tc>
      </w:tr>
      <w:tr w:rsidR="001E1693" w:rsidRPr="00013089" w14:paraId="1DB02F2E" w14:textId="77777777" w:rsidTr="00D13818">
        <w:tc>
          <w:tcPr>
            <w:tcW w:w="0" w:type="auto"/>
            <w:hideMark/>
          </w:tcPr>
          <w:p w14:paraId="3D6A547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Cu</w:t>
            </w:r>
          </w:p>
        </w:tc>
        <w:tc>
          <w:tcPr>
            <w:tcW w:w="0" w:type="auto"/>
            <w:hideMark/>
          </w:tcPr>
          <w:p w14:paraId="333746E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0.018 ± 0.004</w:t>
            </w:r>
          </w:p>
        </w:tc>
        <w:tc>
          <w:tcPr>
            <w:tcW w:w="0" w:type="auto"/>
            <w:hideMark/>
          </w:tcPr>
          <w:p w14:paraId="6AA8C8F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0.014 ± 0.003</w:t>
            </w:r>
          </w:p>
        </w:tc>
        <w:tc>
          <w:tcPr>
            <w:tcW w:w="0" w:type="auto"/>
            <w:hideMark/>
          </w:tcPr>
          <w:p w14:paraId="68318D0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0.023 ± 0.004</w:t>
            </w:r>
          </w:p>
        </w:tc>
        <w:tc>
          <w:tcPr>
            <w:tcW w:w="0" w:type="auto"/>
            <w:hideMark/>
          </w:tcPr>
          <w:p w14:paraId="4FFC50A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0.012 ± 0.003</w:t>
            </w:r>
          </w:p>
        </w:tc>
      </w:tr>
      <w:tr w:rsidR="001E1693" w:rsidRPr="00013089" w14:paraId="089875DA" w14:textId="77777777" w:rsidTr="00D13818">
        <w:tc>
          <w:tcPr>
            <w:tcW w:w="0" w:type="auto"/>
            <w:hideMark/>
          </w:tcPr>
          <w:p w14:paraId="0B0EB6E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Zn</w:t>
            </w:r>
          </w:p>
        </w:tc>
        <w:tc>
          <w:tcPr>
            <w:tcW w:w="0" w:type="auto"/>
            <w:hideMark/>
          </w:tcPr>
          <w:p w14:paraId="4E8A8DE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0.084 ± 0.012</w:t>
            </w:r>
          </w:p>
        </w:tc>
        <w:tc>
          <w:tcPr>
            <w:tcW w:w="0" w:type="auto"/>
            <w:hideMark/>
          </w:tcPr>
          <w:p w14:paraId="3473EC8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0.071 ± 0.010</w:t>
            </w:r>
          </w:p>
        </w:tc>
        <w:tc>
          <w:tcPr>
            <w:tcW w:w="0" w:type="auto"/>
            <w:hideMark/>
          </w:tcPr>
          <w:p w14:paraId="5E44F32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0.096 ± 0.014</w:t>
            </w:r>
          </w:p>
        </w:tc>
        <w:tc>
          <w:tcPr>
            <w:tcW w:w="0" w:type="auto"/>
            <w:hideMark/>
          </w:tcPr>
          <w:p w14:paraId="16319E7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0.062 ± 0.009</w:t>
            </w:r>
          </w:p>
        </w:tc>
      </w:tr>
    </w:tbl>
    <w:p w14:paraId="5BEDD80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4E856859"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3.4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w:t>
      </w:r>
    </w:p>
    <w:p w14:paraId="6F00F61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analysis showed that Ca–Mg–HCO₃ was the dominant water type across the investigated settings. It accounted for the greatest proportion of samples from the Basement Complex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domains. Mixed Ca–Mg–Cl–HCO₃ facies were also common, whereas Na–Ca–HCO₃–Cl and Na–Cl facies were more frequent in the shale/sedimentary setting.</w:t>
      </w:r>
    </w:p>
    <w:p w14:paraId="12ED0548" w14:textId="505AADDC"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 xml:space="preserve">Table.4: Distribution of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 across the investigated geological settings</w:t>
      </w:r>
    </w:p>
    <w:tbl>
      <w:tblPr>
        <w:tblStyle w:val="TableGrid"/>
        <w:tblW w:w="0" w:type="auto"/>
        <w:tblLook w:val="04A0" w:firstRow="1" w:lastRow="0" w:firstColumn="1" w:lastColumn="0" w:noHBand="0" w:noVBand="1"/>
      </w:tblPr>
      <w:tblGrid>
        <w:gridCol w:w="1959"/>
        <w:gridCol w:w="1601"/>
        <w:gridCol w:w="1463"/>
        <w:gridCol w:w="2273"/>
        <w:gridCol w:w="1720"/>
      </w:tblGrid>
      <w:tr w:rsidR="001E1693" w:rsidRPr="00013089" w14:paraId="42220346" w14:textId="77777777" w:rsidTr="00D13818">
        <w:tc>
          <w:tcPr>
            <w:tcW w:w="0" w:type="auto"/>
            <w:hideMark/>
          </w:tcPr>
          <w:p w14:paraId="29F04EA2" w14:textId="77777777" w:rsidR="001E1693" w:rsidRPr="00013089" w:rsidRDefault="001E1693" w:rsidP="00D13818">
            <w:pPr>
              <w:jc w:val="both"/>
              <w:rPr>
                <w:rFonts w:ascii="Times New Roman" w:eastAsia="Times New Roman" w:hAnsi="Times New Roman" w:cs="Times New Roman"/>
                <w:b/>
                <w:bCs/>
                <w:sz w:val="24"/>
                <w:szCs w:val="24"/>
                <w:lang w:eastAsia="en-GB"/>
              </w:rPr>
            </w:pP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w:t>
            </w:r>
          </w:p>
        </w:tc>
        <w:tc>
          <w:tcPr>
            <w:tcW w:w="0" w:type="auto"/>
            <w:hideMark/>
          </w:tcPr>
          <w:p w14:paraId="03056E8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 (%)</w:t>
            </w:r>
          </w:p>
        </w:tc>
        <w:tc>
          <w:tcPr>
            <w:tcW w:w="0" w:type="auto"/>
            <w:hideMark/>
          </w:tcPr>
          <w:p w14:paraId="026DE413"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 (%)</w:t>
            </w:r>
          </w:p>
        </w:tc>
        <w:tc>
          <w:tcPr>
            <w:tcW w:w="0" w:type="auto"/>
            <w:hideMark/>
          </w:tcPr>
          <w:p w14:paraId="4CD354C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 (%)</w:t>
            </w:r>
          </w:p>
        </w:tc>
        <w:tc>
          <w:tcPr>
            <w:tcW w:w="0" w:type="auto"/>
            <w:hideMark/>
          </w:tcPr>
          <w:p w14:paraId="6267C5F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r w:rsidRPr="00013089">
              <w:rPr>
                <w:rFonts w:ascii="Times New Roman" w:eastAsia="Times New Roman" w:hAnsi="Times New Roman" w:cs="Times New Roman"/>
                <w:b/>
                <w:bCs/>
                <w:sz w:val="24"/>
                <w:szCs w:val="24"/>
                <w:lang w:eastAsia="en-GB"/>
              </w:rPr>
              <w:t xml:space="preserve"> (%)</w:t>
            </w:r>
          </w:p>
        </w:tc>
      </w:tr>
      <w:tr w:rsidR="001E1693" w:rsidRPr="00013089" w14:paraId="68CD9752" w14:textId="77777777" w:rsidTr="00D13818">
        <w:tc>
          <w:tcPr>
            <w:tcW w:w="0" w:type="auto"/>
            <w:hideMark/>
          </w:tcPr>
          <w:p w14:paraId="2DE461E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Ca–Mg–HCO₃</w:t>
            </w:r>
          </w:p>
        </w:tc>
        <w:tc>
          <w:tcPr>
            <w:tcW w:w="0" w:type="auto"/>
            <w:hideMark/>
          </w:tcPr>
          <w:p w14:paraId="2D8CD41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58.3</w:t>
            </w:r>
          </w:p>
        </w:tc>
        <w:tc>
          <w:tcPr>
            <w:tcW w:w="0" w:type="auto"/>
            <w:hideMark/>
          </w:tcPr>
          <w:p w14:paraId="0EB0D21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45.8</w:t>
            </w:r>
          </w:p>
        </w:tc>
        <w:tc>
          <w:tcPr>
            <w:tcW w:w="0" w:type="auto"/>
            <w:hideMark/>
          </w:tcPr>
          <w:p w14:paraId="3078997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33.3</w:t>
            </w:r>
          </w:p>
        </w:tc>
        <w:tc>
          <w:tcPr>
            <w:tcW w:w="0" w:type="auto"/>
            <w:hideMark/>
          </w:tcPr>
          <w:p w14:paraId="1DA5482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62.5</w:t>
            </w:r>
          </w:p>
        </w:tc>
      </w:tr>
      <w:tr w:rsidR="001E1693" w:rsidRPr="00013089" w14:paraId="1DF4E8FA" w14:textId="77777777" w:rsidTr="00D13818">
        <w:tc>
          <w:tcPr>
            <w:tcW w:w="0" w:type="auto"/>
            <w:hideMark/>
          </w:tcPr>
          <w:p w14:paraId="3233038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Ca–Mg–Cl–HCO₃</w:t>
            </w:r>
          </w:p>
        </w:tc>
        <w:tc>
          <w:tcPr>
            <w:tcW w:w="0" w:type="auto"/>
            <w:hideMark/>
          </w:tcPr>
          <w:p w14:paraId="6A1A0FC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04DB392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29.2</w:t>
            </w:r>
          </w:p>
        </w:tc>
        <w:tc>
          <w:tcPr>
            <w:tcW w:w="0" w:type="auto"/>
            <w:hideMark/>
          </w:tcPr>
          <w:p w14:paraId="692D59E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0BDFA62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20.8</w:t>
            </w:r>
          </w:p>
        </w:tc>
      </w:tr>
      <w:tr w:rsidR="001E1693" w:rsidRPr="00013089" w14:paraId="2009693F" w14:textId="77777777" w:rsidTr="00D13818">
        <w:tc>
          <w:tcPr>
            <w:tcW w:w="0" w:type="auto"/>
            <w:hideMark/>
          </w:tcPr>
          <w:p w14:paraId="579A800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Na–Ca–HCO₃–Cl</w:t>
            </w:r>
          </w:p>
        </w:tc>
        <w:tc>
          <w:tcPr>
            <w:tcW w:w="0" w:type="auto"/>
            <w:hideMark/>
          </w:tcPr>
          <w:p w14:paraId="5D2DA79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8.3</w:t>
            </w:r>
          </w:p>
        </w:tc>
        <w:tc>
          <w:tcPr>
            <w:tcW w:w="0" w:type="auto"/>
            <w:hideMark/>
          </w:tcPr>
          <w:p w14:paraId="3B84188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16.7</w:t>
            </w:r>
          </w:p>
        </w:tc>
        <w:tc>
          <w:tcPr>
            <w:tcW w:w="0" w:type="auto"/>
            <w:hideMark/>
          </w:tcPr>
          <w:p w14:paraId="55AE2C3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15E2274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8.3</w:t>
            </w:r>
          </w:p>
        </w:tc>
      </w:tr>
      <w:tr w:rsidR="001E1693" w:rsidRPr="00013089" w14:paraId="1B5F1D66" w14:textId="77777777" w:rsidTr="00D13818">
        <w:tc>
          <w:tcPr>
            <w:tcW w:w="0" w:type="auto"/>
            <w:hideMark/>
          </w:tcPr>
          <w:p w14:paraId="24174DE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Na–Cl</w:t>
            </w:r>
          </w:p>
        </w:tc>
        <w:tc>
          <w:tcPr>
            <w:tcW w:w="0" w:type="auto"/>
            <w:hideMark/>
          </w:tcPr>
          <w:p w14:paraId="2D159E9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31710B3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58C86EC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12.5</w:t>
            </w:r>
          </w:p>
        </w:tc>
        <w:tc>
          <w:tcPr>
            <w:tcW w:w="0" w:type="auto"/>
            <w:hideMark/>
          </w:tcPr>
          <w:p w14:paraId="1C4EF02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r>
      <w:tr w:rsidR="001E1693" w:rsidRPr="00013089" w14:paraId="2E2A2526" w14:textId="77777777" w:rsidTr="00D13818">
        <w:tc>
          <w:tcPr>
            <w:tcW w:w="0" w:type="auto"/>
            <w:hideMark/>
          </w:tcPr>
          <w:p w14:paraId="2AF78BC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Mg–Ca–SO₄</w:t>
            </w:r>
          </w:p>
        </w:tc>
        <w:tc>
          <w:tcPr>
            <w:tcW w:w="0" w:type="auto"/>
            <w:hideMark/>
          </w:tcPr>
          <w:p w14:paraId="75B9195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590E219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w:t>
            </w:r>
          </w:p>
        </w:tc>
        <w:tc>
          <w:tcPr>
            <w:tcW w:w="0" w:type="auto"/>
            <w:hideMark/>
          </w:tcPr>
          <w:p w14:paraId="0E2B181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2647DE5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r>
    </w:tbl>
    <w:p w14:paraId="21DFDF5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represent the percentage distribution of samples.</w:t>
      </w:r>
    </w:p>
    <w:p w14:paraId="24882A2F"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lastRenderedPageBreak/>
        <w:t>3.5 Microbiological Quality of Groundwater</w:t>
      </w:r>
    </w:p>
    <w:p w14:paraId="16C7002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Microbiological quality varied substantially among the geological settings. Heterotrophic bacterial counts ranged from 1.9 × 10² ± 0.4 × 10² CFU/mL in the Younger Granite setting to 3.6 × 10² ± 0.7 × 10² CFU/mL in the shale/sedimentary setting.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were detected in groundwater from all settings.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recorded the highest concentrations of the principal faecal indicator organisms, whereas the Younger Granite setting recorded the lowest values.</w:t>
      </w:r>
    </w:p>
    <w:p w14:paraId="6B5E938A" w14:textId="41CCC2F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Table.5: Microbiological characteristics of groundwater across the investigated geological settings</w:t>
      </w:r>
    </w:p>
    <w:tbl>
      <w:tblPr>
        <w:tblStyle w:val="TableGrid"/>
        <w:tblW w:w="0" w:type="auto"/>
        <w:tblLook w:val="04A0" w:firstRow="1" w:lastRow="0" w:firstColumn="1" w:lastColumn="0" w:noHBand="0" w:noVBand="1"/>
      </w:tblPr>
      <w:tblGrid>
        <w:gridCol w:w="2302"/>
        <w:gridCol w:w="1503"/>
        <w:gridCol w:w="1428"/>
        <w:gridCol w:w="2165"/>
        <w:gridCol w:w="1618"/>
      </w:tblGrid>
      <w:tr w:rsidR="001E1693" w:rsidRPr="00013089" w14:paraId="05A05B5C" w14:textId="77777777" w:rsidTr="00D13818">
        <w:tc>
          <w:tcPr>
            <w:tcW w:w="0" w:type="auto"/>
            <w:hideMark/>
          </w:tcPr>
          <w:p w14:paraId="264F0321"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parameter</w:t>
            </w:r>
          </w:p>
        </w:tc>
        <w:tc>
          <w:tcPr>
            <w:tcW w:w="0" w:type="auto"/>
            <w:hideMark/>
          </w:tcPr>
          <w:p w14:paraId="4037D55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390047F8"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5AD5B502"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538DE53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6CF04AE2" w14:textId="77777777" w:rsidTr="00D13818">
        <w:tc>
          <w:tcPr>
            <w:tcW w:w="0" w:type="auto"/>
            <w:hideMark/>
          </w:tcPr>
          <w:p w14:paraId="73DD981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Heterotrophic bacteria (CFU/mL)</w:t>
            </w:r>
          </w:p>
        </w:tc>
        <w:tc>
          <w:tcPr>
            <w:tcW w:w="0" w:type="auto"/>
            <w:hideMark/>
          </w:tcPr>
          <w:p w14:paraId="1721532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 × 10² ± 0.6 × 10²</w:t>
            </w:r>
          </w:p>
        </w:tc>
        <w:tc>
          <w:tcPr>
            <w:tcW w:w="0" w:type="auto"/>
            <w:hideMark/>
          </w:tcPr>
          <w:p w14:paraId="747F9EB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 × 10² ± 0.4 × 10²</w:t>
            </w:r>
          </w:p>
        </w:tc>
        <w:tc>
          <w:tcPr>
            <w:tcW w:w="0" w:type="auto"/>
            <w:hideMark/>
          </w:tcPr>
          <w:p w14:paraId="5EF8980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 × 10² ± 0.7 × 10²</w:t>
            </w:r>
          </w:p>
        </w:tc>
        <w:tc>
          <w:tcPr>
            <w:tcW w:w="0" w:type="auto"/>
            <w:hideMark/>
          </w:tcPr>
          <w:p w14:paraId="01EC9A8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 × 10² ± 0.5 × 10²</w:t>
            </w:r>
          </w:p>
        </w:tc>
      </w:tr>
      <w:tr w:rsidR="001E1693" w:rsidRPr="00013089" w14:paraId="78E15710" w14:textId="77777777" w:rsidTr="00D13818">
        <w:tc>
          <w:tcPr>
            <w:tcW w:w="0" w:type="auto"/>
            <w:hideMark/>
          </w:tcPr>
          <w:p w14:paraId="5975C24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coliforms (CFU/100 mL)</w:t>
            </w:r>
          </w:p>
        </w:tc>
        <w:tc>
          <w:tcPr>
            <w:tcW w:w="0" w:type="auto"/>
            <w:hideMark/>
          </w:tcPr>
          <w:p w14:paraId="15AA15A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 ± 5</w:t>
            </w:r>
          </w:p>
        </w:tc>
        <w:tc>
          <w:tcPr>
            <w:tcW w:w="0" w:type="auto"/>
            <w:hideMark/>
          </w:tcPr>
          <w:p w14:paraId="390D599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 ± 4</w:t>
            </w:r>
          </w:p>
        </w:tc>
        <w:tc>
          <w:tcPr>
            <w:tcW w:w="0" w:type="auto"/>
            <w:hideMark/>
          </w:tcPr>
          <w:p w14:paraId="50320ED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 ± 6</w:t>
            </w:r>
          </w:p>
        </w:tc>
        <w:tc>
          <w:tcPr>
            <w:tcW w:w="0" w:type="auto"/>
            <w:hideMark/>
          </w:tcPr>
          <w:p w14:paraId="2B6FBE3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 ± 7</w:t>
            </w:r>
          </w:p>
        </w:tc>
      </w:tr>
      <w:tr w:rsidR="001E1693" w:rsidRPr="00013089" w14:paraId="1A9F06B4" w14:textId="77777777" w:rsidTr="00D13818">
        <w:tc>
          <w:tcPr>
            <w:tcW w:w="0" w:type="auto"/>
            <w:hideMark/>
          </w:tcPr>
          <w:p w14:paraId="77D5F02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Faecal coliforms (CFU/100 mL)</w:t>
            </w:r>
          </w:p>
        </w:tc>
        <w:tc>
          <w:tcPr>
            <w:tcW w:w="0" w:type="auto"/>
            <w:hideMark/>
          </w:tcPr>
          <w:p w14:paraId="656B055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 ± 3</w:t>
            </w:r>
          </w:p>
        </w:tc>
        <w:tc>
          <w:tcPr>
            <w:tcW w:w="0" w:type="auto"/>
            <w:hideMark/>
          </w:tcPr>
          <w:p w14:paraId="55B9FB6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 ± 2</w:t>
            </w:r>
          </w:p>
        </w:tc>
        <w:tc>
          <w:tcPr>
            <w:tcW w:w="0" w:type="auto"/>
            <w:hideMark/>
          </w:tcPr>
          <w:p w14:paraId="5AEF96B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 ± 3</w:t>
            </w:r>
          </w:p>
        </w:tc>
        <w:tc>
          <w:tcPr>
            <w:tcW w:w="0" w:type="auto"/>
            <w:hideMark/>
          </w:tcPr>
          <w:p w14:paraId="34757F3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15 ± 4</w:t>
            </w:r>
          </w:p>
        </w:tc>
      </w:tr>
      <w:tr w:rsidR="001E1693" w:rsidRPr="00013089" w14:paraId="73B9CB1A" w14:textId="77777777" w:rsidTr="00D13818">
        <w:tc>
          <w:tcPr>
            <w:tcW w:w="0" w:type="auto"/>
            <w:hideMark/>
          </w:tcPr>
          <w:p w14:paraId="61D0DC1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(CFU/100 mL)</w:t>
            </w:r>
          </w:p>
        </w:tc>
        <w:tc>
          <w:tcPr>
            <w:tcW w:w="0" w:type="auto"/>
            <w:hideMark/>
          </w:tcPr>
          <w:p w14:paraId="2497464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 ± 2</w:t>
            </w:r>
          </w:p>
        </w:tc>
        <w:tc>
          <w:tcPr>
            <w:tcW w:w="0" w:type="auto"/>
            <w:hideMark/>
          </w:tcPr>
          <w:p w14:paraId="5A6EE96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 ± 1</w:t>
            </w:r>
          </w:p>
        </w:tc>
        <w:tc>
          <w:tcPr>
            <w:tcW w:w="0" w:type="auto"/>
            <w:hideMark/>
          </w:tcPr>
          <w:p w14:paraId="6BFDF52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 ± 2</w:t>
            </w:r>
          </w:p>
        </w:tc>
        <w:tc>
          <w:tcPr>
            <w:tcW w:w="0" w:type="auto"/>
            <w:hideMark/>
          </w:tcPr>
          <w:p w14:paraId="08B3C5D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 ± 3</w:t>
            </w:r>
          </w:p>
        </w:tc>
      </w:tr>
      <w:tr w:rsidR="001E1693" w:rsidRPr="00013089" w14:paraId="6A53672F" w14:textId="77777777" w:rsidTr="00D13818">
        <w:tc>
          <w:tcPr>
            <w:tcW w:w="0" w:type="auto"/>
            <w:hideMark/>
          </w:tcPr>
          <w:p w14:paraId="39B1AA4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Enterococci (CFU/100 mL)</w:t>
            </w:r>
          </w:p>
        </w:tc>
        <w:tc>
          <w:tcPr>
            <w:tcW w:w="0" w:type="auto"/>
            <w:hideMark/>
          </w:tcPr>
          <w:p w14:paraId="6FDDDC6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 ± 2</w:t>
            </w:r>
          </w:p>
        </w:tc>
        <w:tc>
          <w:tcPr>
            <w:tcW w:w="0" w:type="auto"/>
            <w:hideMark/>
          </w:tcPr>
          <w:p w14:paraId="2D5E26C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 ± 1</w:t>
            </w:r>
          </w:p>
        </w:tc>
        <w:tc>
          <w:tcPr>
            <w:tcW w:w="0" w:type="auto"/>
            <w:hideMark/>
          </w:tcPr>
          <w:p w14:paraId="100175F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 ± 2</w:t>
            </w:r>
          </w:p>
        </w:tc>
        <w:tc>
          <w:tcPr>
            <w:tcW w:w="0" w:type="auto"/>
            <w:hideMark/>
          </w:tcPr>
          <w:p w14:paraId="2317FD0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 ± 3</w:t>
            </w:r>
          </w:p>
        </w:tc>
      </w:tr>
    </w:tbl>
    <w:p w14:paraId="1CAA6E4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5154C14D"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3.6 Lithological Variation in Groundwater Chemistry</w:t>
      </w:r>
    </w:p>
    <w:p w14:paraId="3B88935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One-way ANOVA revealed statistically significant differences among the geological settings for all the selected physicochemical and major-ion parameters. The strongest variation was observed for EC, TDS, total hardness, calcium and bicarbonate. Significant differences were also observed for sodium, potassium, chloride, sulphate and nitrate. Iron and manganese similarly showed significant variation among the geological settings.</w:t>
      </w:r>
    </w:p>
    <w:p w14:paraId="01887D4C" w14:textId="676059BE"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6: One-way ANOVA of selected groundwater physicochemical, major-ion and trace-element parameters among geological settings</w:t>
      </w:r>
    </w:p>
    <w:tbl>
      <w:tblPr>
        <w:tblStyle w:val="TableGrid"/>
        <w:tblW w:w="0" w:type="auto"/>
        <w:tblLook w:val="04A0" w:firstRow="1" w:lastRow="0" w:firstColumn="1" w:lastColumn="0" w:noHBand="0" w:noVBand="1"/>
      </w:tblPr>
      <w:tblGrid>
        <w:gridCol w:w="1623"/>
        <w:gridCol w:w="990"/>
        <w:gridCol w:w="977"/>
        <w:gridCol w:w="2236"/>
      </w:tblGrid>
      <w:tr w:rsidR="001E1693" w:rsidRPr="00013089" w14:paraId="16881FC4" w14:textId="77777777" w:rsidTr="00D13818">
        <w:tc>
          <w:tcPr>
            <w:tcW w:w="0" w:type="auto"/>
            <w:hideMark/>
          </w:tcPr>
          <w:p w14:paraId="6C3B6B2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w:t>
            </w:r>
          </w:p>
        </w:tc>
        <w:tc>
          <w:tcPr>
            <w:tcW w:w="0" w:type="auto"/>
            <w:hideMark/>
          </w:tcPr>
          <w:p w14:paraId="3E8BA1B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F-value</w:t>
            </w:r>
          </w:p>
        </w:tc>
        <w:tc>
          <w:tcPr>
            <w:tcW w:w="0" w:type="auto"/>
            <w:hideMark/>
          </w:tcPr>
          <w:p w14:paraId="0DC9004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p-value</w:t>
            </w:r>
          </w:p>
        </w:tc>
        <w:tc>
          <w:tcPr>
            <w:tcW w:w="0" w:type="auto"/>
            <w:hideMark/>
          </w:tcPr>
          <w:p w14:paraId="731C0F6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Statistical inference</w:t>
            </w:r>
          </w:p>
        </w:tc>
      </w:tr>
      <w:tr w:rsidR="001E1693" w:rsidRPr="00013089" w14:paraId="13CA7503" w14:textId="77777777" w:rsidTr="00D13818">
        <w:tc>
          <w:tcPr>
            <w:tcW w:w="0" w:type="auto"/>
            <w:hideMark/>
          </w:tcPr>
          <w:p w14:paraId="7F3755F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08EA455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1E73F03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0.004</w:t>
            </w:r>
          </w:p>
        </w:tc>
        <w:tc>
          <w:tcPr>
            <w:tcW w:w="0" w:type="auto"/>
            <w:hideMark/>
          </w:tcPr>
          <w:p w14:paraId="60D2D88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B8B0662" w14:textId="77777777" w:rsidTr="00D13818">
        <w:tc>
          <w:tcPr>
            <w:tcW w:w="0" w:type="auto"/>
            <w:hideMark/>
          </w:tcPr>
          <w:p w14:paraId="58F7BB1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w:t>
            </w:r>
          </w:p>
        </w:tc>
        <w:tc>
          <w:tcPr>
            <w:tcW w:w="0" w:type="auto"/>
            <w:hideMark/>
          </w:tcPr>
          <w:p w14:paraId="32D2759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18.74</w:t>
            </w:r>
          </w:p>
        </w:tc>
        <w:tc>
          <w:tcPr>
            <w:tcW w:w="0" w:type="auto"/>
            <w:hideMark/>
          </w:tcPr>
          <w:p w14:paraId="4EF6202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533D8E5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5E806C2" w14:textId="77777777" w:rsidTr="00D13818">
        <w:tc>
          <w:tcPr>
            <w:tcW w:w="0" w:type="auto"/>
            <w:hideMark/>
          </w:tcPr>
          <w:p w14:paraId="1F80C8D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w:t>
            </w:r>
          </w:p>
        </w:tc>
        <w:tc>
          <w:tcPr>
            <w:tcW w:w="0" w:type="auto"/>
            <w:hideMark/>
          </w:tcPr>
          <w:p w14:paraId="2AA51DC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17.92</w:t>
            </w:r>
          </w:p>
        </w:tc>
        <w:tc>
          <w:tcPr>
            <w:tcW w:w="0" w:type="auto"/>
            <w:hideMark/>
          </w:tcPr>
          <w:p w14:paraId="1B74D81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6C9331B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340C3E7C" w14:textId="77777777" w:rsidTr="00D13818">
        <w:tc>
          <w:tcPr>
            <w:tcW w:w="0" w:type="auto"/>
            <w:hideMark/>
          </w:tcPr>
          <w:p w14:paraId="11583E4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w:t>
            </w:r>
          </w:p>
        </w:tc>
        <w:tc>
          <w:tcPr>
            <w:tcW w:w="0" w:type="auto"/>
            <w:hideMark/>
          </w:tcPr>
          <w:p w14:paraId="015A290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12.68</w:t>
            </w:r>
          </w:p>
        </w:tc>
        <w:tc>
          <w:tcPr>
            <w:tcW w:w="0" w:type="auto"/>
            <w:hideMark/>
          </w:tcPr>
          <w:p w14:paraId="7AE48EF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D4E688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26A1EA04" w14:textId="77777777" w:rsidTr="00D13818">
        <w:tc>
          <w:tcPr>
            <w:tcW w:w="0" w:type="auto"/>
            <w:hideMark/>
          </w:tcPr>
          <w:p w14:paraId="54C5ED2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Ca²⁺</w:t>
            </w:r>
          </w:p>
        </w:tc>
        <w:tc>
          <w:tcPr>
            <w:tcW w:w="0" w:type="auto"/>
            <w:hideMark/>
          </w:tcPr>
          <w:p w14:paraId="4828677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15.43</w:t>
            </w:r>
          </w:p>
        </w:tc>
        <w:tc>
          <w:tcPr>
            <w:tcW w:w="0" w:type="auto"/>
            <w:hideMark/>
          </w:tcPr>
          <w:p w14:paraId="5115CF5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4CC1172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9BF6A8C" w14:textId="77777777" w:rsidTr="00D13818">
        <w:tc>
          <w:tcPr>
            <w:tcW w:w="0" w:type="auto"/>
            <w:hideMark/>
          </w:tcPr>
          <w:p w14:paraId="2C9B73C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Mg²⁺</w:t>
            </w:r>
          </w:p>
        </w:tc>
        <w:tc>
          <w:tcPr>
            <w:tcW w:w="0" w:type="auto"/>
            <w:hideMark/>
          </w:tcPr>
          <w:p w14:paraId="62B6128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9.84</w:t>
            </w:r>
          </w:p>
        </w:tc>
        <w:tc>
          <w:tcPr>
            <w:tcW w:w="0" w:type="auto"/>
            <w:hideMark/>
          </w:tcPr>
          <w:p w14:paraId="7DF0BDF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7B3DA0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1A41728D" w14:textId="77777777" w:rsidTr="00D13818">
        <w:tc>
          <w:tcPr>
            <w:tcW w:w="0" w:type="auto"/>
            <w:hideMark/>
          </w:tcPr>
          <w:p w14:paraId="6F67654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w:t>
            </w:r>
          </w:p>
        </w:tc>
        <w:tc>
          <w:tcPr>
            <w:tcW w:w="0" w:type="auto"/>
            <w:hideMark/>
          </w:tcPr>
          <w:p w14:paraId="6CA6697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7.62</w:t>
            </w:r>
          </w:p>
        </w:tc>
        <w:tc>
          <w:tcPr>
            <w:tcW w:w="0" w:type="auto"/>
            <w:hideMark/>
          </w:tcPr>
          <w:p w14:paraId="47296F2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B9ABC9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2092FFBC" w14:textId="77777777" w:rsidTr="00D13818">
        <w:tc>
          <w:tcPr>
            <w:tcW w:w="0" w:type="auto"/>
            <w:hideMark/>
          </w:tcPr>
          <w:p w14:paraId="5BD45D9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K⁺</w:t>
            </w:r>
          </w:p>
        </w:tc>
        <w:tc>
          <w:tcPr>
            <w:tcW w:w="0" w:type="auto"/>
            <w:hideMark/>
          </w:tcPr>
          <w:p w14:paraId="7D16756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5.14</w:t>
            </w:r>
          </w:p>
        </w:tc>
        <w:tc>
          <w:tcPr>
            <w:tcW w:w="0" w:type="auto"/>
            <w:hideMark/>
          </w:tcPr>
          <w:p w14:paraId="61A3595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0.002</w:t>
            </w:r>
          </w:p>
        </w:tc>
        <w:tc>
          <w:tcPr>
            <w:tcW w:w="0" w:type="auto"/>
            <w:hideMark/>
          </w:tcPr>
          <w:p w14:paraId="52A860B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4DBE0E1A" w14:textId="77777777" w:rsidTr="00D13818">
        <w:tc>
          <w:tcPr>
            <w:tcW w:w="0" w:type="auto"/>
            <w:hideMark/>
          </w:tcPr>
          <w:p w14:paraId="42698C1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HCO₃⁻</w:t>
            </w:r>
          </w:p>
        </w:tc>
        <w:tc>
          <w:tcPr>
            <w:tcW w:w="0" w:type="auto"/>
            <w:hideMark/>
          </w:tcPr>
          <w:p w14:paraId="662F279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11.76</w:t>
            </w:r>
          </w:p>
        </w:tc>
        <w:tc>
          <w:tcPr>
            <w:tcW w:w="0" w:type="auto"/>
            <w:hideMark/>
          </w:tcPr>
          <w:p w14:paraId="3A0DB2C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3A90529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8C1CA4E" w14:textId="77777777" w:rsidTr="00D13818">
        <w:tc>
          <w:tcPr>
            <w:tcW w:w="0" w:type="auto"/>
            <w:hideMark/>
          </w:tcPr>
          <w:p w14:paraId="0F2FD6B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Cl⁻</w:t>
            </w:r>
          </w:p>
        </w:tc>
        <w:tc>
          <w:tcPr>
            <w:tcW w:w="0" w:type="auto"/>
            <w:hideMark/>
          </w:tcPr>
          <w:p w14:paraId="394CC0B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8.93</w:t>
            </w:r>
          </w:p>
        </w:tc>
        <w:tc>
          <w:tcPr>
            <w:tcW w:w="0" w:type="auto"/>
            <w:hideMark/>
          </w:tcPr>
          <w:p w14:paraId="508AC41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769261E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41E80DF" w14:textId="77777777" w:rsidTr="00D13818">
        <w:tc>
          <w:tcPr>
            <w:tcW w:w="0" w:type="auto"/>
            <w:hideMark/>
          </w:tcPr>
          <w:p w14:paraId="6D7AFCF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SO₄²⁻</w:t>
            </w:r>
          </w:p>
        </w:tc>
        <w:tc>
          <w:tcPr>
            <w:tcW w:w="0" w:type="auto"/>
            <w:hideMark/>
          </w:tcPr>
          <w:p w14:paraId="22472F0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6.87</w:t>
            </w:r>
          </w:p>
        </w:tc>
        <w:tc>
          <w:tcPr>
            <w:tcW w:w="0" w:type="auto"/>
            <w:hideMark/>
          </w:tcPr>
          <w:p w14:paraId="1FE4DCD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9F9EDA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27FA2FC" w14:textId="77777777" w:rsidTr="00D13818">
        <w:tc>
          <w:tcPr>
            <w:tcW w:w="0" w:type="auto"/>
            <w:hideMark/>
          </w:tcPr>
          <w:p w14:paraId="5142D21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NO₃⁻</w:t>
            </w:r>
          </w:p>
        </w:tc>
        <w:tc>
          <w:tcPr>
            <w:tcW w:w="0" w:type="auto"/>
            <w:hideMark/>
          </w:tcPr>
          <w:p w14:paraId="0B8379F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9.42</w:t>
            </w:r>
          </w:p>
        </w:tc>
        <w:tc>
          <w:tcPr>
            <w:tcW w:w="0" w:type="auto"/>
            <w:hideMark/>
          </w:tcPr>
          <w:p w14:paraId="4DEB44A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55B6D7B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E732323" w14:textId="77777777" w:rsidTr="00D13818">
        <w:tc>
          <w:tcPr>
            <w:tcW w:w="0" w:type="auto"/>
            <w:hideMark/>
          </w:tcPr>
          <w:p w14:paraId="559C8D4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71E43CD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10.58</w:t>
            </w:r>
          </w:p>
        </w:tc>
        <w:tc>
          <w:tcPr>
            <w:tcW w:w="0" w:type="auto"/>
            <w:hideMark/>
          </w:tcPr>
          <w:p w14:paraId="5C0028A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D2563D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E0472EE" w14:textId="77777777" w:rsidTr="00D13818">
        <w:tc>
          <w:tcPr>
            <w:tcW w:w="0" w:type="auto"/>
            <w:hideMark/>
          </w:tcPr>
          <w:p w14:paraId="5217EA3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Mn</w:t>
            </w:r>
          </w:p>
        </w:tc>
        <w:tc>
          <w:tcPr>
            <w:tcW w:w="0" w:type="auto"/>
            <w:hideMark/>
          </w:tcPr>
          <w:p w14:paraId="7A819E4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8.76</w:t>
            </w:r>
          </w:p>
        </w:tc>
        <w:tc>
          <w:tcPr>
            <w:tcW w:w="0" w:type="auto"/>
            <w:hideMark/>
          </w:tcPr>
          <w:p w14:paraId="59A27A5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493B2B9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bl>
    <w:p w14:paraId="0BBA195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Statistical significance was considered at p &lt; 0.05.</w:t>
      </w:r>
    </w:p>
    <w:p w14:paraId="7D69C77C"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3.7 Spatial Variation in Microbiological Indicators</w:t>
      </w:r>
    </w:p>
    <w:p w14:paraId="5E16CD7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microbiological indicators differed significantly among the geological settings.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were highest in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and lowest in the Younger Granite setting. Heterotrophic bacterial counts were highest in the shale/sedimentary setting.</w:t>
      </w:r>
    </w:p>
    <w:p w14:paraId="2BD44962" w14:textId="765FA9F5"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7: One-way ANOVA of microbiological indicators among geological settings</w:t>
      </w:r>
    </w:p>
    <w:tbl>
      <w:tblPr>
        <w:tblStyle w:val="TableGrid"/>
        <w:tblW w:w="0" w:type="auto"/>
        <w:tblLook w:val="04A0" w:firstRow="1" w:lastRow="0" w:firstColumn="1" w:lastColumn="0" w:noHBand="0" w:noVBand="1"/>
      </w:tblPr>
      <w:tblGrid>
        <w:gridCol w:w="2969"/>
        <w:gridCol w:w="990"/>
        <w:gridCol w:w="977"/>
        <w:gridCol w:w="2236"/>
      </w:tblGrid>
      <w:tr w:rsidR="001E1693" w:rsidRPr="00013089" w14:paraId="462A87BA" w14:textId="77777777" w:rsidTr="00D13818">
        <w:tc>
          <w:tcPr>
            <w:tcW w:w="0" w:type="auto"/>
            <w:hideMark/>
          </w:tcPr>
          <w:p w14:paraId="0A100C92"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parameter</w:t>
            </w:r>
          </w:p>
        </w:tc>
        <w:tc>
          <w:tcPr>
            <w:tcW w:w="0" w:type="auto"/>
            <w:hideMark/>
          </w:tcPr>
          <w:p w14:paraId="24BEF9F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F-value</w:t>
            </w:r>
          </w:p>
        </w:tc>
        <w:tc>
          <w:tcPr>
            <w:tcW w:w="0" w:type="auto"/>
            <w:hideMark/>
          </w:tcPr>
          <w:p w14:paraId="4D87F95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p-value</w:t>
            </w:r>
          </w:p>
        </w:tc>
        <w:tc>
          <w:tcPr>
            <w:tcW w:w="0" w:type="auto"/>
            <w:hideMark/>
          </w:tcPr>
          <w:p w14:paraId="7474F6B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Statistical inference</w:t>
            </w:r>
          </w:p>
        </w:tc>
      </w:tr>
      <w:tr w:rsidR="001E1693" w:rsidRPr="00013089" w14:paraId="49EE30B4" w14:textId="77777777" w:rsidTr="00D13818">
        <w:tc>
          <w:tcPr>
            <w:tcW w:w="0" w:type="auto"/>
            <w:hideMark/>
          </w:tcPr>
          <w:p w14:paraId="68A5C71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Heterotrophic bacteria</w:t>
            </w:r>
          </w:p>
        </w:tc>
        <w:tc>
          <w:tcPr>
            <w:tcW w:w="0" w:type="auto"/>
            <w:hideMark/>
          </w:tcPr>
          <w:p w14:paraId="3AD43D2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7.84</w:t>
            </w:r>
          </w:p>
        </w:tc>
        <w:tc>
          <w:tcPr>
            <w:tcW w:w="0" w:type="auto"/>
            <w:hideMark/>
          </w:tcPr>
          <w:p w14:paraId="7B3B2C6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82260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ED9550F" w14:textId="77777777" w:rsidTr="00D13818">
        <w:tc>
          <w:tcPr>
            <w:tcW w:w="0" w:type="auto"/>
            <w:hideMark/>
          </w:tcPr>
          <w:p w14:paraId="51CF4ED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coliforms</w:t>
            </w:r>
          </w:p>
        </w:tc>
        <w:tc>
          <w:tcPr>
            <w:tcW w:w="0" w:type="auto"/>
            <w:hideMark/>
          </w:tcPr>
          <w:p w14:paraId="19108C1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9.62</w:t>
            </w:r>
          </w:p>
        </w:tc>
        <w:tc>
          <w:tcPr>
            <w:tcW w:w="0" w:type="auto"/>
            <w:hideMark/>
          </w:tcPr>
          <w:p w14:paraId="2ADA024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895332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91AFE2C" w14:textId="77777777" w:rsidTr="00D13818">
        <w:tc>
          <w:tcPr>
            <w:tcW w:w="0" w:type="auto"/>
            <w:hideMark/>
          </w:tcPr>
          <w:p w14:paraId="52A1092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Faecal coliforms</w:t>
            </w:r>
          </w:p>
        </w:tc>
        <w:tc>
          <w:tcPr>
            <w:tcW w:w="0" w:type="auto"/>
            <w:hideMark/>
          </w:tcPr>
          <w:p w14:paraId="06E7E0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8.47</w:t>
            </w:r>
          </w:p>
        </w:tc>
        <w:tc>
          <w:tcPr>
            <w:tcW w:w="0" w:type="auto"/>
            <w:hideMark/>
          </w:tcPr>
          <w:p w14:paraId="08AD995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6DFF73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38490AD5" w14:textId="77777777" w:rsidTr="00D13818">
        <w:tc>
          <w:tcPr>
            <w:tcW w:w="0" w:type="auto"/>
            <w:hideMark/>
          </w:tcPr>
          <w:p w14:paraId="7B95C2F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i/>
                <w:iCs/>
                <w:sz w:val="24"/>
                <w:szCs w:val="24"/>
                <w:lang w:eastAsia="en-GB"/>
              </w:rPr>
              <w:t>E. coli</w:t>
            </w:r>
          </w:p>
        </w:tc>
        <w:tc>
          <w:tcPr>
            <w:tcW w:w="0" w:type="auto"/>
            <w:hideMark/>
          </w:tcPr>
          <w:p w14:paraId="3B66380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7.93</w:t>
            </w:r>
          </w:p>
        </w:tc>
        <w:tc>
          <w:tcPr>
            <w:tcW w:w="0" w:type="auto"/>
            <w:hideMark/>
          </w:tcPr>
          <w:p w14:paraId="5B814A5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A0D38C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4AD0E76" w14:textId="77777777" w:rsidTr="00D13818">
        <w:tc>
          <w:tcPr>
            <w:tcW w:w="0" w:type="auto"/>
            <w:hideMark/>
          </w:tcPr>
          <w:p w14:paraId="6531589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Enterococci</w:t>
            </w:r>
          </w:p>
        </w:tc>
        <w:tc>
          <w:tcPr>
            <w:tcW w:w="0" w:type="auto"/>
            <w:hideMark/>
          </w:tcPr>
          <w:p w14:paraId="31211A3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6.58</w:t>
            </w:r>
          </w:p>
        </w:tc>
        <w:tc>
          <w:tcPr>
            <w:tcW w:w="0" w:type="auto"/>
            <w:hideMark/>
          </w:tcPr>
          <w:p w14:paraId="5DF8472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8CEE82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bl>
    <w:p w14:paraId="0E10AD1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Statistical significance was considered at p &lt; 0.05.</w:t>
      </w:r>
    </w:p>
    <w:p w14:paraId="30CD3E99"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3.8 Relationship between Groundwater Chemistry and Microbiological Quality</w:t>
      </w:r>
    </w:p>
    <w:p w14:paraId="4CE734F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Pearson correlation analysis showed significant relationships between selected groundwater physicochemical parameters and microbiological indicators. Turbidity exhibited strong positive correlations with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Nitrate also showed positive correlations with the microbial indicators. pH showed weak-to-moderate negative correlations with the microbiological parameters.</w:t>
      </w:r>
    </w:p>
    <w:p w14:paraId="5CE8E411" w14:textId="4F081756"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8: Pearson correlation coefficients between selected groundwater parameters and microbiological indicators</w:t>
      </w:r>
    </w:p>
    <w:tbl>
      <w:tblPr>
        <w:tblStyle w:val="TableGrid"/>
        <w:tblW w:w="0" w:type="auto"/>
        <w:tblLook w:val="04A0" w:firstRow="1" w:lastRow="0" w:firstColumn="1" w:lastColumn="0" w:noHBand="0" w:noVBand="1"/>
      </w:tblPr>
      <w:tblGrid>
        <w:gridCol w:w="2756"/>
        <w:gridCol w:w="1783"/>
        <w:gridCol w:w="1902"/>
        <w:gridCol w:w="996"/>
        <w:gridCol w:w="1429"/>
      </w:tblGrid>
      <w:tr w:rsidR="001E1693" w:rsidRPr="00013089" w14:paraId="7C7046BC" w14:textId="77777777" w:rsidTr="00D13818">
        <w:tc>
          <w:tcPr>
            <w:tcW w:w="0" w:type="auto"/>
            <w:hideMark/>
          </w:tcPr>
          <w:p w14:paraId="6D823A50"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Groundwater parameter</w:t>
            </w:r>
          </w:p>
        </w:tc>
        <w:tc>
          <w:tcPr>
            <w:tcW w:w="0" w:type="auto"/>
            <w:hideMark/>
          </w:tcPr>
          <w:p w14:paraId="3803FC9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coliforms</w:t>
            </w:r>
          </w:p>
        </w:tc>
        <w:tc>
          <w:tcPr>
            <w:tcW w:w="0" w:type="auto"/>
            <w:hideMark/>
          </w:tcPr>
          <w:p w14:paraId="0BFEB5BB"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Faecal coliforms</w:t>
            </w:r>
          </w:p>
        </w:tc>
        <w:tc>
          <w:tcPr>
            <w:tcW w:w="0" w:type="auto"/>
            <w:hideMark/>
          </w:tcPr>
          <w:p w14:paraId="458E7E3B"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i/>
                <w:iCs/>
                <w:sz w:val="24"/>
                <w:szCs w:val="24"/>
                <w:lang w:eastAsia="en-GB"/>
              </w:rPr>
              <w:t>E. coli</w:t>
            </w:r>
          </w:p>
        </w:tc>
        <w:tc>
          <w:tcPr>
            <w:tcW w:w="0" w:type="auto"/>
            <w:hideMark/>
          </w:tcPr>
          <w:p w14:paraId="068D793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Enterococci</w:t>
            </w:r>
          </w:p>
        </w:tc>
      </w:tr>
      <w:tr w:rsidR="001E1693" w:rsidRPr="00013089" w14:paraId="0DDE47CC" w14:textId="77777777" w:rsidTr="00D13818">
        <w:tc>
          <w:tcPr>
            <w:tcW w:w="0" w:type="auto"/>
            <w:hideMark/>
          </w:tcPr>
          <w:p w14:paraId="7A56A1F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6891655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−0.42**</w:t>
            </w:r>
          </w:p>
        </w:tc>
        <w:tc>
          <w:tcPr>
            <w:tcW w:w="0" w:type="auto"/>
            <w:hideMark/>
          </w:tcPr>
          <w:p w14:paraId="2CE8986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−0.38**</w:t>
            </w:r>
          </w:p>
        </w:tc>
        <w:tc>
          <w:tcPr>
            <w:tcW w:w="0" w:type="auto"/>
            <w:hideMark/>
          </w:tcPr>
          <w:p w14:paraId="722ADE2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−0.35*</w:t>
            </w:r>
          </w:p>
        </w:tc>
        <w:tc>
          <w:tcPr>
            <w:tcW w:w="0" w:type="auto"/>
            <w:hideMark/>
          </w:tcPr>
          <w:p w14:paraId="7198CC3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−0.31*</w:t>
            </w:r>
          </w:p>
        </w:tc>
      </w:tr>
      <w:tr w:rsidR="001E1693" w:rsidRPr="00013089" w14:paraId="73E5941E" w14:textId="77777777" w:rsidTr="00D13818">
        <w:tc>
          <w:tcPr>
            <w:tcW w:w="0" w:type="auto"/>
            <w:hideMark/>
          </w:tcPr>
          <w:p w14:paraId="2375286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w:t>
            </w:r>
          </w:p>
        </w:tc>
        <w:tc>
          <w:tcPr>
            <w:tcW w:w="0" w:type="auto"/>
            <w:hideMark/>
          </w:tcPr>
          <w:p w14:paraId="609C330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0.47**</w:t>
            </w:r>
          </w:p>
        </w:tc>
        <w:tc>
          <w:tcPr>
            <w:tcW w:w="0" w:type="auto"/>
            <w:hideMark/>
          </w:tcPr>
          <w:p w14:paraId="635ED9E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0.44**</w:t>
            </w:r>
          </w:p>
        </w:tc>
        <w:tc>
          <w:tcPr>
            <w:tcW w:w="0" w:type="auto"/>
            <w:hideMark/>
          </w:tcPr>
          <w:p w14:paraId="48D95F0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0.41**</w:t>
            </w:r>
          </w:p>
        </w:tc>
        <w:tc>
          <w:tcPr>
            <w:tcW w:w="0" w:type="auto"/>
            <w:hideMark/>
          </w:tcPr>
          <w:p w14:paraId="561EBA8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0.39**</w:t>
            </w:r>
          </w:p>
        </w:tc>
      </w:tr>
      <w:tr w:rsidR="001E1693" w:rsidRPr="00013089" w14:paraId="094C2913" w14:textId="77777777" w:rsidTr="00D13818">
        <w:tc>
          <w:tcPr>
            <w:tcW w:w="0" w:type="auto"/>
            <w:hideMark/>
          </w:tcPr>
          <w:p w14:paraId="4970380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Turbidity</w:t>
            </w:r>
          </w:p>
        </w:tc>
        <w:tc>
          <w:tcPr>
            <w:tcW w:w="0" w:type="auto"/>
            <w:hideMark/>
          </w:tcPr>
          <w:p w14:paraId="7121A15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0.72***</w:t>
            </w:r>
          </w:p>
        </w:tc>
        <w:tc>
          <w:tcPr>
            <w:tcW w:w="0" w:type="auto"/>
            <w:hideMark/>
          </w:tcPr>
          <w:p w14:paraId="3237165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0.69***</w:t>
            </w:r>
          </w:p>
        </w:tc>
        <w:tc>
          <w:tcPr>
            <w:tcW w:w="0" w:type="auto"/>
            <w:hideMark/>
          </w:tcPr>
          <w:p w14:paraId="0660E72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0.68***</w:t>
            </w:r>
          </w:p>
        </w:tc>
        <w:tc>
          <w:tcPr>
            <w:tcW w:w="0" w:type="auto"/>
            <w:hideMark/>
          </w:tcPr>
          <w:p w14:paraId="4E901A4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0.63***</w:t>
            </w:r>
          </w:p>
        </w:tc>
      </w:tr>
      <w:tr w:rsidR="001E1693" w:rsidRPr="00013089" w14:paraId="1966F5C2" w14:textId="77777777" w:rsidTr="00D13818">
        <w:tc>
          <w:tcPr>
            <w:tcW w:w="0" w:type="auto"/>
            <w:hideMark/>
          </w:tcPr>
          <w:p w14:paraId="49D0823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w:t>
            </w:r>
          </w:p>
        </w:tc>
        <w:tc>
          <w:tcPr>
            <w:tcW w:w="0" w:type="auto"/>
            <w:hideMark/>
          </w:tcPr>
          <w:p w14:paraId="5F212AC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0.38*</w:t>
            </w:r>
          </w:p>
        </w:tc>
        <w:tc>
          <w:tcPr>
            <w:tcW w:w="0" w:type="auto"/>
            <w:hideMark/>
          </w:tcPr>
          <w:p w14:paraId="1674407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0.35*</w:t>
            </w:r>
          </w:p>
        </w:tc>
        <w:tc>
          <w:tcPr>
            <w:tcW w:w="0" w:type="auto"/>
            <w:hideMark/>
          </w:tcPr>
          <w:p w14:paraId="04D8B81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0.32*</w:t>
            </w:r>
          </w:p>
        </w:tc>
        <w:tc>
          <w:tcPr>
            <w:tcW w:w="0" w:type="auto"/>
            <w:hideMark/>
          </w:tcPr>
          <w:p w14:paraId="091C2FE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0.29*</w:t>
            </w:r>
          </w:p>
        </w:tc>
      </w:tr>
      <w:tr w:rsidR="001E1693" w:rsidRPr="00013089" w14:paraId="361E11C2" w14:textId="77777777" w:rsidTr="00D13818">
        <w:tc>
          <w:tcPr>
            <w:tcW w:w="0" w:type="auto"/>
            <w:hideMark/>
          </w:tcPr>
          <w:p w14:paraId="1DEECD7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Nitrate</w:t>
            </w:r>
          </w:p>
        </w:tc>
        <w:tc>
          <w:tcPr>
            <w:tcW w:w="0" w:type="auto"/>
            <w:hideMark/>
          </w:tcPr>
          <w:p w14:paraId="6D4D650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0.61***</w:t>
            </w:r>
          </w:p>
        </w:tc>
        <w:tc>
          <w:tcPr>
            <w:tcW w:w="0" w:type="auto"/>
            <w:hideMark/>
          </w:tcPr>
          <w:p w14:paraId="4D2AE2F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0.58***</w:t>
            </w:r>
          </w:p>
        </w:tc>
        <w:tc>
          <w:tcPr>
            <w:tcW w:w="0" w:type="auto"/>
            <w:hideMark/>
          </w:tcPr>
          <w:p w14:paraId="0151000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0.56***</w:t>
            </w:r>
          </w:p>
        </w:tc>
        <w:tc>
          <w:tcPr>
            <w:tcW w:w="0" w:type="auto"/>
            <w:hideMark/>
          </w:tcPr>
          <w:p w14:paraId="1B7A190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0.51**</w:t>
            </w:r>
          </w:p>
        </w:tc>
      </w:tr>
      <w:tr w:rsidR="001E1693" w:rsidRPr="00013089" w14:paraId="224785AD" w14:textId="77777777" w:rsidTr="00D13818">
        <w:tc>
          <w:tcPr>
            <w:tcW w:w="0" w:type="auto"/>
            <w:hideMark/>
          </w:tcPr>
          <w:p w14:paraId="3A9C0F0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w:t>
            </w:r>
          </w:p>
        </w:tc>
        <w:tc>
          <w:tcPr>
            <w:tcW w:w="0" w:type="auto"/>
            <w:hideMark/>
          </w:tcPr>
          <w:p w14:paraId="0FF8CBD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0.27</w:t>
            </w:r>
          </w:p>
        </w:tc>
        <w:tc>
          <w:tcPr>
            <w:tcW w:w="0" w:type="auto"/>
            <w:hideMark/>
          </w:tcPr>
          <w:p w14:paraId="56B0EA9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0.25</w:t>
            </w:r>
          </w:p>
        </w:tc>
        <w:tc>
          <w:tcPr>
            <w:tcW w:w="0" w:type="auto"/>
            <w:hideMark/>
          </w:tcPr>
          <w:p w14:paraId="5C23B95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0.22</w:t>
            </w:r>
          </w:p>
        </w:tc>
        <w:tc>
          <w:tcPr>
            <w:tcW w:w="0" w:type="auto"/>
            <w:hideMark/>
          </w:tcPr>
          <w:p w14:paraId="618ABB7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0.19</w:t>
            </w:r>
          </w:p>
        </w:tc>
      </w:tr>
      <w:tr w:rsidR="001E1693" w:rsidRPr="00013089" w14:paraId="780D356D" w14:textId="77777777" w:rsidTr="00D13818">
        <w:tc>
          <w:tcPr>
            <w:tcW w:w="0" w:type="auto"/>
            <w:hideMark/>
          </w:tcPr>
          <w:p w14:paraId="2CDFFA7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27987F0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0.18</w:t>
            </w:r>
          </w:p>
        </w:tc>
        <w:tc>
          <w:tcPr>
            <w:tcW w:w="0" w:type="auto"/>
            <w:hideMark/>
          </w:tcPr>
          <w:p w14:paraId="204EC4B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0.16</w:t>
            </w:r>
          </w:p>
        </w:tc>
        <w:tc>
          <w:tcPr>
            <w:tcW w:w="0" w:type="auto"/>
            <w:hideMark/>
          </w:tcPr>
          <w:p w14:paraId="08DD02F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0.14</w:t>
            </w:r>
          </w:p>
        </w:tc>
        <w:tc>
          <w:tcPr>
            <w:tcW w:w="0" w:type="auto"/>
            <w:hideMark/>
          </w:tcPr>
          <w:p w14:paraId="21C75B7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0.12</w:t>
            </w:r>
          </w:p>
        </w:tc>
      </w:tr>
    </w:tbl>
    <w:p w14:paraId="2DC79C32" w14:textId="77777777" w:rsidR="001E1693" w:rsidRPr="00013089" w:rsidRDefault="001E1693" w:rsidP="001E169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 &lt; 0.05; ** p &lt; 0.01; *** p &lt; 0.001.</w:t>
      </w:r>
    </w:p>
    <w:p w14:paraId="5DBFFEE8"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3.9 Comparative Groundwater Mineralisation</w:t>
      </w:r>
    </w:p>
    <w:p w14:paraId="29A2F4D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The comparative assessment showed that Basement Complex groundwater had the highest values for EC, TDS, total hardness, calcium, magnesium and bicarbonate. Younger Granite groundwater showed intermediate mineralisation, whereas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had the lowest concentrations of the principal mineralisation indicators. The shale/sedimentary setting exhibited an intermediate-to-high mineralisation profile.</w:t>
      </w:r>
    </w:p>
    <w:p w14:paraId="6B974E17" w14:textId="0474177C"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Table.9: Comparative groundwater mineralisation across geological settings</w:t>
      </w:r>
    </w:p>
    <w:tbl>
      <w:tblPr>
        <w:tblStyle w:val="TableGrid"/>
        <w:tblW w:w="0" w:type="auto"/>
        <w:tblLook w:val="04A0" w:firstRow="1" w:lastRow="0" w:firstColumn="1" w:lastColumn="0" w:noHBand="0" w:noVBand="1"/>
      </w:tblPr>
      <w:tblGrid>
        <w:gridCol w:w="2060"/>
        <w:gridCol w:w="1128"/>
        <w:gridCol w:w="1065"/>
        <w:gridCol w:w="1508"/>
        <w:gridCol w:w="1057"/>
        <w:gridCol w:w="1072"/>
        <w:gridCol w:w="1126"/>
      </w:tblGrid>
      <w:tr w:rsidR="001E1693" w:rsidRPr="00013089" w14:paraId="42263DFB" w14:textId="77777777" w:rsidTr="00D13818">
        <w:tc>
          <w:tcPr>
            <w:tcW w:w="0" w:type="auto"/>
            <w:hideMark/>
          </w:tcPr>
          <w:p w14:paraId="269BC9D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Geological setting</w:t>
            </w:r>
          </w:p>
        </w:tc>
        <w:tc>
          <w:tcPr>
            <w:tcW w:w="0" w:type="auto"/>
            <w:hideMark/>
          </w:tcPr>
          <w:p w14:paraId="419AC56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EC (µS/cm)</w:t>
            </w:r>
          </w:p>
        </w:tc>
        <w:tc>
          <w:tcPr>
            <w:tcW w:w="0" w:type="auto"/>
            <w:hideMark/>
          </w:tcPr>
          <w:p w14:paraId="6994A04A"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TDS (mg/L)</w:t>
            </w:r>
          </w:p>
        </w:tc>
        <w:tc>
          <w:tcPr>
            <w:tcW w:w="0" w:type="auto"/>
            <w:hideMark/>
          </w:tcPr>
          <w:p w14:paraId="05D631D8"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hardness (mg/L)</w:t>
            </w:r>
          </w:p>
        </w:tc>
        <w:tc>
          <w:tcPr>
            <w:tcW w:w="0" w:type="auto"/>
            <w:hideMark/>
          </w:tcPr>
          <w:p w14:paraId="0542E1B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Ca²⁺ (mg/L)</w:t>
            </w:r>
          </w:p>
        </w:tc>
        <w:tc>
          <w:tcPr>
            <w:tcW w:w="0" w:type="auto"/>
            <w:hideMark/>
          </w:tcPr>
          <w:p w14:paraId="71DA16C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Mg²⁺ (mg/L)</w:t>
            </w:r>
          </w:p>
        </w:tc>
        <w:tc>
          <w:tcPr>
            <w:tcW w:w="0" w:type="auto"/>
            <w:hideMark/>
          </w:tcPr>
          <w:p w14:paraId="56A990D6"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HCO₃⁻ (mg/L)</w:t>
            </w:r>
          </w:p>
        </w:tc>
      </w:tr>
      <w:tr w:rsidR="001E1693" w:rsidRPr="00013089" w14:paraId="36FE2CD8" w14:textId="77777777" w:rsidTr="00D13818">
        <w:tc>
          <w:tcPr>
            <w:tcW w:w="0" w:type="auto"/>
            <w:hideMark/>
          </w:tcPr>
          <w:p w14:paraId="502490A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Basement Complex</w:t>
            </w:r>
          </w:p>
        </w:tc>
        <w:tc>
          <w:tcPr>
            <w:tcW w:w="0" w:type="auto"/>
            <w:hideMark/>
          </w:tcPr>
          <w:p w14:paraId="25CE925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00D1D40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w:t>
            </w:r>
          </w:p>
        </w:tc>
        <w:tc>
          <w:tcPr>
            <w:tcW w:w="0" w:type="auto"/>
            <w:hideMark/>
          </w:tcPr>
          <w:p w14:paraId="0CBED22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w:t>
            </w:r>
          </w:p>
        </w:tc>
        <w:tc>
          <w:tcPr>
            <w:tcW w:w="0" w:type="auto"/>
            <w:hideMark/>
          </w:tcPr>
          <w:p w14:paraId="0F90E6F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44F8FA3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w:t>
            </w:r>
          </w:p>
        </w:tc>
        <w:tc>
          <w:tcPr>
            <w:tcW w:w="0" w:type="auto"/>
            <w:hideMark/>
          </w:tcPr>
          <w:p w14:paraId="1EA4E55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w:t>
            </w:r>
          </w:p>
        </w:tc>
      </w:tr>
      <w:tr w:rsidR="001E1693" w:rsidRPr="00013089" w14:paraId="7DAE2F07" w14:textId="77777777" w:rsidTr="00D13818">
        <w:tc>
          <w:tcPr>
            <w:tcW w:w="0" w:type="auto"/>
            <w:hideMark/>
          </w:tcPr>
          <w:p w14:paraId="500B1AD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Younger Granite</w:t>
            </w:r>
          </w:p>
        </w:tc>
        <w:tc>
          <w:tcPr>
            <w:tcW w:w="0" w:type="auto"/>
            <w:hideMark/>
          </w:tcPr>
          <w:p w14:paraId="5511385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w:t>
            </w:r>
          </w:p>
        </w:tc>
        <w:tc>
          <w:tcPr>
            <w:tcW w:w="0" w:type="auto"/>
            <w:hideMark/>
          </w:tcPr>
          <w:p w14:paraId="10AB4F1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w:t>
            </w:r>
          </w:p>
        </w:tc>
        <w:tc>
          <w:tcPr>
            <w:tcW w:w="0" w:type="auto"/>
            <w:hideMark/>
          </w:tcPr>
          <w:p w14:paraId="1705743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w:t>
            </w:r>
          </w:p>
        </w:tc>
        <w:tc>
          <w:tcPr>
            <w:tcW w:w="0" w:type="auto"/>
            <w:hideMark/>
          </w:tcPr>
          <w:p w14:paraId="4747C2B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36.8</w:t>
            </w:r>
          </w:p>
        </w:tc>
        <w:tc>
          <w:tcPr>
            <w:tcW w:w="0" w:type="auto"/>
            <w:hideMark/>
          </w:tcPr>
          <w:p w14:paraId="270689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14.2</w:t>
            </w:r>
          </w:p>
        </w:tc>
        <w:tc>
          <w:tcPr>
            <w:tcW w:w="0" w:type="auto"/>
            <w:hideMark/>
          </w:tcPr>
          <w:p w14:paraId="40E71F7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w:t>
            </w:r>
          </w:p>
        </w:tc>
      </w:tr>
      <w:tr w:rsidR="001E1693" w:rsidRPr="00013089" w14:paraId="2E125E27" w14:textId="77777777" w:rsidTr="00D13818">
        <w:tc>
          <w:tcPr>
            <w:tcW w:w="0" w:type="auto"/>
            <w:hideMark/>
          </w:tcPr>
          <w:p w14:paraId="1E4F1ED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Shale/Sedimentary</w:t>
            </w:r>
          </w:p>
        </w:tc>
        <w:tc>
          <w:tcPr>
            <w:tcW w:w="0" w:type="auto"/>
            <w:hideMark/>
          </w:tcPr>
          <w:p w14:paraId="5C5F35A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w:t>
            </w:r>
          </w:p>
        </w:tc>
        <w:tc>
          <w:tcPr>
            <w:tcW w:w="0" w:type="auto"/>
            <w:hideMark/>
          </w:tcPr>
          <w:p w14:paraId="4B9B660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w:t>
            </w:r>
          </w:p>
        </w:tc>
        <w:tc>
          <w:tcPr>
            <w:tcW w:w="0" w:type="auto"/>
            <w:hideMark/>
          </w:tcPr>
          <w:p w14:paraId="23A5B9C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w:t>
            </w:r>
          </w:p>
        </w:tc>
        <w:tc>
          <w:tcPr>
            <w:tcW w:w="0" w:type="auto"/>
            <w:hideMark/>
          </w:tcPr>
          <w:p w14:paraId="27D54A6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41.7</w:t>
            </w:r>
          </w:p>
        </w:tc>
        <w:tc>
          <w:tcPr>
            <w:tcW w:w="0" w:type="auto"/>
            <w:hideMark/>
          </w:tcPr>
          <w:p w14:paraId="3C94515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w:t>
            </w:r>
          </w:p>
        </w:tc>
        <w:tc>
          <w:tcPr>
            <w:tcW w:w="0" w:type="auto"/>
            <w:hideMark/>
          </w:tcPr>
          <w:p w14:paraId="210092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w:t>
            </w:r>
          </w:p>
        </w:tc>
      </w:tr>
      <w:tr w:rsidR="001E1693" w:rsidRPr="00013089" w14:paraId="018D4E2E" w14:textId="77777777" w:rsidTr="00D13818">
        <w:tc>
          <w:tcPr>
            <w:tcW w:w="0" w:type="auto"/>
            <w:hideMark/>
          </w:tcPr>
          <w:p w14:paraId="11B2CAE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Weathered </w:t>
            </w:r>
            <w:proofErr w:type="spellStart"/>
            <w:r w:rsidRPr="00013089">
              <w:rPr>
                <w:rFonts w:ascii="Times New Roman" w:eastAsia="Times New Roman" w:hAnsi="Times New Roman" w:cs="Times New Roman"/>
                <w:sz w:val="24"/>
                <w:szCs w:val="24"/>
                <w:lang w:eastAsia="en-GB"/>
              </w:rPr>
              <w:t>Regolith</w:t>
            </w:r>
            <w:proofErr w:type="spellEnd"/>
          </w:p>
        </w:tc>
        <w:tc>
          <w:tcPr>
            <w:tcW w:w="0" w:type="auto"/>
            <w:hideMark/>
          </w:tcPr>
          <w:p w14:paraId="131E8D0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w:t>
            </w:r>
          </w:p>
        </w:tc>
        <w:tc>
          <w:tcPr>
            <w:tcW w:w="0" w:type="auto"/>
            <w:hideMark/>
          </w:tcPr>
          <w:p w14:paraId="16153D9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w:t>
            </w:r>
          </w:p>
        </w:tc>
        <w:tc>
          <w:tcPr>
            <w:tcW w:w="0" w:type="auto"/>
            <w:hideMark/>
          </w:tcPr>
          <w:p w14:paraId="47E8302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w:t>
            </w:r>
          </w:p>
        </w:tc>
        <w:tc>
          <w:tcPr>
            <w:tcW w:w="0" w:type="auto"/>
            <w:hideMark/>
          </w:tcPr>
          <w:p w14:paraId="318C3CC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29.4</w:t>
            </w:r>
          </w:p>
        </w:tc>
        <w:tc>
          <w:tcPr>
            <w:tcW w:w="0" w:type="auto"/>
            <w:hideMark/>
          </w:tcPr>
          <w:p w14:paraId="6C03AA3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11.6</w:t>
            </w:r>
          </w:p>
        </w:tc>
        <w:tc>
          <w:tcPr>
            <w:tcW w:w="0" w:type="auto"/>
            <w:hideMark/>
          </w:tcPr>
          <w:p w14:paraId="63A6656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w:t>
            </w:r>
          </w:p>
        </w:tc>
      </w:tr>
    </w:tbl>
    <w:p w14:paraId="24FCF6CE"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3.10 Integrated Chemical and Microbiological Assessment</w:t>
      </w:r>
    </w:p>
    <w:p w14:paraId="17950A3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integrated assessment demonstrated that chemical and microbiological groundwater quality did not exhibit identical spatial patterns. Basement Complex groundwater showed the greatest degree of mineralisation but comparatively lower microbial indicator concentrations than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The Younger Granite setting exhibited relatively low mineralisation and the lowest microbial indicator concentrations. The shale/sedimentary setting showed elevated dissolved constituents together with increased microbial indicators,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recorded the lowest mineralisation but the highest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concentration.</w:t>
      </w:r>
    </w:p>
    <w:p w14:paraId="4BB69D7D" w14:textId="74B5B055"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10: Integrated chemical and microbiological assessment of groundwater across geological settings</w:t>
      </w:r>
    </w:p>
    <w:tbl>
      <w:tblPr>
        <w:tblStyle w:val="TableGrid"/>
        <w:tblW w:w="0" w:type="auto"/>
        <w:tblLook w:val="04A0" w:firstRow="1" w:lastRow="0" w:firstColumn="1" w:lastColumn="0" w:noHBand="0" w:noVBand="1"/>
      </w:tblPr>
      <w:tblGrid>
        <w:gridCol w:w="1868"/>
        <w:gridCol w:w="950"/>
        <w:gridCol w:w="860"/>
        <w:gridCol w:w="1056"/>
        <w:gridCol w:w="1128"/>
        <w:gridCol w:w="1468"/>
        <w:gridCol w:w="1686"/>
      </w:tblGrid>
      <w:tr w:rsidR="001E1693" w:rsidRPr="00013089" w14:paraId="5047B259" w14:textId="77777777" w:rsidTr="00D13818">
        <w:tc>
          <w:tcPr>
            <w:tcW w:w="0" w:type="auto"/>
            <w:hideMark/>
          </w:tcPr>
          <w:p w14:paraId="37C4A601"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Geological setting</w:t>
            </w:r>
          </w:p>
        </w:tc>
        <w:tc>
          <w:tcPr>
            <w:tcW w:w="0" w:type="auto"/>
            <w:hideMark/>
          </w:tcPr>
          <w:p w14:paraId="0E21519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EC (µS/cm)</w:t>
            </w:r>
          </w:p>
        </w:tc>
        <w:tc>
          <w:tcPr>
            <w:tcW w:w="0" w:type="auto"/>
            <w:hideMark/>
          </w:tcPr>
          <w:p w14:paraId="2F434CB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TDS (mg/L)</w:t>
            </w:r>
          </w:p>
        </w:tc>
        <w:tc>
          <w:tcPr>
            <w:tcW w:w="0" w:type="auto"/>
            <w:hideMark/>
          </w:tcPr>
          <w:p w14:paraId="43E3F4C8"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hardness (mg/L)</w:t>
            </w:r>
          </w:p>
        </w:tc>
        <w:tc>
          <w:tcPr>
            <w:tcW w:w="0" w:type="auto"/>
            <w:hideMark/>
          </w:tcPr>
          <w:p w14:paraId="1B327BB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i/>
                <w:iCs/>
                <w:sz w:val="24"/>
                <w:szCs w:val="24"/>
                <w:lang w:eastAsia="en-GB"/>
              </w:rPr>
              <w:t>E. coli</w:t>
            </w:r>
            <w:r w:rsidRPr="00013089">
              <w:rPr>
                <w:rFonts w:ascii="Times New Roman" w:eastAsia="Times New Roman" w:hAnsi="Times New Roman" w:cs="Times New Roman"/>
                <w:b/>
                <w:bCs/>
                <w:sz w:val="24"/>
                <w:szCs w:val="24"/>
                <w:lang w:eastAsia="en-GB"/>
              </w:rPr>
              <w:t xml:space="preserve"> (CFU/100 mL)</w:t>
            </w:r>
          </w:p>
        </w:tc>
        <w:tc>
          <w:tcPr>
            <w:tcW w:w="0" w:type="auto"/>
            <w:hideMark/>
          </w:tcPr>
          <w:p w14:paraId="7AC1EEC1"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Chemical profile</w:t>
            </w:r>
          </w:p>
        </w:tc>
        <w:tc>
          <w:tcPr>
            <w:tcW w:w="0" w:type="auto"/>
            <w:hideMark/>
          </w:tcPr>
          <w:p w14:paraId="7CF14DE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profile</w:t>
            </w:r>
          </w:p>
        </w:tc>
      </w:tr>
      <w:tr w:rsidR="001E1693" w:rsidRPr="00013089" w14:paraId="4B79BFA3" w14:textId="77777777" w:rsidTr="00D13818">
        <w:tc>
          <w:tcPr>
            <w:tcW w:w="0" w:type="auto"/>
            <w:hideMark/>
          </w:tcPr>
          <w:p w14:paraId="6991E92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Basement Complex</w:t>
            </w:r>
          </w:p>
        </w:tc>
        <w:tc>
          <w:tcPr>
            <w:tcW w:w="0" w:type="auto"/>
            <w:hideMark/>
          </w:tcPr>
          <w:p w14:paraId="1DAA81C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31420F8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w:t>
            </w:r>
          </w:p>
        </w:tc>
        <w:tc>
          <w:tcPr>
            <w:tcW w:w="0" w:type="auto"/>
            <w:hideMark/>
          </w:tcPr>
          <w:p w14:paraId="4E5B870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w:t>
            </w:r>
          </w:p>
        </w:tc>
        <w:tc>
          <w:tcPr>
            <w:tcW w:w="0" w:type="auto"/>
            <w:hideMark/>
          </w:tcPr>
          <w:p w14:paraId="2857626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w:t>
            </w:r>
          </w:p>
        </w:tc>
        <w:tc>
          <w:tcPr>
            <w:tcW w:w="0" w:type="auto"/>
            <w:hideMark/>
          </w:tcPr>
          <w:p w14:paraId="3B67850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Relatively highly mineralised</w:t>
            </w:r>
          </w:p>
        </w:tc>
        <w:tc>
          <w:tcPr>
            <w:tcW w:w="0" w:type="auto"/>
            <w:hideMark/>
          </w:tcPr>
          <w:p w14:paraId="0D67357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Moderate microbial indicators</w:t>
            </w:r>
          </w:p>
        </w:tc>
      </w:tr>
      <w:tr w:rsidR="001E1693" w:rsidRPr="00013089" w14:paraId="1AC9CB2B" w14:textId="77777777" w:rsidTr="00D13818">
        <w:tc>
          <w:tcPr>
            <w:tcW w:w="0" w:type="auto"/>
            <w:hideMark/>
          </w:tcPr>
          <w:p w14:paraId="18B9A1A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Younger Granite</w:t>
            </w:r>
          </w:p>
        </w:tc>
        <w:tc>
          <w:tcPr>
            <w:tcW w:w="0" w:type="auto"/>
            <w:hideMark/>
          </w:tcPr>
          <w:p w14:paraId="247BBB3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w:t>
            </w:r>
          </w:p>
        </w:tc>
        <w:tc>
          <w:tcPr>
            <w:tcW w:w="0" w:type="auto"/>
            <w:hideMark/>
          </w:tcPr>
          <w:p w14:paraId="39CB141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w:t>
            </w:r>
          </w:p>
        </w:tc>
        <w:tc>
          <w:tcPr>
            <w:tcW w:w="0" w:type="auto"/>
            <w:hideMark/>
          </w:tcPr>
          <w:p w14:paraId="3ECF672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w:t>
            </w:r>
          </w:p>
        </w:tc>
        <w:tc>
          <w:tcPr>
            <w:tcW w:w="0" w:type="auto"/>
            <w:hideMark/>
          </w:tcPr>
          <w:p w14:paraId="35B58CC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w:t>
            </w:r>
          </w:p>
        </w:tc>
        <w:tc>
          <w:tcPr>
            <w:tcW w:w="0" w:type="auto"/>
            <w:hideMark/>
          </w:tcPr>
          <w:p w14:paraId="10E7667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Relatively low mineralisation</w:t>
            </w:r>
          </w:p>
        </w:tc>
        <w:tc>
          <w:tcPr>
            <w:tcW w:w="0" w:type="auto"/>
            <w:hideMark/>
          </w:tcPr>
          <w:p w14:paraId="1851F25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Lowest microbial indicators</w:t>
            </w:r>
          </w:p>
        </w:tc>
      </w:tr>
      <w:tr w:rsidR="001E1693" w:rsidRPr="00013089" w14:paraId="02FC61E6" w14:textId="77777777" w:rsidTr="00D13818">
        <w:tc>
          <w:tcPr>
            <w:tcW w:w="0" w:type="auto"/>
            <w:hideMark/>
          </w:tcPr>
          <w:p w14:paraId="4A83FDD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Shale/Sedimentary</w:t>
            </w:r>
          </w:p>
        </w:tc>
        <w:tc>
          <w:tcPr>
            <w:tcW w:w="0" w:type="auto"/>
            <w:hideMark/>
          </w:tcPr>
          <w:p w14:paraId="44AF384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w:t>
            </w:r>
          </w:p>
        </w:tc>
        <w:tc>
          <w:tcPr>
            <w:tcW w:w="0" w:type="auto"/>
            <w:hideMark/>
          </w:tcPr>
          <w:p w14:paraId="110E63E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w:t>
            </w:r>
          </w:p>
        </w:tc>
        <w:tc>
          <w:tcPr>
            <w:tcW w:w="0" w:type="auto"/>
            <w:hideMark/>
          </w:tcPr>
          <w:p w14:paraId="701AFDD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w:t>
            </w:r>
          </w:p>
        </w:tc>
        <w:tc>
          <w:tcPr>
            <w:tcW w:w="0" w:type="auto"/>
            <w:hideMark/>
          </w:tcPr>
          <w:p w14:paraId="5688FD0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w:t>
            </w:r>
          </w:p>
        </w:tc>
        <w:tc>
          <w:tcPr>
            <w:tcW w:w="0" w:type="auto"/>
            <w:hideMark/>
          </w:tcPr>
          <w:p w14:paraId="6060640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Elevated dissolved constituents</w:t>
            </w:r>
          </w:p>
        </w:tc>
        <w:tc>
          <w:tcPr>
            <w:tcW w:w="0" w:type="auto"/>
            <w:hideMark/>
          </w:tcPr>
          <w:p w14:paraId="6CEAB3B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Elevated microbial indicators</w:t>
            </w:r>
          </w:p>
        </w:tc>
      </w:tr>
      <w:tr w:rsidR="001E1693" w:rsidRPr="00013089" w14:paraId="719D156A" w14:textId="77777777" w:rsidTr="00D13818">
        <w:tc>
          <w:tcPr>
            <w:tcW w:w="0" w:type="auto"/>
            <w:hideMark/>
          </w:tcPr>
          <w:p w14:paraId="27446AE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Weathered </w:t>
            </w:r>
            <w:proofErr w:type="spellStart"/>
            <w:r w:rsidRPr="00013089">
              <w:rPr>
                <w:rFonts w:ascii="Times New Roman" w:eastAsia="Times New Roman" w:hAnsi="Times New Roman" w:cs="Times New Roman"/>
                <w:sz w:val="24"/>
                <w:szCs w:val="24"/>
                <w:lang w:eastAsia="en-GB"/>
              </w:rPr>
              <w:t>Regolith</w:t>
            </w:r>
            <w:proofErr w:type="spellEnd"/>
          </w:p>
        </w:tc>
        <w:tc>
          <w:tcPr>
            <w:tcW w:w="0" w:type="auto"/>
            <w:hideMark/>
          </w:tcPr>
          <w:p w14:paraId="06C507A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w:t>
            </w:r>
          </w:p>
        </w:tc>
        <w:tc>
          <w:tcPr>
            <w:tcW w:w="0" w:type="auto"/>
            <w:hideMark/>
          </w:tcPr>
          <w:p w14:paraId="4FC3F20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w:t>
            </w:r>
          </w:p>
        </w:tc>
        <w:tc>
          <w:tcPr>
            <w:tcW w:w="0" w:type="auto"/>
            <w:hideMark/>
          </w:tcPr>
          <w:p w14:paraId="2B27E3C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w:t>
            </w:r>
          </w:p>
        </w:tc>
        <w:tc>
          <w:tcPr>
            <w:tcW w:w="0" w:type="auto"/>
            <w:hideMark/>
          </w:tcPr>
          <w:p w14:paraId="345969A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w:t>
            </w:r>
          </w:p>
        </w:tc>
        <w:tc>
          <w:tcPr>
            <w:tcW w:w="0" w:type="auto"/>
            <w:hideMark/>
          </w:tcPr>
          <w:p w14:paraId="6538411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Lowest mineralisation</w:t>
            </w:r>
          </w:p>
        </w:tc>
        <w:tc>
          <w:tcPr>
            <w:tcW w:w="0" w:type="auto"/>
            <w:hideMark/>
          </w:tcPr>
          <w:p w14:paraId="3A267D2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Highest microbial indicators</w:t>
            </w:r>
          </w:p>
        </w:tc>
      </w:tr>
    </w:tbl>
    <w:p w14:paraId="324B7D31" w14:textId="25CC8D8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lastRenderedPageBreak/>
        <w:t>Note:</w:t>
      </w:r>
      <w:r w:rsidRPr="00013089">
        <w:rPr>
          <w:rFonts w:ascii="Times New Roman" w:eastAsia="Times New Roman" w:hAnsi="Times New Roman" w:cs="Times New Roman"/>
          <w:sz w:val="24"/>
          <w:szCs w:val="24"/>
          <w:lang w:eastAsia="en-GB"/>
        </w:rPr>
        <w:t xml:space="preserve"> Values in Tables 1–</w:t>
      </w:r>
      <w:r w:rsidR="00CF3AF4">
        <w:rPr>
          <w:rFonts w:ascii="Times New Roman" w:eastAsia="Times New Roman" w:hAnsi="Times New Roman" w:cs="Times New Roman"/>
          <w:sz w:val="24"/>
          <w:szCs w:val="24"/>
          <w:lang w:eastAsia="en-GB"/>
        </w:rPr>
        <w:t xml:space="preserve"> </w:t>
      </w:r>
      <w:r w:rsidRPr="00013089">
        <w:rPr>
          <w:rFonts w:ascii="Times New Roman" w:eastAsia="Times New Roman" w:hAnsi="Times New Roman" w:cs="Times New Roman"/>
          <w:sz w:val="24"/>
          <w:szCs w:val="24"/>
          <w:lang w:eastAsia="en-GB"/>
        </w:rPr>
        <w:t>3 and</w:t>
      </w:r>
      <w:r w:rsidR="00CF3AF4">
        <w:rPr>
          <w:rFonts w:ascii="Times New Roman" w:eastAsia="Times New Roman" w:hAnsi="Times New Roman" w:cs="Times New Roman"/>
          <w:sz w:val="24"/>
          <w:szCs w:val="24"/>
          <w:lang w:eastAsia="en-GB"/>
        </w:rPr>
        <w:t xml:space="preserve"> </w:t>
      </w:r>
      <w:r w:rsidRPr="00013089">
        <w:rPr>
          <w:rFonts w:ascii="Times New Roman" w:eastAsia="Times New Roman" w:hAnsi="Times New Roman" w:cs="Times New Roman"/>
          <w:sz w:val="24"/>
          <w:szCs w:val="24"/>
          <w:lang w:eastAsia="en-GB"/>
        </w:rPr>
        <w:t>5 are presented as mean ± SD. Statistical significance was evaluated at p &lt; 0.05.</w:t>
      </w:r>
    </w:p>
    <w:p w14:paraId="150E9A0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4.0 DISCUSSION</w:t>
      </w:r>
    </w:p>
    <w:p w14:paraId="6C38584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4.1 Physicochemical Characteristics of Groundwater</w:t>
      </w:r>
    </w:p>
    <w:p w14:paraId="489FBC8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physicochemical results demonstrated clear differences in groundwater characteristics among the four geological settings. The pH ranged from 6.21 ± 0.14 in the shale/sedimentary setting to 6.78 ± 0.16 in the Younger Granite setting, indicating slightly acidic to near-neutral groundwater conditions. The observed pH range is consistent with groundwater systems in which mineral dissolution, carbon dioxide interactions, weathering processes and local recharge conditions influence hydrogen-ion activity. The relatively lower pH observed in the shale/sedimentary environment may reflect differences in lithological composition and water–rock interaction. Comparable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variability has been documented in Nigerian groundwater investigations, where geological and environmental conditions contributed to differences in measured water-quality parameters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Elele et al., 2025).</w:t>
      </w:r>
    </w:p>
    <w:p w14:paraId="330FDF4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Electrical conductivity and total dissolved solids showed a stronger geological differentiation than </w:t>
      </w:r>
      <w:proofErr w:type="spellStart"/>
      <w:r w:rsidRPr="00013089">
        <w:rPr>
          <w:rFonts w:ascii="Times New Roman" w:eastAsia="Times New Roman" w:hAnsi="Times New Roman" w:cs="Times New Roman"/>
          <w:sz w:val="24"/>
          <w:szCs w:val="24"/>
          <w:lang w:eastAsia="en-GB"/>
        </w:rPr>
        <w:t>pH.</w:t>
      </w:r>
      <w:proofErr w:type="spellEnd"/>
      <w:r w:rsidRPr="00013089">
        <w:rPr>
          <w:rFonts w:ascii="Times New Roman" w:eastAsia="Times New Roman" w:hAnsi="Times New Roman" w:cs="Times New Roman"/>
          <w:sz w:val="24"/>
          <w:szCs w:val="24"/>
          <w:lang w:eastAsia="en-GB"/>
        </w:rPr>
        <w:t xml:space="preserve"> Basement Complex groundwater recorded the highest EC (486 ± 42 µS/cm) and TDS (312 ± 28 mg/L),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 had the lowest values of 298 ± 27 µS/cm and 194 ± 18 mg/L, respectively. Younger Granite groundwater recorded intermediate-to-high mineralisation, while shale/sedimentary groundwater also showed relatively elevated dissolved constituents. The significant ANOVA results for EC and TDS (p &lt; .001) indicate that these differences were not random within the study design. The higher conductivity and dissolved-solids concentrations in the Basement Complex setting suggest greater acquisition of dissolved ions through mineral weathering and water–rock interaction. Similar relationships between geological setting and groundwater chemistry have been reported in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assessments of Nigerian water sources (Okagbare et al., 2025;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w:t>
      </w:r>
    </w:p>
    <w:p w14:paraId="02F4AF8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 followed the same general pattern as EC and TDS, with the highest concentration in Basement Complex groundwater (146 ± 12 mg/L) and the lowest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(94 ± 9 mg/L). The corresponding calcium and magnesium concentrations also followed this pattern. This parallel behaviour indicates that calcium and magnesium contributed substantially to the observed mineralisation and hardness. Weathering and dissolution of calcium- and magnesium-bearing minerals provide plausible geochemical explanations for this pattern. The association is consistent with the dominance of Ca–Mg–HCO₃ facies observed in 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classification. Nigerian studies have similarly identified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signatures associated with mineral dissolution and geological controls on groundwater composition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Okagbare et al., 2025).</w:t>
      </w:r>
    </w:p>
    <w:p w14:paraId="7FFDE17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Alkalinity ranged from 82 ± 7 mg/L in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 to 118 ± 10 mg/L in the Basement Complex setting. The close correspondence between alkalinity and bicarbonate concentrations suggests that bicarbonate constituted an important component of the alkalinity of the groundwater. Higher bicarbonate concentrations in the more mineralised settings further support the contribution of water–rock interaction to groundwater chemistry. Such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patterns are consistent with groundwater systems in which dissolution and weathering reactions provide major contributions to dissolved inorganic constituents.</w:t>
      </w:r>
    </w:p>
    <w:p w14:paraId="49BFB13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 xml:space="preserve">Turbidity remained relatively low across the geological settings, ranging from 2.16 ± 0.36 to 3.18 ± 0.51 NTU. Although the absolute differences were relatively small, the microbiological results showed that turbidity was strongly and positively associated with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This relationship is environmentally important because particulate matter can provide physical protection for microorganisms and may reflect pathways through which surface-derived material enters groundwater. The association also indicates that low apparent turbidity does not necessarily imply microbiological safety. Integrated water-quality studies in Nigerian environments similarly support the value of considering physical and biological indicators together (Elele et al., 2025;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w:t>
      </w:r>
    </w:p>
    <w:p w14:paraId="59FEFFE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4.2 Major-Ion Chemistry and Mineralisation</w:t>
      </w:r>
    </w:p>
    <w:p w14:paraId="26ACD24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major-ion composition further demonstrated the influence of geological setting on groundwater chemistry. Calcium was the predominant major cation, with concentrations ranging from 29.4 ± 2.9 mg/L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to 48.6 ± 4.2 mg/L in Basement Complex groundwater. Magnesium followed a similar distribution, ranging from 11.6 ± 1.4 to 18.4 ± 2.1 mg/L. The simultaneous elevation of calcium and magnesium in the more mineralised settings supports the interpretation that dissolution and weathering of mineral phases contributed significantly to groundwater composition.</w:t>
      </w:r>
    </w:p>
    <w:p w14:paraId="4F0AF96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Sodium and potassium exhibited comparatively lower concentrations than calcium and magnesium. Sodium ranged from 16.8 ± 1.9 mg/L in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 to 31.4 ± 3.1 mg/L in the shale/sedimentary environment, whereas potassium ranged from 2.7 ± 0.4 to 4.6 ± 0.6 mg/L. The relatively elevated sodium concentration in the shale/sedimentary setting suggests that its ionic composition was not controlled exclusively by the processes responsible for the Ca–Mg-rich groundwater in the other settings. Such differences may reflect variations in lithology, mineral assemblages and the extent of ion exchange or other geochemical processes.</w:t>
      </w:r>
    </w:p>
    <w:p w14:paraId="730FC76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Bicarbonate was the dominant major anion across all geological settings, ranging from 82 ± 7 mg/L in weathered </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to 118 ± 10 mg/L in the Basement Complex. Chloride and sulphate were present at lower concentrations, while nitrate showed a comparatively distinct pattern. Nitrate was highest in the shale/sedimentary setting (12.6 ± 1.8 mg/L), compared with 7.8 ± 1.4, 6.4 ± 1.2 and 8.2 ± 1.5 mg/L in Basement Complex, Younger Granite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settings, respectively. The significantly higher nitrate concentration in the shale/sedimentary environment may indicate greater exposure to surface-derived nutrient inputs or differences in groundwater vulnerability. Agricultural activities have been identified as potential pathways for the transport of nutrients into water systems in Rivers State, making nitrate an important parameter in interpreting groundwater quality (Ekpe et al., 2025;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w:t>
      </w:r>
    </w:p>
    <w:p w14:paraId="3F6291F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mineralisation pattern established from EC, TDS, hardness, calcium, magnesium and bicarbonate was Basement Complex &gt; Younger Granite &gt; shale/sedimentary &gt; weathered </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This ordering demonstrates that mineralisation was not uniform across geological environments. The Basement Complex setting had the greatest overall dissolved-ion load, whereas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had the lowest. Such spatial differentiation supports the interpretation that lithological characteristics and water–rock interaction exerted an important influence on groundwater chemistry.</w:t>
      </w:r>
    </w:p>
    <w:p w14:paraId="438683D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4.3 Trace and Potentially Toxic Elements</w:t>
      </w:r>
    </w:p>
    <w:p w14:paraId="1A7C205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The concentrations of trace and potentially toxic elements also differed among the geological settings. Iron ranged from 0.19 ± 0.03 mg/L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to 0.51 ± 0.07 mg/L in the shale/sedimentary environment, while manganese ranged from 0.041 ± 0.008 to 0.096 ± 0.014 mg/L. The higher concentrations in shale/sedimentary groundwater suggest that lithological characteristics may have influenced the mobilisation of these elements. The significant ANOVA results for both iron and manganese further demonstrate measurable differences among geological settings.</w:t>
      </w:r>
    </w:p>
    <w:p w14:paraId="26F1E95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Lead, cadmium, chromium and nickel showed their highest concentrations in shale/sedimentary groundwater. Lead was 0.014 ± 0.003 mg/L, cadmium 0.0026 ± 0.0005 mg/L, chromium 0.018 ± 0.004 mg/L and nickel 0.021 ± 0.004 mg/L in this setting. Although the study results alone cannot definitively distinguish geogenic from anthropogenic sources, the concurrent elevation of several trace elements suggests that both lithological composition and environmental inputs should be considered. Heavy-metal investigations in Niger Delta aquatic systems have similarly demonstrated spatial variability in potentially toxic elements and associated environmental risks (Izuchukwu et al., 2026; Ekpe et al., 2026).</w:t>
      </w:r>
    </w:p>
    <w:p w14:paraId="2991CE3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occurrence of trace metals in groundwater is particularly relevant because groundwater may represent a direct route of human exposure where it is consumed without adequate treatment. Studies of aquatic organisms in the Niger Delta have shown that metals such as lead, cadmium and nickel can accumulate in biological tissues, demonstrating the broader persistence and environmental significance of these contaminants (</w:t>
      </w:r>
      <w:proofErr w:type="spellStart"/>
      <w:r w:rsidRPr="00013089">
        <w:rPr>
          <w:rFonts w:ascii="Times New Roman" w:eastAsia="Times New Roman" w:hAnsi="Times New Roman" w:cs="Times New Roman"/>
          <w:sz w:val="24"/>
          <w:szCs w:val="24"/>
          <w:lang w:eastAsia="en-GB"/>
        </w:rPr>
        <w:t>Anarado</w:t>
      </w:r>
      <w:proofErr w:type="spellEnd"/>
      <w:r w:rsidRPr="00013089">
        <w:rPr>
          <w:rFonts w:ascii="Times New Roman" w:eastAsia="Times New Roman" w:hAnsi="Times New Roman" w:cs="Times New Roman"/>
          <w:sz w:val="24"/>
          <w:szCs w:val="24"/>
          <w:lang w:eastAsia="en-GB"/>
        </w:rPr>
        <w:t xml:space="preserve"> et al., 2023;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 The present findings therefore support continued monitoring of potentially toxic elements even where their concentrations are relatively low.</w:t>
      </w:r>
    </w:p>
    <w:p w14:paraId="59A076A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Copper and zinc showed lower concentrations than several of the other trace elements, although both varied among geological settings. The highest copper and zinc concentrations occurred in the shale/sedimentary environment. Their simultaneous elevation with other metals reinforces the broader pattern of enhanced dissolved constituents in this setting. Environmental assessments of agricultural soils and aquatic systems in the Niger Delta have similarly identified spatial variation in metal concentrations associated with local environmental conditions (Izuchukwu et al., 2026; </w:t>
      </w:r>
      <w:proofErr w:type="spellStart"/>
      <w:r w:rsidRPr="00013089">
        <w:rPr>
          <w:rFonts w:ascii="Times New Roman" w:eastAsia="Times New Roman" w:hAnsi="Times New Roman" w:cs="Times New Roman"/>
          <w:sz w:val="24"/>
          <w:szCs w:val="24"/>
          <w:lang w:eastAsia="en-GB"/>
        </w:rPr>
        <w:t>Ohaturuonye</w:t>
      </w:r>
      <w:proofErr w:type="spellEnd"/>
      <w:r w:rsidRPr="00013089">
        <w:rPr>
          <w:rFonts w:ascii="Times New Roman" w:eastAsia="Times New Roman" w:hAnsi="Times New Roman" w:cs="Times New Roman"/>
          <w:sz w:val="24"/>
          <w:szCs w:val="24"/>
          <w:lang w:eastAsia="en-GB"/>
        </w:rPr>
        <w:t xml:space="preserve"> et al., 2026).</w:t>
      </w:r>
    </w:p>
    <w:p w14:paraId="7BF5F09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 xml:space="preserve">4.4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w:t>
      </w:r>
    </w:p>
    <w:p w14:paraId="251BA29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classification showed that Ca–Mg–HCO₃ was the dominant facies across all four geological settings, accounting for 58.3% of Basement Complex groundwater, 45.8% of Younger Granite groundwater, 33.3% of shale/sedimentary groundwater and 62.5% of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The predominance of this facies indicates that calcium, magnesium and bicarbonate constituted the principal ionic components of groundwater and supports the interpretation of mineral dissolution and water–rock interaction as major controls on groundwater chemistry.</w:t>
      </w:r>
    </w:p>
    <w:p w14:paraId="3039CE6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relatively lower proportion of Ca–Mg–HCO₃ water in the shale/sedimentary setting was accompanied by greater representation of Na–Ca–HCO₃–Cl and Na–Cl facies. This suggests greater chemical diversification within the shale/sedimentary groundwater system. The occurrence of chloride-bearing facies may indicate contributions from additional mineral sources or environmental inputs, although the available data do not permit a definitive source apportionment.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investigations in Nigerian groundwater environments have </w:t>
      </w:r>
      <w:r w:rsidRPr="00013089">
        <w:rPr>
          <w:rFonts w:ascii="Times New Roman" w:eastAsia="Times New Roman" w:hAnsi="Times New Roman" w:cs="Times New Roman"/>
          <w:sz w:val="24"/>
          <w:szCs w:val="24"/>
          <w:lang w:eastAsia="en-GB"/>
        </w:rPr>
        <w:lastRenderedPageBreak/>
        <w:t>similarly demonstrated that contrasting ionic facies can occur within areas subject to different geological and environmental controls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Okagbare et al., 2025).</w:t>
      </w:r>
    </w:p>
    <w:p w14:paraId="34AF305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dominance of Ca–Mg–HCO₃ facies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despite its lowest mineralisation is particularly notable. It indicates that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describe the relative ionic composition rather than the absolute concentration of dissolved constituents. Therefore, a groundwater source can retain a characteristic Ca–Mg–HCO₃ signature while having relatively low EC and TDS.</w:t>
      </w:r>
    </w:p>
    <w:p w14:paraId="3FDD351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4.5 Microbiological Quality of Groundwater</w:t>
      </w:r>
    </w:p>
    <w:p w14:paraId="2449BC5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microbiological results revealed a different spatial pattern from the chemical mineralisation data. Heterotrophic bacterial counts ranged from 1.9 × 10² ± 0.4 × 10² CFU/mL in Younger Granite groundwater to 3.6 × 10² ± 0.7 × 10² CFU/mL in shale/sedimentary groundwater. The shale/sedimentary setting therefore exhibited the highest heterotrophic bacterial count, consistent with its relatively elevated concentrations of several dissolved constituents and nitrate. However, heterotrophic bacterial abundance should not be interpreted as a direct measure of faecal contamination because heterotrophic organisms include a broad range of environmental bacteria.</w:t>
      </w:r>
    </w:p>
    <w:p w14:paraId="3BCC514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faecal indicator organisms demonstrated a particularly important pattern.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recorded the highest total coliforms (31 ± 7 CFU/100 mL), faecal coliforms (15 ± 4 CFU/100 mL),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(11 ± 3 CFU/100 mL) and enterococci (9 ± 3 CFU/100 mL). In contrast, Younger Granite groundwater recorded the lowest concentrations of these indicators. The consistently higher microbial indicators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suggest greater vulnerability to microbiological contamination despite its comparatively low mineralisation.</w:t>
      </w:r>
    </w:p>
    <w:p w14:paraId="285685D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This finding demonstrates that chemical mineralisation and microbiological quality were not directly coupled in the study.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had the lowest EC, TDS, hardness and major-ion concentrations but the highest microbiological indicators. This apparent divergence may reflect the greater influence of near-surface recharge and sanitary conditions on microbiological quality. It is therefore inappropriate to infer microbiological safety solely from low mineralisation. The importance of this distinction is consistent with integrated water-quality assessments that recognise the need to evaluate both chemical and biological indicators when determining water quality (Elele et al., 2025; WHO, 2022).</w:t>
      </w:r>
    </w:p>
    <w:p w14:paraId="1A59E87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4.6 Relationship between Groundwater Chemistry and Microbiological Indicators</w:t>
      </w:r>
    </w:p>
    <w:p w14:paraId="0638092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correlation analysis provided additional evidence that selected physicochemical characteristics were associated with microbiological quality. Turbidity showed the strongest positive correlations with total coliforms (r = 0.72), faecal coliforms (r = 0.69),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(r = 0.68) and enterococci (r = 0.63), all at p &lt; .001. These relationships indicate that increases in turbidity were accompanied by increases in microbial indicators. The finding is environmentally plausible because particulate material can facilitate microbial transport and persistence within groundwater systems.</w:t>
      </w:r>
    </w:p>
    <w:p w14:paraId="2EC3000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Nitrate also demonstrated relatively strong positive correlations with total coliforms (r = 0.61), faecal coliforms (r = 0.58),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(r = 0.56) and enterococci (r = 0.51). This association suggests that nitrate and microbial indicators may have been influenced by related </w:t>
      </w:r>
      <w:r w:rsidRPr="00013089">
        <w:rPr>
          <w:rFonts w:ascii="Times New Roman" w:eastAsia="Times New Roman" w:hAnsi="Times New Roman" w:cs="Times New Roman"/>
          <w:sz w:val="24"/>
          <w:szCs w:val="24"/>
          <w:lang w:eastAsia="en-GB"/>
        </w:rPr>
        <w:lastRenderedPageBreak/>
        <w:t xml:space="preserve">environmental processes, particularly surface-derived inputs. However, correlation does not establish causation, and the relationship should therefore be interpreted as an indicator of co-variation rather than proof that nitrate directly caused microbial contamination. The relevance of nutrient transport to water quality has been demonstrated in agricultural environments of Rivers State (Ekpe et al., 2025;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w:t>
      </w:r>
    </w:p>
    <w:p w14:paraId="09E583A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Electrical conductivity also showed significant positive relationships with the microbiological indicators, although the correlations were weaker than those observed for turbidity and nitrate. The positive EC–microbial relationships suggest that some groundwater sources with greater ionic content also experienced greater microbial indicators. This pattern may reflect shared environmental influences rather than a direct effect of conductivity on microbial abundance.</w:t>
      </w:r>
    </w:p>
    <w:p w14:paraId="44F89FD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 exhibited weaker but significant positive relationships with the microbial indicators, whereas total hardness and iron showed weak, non-significant associations. The absence of significant relationships for hardness and iron indicates that not every chemical characteristic varied in parallel with microbial contamination. This further supports the need for multidimensional groundwater assessment rather than reliance on individual chemical indicators.</w:t>
      </w:r>
    </w:p>
    <w:p w14:paraId="1118025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inverse relationships between pH and the microbiological indicators were relatively moderate, ranging from r = −0.31 for enterococci to r = −0.42 for total coliforms. These relationships suggest that the microbial indicators tended to increase as pH decreased within the observed range. Nevertheless, the relatively narrow pH range means that this relationship should be interpreted cautiously and should not be generalised beyond the study conditions.</w:t>
      </w:r>
    </w:p>
    <w:p w14:paraId="611DE51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4.7 Integrated Interpretation of Geological and Microbiological Controls</w:t>
      </w:r>
    </w:p>
    <w:p w14:paraId="52EBAE3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combined chemical and microbiological results demonstrate that geological setting influenced groundwater chemistry more consistently than microbiological quality. Basement Complex groundwater exhibited the greatest mineralisation, including the highest EC, TDS, hardness, calcium, magnesium and bicarbonate concentrations. Younger Granite groundwater generally showed lower mineralisation than Basement Complex groundwater, while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consistently recorded the lowest mineralisation. The pattern is compatible with geological control of dissolved-ion acquisition through mineral weathering and water–rock interaction.</w:t>
      </w:r>
    </w:p>
    <w:p w14:paraId="3687CA5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shale/sedimentary environment represented a distinct chemical setting because it showed relatively high concentrations of sodium, chloride, sulphate and nitrate and the highest concentrations of several trace and potentially toxic elements. The co-occurrence of elevated nitrate and microbial indicators in this setting suggests that both geochemical and environmental factors may have contributed to its groundwater characteristics. However, source identification would require additional hydrogeological and isotopic evidence.</w:t>
      </w:r>
    </w:p>
    <w:p w14:paraId="126AAC0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presented the opposite pattern. It had the lowest mineralisation but the highest microbial indicators. This finding suggests that the shallow or near-surface nature of groundwater interaction within weathered materials may increase susceptibility to microbial infiltration even where the dissolved mineral load is relatively low. The result is particularly important for groundwater management because low EC or TDS should not be interpreted as evidence of overall water safety.</w:t>
      </w:r>
    </w:p>
    <w:p w14:paraId="2156270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The broader environmental literature from the Niger Delta demonstrates that water resources can be affected by multiple contaminant pathways, including metals, petroleum-derived compounds, agricultural contaminants and other anthropogenic pollutants (</w:t>
      </w:r>
      <w:proofErr w:type="spellStart"/>
      <w:r w:rsidRPr="00013089">
        <w:rPr>
          <w:rFonts w:ascii="Times New Roman" w:eastAsia="Times New Roman" w:hAnsi="Times New Roman" w:cs="Times New Roman"/>
          <w:sz w:val="24"/>
          <w:szCs w:val="24"/>
          <w:lang w:eastAsia="en-GB"/>
        </w:rPr>
        <w:t>Okpoji</w:t>
      </w:r>
      <w:proofErr w:type="spellEnd"/>
      <w:r w:rsidRPr="00013089">
        <w:rPr>
          <w:rFonts w:ascii="Times New Roman" w:eastAsia="Times New Roman" w:hAnsi="Times New Roman" w:cs="Times New Roman"/>
          <w:sz w:val="24"/>
          <w:szCs w:val="24"/>
          <w:lang w:eastAsia="en-GB"/>
        </w:rPr>
        <w:t xml:space="preserve"> et al., 2025; </w:t>
      </w:r>
      <w:proofErr w:type="spellStart"/>
      <w:r w:rsidRPr="00013089">
        <w:rPr>
          <w:rFonts w:ascii="Times New Roman" w:eastAsia="Times New Roman" w:hAnsi="Times New Roman" w:cs="Times New Roman"/>
          <w:sz w:val="24"/>
          <w:szCs w:val="24"/>
          <w:lang w:eastAsia="en-GB"/>
        </w:rPr>
        <w:t>Ogbaji</w:t>
      </w:r>
      <w:proofErr w:type="spellEnd"/>
      <w:r w:rsidRPr="00013089">
        <w:rPr>
          <w:rFonts w:ascii="Times New Roman" w:eastAsia="Times New Roman" w:hAnsi="Times New Roman" w:cs="Times New Roman"/>
          <w:sz w:val="24"/>
          <w:szCs w:val="24"/>
          <w:lang w:eastAsia="en-GB"/>
        </w:rPr>
        <w:t xml:space="preserve"> et al., 2025). Although these contaminant classes were not all measured in the present groundwater investigation, their documented occurrence in surrounding environmental systems provides justification for continued surveillance of groundwater resources.</w:t>
      </w:r>
    </w:p>
    <w:p w14:paraId="012481B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integrated findings therefore support a groundwater-quality assessment framework in which geological controls, chemical composition and microbiological indicators are considered simultaneously. The results also demonstrate why groundwater protection strategies should be adapted to local geological and hydrogeological conditions rather than applying a uniform assumption of groundwater quality across different settings. International drinking-water guidelines remain important benchmarks for interpreting the public-health significance of measured contaminants (WHO, 2022; USEPA, n.d.).</w:t>
      </w:r>
    </w:p>
    <w:p w14:paraId="70908C69" w14:textId="77777777" w:rsidR="001E1693" w:rsidRPr="00013089" w:rsidRDefault="001E1693" w:rsidP="001E1693">
      <w:pPr>
        <w:jc w:val="both"/>
        <w:rPr>
          <w:rFonts w:ascii="Times New Roman" w:hAnsi="Times New Roman" w:cs="Times New Roman"/>
          <w:sz w:val="24"/>
          <w:szCs w:val="24"/>
        </w:rPr>
      </w:pPr>
    </w:p>
    <w:p w14:paraId="746796E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Conclusion</w:t>
      </w:r>
    </w:p>
    <w:p w14:paraId="4515CE0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study demonstrated substantial spatial variation in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characteristics of groundwater across the investigated geological settings. The Basement Complex groundwater exhibited the greatest degree of mineralisation, reflected by higher EC, TDS, total hardness, calcium, magnesium and bicarbonate concentrations,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generally recorded the lowest mineralisation. The shale/sedimentary groundwater was characterised by comparatively elevated concentrations of several major ions and potentially toxic trace elements, particularly Pb, Cd, Cr, Ni, Cu and Zn.</w:t>
      </w:r>
    </w:p>
    <w:p w14:paraId="708CAFFC" w14:textId="77777777" w:rsidR="001E1693"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predominance of the Ca–Mg–HCO₃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indicates an important contribution of mineral dissolution and water–rock interaction to the groundwater chemistry. However, the distribution of microbiological indicators did not correspond directly with the degree of mineralisation.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despite its relatively low dissolved mineral content, recorded the highest concentrations of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This indicates that groundwater chemical quality and microbiological quality are controlled by partly different processes. The significant differences observed among geological settings and the positive relationships between turbidity, nitrate and microbial indicators further demonstrate the importance of considering both geochemical and microbiological variables in groundwater-quality assessment. </w:t>
      </w:r>
    </w:p>
    <w:p w14:paraId="4C8A1377" w14:textId="77777777" w:rsidR="00B54FE5" w:rsidRDefault="00B54FE5" w:rsidP="00B54FE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8199205" w14:textId="77777777" w:rsidR="00B54FE5" w:rsidRDefault="00B54FE5" w:rsidP="00B54FE5">
      <w:pPr>
        <w:spacing w:after="0" w:line="240" w:lineRule="auto"/>
        <w:rPr>
          <w:rFonts w:ascii="Times New Roman" w:hAnsi="Times New Roman" w:cs="Times New Roman"/>
          <w:b/>
        </w:rPr>
      </w:pPr>
    </w:p>
    <w:p w14:paraId="3803C932" w14:textId="77777777" w:rsidR="00B54FE5" w:rsidRDefault="00B54FE5" w:rsidP="00B54FE5">
      <w:pPr>
        <w:spacing w:after="0" w:line="240" w:lineRule="auto"/>
        <w:rPr>
          <w:rFonts w:ascii="Times New Roman" w:hAnsi="Times New Roman" w:cs="Times New Roman"/>
          <w:b/>
        </w:rPr>
      </w:pPr>
    </w:p>
    <w:p w14:paraId="044A54EA" w14:textId="77777777" w:rsidR="00B54FE5" w:rsidRDefault="00B54FE5" w:rsidP="00B54FE5">
      <w:pPr>
        <w:spacing w:after="0" w:line="240" w:lineRule="auto"/>
        <w:rPr>
          <w:rFonts w:ascii="Times New Roman" w:hAnsi="Times New Roman" w:cs="Times New Roman"/>
          <w:b/>
        </w:rPr>
      </w:pPr>
    </w:p>
    <w:p w14:paraId="32A84F01" w14:textId="77777777" w:rsidR="00B54FE5" w:rsidRPr="002D08AC" w:rsidRDefault="00B54FE5" w:rsidP="00B54FE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B3A0979" w14:textId="77777777" w:rsidR="00B54FE5" w:rsidRPr="00013089" w:rsidRDefault="00B54FE5"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60485C84" w14:textId="77777777" w:rsidR="001E1693" w:rsidRPr="006C43DC" w:rsidRDefault="001E1693" w:rsidP="001E1693">
      <w:pPr>
        <w:spacing w:after="0" w:line="240" w:lineRule="auto"/>
        <w:jc w:val="both"/>
        <w:rPr>
          <w:rFonts w:ascii="Times New Roman" w:eastAsia="Times New Roman" w:hAnsi="Times New Roman" w:cs="Times New Roman"/>
          <w:b/>
          <w:bCs/>
          <w:lang w:eastAsia="en-GB"/>
        </w:rPr>
      </w:pPr>
      <w:r w:rsidRPr="006C43DC">
        <w:rPr>
          <w:rFonts w:ascii="Times New Roman" w:eastAsia="Times New Roman" w:hAnsi="Times New Roman" w:cs="Times New Roman"/>
          <w:b/>
          <w:bCs/>
          <w:lang w:eastAsia="en-GB"/>
        </w:rPr>
        <w:lastRenderedPageBreak/>
        <w:t>References</w:t>
      </w:r>
    </w:p>
    <w:p w14:paraId="53122B77" w14:textId="77777777" w:rsidR="001E1693" w:rsidRPr="006C43DC" w:rsidRDefault="001E1693" w:rsidP="001E1693">
      <w:pPr>
        <w:spacing w:after="0" w:line="240" w:lineRule="auto"/>
        <w:jc w:val="both"/>
        <w:rPr>
          <w:rFonts w:ascii="Times New Roman" w:eastAsia="Times New Roman" w:hAnsi="Times New Roman" w:cs="Times New Roman"/>
          <w:b/>
          <w:bCs/>
          <w:sz w:val="20"/>
          <w:szCs w:val="20"/>
          <w:lang w:eastAsia="en-GB"/>
        </w:rPr>
      </w:pPr>
    </w:p>
    <w:p w14:paraId="7B1A4334"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Aghanwa</w:t>
      </w:r>
      <w:proofErr w:type="spellEnd"/>
      <w:r w:rsidRPr="00B37014">
        <w:rPr>
          <w:rFonts w:ascii="Times New Roman" w:eastAsia="Calibri" w:hAnsi="Times New Roman" w:cs="Times New Roman"/>
          <w:sz w:val="24"/>
          <w:szCs w:val="24"/>
        </w:rPr>
        <w:t xml:space="preserve">, C. I., </w:t>
      </w:r>
      <w:proofErr w:type="spellStart"/>
      <w:r w:rsidRPr="00B37014">
        <w:rPr>
          <w:rFonts w:ascii="Times New Roman" w:eastAsia="Calibri" w:hAnsi="Times New Roman" w:cs="Times New Roman"/>
          <w:sz w:val="24"/>
          <w:szCs w:val="24"/>
        </w:rPr>
        <w:t>Umueni</w:t>
      </w:r>
      <w:proofErr w:type="spellEnd"/>
      <w:r w:rsidRPr="00B37014">
        <w:rPr>
          <w:rFonts w:ascii="Times New Roman" w:eastAsia="Calibri" w:hAnsi="Times New Roman" w:cs="Times New Roman"/>
          <w:sz w:val="24"/>
          <w:szCs w:val="24"/>
        </w:rPr>
        <w:t xml:space="preserve">, U. E., Etukudo, N. J., Amachree, J. B.,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w:t>
      </w:r>
      <w:proofErr w:type="spellStart"/>
      <w:r w:rsidRPr="00B37014">
        <w:rPr>
          <w:rFonts w:ascii="Times New Roman" w:eastAsia="Calibri" w:hAnsi="Times New Roman" w:cs="Times New Roman"/>
          <w:sz w:val="24"/>
          <w:szCs w:val="24"/>
        </w:rPr>
        <w:t>Ejeka</w:t>
      </w:r>
      <w:proofErr w:type="spellEnd"/>
      <w:r w:rsidRPr="00B37014">
        <w:rPr>
          <w:rFonts w:ascii="Times New Roman" w:eastAsia="Calibri" w:hAnsi="Times New Roman" w:cs="Times New Roman"/>
          <w:sz w:val="24"/>
          <w:szCs w:val="24"/>
        </w:rPr>
        <w:t xml:space="preserve">, C. J., &amp;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(2025). Atmospheric deposition of soot and heavy metals from gas flaring into surface waters of </w:t>
      </w:r>
      <w:proofErr w:type="spellStart"/>
      <w:r w:rsidRPr="00B37014">
        <w:rPr>
          <w:rFonts w:ascii="Times New Roman" w:eastAsia="Calibri" w:hAnsi="Times New Roman" w:cs="Times New Roman"/>
          <w:sz w:val="24"/>
          <w:szCs w:val="24"/>
        </w:rPr>
        <w:t>Ebocha</w:t>
      </w:r>
      <w:proofErr w:type="spellEnd"/>
      <w:r w:rsidRPr="00B37014">
        <w:rPr>
          <w:rFonts w:ascii="Times New Roman" w:eastAsia="Calibri" w:hAnsi="Times New Roman" w:cs="Times New Roman"/>
          <w:sz w:val="24"/>
          <w:szCs w:val="24"/>
        </w:rPr>
        <w:t xml:space="preserve">, Rivers State, Nigeria. </w:t>
      </w:r>
      <w:r w:rsidRPr="00B37014">
        <w:rPr>
          <w:rFonts w:ascii="Times New Roman" w:eastAsia="Calibri" w:hAnsi="Times New Roman" w:cs="Times New Roman"/>
          <w:i/>
          <w:sz w:val="24"/>
          <w:szCs w:val="24"/>
        </w:rPr>
        <w:t>Asian Journal of Environment &amp; Ecology, 24</w:t>
      </w:r>
      <w:r w:rsidRPr="00B37014">
        <w:rPr>
          <w:rFonts w:ascii="Times New Roman" w:eastAsia="Calibri" w:hAnsi="Times New Roman" w:cs="Times New Roman"/>
          <w:sz w:val="24"/>
          <w:szCs w:val="24"/>
        </w:rPr>
        <w:t xml:space="preserve">(11), 137–147. </w:t>
      </w:r>
      <w:hyperlink r:id="rId7">
        <w:r w:rsidRPr="00B37014">
          <w:rPr>
            <w:rFonts w:ascii="Times New Roman" w:eastAsia="Calibri" w:hAnsi="Times New Roman" w:cs="Times New Roman"/>
            <w:color w:val="000000"/>
            <w:sz w:val="24"/>
            <w:szCs w:val="24"/>
          </w:rPr>
          <w:t>https://doi.org/10.9734/ajee/2025/v24i11822</w:t>
        </w:r>
      </w:hyperlink>
    </w:p>
    <w:p w14:paraId="39910CF7" w14:textId="77777777" w:rsidR="001E1693" w:rsidRPr="00B37014" w:rsidRDefault="001E1693" w:rsidP="001E1693">
      <w:pPr>
        <w:pStyle w:val="NormalWeb"/>
        <w:ind w:left="811" w:hanging="720"/>
        <w:jc w:val="both"/>
      </w:pPr>
      <w:r w:rsidRPr="00B37014">
        <w:t xml:space="preserve">Amuka, J. O., Ezike, C. C., Ogbaji, H. O., Okpoji, A. U., </w:t>
      </w:r>
      <w:proofErr w:type="spellStart"/>
      <w:r w:rsidRPr="00B37014">
        <w:t>Ukaigwe</w:t>
      </w:r>
      <w:proofErr w:type="spellEnd"/>
      <w:r w:rsidRPr="00B37014">
        <w:t xml:space="preserve">, A. B., Ojo, C. N., Garuba, M. H., </w:t>
      </w:r>
      <w:proofErr w:type="spellStart"/>
      <w:r w:rsidRPr="00B37014">
        <w:t>Anukam</w:t>
      </w:r>
      <w:proofErr w:type="spellEnd"/>
      <w:r w:rsidRPr="00B37014">
        <w:t xml:space="preserve">, B. N., </w:t>
      </w:r>
      <w:proofErr w:type="spellStart"/>
      <w:r w:rsidRPr="00B37014">
        <w:t>Otuuh</w:t>
      </w:r>
      <w:proofErr w:type="spellEnd"/>
      <w:r w:rsidRPr="00B37014">
        <w:t xml:space="preserve">, A. G., Nwafor, G. U., </w:t>
      </w:r>
      <w:proofErr w:type="spellStart"/>
      <w:r w:rsidRPr="00B37014">
        <w:t>Chigbo</w:t>
      </w:r>
      <w:proofErr w:type="spellEnd"/>
      <w:r w:rsidRPr="00B37014">
        <w:t xml:space="preserve">, C. M., &amp; </w:t>
      </w:r>
      <w:proofErr w:type="spellStart"/>
      <w:r w:rsidRPr="00B37014">
        <w:t>Nnadozie</w:t>
      </w:r>
      <w:proofErr w:type="spellEnd"/>
      <w:r w:rsidRPr="00B37014">
        <w:t xml:space="preserve">, C. F. (2026). </w:t>
      </w:r>
      <w:r w:rsidRPr="00B37014">
        <w:rPr>
          <w:rStyle w:val="Emphasis"/>
        </w:rPr>
        <w:t>Public health risk assessment of antibiotic residues and waterborne pathogens in drinking water sources of Jos North and Barkin Ladi Local Government Areas, Plateau State, Nigeria</w:t>
      </w:r>
      <w:r w:rsidRPr="00B37014">
        <w:rPr>
          <w:i/>
          <w:iCs/>
        </w:rPr>
        <w:t>.</w:t>
      </w:r>
      <w:r w:rsidRPr="00B37014">
        <w:t xml:space="preserve"> </w:t>
      </w:r>
      <w:r w:rsidRPr="00B37014">
        <w:rPr>
          <w:rStyle w:val="Emphasis"/>
        </w:rPr>
        <w:t>Public Health Open Journal, 11</w:t>
      </w:r>
      <w:r w:rsidRPr="00B37014">
        <w:t xml:space="preserve">(1), 507–518. </w:t>
      </w:r>
      <w:hyperlink r:id="rId8" w:history="1">
        <w:r w:rsidRPr="00B37014">
          <w:rPr>
            <w:rStyle w:val="Hyperlink"/>
          </w:rPr>
          <w:t>https://doi.org/10.17140/PHOJ.11.01.507</w:t>
        </w:r>
      </w:hyperlink>
    </w:p>
    <w:p w14:paraId="0CAB28F0" w14:textId="77777777" w:rsidR="001E1693" w:rsidRPr="00B37014" w:rsidRDefault="001E1693" w:rsidP="001E1693">
      <w:pPr>
        <w:pStyle w:val="NormalWeb"/>
        <w:ind w:left="811" w:hanging="720"/>
        <w:jc w:val="both"/>
      </w:pPr>
      <w:r w:rsidRPr="00B37014">
        <w:t xml:space="preserve">Amuka, J. O., Okpoji, A. U., Ibanga, I. M., &amp; Akpan, N. A. (2026). </w:t>
      </w:r>
      <w:r w:rsidRPr="00B37014">
        <w:rPr>
          <w:rStyle w:val="Emphasis"/>
        </w:rPr>
        <w:t>Seasonal variation in groundwater quality of selected boreholes in Bori, Khana Local Government Area, Rivers State, Nigeria</w:t>
      </w:r>
      <w:r w:rsidRPr="00B37014">
        <w:rPr>
          <w:i/>
          <w:iCs/>
        </w:rPr>
        <w:t xml:space="preserve">. </w:t>
      </w:r>
      <w:r w:rsidRPr="00B37014">
        <w:rPr>
          <w:rStyle w:val="Emphasis"/>
        </w:rPr>
        <w:t>International Journal of Life Science and Agriculture Research, 5</w:t>
      </w:r>
      <w:r w:rsidRPr="00B37014">
        <w:t xml:space="preserve">(7), 554–562. </w:t>
      </w:r>
      <w:hyperlink r:id="rId9" w:history="1">
        <w:r w:rsidRPr="00B37014">
          <w:rPr>
            <w:rStyle w:val="Hyperlink"/>
          </w:rPr>
          <w:t>https://doi.org/10.55677/ijlsar/V05I07Y2026-01</w:t>
        </w:r>
      </w:hyperlink>
    </w:p>
    <w:p w14:paraId="1D4E446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Anarado</w:t>
      </w:r>
      <w:proofErr w:type="spellEnd"/>
      <w:r w:rsidRPr="00B37014">
        <w:rPr>
          <w:rFonts w:ascii="Times New Roman" w:eastAsia="Calibri" w:hAnsi="Times New Roman" w:cs="Times New Roman"/>
          <w:sz w:val="24"/>
          <w:szCs w:val="24"/>
        </w:rPr>
        <w:t xml:space="preserve">, C. J. O., Okpoji, A. U., &amp; </w:t>
      </w:r>
      <w:proofErr w:type="spellStart"/>
      <w:r w:rsidRPr="00B37014">
        <w:rPr>
          <w:rFonts w:ascii="Times New Roman" w:eastAsia="Calibri" w:hAnsi="Times New Roman" w:cs="Times New Roman"/>
          <w:sz w:val="24"/>
          <w:szCs w:val="24"/>
        </w:rPr>
        <w:t>Anarado</w:t>
      </w:r>
      <w:proofErr w:type="spellEnd"/>
      <w:r w:rsidRPr="00B37014">
        <w:rPr>
          <w:rFonts w:ascii="Times New Roman" w:eastAsia="Calibri" w:hAnsi="Times New Roman" w:cs="Times New Roman"/>
          <w:sz w:val="24"/>
          <w:szCs w:val="24"/>
        </w:rPr>
        <w:t xml:space="preserve">, C. E. (2023). Bioaccumulation and health risk assessment of lead, cadmium, arsenic, and mercury in blue crabs found in creeks in Bayelsa State of Niger Delta region of Nigeria. </w:t>
      </w:r>
      <w:r w:rsidRPr="00B37014">
        <w:rPr>
          <w:rFonts w:ascii="Times New Roman" w:eastAsia="Calibri" w:hAnsi="Times New Roman" w:cs="Times New Roman"/>
          <w:i/>
          <w:sz w:val="24"/>
          <w:szCs w:val="24"/>
        </w:rPr>
        <w:t>Asian Journal of Environment &amp; Ecology, 21</w:t>
      </w:r>
      <w:r w:rsidRPr="00B37014">
        <w:rPr>
          <w:rFonts w:ascii="Times New Roman" w:eastAsia="Calibri" w:hAnsi="Times New Roman" w:cs="Times New Roman"/>
          <w:sz w:val="24"/>
          <w:szCs w:val="24"/>
        </w:rPr>
        <w:t xml:space="preserve">(4), 46–59. </w:t>
      </w:r>
      <w:hyperlink r:id="rId10">
        <w:r w:rsidRPr="00B37014">
          <w:rPr>
            <w:rFonts w:ascii="Times New Roman" w:eastAsia="Calibri" w:hAnsi="Times New Roman" w:cs="Times New Roman"/>
            <w:color w:val="000000"/>
            <w:sz w:val="24"/>
            <w:szCs w:val="24"/>
          </w:rPr>
          <w:t>https://doi.org/10.9734/ajee/2023/v21i4469</w:t>
        </w:r>
      </w:hyperlink>
    </w:p>
    <w:p w14:paraId="5EA3B6C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Ekesiobi</w:t>
      </w:r>
      <w:proofErr w:type="spellEnd"/>
      <w:r w:rsidRPr="00B37014">
        <w:rPr>
          <w:rFonts w:ascii="Times New Roman" w:eastAsia="Calibri" w:hAnsi="Times New Roman" w:cs="Times New Roman"/>
          <w:sz w:val="24"/>
          <w:szCs w:val="24"/>
        </w:rPr>
        <w:t xml:space="preserve">, S. U., Ekpe, J. E.,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Hassan, D. H.,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Awortu</w:t>
      </w:r>
      <w:proofErr w:type="spellEnd"/>
      <w:r w:rsidRPr="00B37014">
        <w:rPr>
          <w:rFonts w:ascii="Times New Roman" w:eastAsia="Calibri" w:hAnsi="Times New Roman" w:cs="Times New Roman"/>
          <w:sz w:val="24"/>
          <w:szCs w:val="24"/>
        </w:rPr>
        <w:t xml:space="preserve">, R. C.,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w:t>
      </w:r>
      <w:proofErr w:type="spellStart"/>
      <w:r w:rsidRPr="00B37014">
        <w:rPr>
          <w:rFonts w:ascii="Times New Roman" w:eastAsia="Calibri" w:hAnsi="Times New Roman" w:cs="Times New Roman"/>
          <w:sz w:val="24"/>
          <w:szCs w:val="24"/>
        </w:rPr>
        <w:t>Nwofia</w:t>
      </w:r>
      <w:proofErr w:type="spellEnd"/>
      <w:r w:rsidRPr="00B37014">
        <w:rPr>
          <w:rFonts w:ascii="Times New Roman" w:eastAsia="Calibri" w:hAnsi="Times New Roman" w:cs="Times New Roman"/>
          <w:sz w:val="24"/>
          <w:szCs w:val="24"/>
        </w:rPr>
        <w:t xml:space="preserve">, U., Okeke, C. F., &amp; Nwankwo, A. O. (2025). </w:t>
      </w:r>
      <w:proofErr w:type="spellStart"/>
      <w:r w:rsidRPr="00B37014">
        <w:rPr>
          <w:rFonts w:ascii="Times New Roman" w:eastAsia="Calibri" w:hAnsi="Times New Roman" w:cs="Times New Roman"/>
          <w:sz w:val="24"/>
          <w:szCs w:val="24"/>
        </w:rPr>
        <w:t>Hydrochemical</w:t>
      </w:r>
      <w:proofErr w:type="spellEnd"/>
      <w:r w:rsidRPr="00B37014">
        <w:rPr>
          <w:rFonts w:ascii="Times New Roman" w:eastAsia="Calibri" w:hAnsi="Times New Roman" w:cs="Times New Roman"/>
          <w:sz w:val="24"/>
          <w:szCs w:val="24"/>
        </w:rPr>
        <w:t xml:space="preserve"> characterisation and health-risk assessment of drinking water sources in Brass Island, Bayelsa State, Nigeria. </w:t>
      </w:r>
      <w:r w:rsidRPr="00B37014">
        <w:rPr>
          <w:rFonts w:ascii="Times New Roman" w:eastAsia="Calibri" w:hAnsi="Times New Roman" w:cs="Times New Roman"/>
          <w:i/>
          <w:sz w:val="24"/>
          <w:szCs w:val="24"/>
        </w:rPr>
        <w:t>Asian Journal of Chemical Sciences</w:t>
      </w:r>
      <w:r w:rsidRPr="00B37014">
        <w:rPr>
          <w:rFonts w:ascii="Times New Roman" w:eastAsia="Calibri" w:hAnsi="Times New Roman" w:cs="Times New Roman"/>
          <w:sz w:val="24"/>
          <w:szCs w:val="24"/>
        </w:rPr>
        <w:t>, 15(6), 64–76. https://doi.org/10.9734/ajocs/2025/v15i6406</w:t>
      </w:r>
    </w:p>
    <w:p w14:paraId="49A7DE7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Ekpe, J. E., Ede, N. E.,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w:t>
      </w:r>
      <w:proofErr w:type="spellStart"/>
      <w:r w:rsidRPr="00B37014">
        <w:rPr>
          <w:rFonts w:ascii="Times New Roman" w:eastAsia="Calibri" w:hAnsi="Times New Roman" w:cs="Times New Roman"/>
          <w:sz w:val="24"/>
          <w:szCs w:val="24"/>
        </w:rPr>
        <w:t>Anumaka</w:t>
      </w:r>
      <w:proofErr w:type="spellEnd"/>
      <w:r w:rsidRPr="00B37014">
        <w:rPr>
          <w:rFonts w:ascii="Times New Roman" w:eastAsia="Calibri" w:hAnsi="Times New Roman" w:cs="Times New Roman"/>
          <w:sz w:val="24"/>
          <w:szCs w:val="24"/>
        </w:rPr>
        <w:t xml:space="preserve">, C. C., Awa, E. O., Akpan, N. A., </w:t>
      </w:r>
      <w:proofErr w:type="spellStart"/>
      <w:r w:rsidRPr="00B37014">
        <w:rPr>
          <w:rFonts w:ascii="Times New Roman" w:eastAsia="Calibri" w:hAnsi="Times New Roman" w:cs="Times New Roman"/>
          <w:sz w:val="24"/>
          <w:szCs w:val="24"/>
        </w:rPr>
        <w:t>Otokwala</w:t>
      </w:r>
      <w:proofErr w:type="spellEnd"/>
      <w:r w:rsidRPr="00B37014">
        <w:rPr>
          <w:rFonts w:ascii="Times New Roman" w:eastAsia="Calibri" w:hAnsi="Times New Roman" w:cs="Times New Roman"/>
          <w:sz w:val="24"/>
          <w:szCs w:val="24"/>
        </w:rPr>
        <w:t xml:space="preserve">, O. N., Osuagwu, E. L., Obi, J. N., &amp; Warder, A. B. (2026). Heavy metal geochemistry and ecological risk of stream sediments in the </w:t>
      </w:r>
      <w:proofErr w:type="spellStart"/>
      <w:r w:rsidRPr="00B37014">
        <w:rPr>
          <w:rFonts w:ascii="Times New Roman" w:eastAsia="Calibri" w:hAnsi="Times New Roman" w:cs="Times New Roman"/>
          <w:sz w:val="24"/>
          <w:szCs w:val="24"/>
        </w:rPr>
        <w:t>Orashi</w:t>
      </w:r>
      <w:proofErr w:type="spellEnd"/>
      <w:r w:rsidRPr="00B37014">
        <w:rPr>
          <w:rFonts w:ascii="Times New Roman" w:eastAsia="Calibri" w:hAnsi="Times New Roman" w:cs="Times New Roman"/>
          <w:sz w:val="24"/>
          <w:szCs w:val="24"/>
        </w:rPr>
        <w:t xml:space="preserve"> River, Niger Delta, Nigeria. </w:t>
      </w:r>
      <w:r w:rsidRPr="00B37014">
        <w:rPr>
          <w:rFonts w:ascii="Times New Roman" w:eastAsia="Calibri" w:hAnsi="Times New Roman" w:cs="Times New Roman"/>
          <w:i/>
          <w:sz w:val="24"/>
          <w:szCs w:val="24"/>
        </w:rPr>
        <w:t>Journal of Global Ecology and Environment, 22</w:t>
      </w:r>
      <w:r w:rsidRPr="00B37014">
        <w:rPr>
          <w:rFonts w:ascii="Times New Roman" w:eastAsia="Calibri" w:hAnsi="Times New Roman" w:cs="Times New Roman"/>
          <w:sz w:val="24"/>
          <w:szCs w:val="24"/>
        </w:rPr>
        <w:t xml:space="preserve">(1), 78–88. </w:t>
      </w:r>
      <w:hyperlink r:id="rId11">
        <w:r w:rsidRPr="00B37014">
          <w:rPr>
            <w:rFonts w:ascii="Times New Roman" w:eastAsia="Calibri" w:hAnsi="Times New Roman" w:cs="Times New Roman"/>
            <w:color w:val="000000"/>
            <w:sz w:val="24"/>
            <w:szCs w:val="24"/>
          </w:rPr>
          <w:t>https://doi.org/10.56557/jogee/2026/v22i110220</w:t>
        </w:r>
      </w:hyperlink>
    </w:p>
    <w:p w14:paraId="480D48FA"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Ekpe, J. E.,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Anarado</w:t>
      </w:r>
      <w:proofErr w:type="spellEnd"/>
      <w:r w:rsidRPr="00B37014">
        <w:rPr>
          <w:rFonts w:ascii="Times New Roman" w:eastAsia="Calibri" w:hAnsi="Times New Roman" w:cs="Times New Roman"/>
          <w:sz w:val="24"/>
          <w:szCs w:val="24"/>
        </w:rPr>
        <w:t xml:space="preserve">, C. J. O., </w:t>
      </w:r>
      <w:proofErr w:type="spellStart"/>
      <w:r w:rsidRPr="00B37014">
        <w:rPr>
          <w:rFonts w:ascii="Times New Roman" w:eastAsia="Calibri" w:hAnsi="Times New Roman" w:cs="Times New Roman"/>
          <w:sz w:val="24"/>
          <w:szCs w:val="24"/>
        </w:rPr>
        <w:t>Ewuola</w:t>
      </w:r>
      <w:proofErr w:type="spellEnd"/>
      <w:r w:rsidRPr="00B37014">
        <w:rPr>
          <w:rFonts w:ascii="Times New Roman" w:eastAsia="Calibri" w:hAnsi="Times New Roman" w:cs="Times New Roman"/>
          <w:sz w:val="24"/>
          <w:szCs w:val="24"/>
        </w:rPr>
        <w:t xml:space="preserve">, A. A., Ufuoma, V. O., </w:t>
      </w:r>
      <w:proofErr w:type="spellStart"/>
      <w:r w:rsidRPr="00B37014">
        <w:rPr>
          <w:rFonts w:ascii="Times New Roman" w:eastAsia="Calibri" w:hAnsi="Times New Roman" w:cs="Times New Roman"/>
          <w:sz w:val="24"/>
          <w:szCs w:val="24"/>
        </w:rPr>
        <w:t>Okpanachi</w:t>
      </w:r>
      <w:proofErr w:type="spellEnd"/>
      <w:r w:rsidRPr="00B37014">
        <w:rPr>
          <w:rFonts w:ascii="Times New Roman" w:eastAsia="Calibri" w:hAnsi="Times New Roman" w:cs="Times New Roman"/>
          <w:sz w:val="24"/>
          <w:szCs w:val="24"/>
        </w:rPr>
        <w:t xml:space="preserve">, C. B., Okonkwo, C. O., &amp; </w:t>
      </w:r>
      <w:proofErr w:type="spellStart"/>
      <w:r w:rsidRPr="00B37014">
        <w:rPr>
          <w:rFonts w:ascii="Times New Roman" w:eastAsia="Calibri" w:hAnsi="Times New Roman" w:cs="Times New Roman"/>
          <w:sz w:val="24"/>
          <w:szCs w:val="24"/>
        </w:rPr>
        <w:t>Obunezi</w:t>
      </w:r>
      <w:proofErr w:type="spellEnd"/>
      <w:r w:rsidRPr="00B37014">
        <w:rPr>
          <w:rFonts w:ascii="Times New Roman" w:eastAsia="Calibri" w:hAnsi="Times New Roman" w:cs="Times New Roman"/>
          <w:sz w:val="24"/>
          <w:szCs w:val="24"/>
        </w:rPr>
        <w:t xml:space="preserve">, O. A. (2025). </w:t>
      </w:r>
      <w:proofErr w:type="spellStart"/>
      <w:r w:rsidRPr="00B37014">
        <w:rPr>
          <w:rFonts w:ascii="Times New Roman" w:eastAsia="Calibri" w:hAnsi="Times New Roman" w:cs="Times New Roman"/>
          <w:sz w:val="24"/>
          <w:szCs w:val="24"/>
        </w:rPr>
        <w:t>Physico</w:t>
      </w:r>
      <w:proofErr w:type="spellEnd"/>
      <w:r w:rsidRPr="00B37014">
        <w:rPr>
          <w:rFonts w:ascii="Times New Roman" w:eastAsia="Calibri" w:hAnsi="Times New Roman" w:cs="Times New Roman"/>
          <w:sz w:val="24"/>
          <w:szCs w:val="24"/>
        </w:rPr>
        <w:t xml:space="preserve">-chemical transport of pesticides and nutrients in irrigation water and their fate in </w:t>
      </w:r>
      <w:proofErr w:type="spellStart"/>
      <w:r w:rsidRPr="00B37014">
        <w:rPr>
          <w:rFonts w:ascii="Times New Roman" w:eastAsia="Calibri" w:hAnsi="Times New Roman" w:cs="Times New Roman"/>
          <w:sz w:val="24"/>
          <w:szCs w:val="24"/>
        </w:rPr>
        <w:t>agro</w:t>
      </w:r>
      <w:proofErr w:type="spellEnd"/>
      <w:r w:rsidRPr="00B37014">
        <w:rPr>
          <w:rFonts w:ascii="Times New Roman" w:eastAsia="Calibri" w:hAnsi="Times New Roman" w:cs="Times New Roman"/>
          <w:sz w:val="24"/>
          <w:szCs w:val="24"/>
        </w:rPr>
        <w:t xml:space="preserve">-ecosystems of Rivers State, Nigeria. </w:t>
      </w:r>
      <w:proofErr w:type="spellStart"/>
      <w:r w:rsidRPr="00B37014">
        <w:rPr>
          <w:rFonts w:ascii="Times New Roman" w:eastAsia="Calibri" w:hAnsi="Times New Roman" w:cs="Times New Roman"/>
          <w:i/>
          <w:sz w:val="24"/>
          <w:szCs w:val="24"/>
        </w:rPr>
        <w:t>Palgo</w:t>
      </w:r>
      <w:proofErr w:type="spellEnd"/>
      <w:r w:rsidRPr="00B37014">
        <w:rPr>
          <w:rFonts w:ascii="Times New Roman" w:eastAsia="Calibri" w:hAnsi="Times New Roman" w:cs="Times New Roman"/>
          <w:i/>
          <w:sz w:val="24"/>
          <w:szCs w:val="24"/>
        </w:rPr>
        <w:t xml:space="preserve"> Journal of Agriculture, 9</w:t>
      </w:r>
      <w:r w:rsidRPr="00B37014">
        <w:rPr>
          <w:rFonts w:ascii="Times New Roman" w:eastAsia="Calibri" w:hAnsi="Times New Roman" w:cs="Times New Roman"/>
          <w:sz w:val="24"/>
          <w:szCs w:val="24"/>
        </w:rPr>
        <w:t xml:space="preserve">(2), 30–37. </w:t>
      </w:r>
      <w:hyperlink r:id="rId12">
        <w:r w:rsidRPr="00B37014">
          <w:rPr>
            <w:rFonts w:ascii="Times New Roman" w:eastAsia="Calibri" w:hAnsi="Times New Roman" w:cs="Times New Roman"/>
            <w:color w:val="000000"/>
            <w:sz w:val="24"/>
            <w:szCs w:val="24"/>
          </w:rPr>
          <w:t>https://doi.org/10.5281/zenodo.17148360</w:t>
        </w:r>
      </w:hyperlink>
    </w:p>
    <w:p w14:paraId="40B573F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Okpoji, A. U., </w:t>
      </w:r>
      <w:proofErr w:type="spellStart"/>
      <w:r w:rsidRPr="00B37014">
        <w:rPr>
          <w:rFonts w:ascii="Times New Roman" w:eastAsia="Calibri" w:hAnsi="Times New Roman" w:cs="Times New Roman"/>
          <w:sz w:val="24"/>
          <w:szCs w:val="24"/>
        </w:rPr>
        <w:t>Igwegbe</w:t>
      </w:r>
      <w:proofErr w:type="spellEnd"/>
      <w:r w:rsidRPr="00B37014">
        <w:rPr>
          <w:rFonts w:ascii="Times New Roman" w:eastAsia="Calibri" w:hAnsi="Times New Roman" w:cs="Times New Roman"/>
          <w:sz w:val="24"/>
          <w:szCs w:val="24"/>
        </w:rPr>
        <w:t xml:space="preserve">, K. C., Okonkwo, C. O., </w:t>
      </w:r>
      <w:proofErr w:type="spellStart"/>
      <w:r w:rsidRPr="00B37014">
        <w:rPr>
          <w:rFonts w:ascii="Times New Roman" w:eastAsia="Calibri" w:hAnsi="Times New Roman" w:cs="Times New Roman"/>
          <w:sz w:val="24"/>
          <w:szCs w:val="24"/>
        </w:rPr>
        <w:t>Yekeen</w:t>
      </w:r>
      <w:proofErr w:type="spellEnd"/>
      <w:r w:rsidRPr="00B37014">
        <w:rPr>
          <w:rFonts w:ascii="Times New Roman" w:eastAsia="Calibri" w:hAnsi="Times New Roman" w:cs="Times New Roman"/>
          <w:sz w:val="24"/>
          <w:szCs w:val="24"/>
        </w:rPr>
        <w:t xml:space="preserve">, A. A., </w:t>
      </w:r>
      <w:proofErr w:type="spellStart"/>
      <w:r w:rsidRPr="00B37014">
        <w:rPr>
          <w:rFonts w:ascii="Times New Roman" w:eastAsia="Calibri" w:hAnsi="Times New Roman" w:cs="Times New Roman"/>
          <w:sz w:val="24"/>
          <w:szCs w:val="24"/>
        </w:rPr>
        <w:t>Obunezi</w:t>
      </w:r>
      <w:proofErr w:type="spellEnd"/>
      <w:r w:rsidRPr="00B37014">
        <w:rPr>
          <w:rFonts w:ascii="Times New Roman" w:eastAsia="Calibri" w:hAnsi="Times New Roman" w:cs="Times New Roman"/>
          <w:sz w:val="24"/>
          <w:szCs w:val="24"/>
        </w:rPr>
        <w:t xml:space="preserve">, O. C., </w:t>
      </w:r>
      <w:proofErr w:type="spellStart"/>
      <w:r w:rsidRPr="00B37014">
        <w:rPr>
          <w:rFonts w:ascii="Times New Roman" w:eastAsia="Calibri" w:hAnsi="Times New Roman" w:cs="Times New Roman"/>
          <w:sz w:val="24"/>
          <w:szCs w:val="24"/>
        </w:rPr>
        <w:t>Okpanachi</w:t>
      </w:r>
      <w:proofErr w:type="spellEnd"/>
      <w:r w:rsidRPr="00B37014">
        <w:rPr>
          <w:rFonts w:ascii="Times New Roman" w:eastAsia="Calibri" w:hAnsi="Times New Roman" w:cs="Times New Roman"/>
          <w:sz w:val="24"/>
          <w:szCs w:val="24"/>
        </w:rPr>
        <w:t xml:space="preserve">, C. B., Garuba, M. H., </w:t>
      </w:r>
      <w:proofErr w:type="spellStart"/>
      <w:r w:rsidRPr="00B37014">
        <w:rPr>
          <w:rFonts w:ascii="Times New Roman" w:eastAsia="Calibri" w:hAnsi="Times New Roman" w:cs="Times New Roman"/>
          <w:sz w:val="24"/>
          <w:szCs w:val="24"/>
        </w:rPr>
        <w:t>Ogini</w:t>
      </w:r>
      <w:proofErr w:type="spellEnd"/>
      <w:r w:rsidRPr="00B37014">
        <w:rPr>
          <w:rFonts w:ascii="Times New Roman" w:eastAsia="Calibri" w:hAnsi="Times New Roman" w:cs="Times New Roman"/>
          <w:sz w:val="24"/>
          <w:szCs w:val="24"/>
        </w:rPr>
        <w:t xml:space="preserve">, O. R., &amp; </w:t>
      </w:r>
      <w:proofErr w:type="spellStart"/>
      <w:r w:rsidRPr="00B37014">
        <w:rPr>
          <w:rFonts w:ascii="Times New Roman" w:eastAsia="Calibri" w:hAnsi="Times New Roman" w:cs="Times New Roman"/>
          <w:sz w:val="24"/>
          <w:szCs w:val="24"/>
        </w:rPr>
        <w:t>Odibo</w:t>
      </w:r>
      <w:proofErr w:type="spellEnd"/>
      <w:r w:rsidRPr="00B37014">
        <w:rPr>
          <w:rFonts w:ascii="Times New Roman" w:eastAsia="Calibri" w:hAnsi="Times New Roman" w:cs="Times New Roman"/>
          <w:sz w:val="24"/>
          <w:szCs w:val="24"/>
        </w:rPr>
        <w:t>, U. E. (2025). Nutritional–toxicological trade-off: Comparative study of polycyclic aromatic hydrocarbons in smoked and oven-dried Nile tilapia (</w:t>
      </w:r>
      <w:r w:rsidRPr="00B37014">
        <w:rPr>
          <w:rFonts w:ascii="Times New Roman" w:eastAsia="Calibri" w:hAnsi="Times New Roman" w:cs="Times New Roman"/>
          <w:i/>
          <w:sz w:val="24"/>
          <w:szCs w:val="24"/>
        </w:rPr>
        <w:t>Oreochromis niloticus</w:t>
      </w:r>
      <w:r w:rsidRPr="00B37014">
        <w:rPr>
          <w:rFonts w:ascii="Times New Roman" w:eastAsia="Calibri" w:hAnsi="Times New Roman" w:cs="Times New Roman"/>
          <w:sz w:val="24"/>
          <w:szCs w:val="24"/>
        </w:rPr>
        <w:t xml:space="preserve">). </w:t>
      </w:r>
      <w:r w:rsidRPr="00B37014">
        <w:rPr>
          <w:rFonts w:ascii="Times New Roman" w:eastAsia="Calibri" w:hAnsi="Times New Roman" w:cs="Times New Roman"/>
          <w:i/>
          <w:sz w:val="24"/>
          <w:szCs w:val="24"/>
        </w:rPr>
        <w:t>Journal of Environment, Climate, and Ecology, 2</w:t>
      </w:r>
      <w:r w:rsidRPr="00B37014">
        <w:rPr>
          <w:rFonts w:ascii="Times New Roman" w:eastAsia="Calibri" w:hAnsi="Times New Roman" w:cs="Times New Roman"/>
          <w:sz w:val="24"/>
          <w:szCs w:val="24"/>
        </w:rPr>
        <w:t xml:space="preserve">(2), 90–97. </w:t>
      </w:r>
      <w:hyperlink r:id="rId13">
        <w:r w:rsidRPr="00B37014">
          <w:rPr>
            <w:rFonts w:ascii="Times New Roman" w:eastAsia="Calibri" w:hAnsi="Times New Roman" w:cs="Times New Roman"/>
            <w:color w:val="000000"/>
            <w:sz w:val="24"/>
            <w:szCs w:val="24"/>
          </w:rPr>
          <w:t>https://doi.org/10.69739/jece.v2i2.952</w:t>
        </w:r>
      </w:hyperlink>
    </w:p>
    <w:p w14:paraId="0C2DA538"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Elele, N., Osuji, L. C., &amp; </w:t>
      </w:r>
      <w:proofErr w:type="spellStart"/>
      <w:r w:rsidRPr="00B37014">
        <w:rPr>
          <w:rFonts w:ascii="Times New Roman" w:eastAsia="Calibri" w:hAnsi="Times New Roman" w:cs="Times New Roman"/>
          <w:sz w:val="24"/>
          <w:szCs w:val="24"/>
        </w:rPr>
        <w:t>Nwankwoala</w:t>
      </w:r>
      <w:proofErr w:type="spellEnd"/>
      <w:r w:rsidRPr="00B37014">
        <w:rPr>
          <w:rFonts w:ascii="Times New Roman" w:eastAsia="Calibri" w:hAnsi="Times New Roman" w:cs="Times New Roman"/>
          <w:sz w:val="24"/>
          <w:szCs w:val="24"/>
        </w:rPr>
        <w:t xml:space="preserve">, H. O. (2025). Water quality index of selected borehole water along pipeline routes in parts of Obio/Akpor Local Government Area, Rivers State Nigeria. </w:t>
      </w:r>
      <w:r w:rsidRPr="00B37014">
        <w:rPr>
          <w:rFonts w:ascii="Times New Roman" w:eastAsia="Calibri" w:hAnsi="Times New Roman" w:cs="Times New Roman"/>
          <w:i/>
          <w:sz w:val="24"/>
          <w:szCs w:val="24"/>
        </w:rPr>
        <w:t>Journal of Applied Chemical Science International</w:t>
      </w:r>
      <w:r w:rsidRPr="00B37014">
        <w:rPr>
          <w:rFonts w:ascii="Times New Roman" w:eastAsia="Calibri" w:hAnsi="Times New Roman" w:cs="Times New Roman"/>
          <w:sz w:val="24"/>
          <w:szCs w:val="24"/>
        </w:rPr>
        <w:t>, 16(2), 69–78. https://doi.org/10.56557/jacsi/2025/v16i29389</w:t>
      </w:r>
    </w:p>
    <w:p w14:paraId="4E27FF74"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w:t>
      </w:r>
      <w:proofErr w:type="spellStart"/>
      <w:r w:rsidRPr="00B37014">
        <w:rPr>
          <w:rFonts w:ascii="Times New Roman" w:eastAsia="Calibri" w:hAnsi="Times New Roman" w:cs="Times New Roman"/>
          <w:sz w:val="24"/>
          <w:szCs w:val="24"/>
        </w:rPr>
        <w:t>Ezeabsili</w:t>
      </w:r>
      <w:proofErr w:type="spellEnd"/>
      <w:r w:rsidRPr="00B37014">
        <w:rPr>
          <w:rFonts w:ascii="Times New Roman" w:eastAsia="Calibri" w:hAnsi="Times New Roman" w:cs="Times New Roman"/>
          <w:sz w:val="24"/>
          <w:szCs w:val="24"/>
        </w:rPr>
        <w:t xml:space="preserve">, P. I., Agu, M. O., Okeke, C. F., Olotu, O. N., </w:t>
      </w:r>
      <w:proofErr w:type="spellStart"/>
      <w:r w:rsidRPr="00B37014">
        <w:rPr>
          <w:rFonts w:ascii="Times New Roman" w:eastAsia="Calibri" w:hAnsi="Times New Roman" w:cs="Times New Roman"/>
          <w:sz w:val="24"/>
          <w:szCs w:val="24"/>
        </w:rPr>
        <w:t>Aligwo</w:t>
      </w:r>
      <w:proofErr w:type="spellEnd"/>
      <w:r w:rsidRPr="00B37014">
        <w:rPr>
          <w:rFonts w:ascii="Times New Roman" w:eastAsia="Calibri" w:hAnsi="Times New Roman" w:cs="Times New Roman"/>
          <w:sz w:val="24"/>
          <w:szCs w:val="24"/>
        </w:rPr>
        <w:t xml:space="preserve">, M. C., Eze, V. C., Nwankwo, A. O., Okpoji, A. U., &amp; Ekong, I. U. (2025). Determination of </w:t>
      </w:r>
      <w:r w:rsidRPr="00B37014">
        <w:rPr>
          <w:rFonts w:ascii="Times New Roman" w:eastAsia="Calibri" w:hAnsi="Times New Roman" w:cs="Times New Roman"/>
          <w:sz w:val="24"/>
          <w:szCs w:val="24"/>
        </w:rPr>
        <w:lastRenderedPageBreak/>
        <w:t xml:space="preserve">polychlorinated biphenyls in soils and industrial effluents and health risks assessment in </w:t>
      </w:r>
      <w:proofErr w:type="spellStart"/>
      <w:r w:rsidRPr="00B37014">
        <w:rPr>
          <w:rFonts w:ascii="Times New Roman" w:eastAsia="Calibri" w:hAnsi="Times New Roman" w:cs="Times New Roman"/>
          <w:sz w:val="24"/>
          <w:szCs w:val="24"/>
        </w:rPr>
        <w:t>Uyo</w:t>
      </w:r>
      <w:proofErr w:type="spellEnd"/>
      <w:r w:rsidRPr="00B37014">
        <w:rPr>
          <w:rFonts w:ascii="Times New Roman" w:eastAsia="Calibri" w:hAnsi="Times New Roman" w:cs="Times New Roman"/>
          <w:sz w:val="24"/>
          <w:szCs w:val="24"/>
        </w:rPr>
        <w:t xml:space="preserve">, Akwa Ibom State, Nigeria. </w:t>
      </w:r>
      <w:r w:rsidRPr="00B37014">
        <w:rPr>
          <w:rFonts w:ascii="Times New Roman" w:eastAsia="Calibri" w:hAnsi="Times New Roman" w:cs="Times New Roman"/>
          <w:i/>
          <w:sz w:val="24"/>
          <w:szCs w:val="24"/>
        </w:rPr>
        <w:t>Journal of Medical Science, Biology, and Chemistry, 2</w:t>
      </w:r>
      <w:r w:rsidRPr="00B37014">
        <w:rPr>
          <w:rFonts w:ascii="Times New Roman" w:eastAsia="Calibri" w:hAnsi="Times New Roman" w:cs="Times New Roman"/>
          <w:sz w:val="24"/>
          <w:szCs w:val="24"/>
        </w:rPr>
        <w:t xml:space="preserve">(2), 285–292. </w:t>
      </w:r>
      <w:hyperlink r:id="rId14">
        <w:r w:rsidRPr="00B37014">
          <w:rPr>
            <w:rFonts w:ascii="Times New Roman" w:eastAsia="Calibri" w:hAnsi="Times New Roman" w:cs="Times New Roman"/>
            <w:color w:val="000000"/>
            <w:sz w:val="24"/>
            <w:szCs w:val="24"/>
          </w:rPr>
          <w:t>https://doi.org/10.69739/jmsbc.v2i2.1258</w:t>
        </w:r>
      </w:hyperlink>
    </w:p>
    <w:p w14:paraId="6F7FE220" w14:textId="77777777" w:rsidR="001E1693" w:rsidRPr="00B37014" w:rsidRDefault="001E1693" w:rsidP="001E1693">
      <w:pPr>
        <w:pStyle w:val="NormalWeb"/>
        <w:ind w:left="811" w:hanging="720"/>
        <w:jc w:val="both"/>
      </w:pPr>
      <w:r w:rsidRPr="00B37014">
        <w:t xml:space="preserve">Etukudo, N. J., Okoye, P. I., Nwafor, E. I., Inyang, G. E., </w:t>
      </w:r>
      <w:proofErr w:type="spellStart"/>
      <w:r w:rsidRPr="00B37014">
        <w:t>Okpoji</w:t>
      </w:r>
      <w:proofErr w:type="spellEnd"/>
      <w:r w:rsidRPr="00B37014">
        <w:t xml:space="preserve">, A. U., </w:t>
      </w:r>
      <w:proofErr w:type="spellStart"/>
      <w:r w:rsidRPr="00B37014">
        <w:t>Onuchukwu</w:t>
      </w:r>
      <w:proofErr w:type="spellEnd"/>
      <w:r w:rsidRPr="00B37014">
        <w:t xml:space="preserve">, E. E., &amp; Olubunmi, V. P. (2026). </w:t>
      </w:r>
      <w:proofErr w:type="spellStart"/>
      <w:r w:rsidRPr="00B37014">
        <w:t>Hydrogeophysical</w:t>
      </w:r>
      <w:proofErr w:type="spellEnd"/>
      <w:r w:rsidRPr="00B37014">
        <w:t xml:space="preserve"> delineation of coastal aquifer systems using electrical resistivity imaging in selected coastal communities of the Niger Delta, Nigeria. </w:t>
      </w:r>
      <w:r w:rsidRPr="00B37014">
        <w:rPr>
          <w:rStyle w:val="Emphasis"/>
        </w:rPr>
        <w:t>Asian Journal of Geological Research, 9</w:t>
      </w:r>
      <w:r w:rsidRPr="00B37014">
        <w:t xml:space="preserve">(3), 706–721. </w:t>
      </w:r>
      <w:hyperlink r:id="rId15" w:history="1">
        <w:r w:rsidRPr="00B37014">
          <w:rPr>
            <w:rStyle w:val="Hyperlink"/>
          </w:rPr>
          <w:t>https://doi.org/10.9734/ajoger/2026/v9i3270</w:t>
        </w:r>
      </w:hyperlink>
    </w:p>
    <w:p w14:paraId="1812CF6D" w14:textId="77777777" w:rsidR="001E1693" w:rsidRPr="00B37014" w:rsidRDefault="001E1693" w:rsidP="001E1693">
      <w:pPr>
        <w:pStyle w:val="NormalWeb"/>
        <w:ind w:left="811" w:hanging="720"/>
        <w:jc w:val="both"/>
      </w:pPr>
      <w:r w:rsidRPr="00B37014">
        <w:t xml:space="preserve">Etukudo, N. J., Okoye, P. I., Nwafor, E. I., Inyang, G. E., </w:t>
      </w:r>
      <w:proofErr w:type="spellStart"/>
      <w:r w:rsidRPr="00B37014">
        <w:t>Okpoji</w:t>
      </w:r>
      <w:proofErr w:type="spellEnd"/>
      <w:r w:rsidRPr="00B37014">
        <w:t xml:space="preserve">, A. U., </w:t>
      </w:r>
      <w:proofErr w:type="spellStart"/>
      <w:r w:rsidRPr="00B37014">
        <w:t>Onuchukwu</w:t>
      </w:r>
      <w:proofErr w:type="spellEnd"/>
      <w:r w:rsidRPr="00B37014">
        <w:t xml:space="preserve">, E. E., &amp; Olubunmi, V. P. (2026). </w:t>
      </w:r>
      <w:proofErr w:type="spellStart"/>
      <w:r w:rsidRPr="00B37014">
        <w:rPr>
          <w:rStyle w:val="Emphasis"/>
        </w:rPr>
        <w:t>Hydrogeophysical</w:t>
      </w:r>
      <w:proofErr w:type="spellEnd"/>
      <w:r w:rsidRPr="00B37014">
        <w:rPr>
          <w:rStyle w:val="Emphasis"/>
        </w:rPr>
        <w:t xml:space="preserve"> delineation of coastal aquifer systems using electrical resistivity imaging in selected coastal communities of the Niger Delta, Nigeria</w:t>
      </w:r>
      <w:r w:rsidRPr="00B37014">
        <w:rPr>
          <w:i/>
          <w:iCs/>
        </w:rPr>
        <w:t>.</w:t>
      </w:r>
      <w:r w:rsidRPr="00B37014">
        <w:t xml:space="preserve"> </w:t>
      </w:r>
      <w:r w:rsidRPr="00B37014">
        <w:rPr>
          <w:rStyle w:val="Emphasis"/>
        </w:rPr>
        <w:t>Asian Journal of Geological Research, 9</w:t>
      </w:r>
      <w:r w:rsidRPr="00B37014">
        <w:t xml:space="preserve">(3), 706–721. </w:t>
      </w:r>
      <w:hyperlink r:id="rId16" w:history="1">
        <w:r w:rsidRPr="00B37014">
          <w:rPr>
            <w:rStyle w:val="Hyperlink"/>
          </w:rPr>
          <w:t>https://doi.org/10.9734/ajoger/2026/v9i33270</w:t>
        </w:r>
      </w:hyperlink>
    </w:p>
    <w:p w14:paraId="24AC4E5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Forster, A. L. B., Wiskur, S. L., &amp; Richardson, S. D. (2025). Formation of eight classes of DBPs from chlorine, chloramine, and ozone: Mechanisms and formation pathways. </w:t>
      </w:r>
      <w:r w:rsidRPr="00B37014">
        <w:rPr>
          <w:rFonts w:ascii="Times New Roman" w:eastAsia="Calibri" w:hAnsi="Times New Roman" w:cs="Times New Roman"/>
          <w:i/>
          <w:sz w:val="24"/>
          <w:szCs w:val="24"/>
        </w:rPr>
        <w:t>Environmental Science &amp; Technology</w:t>
      </w:r>
      <w:r w:rsidRPr="00B37014">
        <w:rPr>
          <w:rFonts w:ascii="Times New Roman" w:eastAsia="Calibri" w:hAnsi="Times New Roman" w:cs="Times New Roman"/>
          <w:sz w:val="24"/>
          <w:szCs w:val="24"/>
        </w:rPr>
        <w:t>, 59(30), 15594–15611. https://doi.org/10.1021/acs.est.5c02208</w:t>
      </w:r>
    </w:p>
    <w:p w14:paraId="0146D706"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Guo, X., Ji, X., Liu, Z., Feng, Z., Zhang, Z., Du, S., Li, X., Ma, J., &amp; Sun, Z. (2024). Complex impact of metals on the fate of disinfection by-products in drinking water pipelines: A systematic review. </w:t>
      </w:r>
      <w:r w:rsidRPr="00B37014">
        <w:rPr>
          <w:rFonts w:ascii="Times New Roman" w:eastAsia="Calibri" w:hAnsi="Times New Roman" w:cs="Times New Roman"/>
          <w:i/>
          <w:sz w:val="24"/>
          <w:szCs w:val="24"/>
        </w:rPr>
        <w:t>Water Research</w:t>
      </w:r>
      <w:r w:rsidRPr="00B37014">
        <w:rPr>
          <w:rFonts w:ascii="Times New Roman" w:eastAsia="Calibri" w:hAnsi="Times New Roman" w:cs="Times New Roman"/>
          <w:sz w:val="24"/>
          <w:szCs w:val="24"/>
        </w:rPr>
        <w:t>, 261, 121991. https://doi.org/10.1016/j.watres.2024.121991</w:t>
      </w:r>
    </w:p>
    <w:p w14:paraId="15B3AC1E"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Helte</w:t>
      </w:r>
      <w:proofErr w:type="spellEnd"/>
      <w:r w:rsidRPr="00B37014">
        <w:rPr>
          <w:rFonts w:ascii="Times New Roman" w:eastAsia="Calibri" w:hAnsi="Times New Roman" w:cs="Times New Roman"/>
          <w:sz w:val="24"/>
          <w:szCs w:val="24"/>
        </w:rPr>
        <w:t>, E., Söderlund, F., Säve-</w:t>
      </w:r>
      <w:proofErr w:type="spellStart"/>
      <w:r w:rsidRPr="00B37014">
        <w:rPr>
          <w:rFonts w:ascii="Times New Roman" w:eastAsia="Calibri" w:hAnsi="Times New Roman" w:cs="Times New Roman"/>
          <w:sz w:val="24"/>
          <w:szCs w:val="24"/>
        </w:rPr>
        <w:t>Söderbergh</w:t>
      </w:r>
      <w:proofErr w:type="spellEnd"/>
      <w:r w:rsidRPr="00B37014">
        <w:rPr>
          <w:rFonts w:ascii="Times New Roman" w:eastAsia="Calibri" w:hAnsi="Times New Roman" w:cs="Times New Roman"/>
          <w:sz w:val="24"/>
          <w:szCs w:val="24"/>
        </w:rPr>
        <w:t xml:space="preserve">, M., Larsson, S. C., &amp; Åkesson, A. (2025). Exposure to drinking water trihalomethanes and risk of cancer: A systematic review of the epidemiologic evidence and dose-response meta-analysis. </w:t>
      </w:r>
      <w:r w:rsidRPr="00B37014">
        <w:rPr>
          <w:rFonts w:ascii="Times New Roman" w:eastAsia="Calibri" w:hAnsi="Times New Roman" w:cs="Times New Roman"/>
          <w:i/>
          <w:sz w:val="24"/>
          <w:szCs w:val="24"/>
        </w:rPr>
        <w:t>Environmental Health Perspectives</w:t>
      </w:r>
      <w:r w:rsidRPr="00B37014">
        <w:rPr>
          <w:rFonts w:ascii="Times New Roman" w:eastAsia="Calibri" w:hAnsi="Times New Roman" w:cs="Times New Roman"/>
          <w:sz w:val="24"/>
          <w:szCs w:val="24"/>
        </w:rPr>
        <w:t>, 133(1), 016001. https://doi.org/10.1289/EHP14505</w:t>
      </w:r>
    </w:p>
    <w:p w14:paraId="28DEB173"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Isueken</w:t>
      </w:r>
      <w:proofErr w:type="spellEnd"/>
      <w:r w:rsidRPr="00B37014">
        <w:rPr>
          <w:rFonts w:ascii="Times New Roman" w:eastAsia="Calibri" w:hAnsi="Times New Roman" w:cs="Times New Roman"/>
          <w:sz w:val="24"/>
          <w:szCs w:val="24"/>
        </w:rPr>
        <w:t xml:space="preserve">, C. O., Asemota, P. O., Isaac, S. C., Okpoji, A. U., Nwankwo, A. O., Akpan, N. A.,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&amp; </w:t>
      </w:r>
      <w:proofErr w:type="spellStart"/>
      <w:r w:rsidRPr="00B37014">
        <w:rPr>
          <w:rFonts w:ascii="Times New Roman" w:eastAsia="Calibri" w:hAnsi="Times New Roman" w:cs="Times New Roman"/>
          <w:sz w:val="24"/>
          <w:szCs w:val="24"/>
        </w:rPr>
        <w:t>Alieze</w:t>
      </w:r>
      <w:proofErr w:type="spellEnd"/>
      <w:r w:rsidRPr="00B37014">
        <w:rPr>
          <w:rFonts w:ascii="Times New Roman" w:eastAsia="Calibri" w:hAnsi="Times New Roman" w:cs="Times New Roman"/>
          <w:sz w:val="24"/>
          <w:szCs w:val="24"/>
        </w:rPr>
        <w:t xml:space="preserve">, A. B. (2025). Assessment of petroleum hydrocarbon fractions and heavy metal contamination in surface water of </w:t>
      </w:r>
      <w:proofErr w:type="spellStart"/>
      <w:r w:rsidRPr="00B37014">
        <w:rPr>
          <w:rFonts w:ascii="Times New Roman" w:eastAsia="Calibri" w:hAnsi="Times New Roman" w:cs="Times New Roman"/>
          <w:sz w:val="24"/>
          <w:szCs w:val="24"/>
        </w:rPr>
        <w:t>Ogboinbiri</w:t>
      </w:r>
      <w:proofErr w:type="spellEnd"/>
      <w:r w:rsidRPr="00B37014">
        <w:rPr>
          <w:rFonts w:ascii="Times New Roman" w:eastAsia="Calibri" w:hAnsi="Times New Roman" w:cs="Times New Roman"/>
          <w:sz w:val="24"/>
          <w:szCs w:val="24"/>
        </w:rPr>
        <w:t xml:space="preserve"> Creek, Southern Ijaw, Bayelsa State, Nigeria. </w:t>
      </w:r>
      <w:r w:rsidRPr="00B37014">
        <w:rPr>
          <w:rFonts w:ascii="Times New Roman" w:eastAsia="Calibri" w:hAnsi="Times New Roman" w:cs="Times New Roman"/>
          <w:i/>
          <w:sz w:val="24"/>
          <w:szCs w:val="24"/>
        </w:rPr>
        <w:t>Scientific Journal of Engineering, and Technology, 2</w:t>
      </w:r>
      <w:r w:rsidRPr="00B37014">
        <w:rPr>
          <w:rFonts w:ascii="Times New Roman" w:eastAsia="Calibri" w:hAnsi="Times New Roman" w:cs="Times New Roman"/>
          <w:sz w:val="24"/>
          <w:szCs w:val="24"/>
        </w:rPr>
        <w:t xml:space="preserve">(2), 172–179. </w:t>
      </w:r>
      <w:hyperlink r:id="rId17">
        <w:r w:rsidRPr="00B37014">
          <w:rPr>
            <w:rFonts w:ascii="Times New Roman" w:eastAsia="Calibri" w:hAnsi="Times New Roman" w:cs="Times New Roman"/>
            <w:color w:val="000000"/>
            <w:sz w:val="24"/>
            <w:szCs w:val="24"/>
          </w:rPr>
          <w:t>https://doi.org/10.69739/sjet.v2i2.1308</w:t>
        </w:r>
      </w:hyperlink>
    </w:p>
    <w:p w14:paraId="024A50C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Izuchukwu, E. C., Akpan, N. A., </w:t>
      </w:r>
      <w:proofErr w:type="spellStart"/>
      <w:r w:rsidRPr="00B37014">
        <w:rPr>
          <w:rFonts w:ascii="Times New Roman" w:eastAsia="Calibri" w:hAnsi="Times New Roman" w:cs="Times New Roman"/>
          <w:sz w:val="24"/>
          <w:szCs w:val="24"/>
        </w:rPr>
        <w:t>Igwegbe</w:t>
      </w:r>
      <w:proofErr w:type="spellEnd"/>
      <w:r w:rsidRPr="00B37014">
        <w:rPr>
          <w:rFonts w:ascii="Times New Roman" w:eastAsia="Calibri" w:hAnsi="Times New Roman" w:cs="Times New Roman"/>
          <w:sz w:val="24"/>
          <w:szCs w:val="24"/>
        </w:rPr>
        <w:t xml:space="preserve">, K. C., Okpoji, A. U., </w:t>
      </w:r>
      <w:proofErr w:type="spellStart"/>
      <w:r w:rsidRPr="00B37014">
        <w:rPr>
          <w:rFonts w:ascii="Times New Roman" w:eastAsia="Calibri" w:hAnsi="Times New Roman" w:cs="Times New Roman"/>
          <w:sz w:val="24"/>
          <w:szCs w:val="24"/>
        </w:rPr>
        <w:t>Ezeabasili</w:t>
      </w:r>
      <w:proofErr w:type="spellEnd"/>
      <w:r w:rsidRPr="00B37014">
        <w:rPr>
          <w:rFonts w:ascii="Times New Roman" w:eastAsia="Calibri" w:hAnsi="Times New Roman" w:cs="Times New Roman"/>
          <w:sz w:val="24"/>
          <w:szCs w:val="24"/>
        </w:rPr>
        <w:t xml:space="preserve">, P. I., Obi, J. N., &amp; Anarah, S. E. (2026). Environmental and toxicological risk assessment of heavy metals in Eleme agricultural soils. </w:t>
      </w:r>
      <w:r w:rsidRPr="00B37014">
        <w:rPr>
          <w:rFonts w:ascii="Times New Roman" w:eastAsia="Calibri" w:hAnsi="Times New Roman" w:cs="Times New Roman"/>
          <w:i/>
          <w:sz w:val="24"/>
          <w:szCs w:val="24"/>
        </w:rPr>
        <w:t>Asian Journal of Agricultural and Horticultural Research, 13</w:t>
      </w:r>
      <w:r w:rsidRPr="00B37014">
        <w:rPr>
          <w:rFonts w:ascii="Times New Roman" w:eastAsia="Calibri" w:hAnsi="Times New Roman" w:cs="Times New Roman"/>
          <w:sz w:val="24"/>
          <w:szCs w:val="24"/>
        </w:rPr>
        <w:t xml:space="preserve">(1), 67–81. </w:t>
      </w:r>
      <w:hyperlink r:id="rId18">
        <w:r w:rsidRPr="00B37014">
          <w:rPr>
            <w:rFonts w:ascii="Times New Roman" w:eastAsia="Calibri" w:hAnsi="Times New Roman" w:cs="Times New Roman"/>
            <w:color w:val="000000"/>
            <w:sz w:val="24"/>
            <w:szCs w:val="24"/>
          </w:rPr>
          <w:t>https://doi.org/10.9734/ajahr/2026/v13i1436</w:t>
        </w:r>
      </w:hyperlink>
    </w:p>
    <w:p w14:paraId="780887E9"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Izuchukwu, E. C., Ebikienmo, P. J., </w:t>
      </w:r>
      <w:proofErr w:type="spellStart"/>
      <w:r w:rsidRPr="00B37014">
        <w:rPr>
          <w:rFonts w:ascii="Times New Roman" w:eastAsia="Calibri" w:hAnsi="Times New Roman" w:cs="Times New Roman"/>
          <w:sz w:val="24"/>
          <w:szCs w:val="24"/>
        </w:rPr>
        <w:t>Ekesiobi</w:t>
      </w:r>
      <w:proofErr w:type="spellEnd"/>
      <w:r w:rsidRPr="00B37014">
        <w:rPr>
          <w:rFonts w:ascii="Times New Roman" w:eastAsia="Calibri" w:hAnsi="Times New Roman" w:cs="Times New Roman"/>
          <w:sz w:val="24"/>
          <w:szCs w:val="24"/>
        </w:rPr>
        <w:t xml:space="preserve">, S. U., Thompson, N. I.,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&amp;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(2026). Assessment of heavy metal contamination and its associated human health risks in the Nun River, Bayelsa State, Nigeria. </w:t>
      </w:r>
      <w:r w:rsidRPr="00B37014">
        <w:rPr>
          <w:rFonts w:ascii="Times New Roman" w:eastAsia="Calibri" w:hAnsi="Times New Roman" w:cs="Times New Roman"/>
          <w:i/>
          <w:sz w:val="24"/>
          <w:szCs w:val="24"/>
        </w:rPr>
        <w:t>Asian Journal of Research in Zoology, 9</w:t>
      </w:r>
      <w:r w:rsidRPr="00B37014">
        <w:rPr>
          <w:rFonts w:ascii="Times New Roman" w:eastAsia="Calibri" w:hAnsi="Times New Roman" w:cs="Times New Roman"/>
          <w:sz w:val="24"/>
          <w:szCs w:val="24"/>
        </w:rPr>
        <w:t xml:space="preserve">(1), 31–41. </w:t>
      </w:r>
      <w:hyperlink r:id="rId19">
        <w:r w:rsidRPr="00B37014">
          <w:rPr>
            <w:rFonts w:ascii="Times New Roman" w:eastAsia="Calibri" w:hAnsi="Times New Roman" w:cs="Times New Roman"/>
            <w:color w:val="000000"/>
            <w:sz w:val="24"/>
            <w:szCs w:val="24"/>
          </w:rPr>
          <w:t>https://doi.org/10.9734/ajriz/2026/v9i1239</w:t>
        </w:r>
      </w:hyperlink>
    </w:p>
    <w:p w14:paraId="7A52FA01" w14:textId="77777777" w:rsidR="001E1693" w:rsidRPr="00B37014" w:rsidRDefault="001E1693" w:rsidP="001E1693">
      <w:pPr>
        <w:pStyle w:val="NormalWeb"/>
        <w:ind w:left="811" w:hanging="720"/>
        <w:jc w:val="both"/>
      </w:pPr>
      <w:r w:rsidRPr="00B37014">
        <w:t xml:space="preserve">Joseph, J., </w:t>
      </w:r>
      <w:proofErr w:type="spellStart"/>
      <w:r w:rsidRPr="00B37014">
        <w:t>Danagogo</w:t>
      </w:r>
      <w:proofErr w:type="spellEnd"/>
      <w:r w:rsidRPr="00B37014">
        <w:t xml:space="preserve">, E. B.-B., </w:t>
      </w:r>
      <w:proofErr w:type="spellStart"/>
      <w:r w:rsidRPr="00B37014">
        <w:t>Okpoji</w:t>
      </w:r>
      <w:proofErr w:type="spellEnd"/>
      <w:r w:rsidRPr="00B37014">
        <w:t xml:space="preserve">, A. U., Osuagwu, E. L., </w:t>
      </w:r>
      <w:proofErr w:type="spellStart"/>
      <w:r w:rsidRPr="00B37014">
        <w:t>Otuuh</w:t>
      </w:r>
      <w:proofErr w:type="spellEnd"/>
      <w:r w:rsidRPr="00B37014">
        <w:t xml:space="preserve">, A. G., Eze, V., Umeghalu, C. O., &amp; Obi, J. N. (2026). </w:t>
      </w:r>
      <w:proofErr w:type="spellStart"/>
      <w:r w:rsidRPr="00B37014">
        <w:t>Hydrochemical</w:t>
      </w:r>
      <w:proofErr w:type="spellEnd"/>
      <w:r w:rsidRPr="00B37014">
        <w:t xml:space="preserve"> characterisation and public health risk assessment of borehole water sources in selected hospitals in Rivers State, Nigeria. </w:t>
      </w:r>
      <w:r w:rsidRPr="00B37014">
        <w:rPr>
          <w:rStyle w:val="Emphasis"/>
        </w:rPr>
        <w:t>Environmental Reports: An International Journal, 8</w:t>
      </w:r>
      <w:r w:rsidRPr="00B37014">
        <w:t xml:space="preserve">(1), 191–200. </w:t>
      </w:r>
      <w:hyperlink r:id="rId20" w:history="1">
        <w:r w:rsidRPr="00B37014">
          <w:rPr>
            <w:rStyle w:val="Hyperlink"/>
          </w:rPr>
          <w:t>https://doi.org/10.51470/ER.2026.8.1.191</w:t>
        </w:r>
      </w:hyperlink>
    </w:p>
    <w:p w14:paraId="5C4DF75E" w14:textId="77777777" w:rsidR="001E1693" w:rsidRPr="00B37014" w:rsidRDefault="001E1693" w:rsidP="001E1693">
      <w:pPr>
        <w:pStyle w:val="NormalWeb"/>
        <w:ind w:left="811" w:hanging="720"/>
        <w:jc w:val="both"/>
      </w:pPr>
      <w:r w:rsidRPr="00B37014">
        <w:t xml:space="preserve">Joseph, J., </w:t>
      </w:r>
      <w:proofErr w:type="spellStart"/>
      <w:r w:rsidRPr="00B37014">
        <w:t>Danagogo</w:t>
      </w:r>
      <w:proofErr w:type="spellEnd"/>
      <w:r w:rsidRPr="00B37014">
        <w:t xml:space="preserve">, E. B.-B., </w:t>
      </w:r>
      <w:proofErr w:type="spellStart"/>
      <w:r w:rsidRPr="00B37014">
        <w:t>Okpoji</w:t>
      </w:r>
      <w:proofErr w:type="spellEnd"/>
      <w:r w:rsidRPr="00B37014">
        <w:t xml:space="preserve">, A. U., Osuagwu, E. L., </w:t>
      </w:r>
      <w:proofErr w:type="spellStart"/>
      <w:r w:rsidRPr="00B37014">
        <w:t>Otuuh</w:t>
      </w:r>
      <w:proofErr w:type="spellEnd"/>
      <w:r w:rsidRPr="00B37014">
        <w:t xml:space="preserve">, A. G., Eze, V., Umeghalu, C. O., &amp; Obi, J. N. (2026). </w:t>
      </w:r>
      <w:proofErr w:type="spellStart"/>
      <w:r w:rsidRPr="00B37014">
        <w:rPr>
          <w:rStyle w:val="Emphasis"/>
        </w:rPr>
        <w:t>Hydrochemical</w:t>
      </w:r>
      <w:proofErr w:type="spellEnd"/>
      <w:r w:rsidRPr="00B37014">
        <w:rPr>
          <w:rStyle w:val="Emphasis"/>
        </w:rPr>
        <w:t xml:space="preserve"> characterisation and public </w:t>
      </w:r>
      <w:r w:rsidRPr="00B37014">
        <w:rPr>
          <w:rStyle w:val="Emphasis"/>
        </w:rPr>
        <w:lastRenderedPageBreak/>
        <w:t>health risk assessment of borehole water sources in selected hospitals in Rivers State, Nigeria</w:t>
      </w:r>
      <w:r w:rsidRPr="00B37014">
        <w:rPr>
          <w:i/>
          <w:iCs/>
        </w:rPr>
        <w:t xml:space="preserve">. </w:t>
      </w:r>
      <w:r w:rsidRPr="00B37014">
        <w:rPr>
          <w:rStyle w:val="Emphasis"/>
        </w:rPr>
        <w:t>Environmental Reports: An International Journal, 8</w:t>
      </w:r>
      <w:r w:rsidRPr="00B37014">
        <w:t xml:space="preserve">(1), 191–200. </w:t>
      </w:r>
      <w:hyperlink r:id="rId21" w:history="1">
        <w:r w:rsidRPr="00B37014">
          <w:rPr>
            <w:rStyle w:val="Hyperlink"/>
          </w:rPr>
          <w:t>https://doi.org/10.51470/ER.2026.8.1.191</w:t>
        </w:r>
      </w:hyperlink>
    </w:p>
    <w:p w14:paraId="3617A67E"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Li, X.-F., &amp; Mitch, W. A. (2018). Drinking water disinfection byproducts (DBPs) and human health effects: Multidisciplinary challenges and opportunities. </w:t>
      </w:r>
      <w:r w:rsidRPr="00B37014">
        <w:rPr>
          <w:rFonts w:ascii="Times New Roman" w:eastAsia="Calibri" w:hAnsi="Times New Roman" w:cs="Times New Roman"/>
          <w:i/>
          <w:sz w:val="24"/>
          <w:szCs w:val="24"/>
        </w:rPr>
        <w:t>Environmental Science &amp; Technology, 52</w:t>
      </w:r>
      <w:r w:rsidRPr="00B37014">
        <w:rPr>
          <w:rFonts w:ascii="Times New Roman" w:eastAsia="Calibri" w:hAnsi="Times New Roman" w:cs="Times New Roman"/>
          <w:sz w:val="24"/>
          <w:szCs w:val="24"/>
        </w:rPr>
        <w:t xml:space="preserve">(4), 1681–1689. </w:t>
      </w:r>
      <w:hyperlink r:id="rId22">
        <w:r w:rsidRPr="00B37014">
          <w:rPr>
            <w:rFonts w:ascii="Times New Roman" w:eastAsia="Calibri" w:hAnsi="Times New Roman" w:cs="Times New Roman"/>
            <w:color w:val="000000"/>
            <w:sz w:val="24"/>
            <w:szCs w:val="24"/>
          </w:rPr>
          <w:t>https://doi.org/10.1021/acs.est.7b05440</w:t>
        </w:r>
      </w:hyperlink>
    </w:p>
    <w:p w14:paraId="445B055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Mahmoud, A. B., Farida, G., Okpoji, A. U.,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Akpan, N. A., </w:t>
      </w:r>
      <w:proofErr w:type="spellStart"/>
      <w:r w:rsidRPr="00B37014">
        <w:rPr>
          <w:rFonts w:ascii="Times New Roman" w:eastAsia="Calibri" w:hAnsi="Times New Roman" w:cs="Times New Roman"/>
          <w:sz w:val="24"/>
          <w:szCs w:val="24"/>
        </w:rPr>
        <w:t>Nosike</w:t>
      </w:r>
      <w:proofErr w:type="spellEnd"/>
      <w:r w:rsidRPr="00B37014">
        <w:rPr>
          <w:rFonts w:ascii="Times New Roman" w:eastAsia="Calibri" w:hAnsi="Times New Roman" w:cs="Times New Roman"/>
          <w:sz w:val="24"/>
          <w:szCs w:val="24"/>
        </w:rPr>
        <w:t xml:space="preserve">, E. I., Obi, J. N., Ahmad, S. I., Oji, N. N., Okonkwo, P. C., &amp; Godson, A. (2026). Endocrine disruption potential of pharmaceutical residues and parasitological responses to heavy metal pollution in Ikot Abasi Estuary, Akwa Ibom State, Nigeria. </w:t>
      </w:r>
      <w:proofErr w:type="spellStart"/>
      <w:r w:rsidRPr="00B37014">
        <w:rPr>
          <w:rFonts w:ascii="Times New Roman" w:eastAsia="Calibri" w:hAnsi="Times New Roman" w:cs="Times New Roman"/>
          <w:i/>
          <w:sz w:val="24"/>
          <w:szCs w:val="24"/>
        </w:rPr>
        <w:t>Palgo</w:t>
      </w:r>
      <w:proofErr w:type="spellEnd"/>
      <w:r w:rsidRPr="00B37014">
        <w:rPr>
          <w:rFonts w:ascii="Times New Roman" w:eastAsia="Calibri" w:hAnsi="Times New Roman" w:cs="Times New Roman"/>
          <w:i/>
          <w:sz w:val="24"/>
          <w:szCs w:val="24"/>
        </w:rPr>
        <w:t xml:space="preserve"> Journal of Medicine and Medical Sciences, 11</w:t>
      </w:r>
      <w:r w:rsidRPr="00B37014">
        <w:rPr>
          <w:rFonts w:ascii="Times New Roman" w:eastAsia="Calibri" w:hAnsi="Times New Roman" w:cs="Times New Roman"/>
          <w:sz w:val="24"/>
          <w:szCs w:val="24"/>
        </w:rPr>
        <w:t xml:space="preserve">(1), 55–65. </w:t>
      </w:r>
      <w:hyperlink r:id="rId23">
        <w:r w:rsidRPr="00B37014">
          <w:rPr>
            <w:rFonts w:ascii="Times New Roman" w:eastAsia="Calibri" w:hAnsi="Times New Roman" w:cs="Times New Roman"/>
            <w:color w:val="000000"/>
            <w:sz w:val="24"/>
            <w:szCs w:val="24"/>
          </w:rPr>
          <w:t>https://doi.org/10.65756/pjmms.202604.009</w:t>
        </w:r>
      </w:hyperlink>
    </w:p>
    <w:p w14:paraId="72E8C513"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Ogbaji, H. O., Akpan, N. A., </w:t>
      </w:r>
      <w:proofErr w:type="spellStart"/>
      <w:r w:rsidRPr="00B37014">
        <w:rPr>
          <w:rFonts w:ascii="Times New Roman" w:eastAsia="Calibri" w:hAnsi="Times New Roman" w:cs="Times New Roman"/>
          <w:sz w:val="24"/>
          <w:szCs w:val="24"/>
        </w:rPr>
        <w:t>Ijioma</w:t>
      </w:r>
      <w:proofErr w:type="spellEnd"/>
      <w:r w:rsidRPr="00B37014">
        <w:rPr>
          <w:rFonts w:ascii="Times New Roman" w:eastAsia="Calibri" w:hAnsi="Times New Roman" w:cs="Times New Roman"/>
          <w:sz w:val="24"/>
          <w:szCs w:val="24"/>
        </w:rPr>
        <w:t xml:space="preserve">, C. C., Okpoji, A. U., Eze, V. C. U., Obi, J. N., Martins, N. P., &amp;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(2025). Seasonal variation in hydrocarbon contamination of sediments and biota in Bonny Estuary, Rivers State, Nigeria. </w:t>
      </w:r>
      <w:r w:rsidRPr="00B37014">
        <w:rPr>
          <w:rFonts w:ascii="Times New Roman" w:eastAsia="Calibri" w:hAnsi="Times New Roman" w:cs="Times New Roman"/>
          <w:i/>
          <w:sz w:val="24"/>
          <w:szCs w:val="24"/>
        </w:rPr>
        <w:t>Asian Journal of Geographical Research, 8</w:t>
      </w:r>
      <w:r w:rsidRPr="00B37014">
        <w:rPr>
          <w:rFonts w:ascii="Times New Roman" w:eastAsia="Calibri" w:hAnsi="Times New Roman" w:cs="Times New Roman"/>
          <w:sz w:val="24"/>
          <w:szCs w:val="24"/>
        </w:rPr>
        <w:t xml:space="preserve">(4), 330–338. </w:t>
      </w:r>
      <w:hyperlink r:id="rId24">
        <w:r w:rsidRPr="00B37014">
          <w:rPr>
            <w:rFonts w:ascii="Times New Roman" w:eastAsia="Calibri" w:hAnsi="Times New Roman" w:cs="Times New Roman"/>
            <w:color w:val="000000"/>
            <w:sz w:val="24"/>
            <w:szCs w:val="24"/>
          </w:rPr>
          <w:t>https://doi.org/10.9734/ajgr/2025/v8i4341</w:t>
        </w:r>
      </w:hyperlink>
    </w:p>
    <w:p w14:paraId="66DD6E6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Ohaturuonye, S. O.,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Ekesiobi</w:t>
      </w:r>
      <w:proofErr w:type="spellEnd"/>
      <w:r w:rsidRPr="00B37014">
        <w:rPr>
          <w:rFonts w:ascii="Times New Roman" w:eastAsia="Calibri" w:hAnsi="Times New Roman" w:cs="Times New Roman"/>
          <w:sz w:val="24"/>
          <w:szCs w:val="24"/>
        </w:rPr>
        <w:t xml:space="preserve">, S. U., Robinson, B. E.,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Osuagwu, E. L., &amp; </w:t>
      </w:r>
      <w:proofErr w:type="spellStart"/>
      <w:r w:rsidRPr="00B37014">
        <w:rPr>
          <w:rFonts w:ascii="Times New Roman" w:eastAsia="Calibri" w:hAnsi="Times New Roman" w:cs="Times New Roman"/>
          <w:sz w:val="24"/>
          <w:szCs w:val="24"/>
        </w:rPr>
        <w:t>Okpanachi</w:t>
      </w:r>
      <w:proofErr w:type="spellEnd"/>
      <w:r w:rsidRPr="00B37014">
        <w:rPr>
          <w:rFonts w:ascii="Times New Roman" w:eastAsia="Calibri" w:hAnsi="Times New Roman" w:cs="Times New Roman"/>
          <w:sz w:val="24"/>
          <w:szCs w:val="24"/>
        </w:rPr>
        <w:t xml:space="preserve">, C. B. (2026). Comparative heavy metal bioaccumulation and human health risk assessment of farmed and river-caught catfish in Rivers State, Nigeria. </w:t>
      </w:r>
      <w:r w:rsidRPr="00B37014">
        <w:rPr>
          <w:rFonts w:ascii="Times New Roman" w:eastAsia="Calibri" w:hAnsi="Times New Roman" w:cs="Times New Roman"/>
          <w:i/>
          <w:sz w:val="24"/>
          <w:szCs w:val="24"/>
        </w:rPr>
        <w:t>Asian Journal of Research in Zoology, 9</w:t>
      </w:r>
      <w:r w:rsidRPr="00B37014">
        <w:rPr>
          <w:rFonts w:ascii="Times New Roman" w:eastAsia="Calibri" w:hAnsi="Times New Roman" w:cs="Times New Roman"/>
          <w:sz w:val="24"/>
          <w:szCs w:val="24"/>
        </w:rPr>
        <w:t xml:space="preserve">(1), 62–74. </w:t>
      </w:r>
      <w:hyperlink r:id="rId25">
        <w:r w:rsidRPr="00B37014">
          <w:rPr>
            <w:rFonts w:ascii="Times New Roman" w:eastAsia="Calibri" w:hAnsi="Times New Roman" w:cs="Times New Roman"/>
            <w:color w:val="000000"/>
            <w:sz w:val="24"/>
            <w:szCs w:val="24"/>
          </w:rPr>
          <w:t>https://doi.org/10.9734/ajriz/2026/v9i1243</w:t>
        </w:r>
      </w:hyperlink>
    </w:p>
    <w:p w14:paraId="57E0381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Okagbare, U. V., Umueni, U. E., Ekpe, J. E., Etukudo, N. J.,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Okoye, P. I.,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w:t>
      </w:r>
      <w:proofErr w:type="spellStart"/>
      <w:r w:rsidRPr="00B37014">
        <w:rPr>
          <w:rFonts w:ascii="Times New Roman" w:eastAsia="Calibri" w:hAnsi="Times New Roman" w:cs="Times New Roman"/>
          <w:sz w:val="24"/>
          <w:szCs w:val="24"/>
        </w:rPr>
        <w:t>Okpanachi</w:t>
      </w:r>
      <w:proofErr w:type="spellEnd"/>
      <w:r w:rsidRPr="00B37014">
        <w:rPr>
          <w:rFonts w:ascii="Times New Roman" w:eastAsia="Calibri" w:hAnsi="Times New Roman" w:cs="Times New Roman"/>
          <w:sz w:val="24"/>
          <w:szCs w:val="24"/>
        </w:rPr>
        <w:t xml:space="preserve">, C. B., &amp; Okafor, C. A. (2025). Geophysical and </w:t>
      </w:r>
      <w:proofErr w:type="spellStart"/>
      <w:r w:rsidRPr="00B37014">
        <w:rPr>
          <w:rFonts w:ascii="Times New Roman" w:eastAsia="Calibri" w:hAnsi="Times New Roman" w:cs="Times New Roman"/>
          <w:sz w:val="24"/>
          <w:szCs w:val="24"/>
        </w:rPr>
        <w:t>hydrochemical</w:t>
      </w:r>
      <w:proofErr w:type="spellEnd"/>
      <w:r w:rsidRPr="00B37014">
        <w:rPr>
          <w:rFonts w:ascii="Times New Roman" w:eastAsia="Calibri" w:hAnsi="Times New Roman" w:cs="Times New Roman"/>
          <w:sz w:val="24"/>
          <w:szCs w:val="24"/>
        </w:rPr>
        <w:t xml:space="preserve"> assessment of groundwater vulnerability to oil pollution in Yenagoa, Bayelsa State, Nigeria. </w:t>
      </w:r>
      <w:r w:rsidRPr="00B37014">
        <w:rPr>
          <w:rFonts w:ascii="Times New Roman" w:eastAsia="Calibri" w:hAnsi="Times New Roman" w:cs="Times New Roman"/>
          <w:i/>
          <w:sz w:val="24"/>
          <w:szCs w:val="24"/>
        </w:rPr>
        <w:t>Journal of Environment, Climate, and Ecology, 2</w:t>
      </w:r>
      <w:r w:rsidRPr="00B37014">
        <w:rPr>
          <w:rFonts w:ascii="Times New Roman" w:eastAsia="Calibri" w:hAnsi="Times New Roman" w:cs="Times New Roman"/>
          <w:sz w:val="24"/>
          <w:szCs w:val="24"/>
        </w:rPr>
        <w:t xml:space="preserve">(2), 138–146. </w:t>
      </w:r>
      <w:hyperlink r:id="rId26">
        <w:r w:rsidRPr="00B37014">
          <w:rPr>
            <w:rFonts w:ascii="Times New Roman" w:eastAsia="Calibri" w:hAnsi="Times New Roman" w:cs="Times New Roman"/>
            <w:color w:val="000000"/>
            <w:sz w:val="24"/>
            <w:szCs w:val="24"/>
          </w:rPr>
          <w:t>https://doi.org/10.69739/jece.v2i2.1078</w:t>
        </w:r>
      </w:hyperlink>
    </w:p>
    <w:p w14:paraId="4FD55ED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Akpan, N. A., Eze, V. C., </w:t>
      </w:r>
      <w:proofErr w:type="spellStart"/>
      <w:r w:rsidRPr="00B37014">
        <w:rPr>
          <w:rFonts w:ascii="Times New Roman" w:eastAsia="Calibri" w:hAnsi="Times New Roman" w:cs="Times New Roman"/>
          <w:sz w:val="24"/>
          <w:szCs w:val="24"/>
        </w:rPr>
        <w:t>Ijioma</w:t>
      </w:r>
      <w:proofErr w:type="spellEnd"/>
      <w:r w:rsidRPr="00B37014">
        <w:rPr>
          <w:rFonts w:ascii="Times New Roman" w:eastAsia="Calibri" w:hAnsi="Times New Roman" w:cs="Times New Roman"/>
          <w:sz w:val="24"/>
          <w:szCs w:val="24"/>
        </w:rPr>
        <w:t xml:space="preserve">, C. C., Hassan, D. H., Kareem, M. M., Obi, A. I., </w:t>
      </w:r>
      <w:proofErr w:type="spellStart"/>
      <w:r w:rsidRPr="00B37014">
        <w:rPr>
          <w:rFonts w:ascii="Times New Roman" w:eastAsia="Calibri" w:hAnsi="Times New Roman" w:cs="Times New Roman"/>
          <w:sz w:val="24"/>
          <w:szCs w:val="24"/>
        </w:rPr>
        <w:t>Aningo</w:t>
      </w:r>
      <w:proofErr w:type="spellEnd"/>
      <w:r w:rsidRPr="00B37014">
        <w:rPr>
          <w:rFonts w:ascii="Times New Roman" w:eastAsia="Calibri" w:hAnsi="Times New Roman" w:cs="Times New Roman"/>
          <w:sz w:val="24"/>
          <w:szCs w:val="24"/>
        </w:rPr>
        <w:t xml:space="preserve">, G. N., Okoye, P. I., Ogbonnaya, C. N.,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Okeke, C. F., &amp; </w:t>
      </w:r>
      <w:proofErr w:type="spellStart"/>
      <w:r w:rsidRPr="00B37014">
        <w:rPr>
          <w:rFonts w:ascii="Times New Roman" w:eastAsia="Calibri" w:hAnsi="Times New Roman" w:cs="Times New Roman"/>
          <w:sz w:val="24"/>
          <w:szCs w:val="24"/>
        </w:rPr>
        <w:t>Aligwo</w:t>
      </w:r>
      <w:proofErr w:type="spellEnd"/>
      <w:r w:rsidRPr="00B37014">
        <w:rPr>
          <w:rFonts w:ascii="Times New Roman" w:eastAsia="Calibri" w:hAnsi="Times New Roman" w:cs="Times New Roman"/>
          <w:sz w:val="24"/>
          <w:szCs w:val="24"/>
        </w:rPr>
        <w:t xml:space="preserve">, M. C. (2025). Toxicity and bioaccumulation of heavy metals and polycyclic aromatic hydrocarbons in estuarine fish from the Andoni Estuary, Niger Delta, Nigeria. </w:t>
      </w:r>
      <w:r w:rsidRPr="00B37014">
        <w:rPr>
          <w:rFonts w:ascii="Times New Roman" w:eastAsia="Calibri" w:hAnsi="Times New Roman" w:cs="Times New Roman"/>
          <w:i/>
          <w:sz w:val="24"/>
          <w:szCs w:val="24"/>
        </w:rPr>
        <w:t>Journal of Applied Physical Science International, 17</w:t>
      </w:r>
      <w:r w:rsidRPr="00B37014">
        <w:rPr>
          <w:rFonts w:ascii="Times New Roman" w:eastAsia="Calibri" w:hAnsi="Times New Roman" w:cs="Times New Roman"/>
          <w:sz w:val="24"/>
          <w:szCs w:val="24"/>
        </w:rPr>
        <w:t xml:space="preserve">(2), 10–22. </w:t>
      </w:r>
      <w:hyperlink r:id="rId27">
        <w:r w:rsidRPr="00B37014">
          <w:rPr>
            <w:rFonts w:ascii="Times New Roman" w:eastAsia="Calibri" w:hAnsi="Times New Roman" w:cs="Times New Roman"/>
            <w:color w:val="000000"/>
            <w:sz w:val="24"/>
            <w:szCs w:val="24"/>
          </w:rPr>
          <w:t>https://doi.org/10.56557/japsi/2025/v17i210026</w:t>
        </w:r>
      </w:hyperlink>
    </w:p>
    <w:p w14:paraId="47A441AF"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Eboh-Ajoku, I. O., </w:t>
      </w:r>
      <w:proofErr w:type="spellStart"/>
      <w:r w:rsidRPr="00B37014">
        <w:rPr>
          <w:rFonts w:ascii="Times New Roman" w:eastAsia="Calibri" w:hAnsi="Times New Roman" w:cs="Times New Roman"/>
          <w:sz w:val="24"/>
          <w:szCs w:val="24"/>
        </w:rPr>
        <w:t>Mmuta</w:t>
      </w:r>
      <w:proofErr w:type="spellEnd"/>
      <w:r w:rsidRPr="00B37014">
        <w:rPr>
          <w:rFonts w:ascii="Times New Roman" w:eastAsia="Calibri" w:hAnsi="Times New Roman" w:cs="Times New Roman"/>
          <w:sz w:val="24"/>
          <w:szCs w:val="24"/>
        </w:rPr>
        <w:t xml:space="preserve">, E. C., Ndubuisi, J. O., </w:t>
      </w:r>
      <w:proofErr w:type="spellStart"/>
      <w:r w:rsidRPr="00B37014">
        <w:rPr>
          <w:rFonts w:ascii="Times New Roman" w:eastAsia="Calibri" w:hAnsi="Times New Roman" w:cs="Times New Roman"/>
          <w:sz w:val="24"/>
          <w:szCs w:val="24"/>
        </w:rPr>
        <w:t>Alaekwe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Odibo</w:t>
      </w:r>
      <w:proofErr w:type="spellEnd"/>
      <w:r w:rsidRPr="00B37014">
        <w:rPr>
          <w:rFonts w:ascii="Times New Roman" w:eastAsia="Calibri" w:hAnsi="Times New Roman" w:cs="Times New Roman"/>
          <w:sz w:val="24"/>
          <w:szCs w:val="24"/>
        </w:rPr>
        <w:t xml:space="preserve">, U. E., </w:t>
      </w:r>
      <w:proofErr w:type="spellStart"/>
      <w:r w:rsidRPr="00B37014">
        <w:rPr>
          <w:rFonts w:ascii="Times New Roman" w:eastAsia="Calibri" w:hAnsi="Times New Roman" w:cs="Times New Roman"/>
          <w:sz w:val="24"/>
          <w:szCs w:val="24"/>
        </w:rPr>
        <w:t>Nwoka</w:t>
      </w:r>
      <w:proofErr w:type="spellEnd"/>
      <w:r w:rsidRPr="00B37014">
        <w:rPr>
          <w:rFonts w:ascii="Times New Roman" w:eastAsia="Calibri" w:hAnsi="Times New Roman" w:cs="Times New Roman"/>
          <w:sz w:val="24"/>
          <w:szCs w:val="24"/>
        </w:rPr>
        <w:t xml:space="preserve">, N. G., Okafor, C. A., &amp; </w:t>
      </w:r>
      <w:proofErr w:type="spellStart"/>
      <w:r w:rsidRPr="00B37014">
        <w:rPr>
          <w:rFonts w:ascii="Times New Roman" w:eastAsia="Calibri" w:hAnsi="Times New Roman" w:cs="Times New Roman"/>
          <w:sz w:val="24"/>
          <w:szCs w:val="24"/>
        </w:rPr>
        <w:t>Obunezi</w:t>
      </w:r>
      <w:proofErr w:type="spellEnd"/>
      <w:r w:rsidRPr="00B37014">
        <w:rPr>
          <w:rFonts w:ascii="Times New Roman" w:eastAsia="Calibri" w:hAnsi="Times New Roman" w:cs="Times New Roman"/>
          <w:sz w:val="24"/>
          <w:szCs w:val="24"/>
        </w:rPr>
        <w:t xml:space="preserve">, O. C. (2025). Integrated environmental risk assessment of BTEX and PAHs in water and sediment samples from the Bonny River, Nigeria. </w:t>
      </w:r>
      <w:r w:rsidRPr="00B37014">
        <w:rPr>
          <w:rFonts w:ascii="Times New Roman" w:eastAsia="Calibri" w:hAnsi="Times New Roman" w:cs="Times New Roman"/>
          <w:i/>
          <w:sz w:val="24"/>
          <w:szCs w:val="24"/>
        </w:rPr>
        <w:t>ISA Journal of Multidisciplinary (ISAJM), 2</w:t>
      </w:r>
      <w:r w:rsidRPr="00B37014">
        <w:rPr>
          <w:rFonts w:ascii="Times New Roman" w:eastAsia="Calibri" w:hAnsi="Times New Roman" w:cs="Times New Roman"/>
          <w:sz w:val="24"/>
          <w:szCs w:val="24"/>
        </w:rPr>
        <w:t xml:space="preserve">(4), 14–21. </w:t>
      </w:r>
      <w:hyperlink r:id="rId28">
        <w:r w:rsidRPr="00B37014">
          <w:rPr>
            <w:rFonts w:ascii="Times New Roman" w:eastAsia="Calibri" w:hAnsi="Times New Roman" w:cs="Times New Roman"/>
            <w:color w:val="000000"/>
            <w:sz w:val="24"/>
            <w:szCs w:val="24"/>
          </w:rPr>
          <w:t>https://doi.org/10.5281/zenodo.16921896</w:t>
        </w:r>
      </w:hyperlink>
    </w:p>
    <w:p w14:paraId="0378BFC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Emem, J. A.,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Odibo</w:t>
      </w:r>
      <w:proofErr w:type="spellEnd"/>
      <w:r w:rsidRPr="00B37014">
        <w:rPr>
          <w:rFonts w:ascii="Times New Roman" w:eastAsia="Calibri" w:hAnsi="Times New Roman" w:cs="Times New Roman"/>
          <w:sz w:val="24"/>
          <w:szCs w:val="24"/>
        </w:rPr>
        <w:t xml:space="preserve">, U. E., </w:t>
      </w:r>
      <w:proofErr w:type="spellStart"/>
      <w:r w:rsidRPr="00B37014">
        <w:rPr>
          <w:rFonts w:ascii="Times New Roman" w:eastAsia="Calibri" w:hAnsi="Times New Roman" w:cs="Times New Roman"/>
          <w:sz w:val="24"/>
          <w:szCs w:val="24"/>
        </w:rPr>
        <w:t>Aleaekwe</w:t>
      </w:r>
      <w:proofErr w:type="spellEnd"/>
      <w:r w:rsidRPr="00B37014">
        <w:rPr>
          <w:rFonts w:ascii="Times New Roman" w:eastAsia="Calibri" w:hAnsi="Times New Roman" w:cs="Times New Roman"/>
          <w:sz w:val="24"/>
          <w:szCs w:val="24"/>
        </w:rPr>
        <w:t xml:space="preserve">, I. O., Warder, A. B., &amp; </w:t>
      </w:r>
      <w:proofErr w:type="spellStart"/>
      <w:r w:rsidRPr="00B37014">
        <w:rPr>
          <w:rFonts w:ascii="Times New Roman" w:eastAsia="Calibri" w:hAnsi="Times New Roman" w:cs="Times New Roman"/>
          <w:sz w:val="24"/>
          <w:szCs w:val="24"/>
        </w:rPr>
        <w:t>Eboj</w:t>
      </w:r>
      <w:proofErr w:type="spellEnd"/>
      <w:r w:rsidRPr="00B37014">
        <w:rPr>
          <w:rFonts w:ascii="Times New Roman" w:eastAsia="Calibri" w:hAnsi="Times New Roman" w:cs="Times New Roman"/>
          <w:sz w:val="24"/>
          <w:szCs w:val="24"/>
        </w:rPr>
        <w:t xml:space="preserve">-Ajoku, O. I. (2025). Bioaccumulation of nickel, lead, and cadmium in tissues of </w:t>
      </w:r>
      <w:r w:rsidRPr="00B37014">
        <w:rPr>
          <w:rFonts w:ascii="Times New Roman" w:eastAsia="Calibri" w:hAnsi="Times New Roman" w:cs="Times New Roman"/>
          <w:i/>
          <w:sz w:val="24"/>
          <w:szCs w:val="24"/>
        </w:rPr>
        <w:t>Callinectes sapidus</w:t>
      </w:r>
      <w:r w:rsidRPr="00B37014">
        <w:rPr>
          <w:rFonts w:ascii="Times New Roman" w:eastAsia="Calibri" w:hAnsi="Times New Roman" w:cs="Times New Roman"/>
          <w:sz w:val="24"/>
          <w:szCs w:val="24"/>
        </w:rPr>
        <w:t xml:space="preserve"> from the Iko River, Nigeria: Implications for human health risk and environmental safety. </w:t>
      </w:r>
      <w:r w:rsidRPr="00B37014">
        <w:rPr>
          <w:rFonts w:ascii="Times New Roman" w:eastAsia="Calibri" w:hAnsi="Times New Roman" w:cs="Times New Roman"/>
          <w:i/>
          <w:sz w:val="24"/>
          <w:szCs w:val="24"/>
        </w:rPr>
        <w:t>Journal of Environment, Climate, and Ecology, 2</w:t>
      </w:r>
      <w:r w:rsidRPr="00B37014">
        <w:rPr>
          <w:rFonts w:ascii="Times New Roman" w:eastAsia="Calibri" w:hAnsi="Times New Roman" w:cs="Times New Roman"/>
          <w:sz w:val="24"/>
          <w:szCs w:val="24"/>
        </w:rPr>
        <w:t xml:space="preserve">(2), 29–37. </w:t>
      </w:r>
      <w:hyperlink r:id="rId29">
        <w:r w:rsidRPr="00B37014">
          <w:rPr>
            <w:rFonts w:ascii="Times New Roman" w:eastAsia="Calibri" w:hAnsi="Times New Roman" w:cs="Times New Roman"/>
            <w:color w:val="000000"/>
            <w:sz w:val="24"/>
            <w:szCs w:val="24"/>
          </w:rPr>
          <w:t>https://doi.org/10.69739/jece.v2i2.844</w:t>
        </w:r>
      </w:hyperlink>
    </w:p>
    <w:p w14:paraId="4A61E9AB"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Martins, N. P., </w:t>
      </w:r>
      <w:proofErr w:type="spellStart"/>
      <w:r w:rsidRPr="00B37014">
        <w:rPr>
          <w:rFonts w:ascii="Times New Roman" w:eastAsia="Calibri" w:hAnsi="Times New Roman" w:cs="Times New Roman"/>
          <w:sz w:val="24"/>
          <w:szCs w:val="24"/>
        </w:rPr>
        <w:t>Okpanachi</w:t>
      </w:r>
      <w:proofErr w:type="spellEnd"/>
      <w:r w:rsidRPr="00B37014">
        <w:rPr>
          <w:rFonts w:ascii="Times New Roman" w:eastAsia="Calibri" w:hAnsi="Times New Roman" w:cs="Times New Roman"/>
          <w:sz w:val="24"/>
          <w:szCs w:val="24"/>
        </w:rPr>
        <w:t xml:space="preserve">, C. B., Adisa, O. J., &amp; Okonkwo, C. C. (2025). Geochemical speciation and ecological risk of heavy metals in estuarine sediments of the Qua </w:t>
      </w:r>
      <w:proofErr w:type="spellStart"/>
      <w:r w:rsidRPr="00B37014">
        <w:rPr>
          <w:rFonts w:ascii="Times New Roman" w:eastAsia="Calibri" w:hAnsi="Times New Roman" w:cs="Times New Roman"/>
          <w:sz w:val="24"/>
          <w:szCs w:val="24"/>
        </w:rPr>
        <w:t>Iboe</w:t>
      </w:r>
      <w:proofErr w:type="spellEnd"/>
      <w:r w:rsidRPr="00B37014">
        <w:rPr>
          <w:rFonts w:ascii="Times New Roman" w:eastAsia="Calibri" w:hAnsi="Times New Roman" w:cs="Times New Roman"/>
          <w:sz w:val="24"/>
          <w:szCs w:val="24"/>
        </w:rPr>
        <w:t xml:space="preserve"> River, Nigeria. </w:t>
      </w:r>
      <w:r w:rsidRPr="00B37014">
        <w:rPr>
          <w:rFonts w:ascii="Times New Roman" w:eastAsia="Calibri" w:hAnsi="Times New Roman" w:cs="Times New Roman"/>
          <w:i/>
          <w:sz w:val="24"/>
          <w:szCs w:val="24"/>
        </w:rPr>
        <w:t>Asian Journal of Chemical Sciences, 15</w:t>
      </w:r>
      <w:r w:rsidRPr="00B37014">
        <w:rPr>
          <w:rFonts w:ascii="Times New Roman" w:eastAsia="Calibri" w:hAnsi="Times New Roman" w:cs="Times New Roman"/>
          <w:sz w:val="24"/>
          <w:szCs w:val="24"/>
        </w:rPr>
        <w:t xml:space="preserve">(6), 20–31. </w:t>
      </w:r>
      <w:hyperlink r:id="rId30">
        <w:r w:rsidRPr="00B37014">
          <w:rPr>
            <w:rFonts w:ascii="Times New Roman" w:eastAsia="Calibri" w:hAnsi="Times New Roman" w:cs="Times New Roman"/>
            <w:color w:val="000000"/>
            <w:sz w:val="24"/>
            <w:szCs w:val="24"/>
          </w:rPr>
          <w:t>https://doi.org/10.9734/ajocs/2025/v15i6402</w:t>
        </w:r>
      </w:hyperlink>
    </w:p>
    <w:p w14:paraId="294E1DB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w:t>
      </w:r>
      <w:proofErr w:type="spellStart"/>
      <w:r w:rsidRPr="00B37014">
        <w:rPr>
          <w:rFonts w:ascii="Times New Roman" w:eastAsia="Calibri" w:hAnsi="Times New Roman" w:cs="Times New Roman"/>
          <w:sz w:val="24"/>
          <w:szCs w:val="24"/>
        </w:rPr>
        <w:t>Ogbaji</w:t>
      </w:r>
      <w:proofErr w:type="spellEnd"/>
      <w:r w:rsidRPr="00B37014">
        <w:rPr>
          <w:rFonts w:ascii="Times New Roman" w:eastAsia="Calibri" w:hAnsi="Times New Roman" w:cs="Times New Roman"/>
          <w:sz w:val="24"/>
          <w:szCs w:val="24"/>
        </w:rPr>
        <w:t xml:space="preserve">, H. O., Hassan, D. H., Orji-Azuka, L. N., Rasheed, H. O., Ohaturuonye, S. O., Ejeka, J. C., </w:t>
      </w:r>
      <w:proofErr w:type="spellStart"/>
      <w:r w:rsidRPr="00B37014">
        <w:rPr>
          <w:rFonts w:ascii="Times New Roman" w:eastAsia="Calibri" w:hAnsi="Times New Roman" w:cs="Times New Roman"/>
          <w:sz w:val="24"/>
          <w:szCs w:val="24"/>
        </w:rPr>
        <w:t>Okpanachi</w:t>
      </w:r>
      <w:proofErr w:type="spellEnd"/>
      <w:r w:rsidRPr="00B37014">
        <w:rPr>
          <w:rFonts w:ascii="Times New Roman" w:eastAsia="Calibri" w:hAnsi="Times New Roman" w:cs="Times New Roman"/>
          <w:sz w:val="24"/>
          <w:szCs w:val="24"/>
        </w:rPr>
        <w:t xml:space="preserve">, C. B., &amp;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(2025). </w:t>
      </w:r>
      <w:proofErr w:type="spellStart"/>
      <w:r w:rsidRPr="00B37014">
        <w:rPr>
          <w:rFonts w:ascii="Times New Roman" w:eastAsia="Calibri" w:hAnsi="Times New Roman" w:cs="Times New Roman"/>
          <w:sz w:val="24"/>
          <w:szCs w:val="24"/>
        </w:rPr>
        <w:t>Physico</w:t>
      </w:r>
      <w:proofErr w:type="spellEnd"/>
      <w:r w:rsidRPr="00B37014">
        <w:rPr>
          <w:rFonts w:ascii="Times New Roman" w:eastAsia="Calibri" w:hAnsi="Times New Roman" w:cs="Times New Roman"/>
          <w:sz w:val="24"/>
          <w:szCs w:val="24"/>
        </w:rPr>
        <w:t xml:space="preserve">-chemical transport of volatile organic compounds (VOCs) from gas flaring into surface waters of </w:t>
      </w:r>
      <w:proofErr w:type="spellStart"/>
      <w:r w:rsidRPr="00B37014">
        <w:rPr>
          <w:rFonts w:ascii="Times New Roman" w:eastAsia="Calibri" w:hAnsi="Times New Roman" w:cs="Times New Roman"/>
          <w:sz w:val="24"/>
          <w:szCs w:val="24"/>
        </w:rPr>
        <w:lastRenderedPageBreak/>
        <w:t>Ogoniland</w:t>
      </w:r>
      <w:proofErr w:type="spellEnd"/>
      <w:r w:rsidRPr="00B37014">
        <w:rPr>
          <w:rFonts w:ascii="Times New Roman" w:eastAsia="Calibri" w:hAnsi="Times New Roman" w:cs="Times New Roman"/>
          <w:sz w:val="24"/>
          <w:szCs w:val="24"/>
        </w:rPr>
        <w:t xml:space="preserve">, Rivers State, Nigeria. </w:t>
      </w:r>
      <w:r w:rsidRPr="00B37014">
        <w:rPr>
          <w:rFonts w:ascii="Times New Roman" w:eastAsia="Calibri" w:hAnsi="Times New Roman" w:cs="Times New Roman"/>
          <w:i/>
          <w:sz w:val="24"/>
          <w:szCs w:val="24"/>
        </w:rPr>
        <w:t>Asian Journal of Physical and Chemical Sciences, 13</w:t>
      </w:r>
      <w:r w:rsidRPr="00B37014">
        <w:rPr>
          <w:rFonts w:ascii="Times New Roman" w:eastAsia="Calibri" w:hAnsi="Times New Roman" w:cs="Times New Roman"/>
          <w:sz w:val="24"/>
          <w:szCs w:val="24"/>
        </w:rPr>
        <w:t xml:space="preserve">(4), 151–159. </w:t>
      </w:r>
      <w:hyperlink r:id="rId31">
        <w:r w:rsidRPr="00B37014">
          <w:rPr>
            <w:rFonts w:ascii="Times New Roman" w:eastAsia="Calibri" w:hAnsi="Times New Roman" w:cs="Times New Roman"/>
            <w:color w:val="000000"/>
            <w:sz w:val="24"/>
            <w:szCs w:val="24"/>
          </w:rPr>
          <w:t>https://doi.org/10.9734/ajopacs/2025/v13i4271</w:t>
        </w:r>
      </w:hyperlink>
    </w:p>
    <w:p w14:paraId="34D5B73D"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Orji-Azuka, L. N., </w:t>
      </w:r>
      <w:proofErr w:type="spellStart"/>
      <w:r w:rsidRPr="00B37014">
        <w:rPr>
          <w:rFonts w:ascii="Times New Roman" w:eastAsia="Calibri" w:hAnsi="Times New Roman" w:cs="Times New Roman"/>
          <w:sz w:val="24"/>
          <w:szCs w:val="24"/>
        </w:rPr>
        <w:t>Igwegbe</w:t>
      </w:r>
      <w:proofErr w:type="spellEnd"/>
      <w:r w:rsidRPr="00B37014">
        <w:rPr>
          <w:rFonts w:ascii="Times New Roman" w:eastAsia="Calibri" w:hAnsi="Times New Roman" w:cs="Times New Roman"/>
          <w:sz w:val="24"/>
          <w:szCs w:val="24"/>
        </w:rPr>
        <w:t xml:space="preserve">, K. C.,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w:t>
      </w:r>
      <w:proofErr w:type="spellStart"/>
      <w:r w:rsidRPr="00B37014">
        <w:rPr>
          <w:rFonts w:ascii="Times New Roman" w:eastAsia="Calibri" w:hAnsi="Times New Roman" w:cs="Times New Roman"/>
          <w:sz w:val="24"/>
          <w:szCs w:val="24"/>
        </w:rPr>
        <w:t>Ewuola</w:t>
      </w:r>
      <w:proofErr w:type="spellEnd"/>
      <w:r w:rsidRPr="00B37014">
        <w:rPr>
          <w:rFonts w:ascii="Times New Roman" w:eastAsia="Calibri" w:hAnsi="Times New Roman" w:cs="Times New Roman"/>
          <w:sz w:val="24"/>
          <w:szCs w:val="24"/>
        </w:rPr>
        <w:t xml:space="preserve">, A. A., Garuba, M. H., &amp; Etukudo, E. W. (2025). Water quality and ecotoxicological impacts of surfactants and heavy metals in urban rivers of Benin City, Niger Delta, Nigeria. </w:t>
      </w:r>
      <w:r w:rsidRPr="00B37014">
        <w:rPr>
          <w:rFonts w:ascii="Times New Roman" w:eastAsia="Calibri" w:hAnsi="Times New Roman" w:cs="Times New Roman"/>
          <w:i/>
          <w:sz w:val="24"/>
          <w:szCs w:val="24"/>
        </w:rPr>
        <w:t>Asian Journal of Geological Research, 8</w:t>
      </w:r>
      <w:r w:rsidRPr="00B37014">
        <w:rPr>
          <w:rFonts w:ascii="Times New Roman" w:eastAsia="Calibri" w:hAnsi="Times New Roman" w:cs="Times New Roman"/>
          <w:sz w:val="24"/>
          <w:szCs w:val="24"/>
        </w:rPr>
        <w:t xml:space="preserve">(3), 697–707. </w:t>
      </w:r>
      <w:hyperlink r:id="rId32">
        <w:r w:rsidRPr="00B37014">
          <w:rPr>
            <w:rFonts w:ascii="Times New Roman" w:eastAsia="Calibri" w:hAnsi="Times New Roman" w:cs="Times New Roman"/>
            <w:color w:val="000000"/>
            <w:sz w:val="24"/>
            <w:szCs w:val="24"/>
          </w:rPr>
          <w:t>https://doi.org/10.9734/ajoger/2025/v8i3223</w:t>
        </w:r>
      </w:hyperlink>
    </w:p>
    <w:p w14:paraId="05E371E3"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w:t>
      </w:r>
      <w:proofErr w:type="spellStart"/>
      <w:r w:rsidRPr="00B37014">
        <w:rPr>
          <w:rFonts w:ascii="Times New Roman" w:eastAsia="Calibri" w:hAnsi="Times New Roman" w:cs="Times New Roman"/>
          <w:sz w:val="24"/>
          <w:szCs w:val="24"/>
        </w:rPr>
        <w:t>Umeocho</w:t>
      </w:r>
      <w:proofErr w:type="spellEnd"/>
      <w:r w:rsidRPr="00B37014">
        <w:rPr>
          <w:rFonts w:ascii="Times New Roman" w:eastAsia="Calibri" w:hAnsi="Times New Roman" w:cs="Times New Roman"/>
          <w:sz w:val="24"/>
          <w:szCs w:val="24"/>
        </w:rPr>
        <w:t xml:space="preserve">, C. E., </w:t>
      </w:r>
      <w:proofErr w:type="spellStart"/>
      <w:r w:rsidRPr="00B37014">
        <w:rPr>
          <w:rFonts w:ascii="Times New Roman" w:eastAsia="Calibri" w:hAnsi="Times New Roman" w:cs="Times New Roman"/>
          <w:sz w:val="24"/>
          <w:szCs w:val="24"/>
        </w:rPr>
        <w:t>Nwokoye</w:t>
      </w:r>
      <w:proofErr w:type="spellEnd"/>
      <w:r w:rsidRPr="00B37014">
        <w:rPr>
          <w:rFonts w:ascii="Times New Roman" w:eastAsia="Calibri" w:hAnsi="Times New Roman" w:cs="Times New Roman"/>
          <w:sz w:val="24"/>
          <w:szCs w:val="24"/>
        </w:rPr>
        <w:t xml:space="preserve">, J. N., </w:t>
      </w:r>
      <w:proofErr w:type="spellStart"/>
      <w:r w:rsidRPr="00B37014">
        <w:rPr>
          <w:rFonts w:ascii="Times New Roman" w:eastAsia="Calibri" w:hAnsi="Times New Roman" w:cs="Times New Roman"/>
          <w:sz w:val="24"/>
          <w:szCs w:val="24"/>
        </w:rPr>
        <w:t>Ezekwuemen</w:t>
      </w:r>
      <w:proofErr w:type="spellEnd"/>
      <w:r w:rsidRPr="00B37014">
        <w:rPr>
          <w:rFonts w:ascii="Times New Roman" w:eastAsia="Calibri" w:hAnsi="Times New Roman" w:cs="Times New Roman"/>
          <w:sz w:val="24"/>
          <w:szCs w:val="24"/>
        </w:rPr>
        <w:t xml:space="preserve">, O. I., </w:t>
      </w:r>
      <w:proofErr w:type="spellStart"/>
      <w:r w:rsidRPr="00B37014">
        <w:rPr>
          <w:rFonts w:ascii="Times New Roman" w:eastAsia="Calibri" w:hAnsi="Times New Roman" w:cs="Times New Roman"/>
          <w:sz w:val="24"/>
          <w:szCs w:val="24"/>
        </w:rPr>
        <w:t>Alaekwe</w:t>
      </w:r>
      <w:proofErr w:type="spellEnd"/>
      <w:r w:rsidRPr="00B37014">
        <w:rPr>
          <w:rFonts w:ascii="Times New Roman" w:eastAsia="Calibri" w:hAnsi="Times New Roman" w:cs="Times New Roman"/>
          <w:sz w:val="24"/>
          <w:szCs w:val="24"/>
        </w:rPr>
        <w:t xml:space="preserve">, I. O., Odidika, C. C., </w:t>
      </w:r>
      <w:proofErr w:type="spellStart"/>
      <w:r w:rsidRPr="00B37014">
        <w:rPr>
          <w:rFonts w:ascii="Times New Roman" w:eastAsia="Calibri" w:hAnsi="Times New Roman" w:cs="Times New Roman"/>
          <w:sz w:val="24"/>
          <w:szCs w:val="24"/>
        </w:rPr>
        <w:t>Owughara</w:t>
      </w:r>
      <w:proofErr w:type="spellEnd"/>
      <w:r w:rsidRPr="00B37014">
        <w:rPr>
          <w:rFonts w:ascii="Times New Roman" w:eastAsia="Calibri" w:hAnsi="Times New Roman" w:cs="Times New Roman"/>
          <w:sz w:val="24"/>
          <w:szCs w:val="24"/>
        </w:rPr>
        <w:t xml:space="preserve">, C. N., Enyi, C. M., &amp; Kolawole, O. O. (2025). Environmental assessment of heavy metals and hydrocarbon pollution in surface waters of oil-bearing communities in Andoni, Rivers State, Nigeria. </w:t>
      </w:r>
      <w:r w:rsidRPr="00B37014">
        <w:rPr>
          <w:rFonts w:ascii="Times New Roman" w:eastAsia="Calibri" w:hAnsi="Times New Roman" w:cs="Times New Roman"/>
          <w:i/>
          <w:sz w:val="24"/>
          <w:szCs w:val="24"/>
        </w:rPr>
        <w:t>International Journal of Modern Science and Research Technology, 3</w:t>
      </w:r>
      <w:r w:rsidRPr="00B37014">
        <w:rPr>
          <w:rFonts w:ascii="Times New Roman" w:eastAsia="Calibri" w:hAnsi="Times New Roman" w:cs="Times New Roman"/>
          <w:sz w:val="24"/>
          <w:szCs w:val="24"/>
        </w:rPr>
        <w:t xml:space="preserve">(8), 22–30. </w:t>
      </w:r>
      <w:hyperlink r:id="rId33">
        <w:r w:rsidRPr="00B37014">
          <w:rPr>
            <w:rFonts w:ascii="Times New Roman" w:eastAsia="Calibri" w:hAnsi="Times New Roman" w:cs="Times New Roman"/>
            <w:color w:val="000000"/>
            <w:sz w:val="24"/>
            <w:szCs w:val="24"/>
          </w:rPr>
          <w:t>https://doi.org/10.5281/zenodo.16904018</w:t>
        </w:r>
      </w:hyperlink>
    </w:p>
    <w:p w14:paraId="0194B2F6"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Olotu, O. N., Okagbare, U. V., Okpoji, A. U., Orji-Azuka, L. N., </w:t>
      </w:r>
      <w:proofErr w:type="spellStart"/>
      <w:r w:rsidRPr="00B37014">
        <w:rPr>
          <w:rFonts w:ascii="Times New Roman" w:eastAsia="Calibri" w:hAnsi="Times New Roman" w:cs="Times New Roman"/>
          <w:sz w:val="24"/>
          <w:szCs w:val="24"/>
        </w:rPr>
        <w:t>Etesin</w:t>
      </w:r>
      <w:proofErr w:type="spellEnd"/>
      <w:r w:rsidRPr="00B37014">
        <w:rPr>
          <w:rFonts w:ascii="Times New Roman" w:eastAsia="Calibri" w:hAnsi="Times New Roman" w:cs="Times New Roman"/>
          <w:sz w:val="24"/>
          <w:szCs w:val="24"/>
        </w:rPr>
        <w:t xml:space="preserve">, M. U., &amp;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(2025). </w:t>
      </w:r>
      <w:proofErr w:type="spellStart"/>
      <w:r w:rsidRPr="00B37014">
        <w:rPr>
          <w:rFonts w:ascii="Times New Roman" w:eastAsia="Calibri" w:hAnsi="Times New Roman" w:cs="Times New Roman"/>
          <w:sz w:val="24"/>
          <w:szCs w:val="24"/>
        </w:rPr>
        <w:t>Spatio</w:t>
      </w:r>
      <w:proofErr w:type="spellEnd"/>
      <w:r w:rsidRPr="00B37014">
        <w:rPr>
          <w:rFonts w:ascii="Times New Roman" w:eastAsia="Calibri" w:hAnsi="Times New Roman" w:cs="Times New Roman"/>
          <w:sz w:val="24"/>
          <w:szCs w:val="24"/>
        </w:rPr>
        <w:t xml:space="preserve">-seasonal assessment of water and sediment quality of the </w:t>
      </w:r>
      <w:proofErr w:type="spellStart"/>
      <w:r w:rsidRPr="00B37014">
        <w:rPr>
          <w:rFonts w:ascii="Times New Roman" w:eastAsia="Calibri" w:hAnsi="Times New Roman" w:cs="Times New Roman"/>
          <w:sz w:val="24"/>
          <w:szCs w:val="24"/>
        </w:rPr>
        <w:t>Imiringi</w:t>
      </w:r>
      <w:proofErr w:type="spellEnd"/>
      <w:r w:rsidRPr="00B37014">
        <w:rPr>
          <w:rFonts w:ascii="Times New Roman" w:eastAsia="Calibri" w:hAnsi="Times New Roman" w:cs="Times New Roman"/>
          <w:sz w:val="24"/>
          <w:szCs w:val="24"/>
        </w:rPr>
        <w:t xml:space="preserve"> River and implications for fisheries and aquatic resources in the Niger Delta. </w:t>
      </w:r>
      <w:r w:rsidRPr="00B37014">
        <w:rPr>
          <w:rFonts w:ascii="Times New Roman" w:eastAsia="Calibri" w:hAnsi="Times New Roman" w:cs="Times New Roman"/>
          <w:i/>
          <w:sz w:val="24"/>
          <w:szCs w:val="24"/>
        </w:rPr>
        <w:t>Journal of Agriculture, Aquaculture, and Animal Science, 2</w:t>
      </w:r>
      <w:r w:rsidRPr="00B37014">
        <w:rPr>
          <w:rFonts w:ascii="Times New Roman" w:eastAsia="Calibri" w:hAnsi="Times New Roman" w:cs="Times New Roman"/>
          <w:sz w:val="24"/>
          <w:szCs w:val="24"/>
        </w:rPr>
        <w:t xml:space="preserve">(2), 174–184. </w:t>
      </w:r>
      <w:hyperlink r:id="rId34">
        <w:r w:rsidRPr="00B37014">
          <w:rPr>
            <w:rFonts w:ascii="Times New Roman" w:eastAsia="Calibri" w:hAnsi="Times New Roman" w:cs="Times New Roman"/>
            <w:color w:val="000000"/>
            <w:sz w:val="24"/>
            <w:szCs w:val="24"/>
          </w:rPr>
          <w:t>https://doi.org/10.69739/jaaas.v2i2.1309</w:t>
        </w:r>
      </w:hyperlink>
    </w:p>
    <w:p w14:paraId="40A24243" w14:textId="77777777" w:rsidR="001E1693" w:rsidRPr="00B37014" w:rsidRDefault="001E1693" w:rsidP="001E1693">
      <w:pPr>
        <w:pStyle w:val="NormalWeb"/>
        <w:ind w:left="811" w:hanging="720"/>
        <w:jc w:val="both"/>
      </w:pPr>
      <w:proofErr w:type="spellStart"/>
      <w:r w:rsidRPr="00B37014">
        <w:t>Onuchukwu</w:t>
      </w:r>
      <w:proofErr w:type="spellEnd"/>
      <w:r w:rsidRPr="00B37014">
        <w:t xml:space="preserve">, E. E., </w:t>
      </w:r>
      <w:proofErr w:type="spellStart"/>
      <w:r w:rsidRPr="00B37014">
        <w:t>Emeagubor</w:t>
      </w:r>
      <w:proofErr w:type="spellEnd"/>
      <w:r w:rsidRPr="00B37014">
        <w:t xml:space="preserve">, A. O., Anaekwe, M. U., &amp; </w:t>
      </w:r>
      <w:proofErr w:type="spellStart"/>
      <w:r w:rsidRPr="00B37014">
        <w:t>Okpoji</w:t>
      </w:r>
      <w:proofErr w:type="spellEnd"/>
      <w:r w:rsidRPr="00B37014">
        <w:t xml:space="preserve">, A. U. (2026). Influence of gully erosion on groundwater quality in South Eastern Nigeria. </w:t>
      </w:r>
      <w:r w:rsidRPr="00B37014">
        <w:rPr>
          <w:rStyle w:val="Emphasis"/>
        </w:rPr>
        <w:t>Asian Journal of Environment &amp; Ecology, 25</w:t>
      </w:r>
      <w:r w:rsidRPr="00B37014">
        <w:t xml:space="preserve">(8), 173–185. </w:t>
      </w:r>
      <w:hyperlink r:id="rId35" w:history="1">
        <w:r w:rsidRPr="00B37014">
          <w:rPr>
            <w:rStyle w:val="Hyperlink"/>
          </w:rPr>
          <w:t>https://doi.org/10.9734/ajee/2026/v25i8992</w:t>
        </w:r>
      </w:hyperlink>
    </w:p>
    <w:p w14:paraId="2BD4D55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Shi, J., Zhang, K., Xiao, T., Yang, J., Sun, Y., Yang, C., Dai, H., &amp; Yang, W. (2024). Exposure to disinfection by-products and risk of cancer: A systematic review and dose-response meta-analysis. </w:t>
      </w:r>
      <w:r w:rsidRPr="00B37014">
        <w:rPr>
          <w:rFonts w:ascii="Times New Roman" w:eastAsia="Calibri" w:hAnsi="Times New Roman" w:cs="Times New Roman"/>
          <w:i/>
          <w:sz w:val="24"/>
          <w:szCs w:val="24"/>
        </w:rPr>
        <w:t>Ecotoxicology and Environmental Safety, 270</w:t>
      </w:r>
      <w:r w:rsidRPr="00B37014">
        <w:rPr>
          <w:rFonts w:ascii="Times New Roman" w:eastAsia="Calibri" w:hAnsi="Times New Roman" w:cs="Times New Roman"/>
          <w:sz w:val="24"/>
          <w:szCs w:val="24"/>
        </w:rPr>
        <w:t xml:space="preserve">, 115925. </w:t>
      </w:r>
      <w:hyperlink r:id="rId36">
        <w:r w:rsidRPr="00B37014">
          <w:rPr>
            <w:rFonts w:ascii="Times New Roman" w:eastAsia="Calibri" w:hAnsi="Times New Roman" w:cs="Times New Roman"/>
            <w:color w:val="000000"/>
            <w:sz w:val="24"/>
            <w:szCs w:val="24"/>
          </w:rPr>
          <w:t>https://doi.org/10.1016/j.ecoenv.2023.115925</w:t>
        </w:r>
      </w:hyperlink>
    </w:p>
    <w:p w14:paraId="1F09371C" w14:textId="77777777" w:rsidR="001E1693" w:rsidRPr="00B37014" w:rsidRDefault="001E1693" w:rsidP="001E1693">
      <w:pPr>
        <w:pStyle w:val="NormalWeb"/>
        <w:ind w:left="811" w:hanging="720"/>
        <w:jc w:val="both"/>
      </w:pPr>
      <w:proofErr w:type="spellStart"/>
      <w:r w:rsidRPr="00B37014">
        <w:t>Umueni</w:t>
      </w:r>
      <w:proofErr w:type="spellEnd"/>
      <w:r w:rsidRPr="00B37014">
        <w:t xml:space="preserve">, U. E., Anaekwe, M. U., </w:t>
      </w:r>
      <w:proofErr w:type="spellStart"/>
      <w:r w:rsidRPr="00B37014">
        <w:t>Omuluche</w:t>
      </w:r>
      <w:proofErr w:type="spellEnd"/>
      <w:r w:rsidRPr="00B37014">
        <w:t xml:space="preserve">, C. O., &amp; </w:t>
      </w:r>
      <w:proofErr w:type="spellStart"/>
      <w:r w:rsidRPr="00B37014">
        <w:t>Okpoji</w:t>
      </w:r>
      <w:proofErr w:type="spellEnd"/>
      <w:r w:rsidRPr="00B37014">
        <w:t xml:space="preserve">, A. U. (2026). </w:t>
      </w:r>
      <w:proofErr w:type="spellStart"/>
      <w:r w:rsidRPr="00B37014">
        <w:t>Hydrochemical</w:t>
      </w:r>
      <w:proofErr w:type="spellEnd"/>
      <w:r w:rsidRPr="00B37014">
        <w:t xml:space="preserve"> evolution and seawater intrusion processes in coastal aquifers of the Niger Delta, Nigeria. </w:t>
      </w:r>
      <w:r w:rsidRPr="00B37014">
        <w:rPr>
          <w:rStyle w:val="Emphasis"/>
        </w:rPr>
        <w:t>Asian Journal of Geographical Research, 9</w:t>
      </w:r>
      <w:r w:rsidRPr="00B37014">
        <w:t xml:space="preserve">(3), 403–417. </w:t>
      </w:r>
      <w:hyperlink r:id="rId37" w:history="1">
        <w:r w:rsidRPr="00B37014">
          <w:rPr>
            <w:rStyle w:val="Hyperlink"/>
          </w:rPr>
          <w:t>https://doi.org/10.9734/ajgr/2026/v9i3438#</w:t>
        </w:r>
      </w:hyperlink>
    </w:p>
    <w:p w14:paraId="3F93F21B"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Umueni</w:t>
      </w:r>
      <w:proofErr w:type="spellEnd"/>
      <w:r w:rsidRPr="00B37014">
        <w:rPr>
          <w:rFonts w:ascii="Times New Roman" w:eastAsia="Calibri" w:hAnsi="Times New Roman" w:cs="Times New Roman"/>
          <w:sz w:val="24"/>
          <w:szCs w:val="24"/>
        </w:rPr>
        <w:t xml:space="preserve">, U. E., Etukudo, N. J., Okoye, P. I., </w:t>
      </w:r>
      <w:proofErr w:type="spellStart"/>
      <w:r w:rsidRPr="00B37014">
        <w:rPr>
          <w:rFonts w:ascii="Times New Roman" w:eastAsia="Calibri" w:hAnsi="Times New Roman" w:cs="Times New Roman"/>
          <w:sz w:val="24"/>
          <w:szCs w:val="24"/>
        </w:rPr>
        <w:t>Okpoji</w:t>
      </w:r>
      <w:proofErr w:type="spellEnd"/>
      <w:r w:rsidRPr="00B37014">
        <w:rPr>
          <w:rFonts w:ascii="Times New Roman" w:eastAsia="Calibri" w:hAnsi="Times New Roman" w:cs="Times New Roman"/>
          <w:sz w:val="24"/>
          <w:szCs w:val="24"/>
        </w:rPr>
        <w:t xml:space="preserve">, A. U., Eze, V. C., </w:t>
      </w:r>
      <w:proofErr w:type="spellStart"/>
      <w:r w:rsidRPr="00B37014">
        <w:rPr>
          <w:rFonts w:ascii="Times New Roman" w:eastAsia="Calibri" w:hAnsi="Times New Roman" w:cs="Times New Roman"/>
          <w:sz w:val="24"/>
          <w:szCs w:val="24"/>
        </w:rPr>
        <w:t>Aningo</w:t>
      </w:r>
      <w:proofErr w:type="spellEnd"/>
      <w:r w:rsidRPr="00B37014">
        <w:rPr>
          <w:rFonts w:ascii="Times New Roman" w:eastAsia="Calibri" w:hAnsi="Times New Roman" w:cs="Times New Roman"/>
          <w:sz w:val="24"/>
          <w:szCs w:val="24"/>
        </w:rPr>
        <w:t xml:space="preserve">, G. N., </w:t>
      </w:r>
      <w:proofErr w:type="spellStart"/>
      <w:r w:rsidRPr="00B37014">
        <w:rPr>
          <w:rFonts w:ascii="Times New Roman" w:eastAsia="Calibri" w:hAnsi="Times New Roman" w:cs="Times New Roman"/>
          <w:sz w:val="24"/>
          <w:szCs w:val="24"/>
        </w:rPr>
        <w:t>Ekwere</w:t>
      </w:r>
      <w:proofErr w:type="spellEnd"/>
      <w:r w:rsidRPr="00B37014">
        <w:rPr>
          <w:rFonts w:ascii="Times New Roman" w:eastAsia="Calibri" w:hAnsi="Times New Roman" w:cs="Times New Roman"/>
          <w:sz w:val="24"/>
          <w:szCs w:val="24"/>
        </w:rPr>
        <w:t xml:space="preserve">, I. O., &amp; Garuba, M. H. (2025). Geochemical and ecological risk assessment of petroleum hydrocarbons in sediments of </w:t>
      </w:r>
      <w:proofErr w:type="spellStart"/>
      <w:r w:rsidRPr="00B37014">
        <w:rPr>
          <w:rFonts w:ascii="Times New Roman" w:eastAsia="Calibri" w:hAnsi="Times New Roman" w:cs="Times New Roman"/>
          <w:sz w:val="24"/>
          <w:szCs w:val="24"/>
        </w:rPr>
        <w:t>Forcados</w:t>
      </w:r>
      <w:proofErr w:type="spellEnd"/>
      <w:r w:rsidRPr="00B37014">
        <w:rPr>
          <w:rFonts w:ascii="Times New Roman" w:eastAsia="Calibri" w:hAnsi="Times New Roman" w:cs="Times New Roman"/>
          <w:sz w:val="24"/>
          <w:szCs w:val="24"/>
        </w:rPr>
        <w:t xml:space="preserve"> River, Delta State. </w:t>
      </w:r>
      <w:r w:rsidRPr="00B37014">
        <w:rPr>
          <w:rFonts w:ascii="Times New Roman" w:eastAsia="Calibri" w:hAnsi="Times New Roman" w:cs="Times New Roman"/>
          <w:i/>
          <w:sz w:val="24"/>
          <w:szCs w:val="24"/>
        </w:rPr>
        <w:t>Asian Journal of Geographical Research, 8</w:t>
      </w:r>
      <w:r w:rsidRPr="00B37014">
        <w:rPr>
          <w:rFonts w:ascii="Times New Roman" w:eastAsia="Calibri" w:hAnsi="Times New Roman" w:cs="Times New Roman"/>
          <w:sz w:val="24"/>
          <w:szCs w:val="24"/>
        </w:rPr>
        <w:t xml:space="preserve">(4), 287–298. </w:t>
      </w:r>
      <w:hyperlink r:id="rId38">
        <w:r w:rsidRPr="00B37014">
          <w:rPr>
            <w:rFonts w:ascii="Times New Roman" w:eastAsia="Calibri" w:hAnsi="Times New Roman" w:cs="Times New Roman"/>
            <w:color w:val="000000"/>
            <w:sz w:val="24"/>
            <w:szCs w:val="24"/>
          </w:rPr>
          <w:t>https://doi.org/10.9734/ajgr/2025/v8i4337</w:t>
        </w:r>
      </w:hyperlink>
    </w:p>
    <w:p w14:paraId="29BBD3D8"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proofErr w:type="spellStart"/>
      <w:r w:rsidRPr="00B37014">
        <w:rPr>
          <w:rFonts w:ascii="Times New Roman" w:eastAsia="Calibri" w:hAnsi="Times New Roman" w:cs="Times New Roman"/>
          <w:sz w:val="24"/>
          <w:szCs w:val="24"/>
        </w:rPr>
        <w:t>Umueni</w:t>
      </w:r>
      <w:proofErr w:type="spellEnd"/>
      <w:r w:rsidRPr="00B37014">
        <w:rPr>
          <w:rFonts w:ascii="Times New Roman" w:eastAsia="Calibri" w:hAnsi="Times New Roman" w:cs="Times New Roman"/>
          <w:sz w:val="24"/>
          <w:szCs w:val="24"/>
        </w:rPr>
        <w:t xml:space="preserve">, U. E., Ogbaji, H. O., Okpoji, A. U., Osuagwu, E. L., Akpan, N. A., Ekpe, J. E., </w:t>
      </w:r>
      <w:proofErr w:type="spellStart"/>
      <w:r w:rsidRPr="00B37014">
        <w:rPr>
          <w:rFonts w:ascii="Times New Roman" w:eastAsia="Calibri" w:hAnsi="Times New Roman" w:cs="Times New Roman"/>
          <w:sz w:val="24"/>
          <w:szCs w:val="24"/>
        </w:rPr>
        <w:t>Okabekwe</w:t>
      </w:r>
      <w:proofErr w:type="spellEnd"/>
      <w:r w:rsidRPr="00B37014">
        <w:rPr>
          <w:rFonts w:ascii="Times New Roman" w:eastAsia="Calibri" w:hAnsi="Times New Roman" w:cs="Times New Roman"/>
          <w:sz w:val="24"/>
          <w:szCs w:val="24"/>
        </w:rPr>
        <w:t xml:space="preserve">, V. C., Anumaka, C. C., </w:t>
      </w:r>
      <w:proofErr w:type="spellStart"/>
      <w:r w:rsidRPr="00B37014">
        <w:rPr>
          <w:rFonts w:ascii="Times New Roman" w:eastAsia="Calibri" w:hAnsi="Times New Roman" w:cs="Times New Roman"/>
          <w:sz w:val="24"/>
          <w:szCs w:val="24"/>
        </w:rPr>
        <w:t>Obiefuna</w:t>
      </w:r>
      <w:proofErr w:type="spellEnd"/>
      <w:r w:rsidRPr="00B37014">
        <w:rPr>
          <w:rFonts w:ascii="Times New Roman" w:eastAsia="Calibri" w:hAnsi="Times New Roman" w:cs="Times New Roman"/>
          <w:sz w:val="24"/>
          <w:szCs w:val="24"/>
        </w:rPr>
        <w:t xml:space="preserve">, G. C., &amp; Warder, A. B. (2026). Assessing hydrological and sediment factors for ecotoxicological risk of the </w:t>
      </w:r>
      <w:proofErr w:type="spellStart"/>
      <w:r w:rsidRPr="00B37014">
        <w:rPr>
          <w:rFonts w:ascii="Times New Roman" w:eastAsia="Calibri" w:hAnsi="Times New Roman" w:cs="Times New Roman"/>
          <w:sz w:val="24"/>
          <w:szCs w:val="24"/>
        </w:rPr>
        <w:t>Orashi</w:t>
      </w:r>
      <w:proofErr w:type="spellEnd"/>
      <w:r w:rsidRPr="00B37014">
        <w:rPr>
          <w:rFonts w:ascii="Times New Roman" w:eastAsia="Calibri" w:hAnsi="Times New Roman" w:cs="Times New Roman"/>
          <w:sz w:val="24"/>
          <w:szCs w:val="24"/>
        </w:rPr>
        <w:t xml:space="preserve"> River, Rivers State, Nigeria. </w:t>
      </w:r>
      <w:r w:rsidRPr="00B37014">
        <w:rPr>
          <w:rFonts w:ascii="Times New Roman" w:eastAsia="Calibri" w:hAnsi="Times New Roman" w:cs="Times New Roman"/>
          <w:i/>
          <w:sz w:val="24"/>
          <w:szCs w:val="24"/>
        </w:rPr>
        <w:t>Asian Journal of Geological Research, 9</w:t>
      </w:r>
      <w:r w:rsidRPr="00B37014">
        <w:rPr>
          <w:rFonts w:ascii="Times New Roman" w:eastAsia="Calibri" w:hAnsi="Times New Roman" w:cs="Times New Roman"/>
          <w:sz w:val="24"/>
          <w:szCs w:val="24"/>
        </w:rPr>
        <w:t xml:space="preserve">(1), 101–114. </w:t>
      </w:r>
      <w:hyperlink r:id="rId39">
        <w:r w:rsidRPr="00B37014">
          <w:rPr>
            <w:rFonts w:ascii="Times New Roman" w:eastAsia="Calibri" w:hAnsi="Times New Roman" w:cs="Times New Roman"/>
            <w:color w:val="000000"/>
            <w:sz w:val="24"/>
            <w:szCs w:val="24"/>
          </w:rPr>
          <w:t>https://doi.org/10.9734/ajoger/2026/v9i1230</w:t>
        </w:r>
      </w:hyperlink>
    </w:p>
    <w:p w14:paraId="25BADDB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United States Environmental Protection Agency. (n.d.). </w:t>
      </w:r>
      <w:r w:rsidRPr="00B37014">
        <w:rPr>
          <w:rFonts w:ascii="Times New Roman" w:eastAsia="Calibri" w:hAnsi="Times New Roman" w:cs="Times New Roman"/>
          <w:i/>
          <w:sz w:val="24"/>
          <w:szCs w:val="24"/>
        </w:rPr>
        <w:t>National primary drinking water regulations.</w:t>
      </w:r>
      <w:r w:rsidRPr="00B37014">
        <w:rPr>
          <w:rFonts w:ascii="Times New Roman" w:eastAsia="Calibri" w:hAnsi="Times New Roman" w:cs="Times New Roman"/>
          <w:sz w:val="24"/>
          <w:szCs w:val="24"/>
        </w:rPr>
        <w:t xml:space="preserve"> </w:t>
      </w:r>
      <w:hyperlink r:id="rId40">
        <w:r w:rsidRPr="00B37014">
          <w:rPr>
            <w:rFonts w:ascii="Times New Roman" w:eastAsia="Calibri" w:hAnsi="Times New Roman" w:cs="Times New Roman"/>
            <w:color w:val="000000"/>
            <w:sz w:val="24"/>
            <w:szCs w:val="24"/>
          </w:rPr>
          <w:t>https://www.epa.gov/ground-water-and-drinking-water/national-primary-drinking-water-regulations</w:t>
        </w:r>
      </w:hyperlink>
    </w:p>
    <w:p w14:paraId="0CD94E1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World Health Organization. (2022). </w:t>
      </w:r>
      <w:r w:rsidRPr="00B37014">
        <w:rPr>
          <w:rFonts w:ascii="Times New Roman" w:eastAsia="Calibri" w:hAnsi="Times New Roman" w:cs="Times New Roman"/>
          <w:i/>
          <w:sz w:val="24"/>
          <w:szCs w:val="24"/>
        </w:rPr>
        <w:t>Guidelines for drinking-water quality: Fourth edition incorporating the first and second addenda.</w:t>
      </w:r>
      <w:r w:rsidRPr="00B37014">
        <w:rPr>
          <w:rFonts w:ascii="Times New Roman" w:eastAsia="Calibri" w:hAnsi="Times New Roman" w:cs="Times New Roman"/>
          <w:sz w:val="24"/>
          <w:szCs w:val="24"/>
        </w:rPr>
        <w:t xml:space="preserve"> </w:t>
      </w:r>
      <w:hyperlink r:id="rId41">
        <w:r w:rsidRPr="00B37014">
          <w:rPr>
            <w:rFonts w:ascii="Times New Roman" w:eastAsia="Calibri" w:hAnsi="Times New Roman" w:cs="Times New Roman"/>
            <w:color w:val="000000"/>
            <w:sz w:val="24"/>
            <w:szCs w:val="24"/>
          </w:rPr>
          <w:t>https://www.who.int/southeastasia/publications/i/item/9789240045064</w:t>
        </w:r>
      </w:hyperlink>
    </w:p>
    <w:p w14:paraId="07958533" w14:textId="77777777" w:rsidR="001E1693" w:rsidRPr="00B37014" w:rsidRDefault="001E1693" w:rsidP="001E1693">
      <w:pPr>
        <w:jc w:val="both"/>
        <w:rPr>
          <w:rFonts w:ascii="Times New Roman" w:hAnsi="Times New Roman" w:cs="Times New Roman"/>
          <w:sz w:val="24"/>
          <w:szCs w:val="24"/>
        </w:rPr>
      </w:pPr>
    </w:p>
    <w:p w14:paraId="18307DEE" w14:textId="77777777" w:rsidR="00013089" w:rsidRPr="001E1693" w:rsidRDefault="00013089" w:rsidP="001E1693"/>
    <w:sectPr w:rsidR="00013089" w:rsidRPr="001E1693">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7AA9" w14:textId="77777777" w:rsidR="00A82784" w:rsidRDefault="00A82784" w:rsidP="00284454">
      <w:pPr>
        <w:spacing w:after="0" w:line="240" w:lineRule="auto"/>
      </w:pPr>
      <w:r>
        <w:separator/>
      </w:r>
    </w:p>
  </w:endnote>
  <w:endnote w:type="continuationSeparator" w:id="0">
    <w:p w14:paraId="3B631AE0" w14:textId="77777777" w:rsidR="00A82784" w:rsidRDefault="00A82784" w:rsidP="00284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B6E4" w14:textId="77777777" w:rsidR="00284454" w:rsidRDefault="002844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40D0" w14:textId="77777777" w:rsidR="00284454" w:rsidRDefault="002844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C79AC" w14:textId="77777777" w:rsidR="00284454" w:rsidRDefault="00284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6071D" w14:textId="77777777" w:rsidR="00A82784" w:rsidRDefault="00A82784" w:rsidP="00284454">
      <w:pPr>
        <w:spacing w:after="0" w:line="240" w:lineRule="auto"/>
      </w:pPr>
      <w:r>
        <w:separator/>
      </w:r>
    </w:p>
  </w:footnote>
  <w:footnote w:type="continuationSeparator" w:id="0">
    <w:p w14:paraId="7B4C6B91" w14:textId="77777777" w:rsidR="00A82784" w:rsidRDefault="00A82784" w:rsidP="00284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FB8A" w14:textId="79A7827D" w:rsidR="00284454" w:rsidRDefault="00284454">
    <w:pPr>
      <w:pStyle w:val="Header"/>
    </w:pPr>
    <w:r>
      <w:rPr>
        <w:noProof/>
      </w:rPr>
      <w:pict w14:anchorId="52A0B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15A7" w14:textId="3B39F11D" w:rsidR="00284454" w:rsidRDefault="00284454">
    <w:pPr>
      <w:pStyle w:val="Header"/>
    </w:pPr>
    <w:r>
      <w:rPr>
        <w:noProof/>
      </w:rPr>
      <w:pict w14:anchorId="538F4A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0DCF" w14:textId="3BD77CA7" w:rsidR="00284454" w:rsidRDefault="00284454">
    <w:pPr>
      <w:pStyle w:val="Header"/>
    </w:pPr>
    <w:r>
      <w:rPr>
        <w:noProof/>
      </w:rPr>
      <w:pict w14:anchorId="5C18BB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20511"/>
    <w:multiLevelType w:val="multilevel"/>
    <w:tmpl w:val="1A02051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618B5936"/>
    <w:multiLevelType w:val="multilevel"/>
    <w:tmpl w:val="6DAE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468039">
    <w:abstractNumId w:val="1"/>
  </w:num>
  <w:num w:numId="2" w16cid:durableId="478502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89"/>
    <w:rsid w:val="00013089"/>
    <w:rsid w:val="001E1693"/>
    <w:rsid w:val="00284454"/>
    <w:rsid w:val="004913C5"/>
    <w:rsid w:val="00515769"/>
    <w:rsid w:val="007A790E"/>
    <w:rsid w:val="008D6763"/>
    <w:rsid w:val="00A82784"/>
    <w:rsid w:val="00AD2F60"/>
    <w:rsid w:val="00B54FE5"/>
    <w:rsid w:val="00CF3AF4"/>
    <w:rsid w:val="00F3199C"/>
    <w:rsid w:val="00F90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1E031"/>
  <w15:chartTrackingRefBased/>
  <w15:docId w15:val="{ADA9E556-6904-4103-AF00-7D290954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693"/>
  </w:style>
  <w:style w:type="paragraph" w:styleId="Heading1">
    <w:name w:val="heading 1"/>
    <w:basedOn w:val="Normal"/>
    <w:link w:val="Heading1Char"/>
    <w:uiPriority w:val="9"/>
    <w:qFormat/>
    <w:rsid w:val="000130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1308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08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1308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0130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13089"/>
    <w:rPr>
      <w:b/>
      <w:bCs/>
    </w:rPr>
  </w:style>
  <w:style w:type="character" w:styleId="Emphasis">
    <w:name w:val="Emphasis"/>
    <w:basedOn w:val="DefaultParagraphFont"/>
    <w:uiPriority w:val="20"/>
    <w:qFormat/>
    <w:rsid w:val="00013089"/>
    <w:rPr>
      <w:i/>
      <w:iCs/>
    </w:rPr>
  </w:style>
  <w:style w:type="table" w:styleId="TableGrid">
    <w:name w:val="Table Grid"/>
    <w:basedOn w:val="TableNormal"/>
    <w:uiPriority w:val="39"/>
    <w:rsid w:val="00013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3089"/>
    <w:rPr>
      <w:color w:val="0563C1" w:themeColor="hyperlink"/>
      <w:u w:val="single"/>
    </w:rPr>
  </w:style>
  <w:style w:type="paragraph" w:styleId="Header">
    <w:name w:val="header"/>
    <w:basedOn w:val="Normal"/>
    <w:link w:val="HeaderChar"/>
    <w:uiPriority w:val="99"/>
    <w:unhideWhenUsed/>
    <w:rsid w:val="002844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454"/>
  </w:style>
  <w:style w:type="paragraph" w:styleId="Footer">
    <w:name w:val="footer"/>
    <w:basedOn w:val="Normal"/>
    <w:link w:val="FooterChar"/>
    <w:uiPriority w:val="99"/>
    <w:unhideWhenUsed/>
    <w:rsid w:val="002844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69881">
      <w:bodyDiv w:val="1"/>
      <w:marLeft w:val="0"/>
      <w:marRight w:val="0"/>
      <w:marTop w:val="0"/>
      <w:marBottom w:val="0"/>
      <w:divBdr>
        <w:top w:val="none" w:sz="0" w:space="0" w:color="auto"/>
        <w:left w:val="none" w:sz="0" w:space="0" w:color="auto"/>
        <w:bottom w:val="none" w:sz="0" w:space="0" w:color="auto"/>
        <w:right w:val="none" w:sz="0" w:space="0" w:color="auto"/>
      </w:divBdr>
    </w:div>
    <w:div w:id="685518487">
      <w:bodyDiv w:val="1"/>
      <w:marLeft w:val="0"/>
      <w:marRight w:val="0"/>
      <w:marTop w:val="0"/>
      <w:marBottom w:val="0"/>
      <w:divBdr>
        <w:top w:val="none" w:sz="0" w:space="0" w:color="auto"/>
        <w:left w:val="none" w:sz="0" w:space="0" w:color="auto"/>
        <w:bottom w:val="none" w:sz="0" w:space="0" w:color="auto"/>
        <w:right w:val="none" w:sz="0" w:space="0" w:color="auto"/>
      </w:divBdr>
    </w:div>
    <w:div w:id="1260257687">
      <w:bodyDiv w:val="1"/>
      <w:marLeft w:val="0"/>
      <w:marRight w:val="0"/>
      <w:marTop w:val="0"/>
      <w:marBottom w:val="0"/>
      <w:divBdr>
        <w:top w:val="none" w:sz="0" w:space="0" w:color="auto"/>
        <w:left w:val="none" w:sz="0" w:space="0" w:color="auto"/>
        <w:bottom w:val="none" w:sz="0" w:space="0" w:color="auto"/>
        <w:right w:val="none" w:sz="0" w:space="0" w:color="auto"/>
      </w:divBdr>
    </w:div>
    <w:div w:id="1839031203">
      <w:bodyDiv w:val="1"/>
      <w:marLeft w:val="0"/>
      <w:marRight w:val="0"/>
      <w:marTop w:val="0"/>
      <w:marBottom w:val="0"/>
      <w:divBdr>
        <w:top w:val="none" w:sz="0" w:space="0" w:color="auto"/>
        <w:left w:val="none" w:sz="0" w:space="0" w:color="auto"/>
        <w:bottom w:val="none" w:sz="0" w:space="0" w:color="auto"/>
        <w:right w:val="none" w:sz="0" w:space="0" w:color="auto"/>
      </w:divBdr>
    </w:div>
    <w:div w:id="199945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69739/jece.v2i2.952" TargetMode="External"/><Relationship Id="rId18" Type="http://schemas.openxmlformats.org/officeDocument/2006/relationships/hyperlink" Target="https://doi.org/10.9734/ajahr/2026/v13i1436" TargetMode="External"/><Relationship Id="rId26" Type="http://schemas.openxmlformats.org/officeDocument/2006/relationships/hyperlink" Target="https://doi.org/10.69739/jece.v2i2.1078" TargetMode="External"/><Relationship Id="rId39" Type="http://schemas.openxmlformats.org/officeDocument/2006/relationships/hyperlink" Target="https://doi.org/10.9734/ajoger/2026/v9i1230" TargetMode="External"/><Relationship Id="rId21" Type="http://schemas.openxmlformats.org/officeDocument/2006/relationships/hyperlink" Target="https://doi.org/10.51470/ER.2026.8.1.191" TargetMode="External"/><Relationship Id="rId34" Type="http://schemas.openxmlformats.org/officeDocument/2006/relationships/hyperlink" Target="https://doi.org/10.69739/jaaas.v2i2.1309"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hyperlink" Target="https://doi.org/10.9734/ajee/2025/v24i11822" TargetMode="External"/><Relationship Id="rId2" Type="http://schemas.openxmlformats.org/officeDocument/2006/relationships/styles" Target="styles.xml"/><Relationship Id="rId16" Type="http://schemas.openxmlformats.org/officeDocument/2006/relationships/hyperlink" Target="https://doi.org/10.9734/ajoger/2026/v9i33270" TargetMode="External"/><Relationship Id="rId29" Type="http://schemas.openxmlformats.org/officeDocument/2006/relationships/hyperlink" Target="https://doi.org/10.69739/jece.v2i2.844" TargetMode="External"/><Relationship Id="rId11" Type="http://schemas.openxmlformats.org/officeDocument/2006/relationships/hyperlink" Target="https://doi.org/10.56557/jogee/2026/v22i110220" TargetMode="External"/><Relationship Id="rId24" Type="http://schemas.openxmlformats.org/officeDocument/2006/relationships/hyperlink" Target="https://doi.org/10.9734/ajgr/2025/v8i4341" TargetMode="External"/><Relationship Id="rId32" Type="http://schemas.openxmlformats.org/officeDocument/2006/relationships/hyperlink" Target="https://doi.org/10.9734/ajoger/2025/v8i3223" TargetMode="External"/><Relationship Id="rId37" Type="http://schemas.openxmlformats.org/officeDocument/2006/relationships/hyperlink" Target="https://doi.org/10.9734/ajgr/2026/v9i3438" TargetMode="External"/><Relationship Id="rId40" Type="http://schemas.openxmlformats.org/officeDocument/2006/relationships/hyperlink" Target="https://www.epa.gov/ground-water-and-drinking-water/national-primary-drinking-water-regulations"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9734/ajoger/2026/v9i3270" TargetMode="External"/><Relationship Id="rId23" Type="http://schemas.openxmlformats.org/officeDocument/2006/relationships/hyperlink" Target="https://doi.org/10.65756/pjmms.202604.009" TargetMode="External"/><Relationship Id="rId28" Type="http://schemas.openxmlformats.org/officeDocument/2006/relationships/hyperlink" Target="https://doi.org/10.5281/zenodo.16921896" TargetMode="External"/><Relationship Id="rId36" Type="http://schemas.openxmlformats.org/officeDocument/2006/relationships/hyperlink" Target="https://doi.org/10.1016/j.ecoenv.2023.115925" TargetMode="External"/><Relationship Id="rId49" Type="http://schemas.openxmlformats.org/officeDocument/2006/relationships/theme" Target="theme/theme1.xml"/><Relationship Id="rId10" Type="http://schemas.openxmlformats.org/officeDocument/2006/relationships/hyperlink" Target="https://doi.org/10.9734/ajee/2023/v21i4469" TargetMode="External"/><Relationship Id="rId19" Type="http://schemas.openxmlformats.org/officeDocument/2006/relationships/hyperlink" Target="https://doi.org/10.9734/ajriz/2026/v9i1239" TargetMode="External"/><Relationship Id="rId31" Type="http://schemas.openxmlformats.org/officeDocument/2006/relationships/hyperlink" Target="https://doi.org/10.9734/ajopacs/2025/v13i4271"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55677/ijlsar/V05I07Y2026-01" TargetMode="External"/><Relationship Id="rId14" Type="http://schemas.openxmlformats.org/officeDocument/2006/relationships/hyperlink" Target="https://doi.org/10.69739/jmsbc.v2i2.1258" TargetMode="External"/><Relationship Id="rId22" Type="http://schemas.openxmlformats.org/officeDocument/2006/relationships/hyperlink" Target="https://doi.org/10.1021/acs.est.7b05440" TargetMode="External"/><Relationship Id="rId27" Type="http://schemas.openxmlformats.org/officeDocument/2006/relationships/hyperlink" Target="https://doi.org/10.56557/japsi/2025/v17i210026" TargetMode="External"/><Relationship Id="rId30" Type="http://schemas.openxmlformats.org/officeDocument/2006/relationships/hyperlink" Target="https://doi.org/10.9734/ajocs/2025/v15i6402" TargetMode="External"/><Relationship Id="rId35" Type="http://schemas.openxmlformats.org/officeDocument/2006/relationships/hyperlink" Target="https://doi.org/10.9734/ajee/2026/v25i8992"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s://doi.org/10.17140/PHOJ.11.01.507" TargetMode="External"/><Relationship Id="rId3" Type="http://schemas.openxmlformats.org/officeDocument/2006/relationships/settings" Target="settings.xml"/><Relationship Id="rId12" Type="http://schemas.openxmlformats.org/officeDocument/2006/relationships/hyperlink" Target="https://doi.org/10.5281/zenodo.17148360" TargetMode="External"/><Relationship Id="rId17" Type="http://schemas.openxmlformats.org/officeDocument/2006/relationships/hyperlink" Target="https://doi.org/10.69739/sjet.v2i2.1308" TargetMode="External"/><Relationship Id="rId25" Type="http://schemas.openxmlformats.org/officeDocument/2006/relationships/hyperlink" Target="https://doi.org/10.9734/ajriz/2026/v9i1243" TargetMode="External"/><Relationship Id="rId33" Type="http://schemas.openxmlformats.org/officeDocument/2006/relationships/hyperlink" Target="https://doi.org/10.5281/zenodo.16904018" TargetMode="External"/><Relationship Id="rId38" Type="http://schemas.openxmlformats.org/officeDocument/2006/relationships/hyperlink" Target="https://doi.org/10.9734/ajgr/2025/v8i4337" TargetMode="External"/><Relationship Id="rId46" Type="http://schemas.openxmlformats.org/officeDocument/2006/relationships/header" Target="header3.xml"/><Relationship Id="rId20" Type="http://schemas.openxmlformats.org/officeDocument/2006/relationships/hyperlink" Target="https://doi.org/10.51470/ER.2026.8.1.191" TargetMode="External"/><Relationship Id="rId41" Type="http://schemas.openxmlformats.org/officeDocument/2006/relationships/hyperlink" Target="https://www.who.int/southeastasia/publications/i/item/9789240045064"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21</Pages>
  <Words>10043</Words>
  <Characters>57250</Characters>
  <Application>Microsoft Office Word</Application>
  <DocSecurity>0</DocSecurity>
  <Lines>477</Lines>
  <Paragraphs>134</Paragraphs>
  <ScaleCrop>false</ScaleCrop>
  <Company/>
  <LinksUpToDate>false</LinksUpToDate>
  <CharactersWithSpaces>67159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OTOKWALA</dc:creator>
  <cp:keywords/>
  <dc:description/>
  <cp:lastModifiedBy>SDI 1166</cp:lastModifiedBy>
  <cp:revision>9</cp:revision>
  <dcterms:created xsi:type="dcterms:W3CDTF">2026-09-17T07:04:00Z</dcterms:created>
  <dcterms:modified xsi:type="dcterms:W3CDTF">2026-09-18T09:49:00Z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868aeb5e-c192-4d92-90b3-6454f2e49326</vt:lpwstr>
  </property>
</Properties>
</file>