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81EE3" w14:textId="77777777" w:rsidR="00F51D9B" w:rsidRPr="006D641C" w:rsidRDefault="00F51D9B" w:rsidP="00F51D9B">
      <w:pPr>
        <w:pStyle w:val="Author"/>
        <w:spacing w:line="240" w:lineRule="auto"/>
        <w:outlineLvl w:val="0"/>
        <w:rPr>
          <w:rFonts w:ascii="Arial" w:hAnsi="Arial" w:cs="Arial"/>
          <w:bCs/>
          <w:i/>
          <w:iCs/>
          <w:kern w:val="28"/>
          <w:sz w:val="36"/>
          <w:u w:val="single"/>
        </w:rPr>
      </w:pPr>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4705B8ED" w14:textId="77777777" w:rsidR="00E26AAA" w:rsidRDefault="00E26AAA" w:rsidP="00C62107">
      <w:pPr>
        <w:spacing w:after="300" w:line="276" w:lineRule="auto"/>
        <w:jc w:val="right"/>
        <w:rPr>
          <w:rFonts w:ascii="Arial" w:hAnsi="Arial" w:cs="Arial"/>
          <w:b/>
          <w:bCs/>
          <w:sz w:val="36"/>
          <w:szCs w:val="36"/>
        </w:rPr>
      </w:pPr>
    </w:p>
    <w:p w14:paraId="291FAF6B" w14:textId="4687138C" w:rsidR="00F764C3" w:rsidRPr="00227577" w:rsidRDefault="00F764C3" w:rsidP="00A133C5">
      <w:pPr>
        <w:spacing w:after="300"/>
        <w:jc w:val="right"/>
        <w:rPr>
          <w:rFonts w:ascii="Arial" w:hAnsi="Arial" w:cs="Arial"/>
          <w:b/>
          <w:bCs/>
          <w:sz w:val="36"/>
          <w:szCs w:val="36"/>
        </w:rPr>
      </w:pPr>
      <w:r w:rsidRPr="00227577">
        <w:rPr>
          <w:rFonts w:ascii="Arial" w:hAnsi="Arial" w:cs="Arial"/>
          <w:b/>
          <w:bCs/>
          <w:sz w:val="36"/>
          <w:szCs w:val="36"/>
        </w:rPr>
        <w:t>Reprogramming the Plant Holobiont: From Microbiome Assembly to Durable, Eco-Sustainable Disease Defence</w:t>
      </w:r>
    </w:p>
    <w:p w14:paraId="518E3BD7" w14:textId="77777777" w:rsidR="00EA3EC7" w:rsidRDefault="00EA3EC7" w:rsidP="00A133C5">
      <w:pPr>
        <w:spacing w:after="300"/>
        <w:jc w:val="center"/>
        <w:rPr>
          <w:rFonts w:ascii="Arial" w:hAnsi="Arial" w:cs="Arial"/>
          <w:b/>
          <w:bCs/>
          <w:sz w:val="24"/>
          <w:szCs w:val="24"/>
        </w:rPr>
      </w:pPr>
    </w:p>
    <w:p w14:paraId="39EA1A3E" w14:textId="77777777" w:rsidR="00EA3EC7" w:rsidRDefault="00EA3EC7" w:rsidP="00A133C5">
      <w:pPr>
        <w:spacing w:after="300"/>
        <w:jc w:val="center"/>
        <w:rPr>
          <w:rFonts w:ascii="Arial" w:hAnsi="Arial" w:cs="Arial"/>
          <w:b/>
          <w:bCs/>
          <w:sz w:val="24"/>
          <w:szCs w:val="24"/>
        </w:rPr>
      </w:pPr>
    </w:p>
    <w:p w14:paraId="2B206A2C" w14:textId="589A7E3F" w:rsidR="00321F0B" w:rsidRPr="00BC251B" w:rsidRDefault="00321F0B" w:rsidP="00A133C5">
      <w:pPr>
        <w:spacing w:after="300"/>
        <w:jc w:val="center"/>
        <w:rPr>
          <w:rFonts w:ascii="Arial" w:hAnsi="Arial" w:cs="Arial"/>
          <w:b/>
          <w:bCs/>
          <w:sz w:val="24"/>
          <w:szCs w:val="24"/>
        </w:rPr>
      </w:pPr>
      <w:r w:rsidRPr="00BC251B">
        <w:rPr>
          <w:rFonts w:ascii="Arial" w:hAnsi="Arial" w:cs="Arial"/>
          <w:b/>
          <w:bCs/>
          <w:sz w:val="24"/>
          <w:szCs w:val="24"/>
        </w:rPr>
        <w:t>Abstract</w:t>
      </w:r>
    </w:p>
    <w:p w14:paraId="4C770B9A" w14:textId="49713CE9" w:rsidR="00F764C3" w:rsidRPr="00BD40B6" w:rsidRDefault="00F764C3" w:rsidP="008A0374">
      <w:pPr>
        <w:spacing w:after="300" w:line="276" w:lineRule="auto"/>
        <w:jc w:val="both"/>
        <w:rPr>
          <w:rFonts w:ascii="Arial" w:hAnsi="Arial" w:cs="Arial"/>
          <w:sz w:val="24"/>
          <w:szCs w:val="24"/>
        </w:rPr>
      </w:pPr>
      <w:r w:rsidRPr="00BD40B6">
        <w:rPr>
          <w:rFonts w:ascii="Times New Roman" w:hAnsi="Times New Roman" w:cs="Times New Roman"/>
          <w:sz w:val="24"/>
          <w:szCs w:val="24"/>
        </w:rPr>
        <w:tab/>
      </w:r>
      <w:r w:rsidRPr="00BD40B6">
        <w:rPr>
          <w:rFonts w:ascii="Arial" w:hAnsi="Arial" w:cs="Arial"/>
          <w:sz w:val="24"/>
          <w:szCs w:val="24"/>
        </w:rPr>
        <w:t xml:space="preserve">Plants are no longer understood as autonomous organisms but as holobionts whose associated microbial communities co-determine growth, stress tolerance and disease outcome. Decades of work on disease-suppressive soils, induced systemic resistance and biological control have established that individual beneficial microorganisms can protect crops, yet field performance of single-strain inoculants remains inconsistent. This has driven a conceptual shift from introducing individual biocontrol agents toward understanding, assembling and deliberately "reprogramming" whole plant-associated microbial communities to achieve durable disease suppression. This review synthesises evidence across the rhizosphere, </w:t>
      </w:r>
      <w:proofErr w:type="spellStart"/>
      <w:r w:rsidRPr="00BD40B6">
        <w:rPr>
          <w:rFonts w:ascii="Arial" w:hAnsi="Arial" w:cs="Arial"/>
          <w:sz w:val="24"/>
          <w:szCs w:val="24"/>
        </w:rPr>
        <w:t>phyllosphere</w:t>
      </w:r>
      <w:proofErr w:type="spellEnd"/>
      <w:r w:rsidRPr="00BD40B6">
        <w:rPr>
          <w:rFonts w:ascii="Arial" w:hAnsi="Arial" w:cs="Arial"/>
          <w:sz w:val="24"/>
          <w:szCs w:val="24"/>
        </w:rPr>
        <w:t xml:space="preserve">, </w:t>
      </w:r>
      <w:proofErr w:type="spellStart"/>
      <w:r w:rsidRPr="00BD40B6">
        <w:rPr>
          <w:rFonts w:ascii="Arial" w:hAnsi="Arial" w:cs="Arial"/>
          <w:sz w:val="24"/>
          <w:szCs w:val="24"/>
        </w:rPr>
        <w:t>endosphere</w:t>
      </w:r>
      <w:proofErr w:type="spellEnd"/>
      <w:r w:rsidRPr="00BD40B6">
        <w:rPr>
          <w:rFonts w:ascii="Arial" w:hAnsi="Arial" w:cs="Arial"/>
          <w:sz w:val="24"/>
          <w:szCs w:val="24"/>
        </w:rPr>
        <w:t xml:space="preserve"> and seed microbiomes to trace a conceptual progression: microbiome assembly, plant-microbiome-pathogen signalling, microbiome-mediated disease suppression, and microbiome reprogramming toward a resilient holobiont. We critically examine the shift from asking which organisms are present to asking what the microbiome is functionally doing, drawing on keystone-taxa and co-occurrence-network concepts, and we distinguish correlation from demonstrated causal contribution wherever the evidence allows. We organise reprogramming strategies into host-mediated, microbial, soil/agronomic and precision-engineering categories, and we critically evaluate synthetic microbial communities (</w:t>
      </w:r>
      <w:proofErr w:type="spellStart"/>
      <w:r w:rsidRPr="00BD40B6">
        <w:rPr>
          <w:rFonts w:ascii="Arial" w:hAnsi="Arial" w:cs="Arial"/>
          <w:sz w:val="24"/>
          <w:szCs w:val="24"/>
        </w:rPr>
        <w:t>SynComs</w:t>
      </w:r>
      <w:proofErr w:type="spellEnd"/>
      <w:r w:rsidRPr="00BD40B6">
        <w:rPr>
          <w:rFonts w:ascii="Arial" w:hAnsi="Arial" w:cs="Arial"/>
          <w:sz w:val="24"/>
          <w:szCs w:val="24"/>
        </w:rPr>
        <w:t>), noting that laboratory- and greenhouse-validated consortia frequently lose efficacy under field conditions because of community instability, competitive exclusion by resident microbiota and environmental variability. Omics and computational tools are reshaping this field from descriptive surveys toward predictive, intervention-oriented science, but translation from mechanism to field-deployable product remains the central bottleneck. We conclude that the future of eco-sustainable disease management depends not on replacing chemical inputs with a single microbial substitute, but on the capacity to design and manage functionally redundant, context-adapted microbial communities capable of sustaining plant resilience over time.</w:t>
      </w:r>
    </w:p>
    <w:p w14:paraId="256629A6" w14:textId="0393D107" w:rsidR="00F764C3" w:rsidRPr="00BD40B6" w:rsidRDefault="00F764C3" w:rsidP="008A0374">
      <w:pPr>
        <w:spacing w:after="200" w:line="276" w:lineRule="auto"/>
        <w:jc w:val="both"/>
        <w:rPr>
          <w:rFonts w:ascii="Arial" w:hAnsi="Arial" w:cs="Arial"/>
          <w:sz w:val="24"/>
          <w:szCs w:val="24"/>
        </w:rPr>
      </w:pPr>
      <w:r w:rsidRPr="00BD40B6">
        <w:rPr>
          <w:rFonts w:ascii="Arial" w:hAnsi="Arial" w:cs="Arial"/>
          <w:b/>
          <w:bCs/>
          <w:sz w:val="24"/>
          <w:szCs w:val="24"/>
        </w:rPr>
        <w:t>Keywords:</w:t>
      </w:r>
      <w:r w:rsidRPr="00BD40B6">
        <w:rPr>
          <w:rFonts w:ascii="Arial" w:hAnsi="Arial" w:cs="Arial"/>
          <w:sz w:val="24"/>
          <w:szCs w:val="24"/>
        </w:rPr>
        <w:t xml:space="preserve"> plant holobiont, disease-suppressive microbiome, microbiome reprogramming, synthetic microbial communities, induced systemic resistance, rhizosphere engineering, sustainable disease management.</w:t>
      </w:r>
    </w:p>
    <w:p w14:paraId="5A4DAC5C" w14:textId="4F5B4CE4" w:rsidR="0014415D" w:rsidRDefault="00FC76A4" w:rsidP="0014415D">
      <w:pPr>
        <w:pStyle w:val="ListParagraph"/>
        <w:numPr>
          <w:ilvl w:val="0"/>
          <w:numId w:val="15"/>
        </w:numPr>
        <w:spacing w:after="200" w:line="276" w:lineRule="auto"/>
        <w:jc w:val="both"/>
        <w:rPr>
          <w:rFonts w:ascii="Arial" w:hAnsi="Arial" w:cs="Arial"/>
          <w:b/>
          <w:bCs/>
          <w:sz w:val="24"/>
          <w:szCs w:val="24"/>
        </w:rPr>
      </w:pPr>
      <w:r w:rsidRPr="0014415D">
        <w:rPr>
          <w:rFonts w:ascii="Arial" w:hAnsi="Arial" w:cs="Arial"/>
          <w:b/>
          <w:bCs/>
          <w:sz w:val="24"/>
          <w:szCs w:val="24"/>
        </w:rPr>
        <w:t>INTRODUCTION</w:t>
      </w:r>
    </w:p>
    <w:p w14:paraId="600ACCE0" w14:textId="77777777" w:rsidR="0014415D" w:rsidRPr="0014415D" w:rsidRDefault="0014415D" w:rsidP="0014415D">
      <w:pPr>
        <w:pStyle w:val="ListParagraph"/>
        <w:spacing w:after="200" w:line="276" w:lineRule="auto"/>
        <w:jc w:val="both"/>
        <w:rPr>
          <w:rFonts w:ascii="Arial" w:hAnsi="Arial" w:cs="Arial"/>
          <w:b/>
          <w:bCs/>
          <w:sz w:val="24"/>
          <w:szCs w:val="24"/>
        </w:rPr>
      </w:pPr>
    </w:p>
    <w:p w14:paraId="5AEDD335" w14:textId="354CB1CC" w:rsidR="00F764C3" w:rsidRPr="0014415D" w:rsidRDefault="00FC76A4" w:rsidP="0014415D">
      <w:pPr>
        <w:pStyle w:val="ListParagraph"/>
        <w:spacing w:after="200" w:line="276" w:lineRule="auto"/>
        <w:jc w:val="both"/>
        <w:rPr>
          <w:rFonts w:ascii="Arial" w:hAnsi="Arial" w:cs="Arial"/>
          <w:sz w:val="24"/>
          <w:szCs w:val="24"/>
        </w:rPr>
      </w:pPr>
      <w:r w:rsidRPr="0014415D">
        <w:rPr>
          <w:rFonts w:ascii="Arial" w:hAnsi="Arial" w:cs="Arial"/>
          <w:b/>
          <w:bCs/>
          <w:sz w:val="24"/>
          <w:szCs w:val="24"/>
        </w:rPr>
        <w:t>FROM PATHOGEN-CENTRIC DEFENCE TO MICROBIOME-CENTRIC RESILIENCE</w:t>
      </w:r>
    </w:p>
    <w:p w14:paraId="7D5D9AAC" w14:textId="3BBD230B" w:rsidR="005159BD" w:rsidRPr="00BD40B6" w:rsidRDefault="00F764C3" w:rsidP="008A0374">
      <w:pPr>
        <w:spacing w:line="276" w:lineRule="auto"/>
        <w:jc w:val="both"/>
        <w:rPr>
          <w:rFonts w:ascii="Arial" w:hAnsi="Arial" w:cs="Arial"/>
          <w:sz w:val="24"/>
          <w:szCs w:val="24"/>
        </w:rPr>
      </w:pPr>
      <w:r w:rsidRPr="00BD40B6">
        <w:rPr>
          <w:rFonts w:ascii="Arial" w:hAnsi="Arial" w:cs="Arial"/>
          <w:sz w:val="24"/>
          <w:szCs w:val="24"/>
        </w:rPr>
        <w:tab/>
        <w:t xml:space="preserve">Plant disease pressure has intensified alongside climate variability, intensified monoculture and global trade, and yield losses attributable to pathogens continue to threaten food security even in high-input systems. The historical response to this pressure has been overwhelmingly chemical, </w:t>
      </w:r>
      <w:r w:rsidRPr="00BD40B6">
        <w:rPr>
          <w:rFonts w:ascii="Arial" w:hAnsi="Arial" w:cs="Arial"/>
          <w:sz w:val="24"/>
          <w:szCs w:val="24"/>
        </w:rPr>
        <w:lastRenderedPageBreak/>
        <w:t xml:space="preserve">as synthetic fungicides, bactericides and nematicides remain the default tool for disease control because they act quickly and predictably. Their costs, however, are now well documented as soil biodiversity loss, water contamination, non-target toxicity and the repeated evolution of resistant pathogen populations erode the very productivity these inputs are meant to protect (Zahoor </w:t>
      </w:r>
      <w:r w:rsidR="00587082" w:rsidRPr="00BD40B6">
        <w:rPr>
          <w:rFonts w:ascii="Arial" w:hAnsi="Arial" w:cs="Arial"/>
          <w:i/>
          <w:iCs/>
          <w:sz w:val="24"/>
          <w:szCs w:val="24"/>
        </w:rPr>
        <w:t>et al.</w:t>
      </w:r>
      <w:r w:rsidRPr="00BD40B6">
        <w:rPr>
          <w:rFonts w:ascii="Arial" w:hAnsi="Arial" w:cs="Arial"/>
          <w:sz w:val="24"/>
          <w:szCs w:val="24"/>
        </w:rPr>
        <w:t>, 2024). Reliance on agrochemicals also has an ecological logic problem as it treats disease as a property of the pathogen alone, to be eliminated, rather than as an outcome of the wider biological system in which the pathogen operates.</w:t>
      </w:r>
    </w:p>
    <w:p w14:paraId="011A1463" w14:textId="1E3A6DE8"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 xml:space="preserve">Biological control offered an early alternative to this logic. Individual antagonistic bacteria and fungi species of </w:t>
      </w:r>
      <w:r w:rsidRPr="00BD40B6">
        <w:rPr>
          <w:rFonts w:ascii="Arial" w:hAnsi="Arial" w:cs="Arial"/>
          <w:i/>
          <w:iCs/>
          <w:sz w:val="24"/>
          <w:szCs w:val="24"/>
        </w:rPr>
        <w:t>Bacillus</w:t>
      </w:r>
      <w:r w:rsidRPr="00BD40B6">
        <w:rPr>
          <w:rFonts w:ascii="Arial" w:hAnsi="Arial" w:cs="Arial"/>
          <w:sz w:val="24"/>
          <w:szCs w:val="24"/>
        </w:rPr>
        <w:t xml:space="preserve">, </w:t>
      </w:r>
      <w:r w:rsidRPr="00BD40B6">
        <w:rPr>
          <w:rFonts w:ascii="Arial" w:hAnsi="Arial" w:cs="Arial"/>
          <w:i/>
          <w:iCs/>
          <w:sz w:val="24"/>
          <w:szCs w:val="24"/>
        </w:rPr>
        <w:t xml:space="preserve">Pseudomonas </w:t>
      </w:r>
      <w:r w:rsidRPr="00BD40B6">
        <w:rPr>
          <w:rFonts w:ascii="Arial" w:hAnsi="Arial" w:cs="Arial"/>
          <w:sz w:val="24"/>
          <w:szCs w:val="24"/>
        </w:rPr>
        <w:t xml:space="preserve">and </w:t>
      </w:r>
      <w:r w:rsidRPr="00BD40B6">
        <w:rPr>
          <w:rFonts w:ascii="Arial" w:hAnsi="Arial" w:cs="Arial"/>
          <w:i/>
          <w:iCs/>
          <w:sz w:val="24"/>
          <w:szCs w:val="24"/>
        </w:rPr>
        <w:t xml:space="preserve">Trichoderma, </w:t>
      </w:r>
      <w:r w:rsidRPr="00BD40B6">
        <w:rPr>
          <w:rFonts w:ascii="Arial" w:hAnsi="Arial" w:cs="Arial"/>
          <w:sz w:val="24"/>
          <w:szCs w:val="24"/>
        </w:rPr>
        <w:t>prominent among them, have been formulated as inoculants and applied with genuine, if variable, success. Yet single-strain biocontrol has an intrinsic ceiling. A single introduced strain must establish, persist and function inside a resident microbial community that is already adapted to the local soil, root and leaf environment; when it fails to do so, control collapses. This limitation is not a matter of finding a better strain but a structural feature of single-organism interventions in an ecologically crowded niche.</w:t>
      </w:r>
    </w:p>
    <w:p w14:paraId="29B523C8" w14:textId="6EF7C77E"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 xml:space="preserve">Concurrently with these agronomic developments, culture-independent sequencing revealed that plants are colonised, from seed to senescence, by microbial communities of remarkable diversity and functional capacity in the rhizosphere, </w:t>
      </w:r>
      <w:proofErr w:type="spellStart"/>
      <w:r w:rsidRPr="00BD40B6">
        <w:rPr>
          <w:rFonts w:ascii="Arial" w:hAnsi="Arial" w:cs="Arial"/>
          <w:sz w:val="24"/>
          <w:szCs w:val="24"/>
        </w:rPr>
        <w:t>phyllosphere</w:t>
      </w:r>
      <w:proofErr w:type="spellEnd"/>
      <w:r w:rsidRPr="00BD40B6">
        <w:rPr>
          <w:rFonts w:ascii="Arial" w:hAnsi="Arial" w:cs="Arial"/>
          <w:sz w:val="24"/>
          <w:szCs w:val="24"/>
        </w:rPr>
        <w:t xml:space="preserve">, </w:t>
      </w:r>
      <w:proofErr w:type="spellStart"/>
      <w:r w:rsidRPr="00BD40B6">
        <w:rPr>
          <w:rFonts w:ascii="Arial" w:hAnsi="Arial" w:cs="Arial"/>
          <w:sz w:val="24"/>
          <w:szCs w:val="24"/>
        </w:rPr>
        <w:t>endosphere</w:t>
      </w:r>
      <w:proofErr w:type="spellEnd"/>
      <w:r w:rsidRPr="00BD40B6">
        <w:rPr>
          <w:rFonts w:ascii="Arial" w:hAnsi="Arial" w:cs="Arial"/>
          <w:sz w:val="24"/>
          <w:szCs w:val="24"/>
        </w:rPr>
        <w:t xml:space="preserve"> and seed. These communities are not passive passengers. They participate in nutrient acquisition, hormonal signalling and, centrally for this review, in the suppression of pathogens through mechanisms ranging from direct antagonism to priming of the plant's own immune system. The cumulative weight of this evidence has reframed the plant as a holobiont: a composite biological unit whose phenotype, including its disease outcome, emerges from the interaction between host genotype and the associated microbiome (Ali </w:t>
      </w:r>
      <w:r w:rsidR="00587082" w:rsidRPr="00BD40B6">
        <w:rPr>
          <w:rFonts w:ascii="Arial" w:hAnsi="Arial" w:cs="Arial"/>
          <w:i/>
          <w:iCs/>
          <w:sz w:val="24"/>
          <w:szCs w:val="24"/>
        </w:rPr>
        <w:t>et al.</w:t>
      </w:r>
      <w:r w:rsidRPr="00BD40B6">
        <w:rPr>
          <w:rFonts w:ascii="Arial" w:hAnsi="Arial" w:cs="Arial"/>
          <w:sz w:val="24"/>
          <w:szCs w:val="24"/>
        </w:rPr>
        <w:t xml:space="preserve">, 2023; Noman </w:t>
      </w:r>
      <w:r w:rsidR="00587082" w:rsidRPr="00BD40B6">
        <w:rPr>
          <w:rFonts w:ascii="Arial" w:hAnsi="Arial" w:cs="Arial"/>
          <w:i/>
          <w:iCs/>
          <w:sz w:val="24"/>
          <w:szCs w:val="24"/>
        </w:rPr>
        <w:t>et al.</w:t>
      </w:r>
      <w:r w:rsidRPr="00BD40B6">
        <w:rPr>
          <w:rFonts w:ascii="Arial" w:hAnsi="Arial" w:cs="Arial"/>
          <w:sz w:val="24"/>
          <w:szCs w:val="24"/>
        </w:rPr>
        <w:t>, 2021).</w:t>
      </w:r>
    </w:p>
    <w:p w14:paraId="6C456480" w14:textId="0BCF481D"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 xml:space="preserve">The clearest empirical anchor for this reframing is the phenomenon of disease-suppressive soils. Soils in which a pathogen is present and virulent, yet disease fails to develop because the resident microbial community actively restrains it. Landmark work using </w:t>
      </w:r>
      <w:proofErr w:type="spellStart"/>
      <w:r w:rsidRPr="00BD40B6">
        <w:rPr>
          <w:rFonts w:ascii="Arial" w:hAnsi="Arial" w:cs="Arial"/>
          <w:sz w:val="24"/>
          <w:szCs w:val="24"/>
        </w:rPr>
        <w:t>PhyloChip</w:t>
      </w:r>
      <w:proofErr w:type="spellEnd"/>
      <w:r w:rsidRPr="00BD40B6">
        <w:rPr>
          <w:rFonts w:ascii="Arial" w:hAnsi="Arial" w:cs="Arial"/>
          <w:sz w:val="24"/>
          <w:szCs w:val="24"/>
        </w:rPr>
        <w:t xml:space="preserve"> and 16S rRNA sequencing on </w:t>
      </w:r>
      <w:r w:rsidRPr="00BD40B6">
        <w:rPr>
          <w:rFonts w:ascii="Arial" w:hAnsi="Arial" w:cs="Arial"/>
          <w:i/>
          <w:iCs/>
          <w:sz w:val="24"/>
          <w:szCs w:val="24"/>
        </w:rPr>
        <w:t xml:space="preserve">Rhizoctonia </w:t>
      </w:r>
      <w:proofErr w:type="spellStart"/>
      <w:r w:rsidRPr="00BD40B6">
        <w:rPr>
          <w:rFonts w:ascii="Arial" w:hAnsi="Arial" w:cs="Arial"/>
          <w:i/>
          <w:iCs/>
          <w:sz w:val="24"/>
          <w:szCs w:val="24"/>
        </w:rPr>
        <w:t>solani</w:t>
      </w:r>
      <w:proofErr w:type="spellEnd"/>
      <w:r w:rsidRPr="00BD40B6">
        <w:rPr>
          <w:rFonts w:ascii="Arial" w:hAnsi="Arial" w:cs="Arial"/>
          <w:sz w:val="24"/>
          <w:szCs w:val="24"/>
        </w:rPr>
        <w:t xml:space="preserve">-suppressive soils showed that suppressiveness is a transferable microbial property. A small proportion of suppressive soil mixed into conducive soil confers protection, and heat treatment abolishes it (Mendes </w:t>
      </w:r>
      <w:r w:rsidR="00587082" w:rsidRPr="00BD40B6">
        <w:rPr>
          <w:rFonts w:ascii="Arial" w:hAnsi="Arial" w:cs="Arial"/>
          <w:i/>
          <w:iCs/>
          <w:sz w:val="24"/>
          <w:szCs w:val="24"/>
        </w:rPr>
        <w:t>et al.</w:t>
      </w:r>
      <w:r w:rsidRPr="00BD40B6">
        <w:rPr>
          <w:rFonts w:ascii="Arial" w:hAnsi="Arial" w:cs="Arial"/>
          <w:sz w:val="24"/>
          <w:szCs w:val="24"/>
        </w:rPr>
        <w:t>, 2011). Such findings cannot be explained by any single organism; they point to a community-level property. This observation is the conceptual seed from which microbiome reprogramming grows. If suppressiveness is an emergent property of a microbial community rather than a trait of one organism, then sustainable disease management should aim to understand, assemble, and where necessary re-establish that community, rather than substitute one pathogen-fighting microbe for another.</w:t>
      </w:r>
    </w:p>
    <w:p w14:paraId="4702AB6D" w14:textId="2901DD60"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 xml:space="preserve">This review develops that argument along a defined conceptual trajectory from the architecture and assembly of the plant microbiome, through the transition in emphasis from microbial presence to microbial function, to the mechanisms of microbiome-mediated disease suppression, the reciprocal shaping of microbiomes by pathogens, and finally the strategies, tools and constraints associated with deliberately reprogramming plant-associated microbial communities for durable disease defence. Throughout, we distinguish, wherever the underlying studies allow, between microbial associations that are merely correlated with a healthy or suppressive state and those for which functional or causal evidence exists. We treat the overarching progression from assembly to reprogrammed resilience as a productive conceptual framework rather than as an established mechanistic pipeline, since large parts of </w:t>
      </w:r>
      <w:proofErr w:type="gramStart"/>
      <w:r w:rsidRPr="00BD40B6">
        <w:rPr>
          <w:rFonts w:ascii="Arial" w:hAnsi="Arial" w:cs="Arial"/>
          <w:sz w:val="24"/>
          <w:szCs w:val="24"/>
        </w:rPr>
        <w:t>it  particularly</w:t>
      </w:r>
      <w:proofErr w:type="gramEnd"/>
      <w:r w:rsidRPr="00BD40B6">
        <w:rPr>
          <w:rFonts w:ascii="Arial" w:hAnsi="Arial" w:cs="Arial"/>
          <w:sz w:val="24"/>
          <w:szCs w:val="24"/>
        </w:rPr>
        <w:t xml:space="preserve"> the translation from mechanistic </w:t>
      </w:r>
      <w:r w:rsidRPr="00BD40B6">
        <w:rPr>
          <w:rFonts w:ascii="Arial" w:hAnsi="Arial" w:cs="Arial"/>
          <w:sz w:val="24"/>
          <w:szCs w:val="24"/>
        </w:rPr>
        <w:lastRenderedPageBreak/>
        <w:t xml:space="preserve">understanding to field-reliable intervention remain areas of active and unresolved research (Song </w:t>
      </w:r>
      <w:r w:rsidR="00587082" w:rsidRPr="00BD40B6">
        <w:rPr>
          <w:rFonts w:ascii="Arial" w:hAnsi="Arial" w:cs="Arial"/>
          <w:i/>
          <w:iCs/>
          <w:sz w:val="24"/>
          <w:szCs w:val="24"/>
        </w:rPr>
        <w:t>et al.</w:t>
      </w:r>
      <w:r w:rsidRPr="00BD40B6">
        <w:rPr>
          <w:rFonts w:ascii="Arial" w:hAnsi="Arial" w:cs="Arial"/>
          <w:sz w:val="24"/>
          <w:szCs w:val="24"/>
        </w:rPr>
        <w:t xml:space="preserve">, 2021; Trivedi </w:t>
      </w:r>
      <w:r w:rsidR="00587082" w:rsidRPr="00BD40B6">
        <w:rPr>
          <w:rFonts w:ascii="Arial" w:hAnsi="Arial" w:cs="Arial"/>
          <w:i/>
          <w:iCs/>
          <w:sz w:val="24"/>
          <w:szCs w:val="24"/>
        </w:rPr>
        <w:t>et al.</w:t>
      </w:r>
      <w:r w:rsidRPr="00BD40B6">
        <w:rPr>
          <w:rFonts w:ascii="Arial" w:hAnsi="Arial" w:cs="Arial"/>
          <w:sz w:val="24"/>
          <w:szCs w:val="24"/>
        </w:rPr>
        <w:t>, 2020).</w:t>
      </w:r>
    </w:p>
    <w:p w14:paraId="467A9E96" w14:textId="77777777"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The scope and contribution of this review are threefold. First, we synthesise the plant-microbiome literature around the concept of microbiome reprogramming rather than around individual crop-pathogen case studies, situating synthetic microbial communities, root-exudate engineering, organic amendments and precision microbiome management as expressions of a single underlying strategic shift. Second, we apply an explicit standard of evidence throughout, separating correlation, functional demonstration and causal proof, which is often blurred in narrative reviews of this literature. Third, we use this framework to identify where the field's rhetoric (particularly around "reprogramming" and "engineering") currently outpaces its evidence base, and to specify the research priorities that would close that gap.</w:t>
      </w:r>
    </w:p>
    <w:p w14:paraId="13540FD9" w14:textId="2FA98475" w:rsidR="00F764C3" w:rsidRPr="00BD40B6" w:rsidRDefault="0033339D" w:rsidP="008A0374">
      <w:pPr>
        <w:spacing w:after="200" w:line="276" w:lineRule="auto"/>
        <w:jc w:val="both"/>
        <w:rPr>
          <w:rFonts w:ascii="Arial" w:hAnsi="Arial" w:cs="Arial"/>
          <w:b/>
          <w:bCs/>
          <w:sz w:val="24"/>
          <w:szCs w:val="24"/>
        </w:rPr>
      </w:pPr>
      <w:r w:rsidRPr="00BD40B6">
        <w:rPr>
          <w:rFonts w:ascii="Arial" w:hAnsi="Arial" w:cs="Arial"/>
          <w:b/>
          <w:bCs/>
          <w:sz w:val="24"/>
          <w:szCs w:val="24"/>
        </w:rPr>
        <w:t>2. THE PLANT MICROBIOME: ARCHITECTURE, ASSEMBLY AND FUNCTION</w:t>
      </w:r>
    </w:p>
    <w:p w14:paraId="1BE9AF14" w14:textId="2F2E2C11"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The plant microbiome is not a single entity but a set of compositionally and functionally distinct habitats. The rhizosphere, the narrow zone of soil directly influenced by root activity, is the most intensively studied of these; a single gram of rhizosphere soil can harbour on the order of 10</w:t>
      </w:r>
      <w:r w:rsidRPr="00BD40B6">
        <w:rPr>
          <w:rFonts w:ascii="Arial" w:hAnsi="Arial" w:cs="Arial"/>
          <w:sz w:val="24"/>
          <w:szCs w:val="24"/>
          <w:vertAlign w:val="superscript"/>
        </w:rPr>
        <w:t>11</w:t>
      </w:r>
      <w:r w:rsidRPr="00BD40B6">
        <w:rPr>
          <w:rFonts w:ascii="Arial" w:hAnsi="Arial" w:cs="Arial"/>
          <w:sz w:val="24"/>
          <w:szCs w:val="24"/>
        </w:rPr>
        <w:t xml:space="preserve"> microbial cells spanning tens of thousands of taxa (Mendes </w:t>
      </w:r>
      <w:r w:rsidR="00587082" w:rsidRPr="00BD40B6">
        <w:rPr>
          <w:rFonts w:ascii="Arial" w:hAnsi="Arial" w:cs="Arial"/>
          <w:i/>
          <w:iCs/>
          <w:sz w:val="24"/>
          <w:szCs w:val="24"/>
        </w:rPr>
        <w:t>et al.</w:t>
      </w:r>
      <w:r w:rsidRPr="00BD40B6">
        <w:rPr>
          <w:rFonts w:ascii="Arial" w:hAnsi="Arial" w:cs="Arial"/>
          <w:sz w:val="24"/>
          <w:szCs w:val="24"/>
        </w:rPr>
        <w:t xml:space="preserve">, 2011; </w:t>
      </w:r>
      <w:proofErr w:type="spellStart"/>
      <w:r w:rsidRPr="00BD40B6">
        <w:rPr>
          <w:rFonts w:ascii="Arial" w:hAnsi="Arial" w:cs="Arial"/>
          <w:sz w:val="24"/>
          <w:szCs w:val="24"/>
        </w:rPr>
        <w:t>Egamberdieva</w:t>
      </w:r>
      <w:proofErr w:type="spellEnd"/>
      <w:r w:rsidRPr="00BD40B6">
        <w:rPr>
          <w:rFonts w:ascii="Arial" w:hAnsi="Arial" w:cs="Arial"/>
          <w:sz w:val="24"/>
          <w:szCs w:val="24"/>
        </w:rPr>
        <w:t xml:space="preserve"> </w:t>
      </w:r>
      <w:r w:rsidR="00587082" w:rsidRPr="00BD40B6">
        <w:rPr>
          <w:rFonts w:ascii="Arial" w:hAnsi="Arial" w:cs="Arial"/>
          <w:i/>
          <w:iCs/>
          <w:sz w:val="24"/>
          <w:szCs w:val="24"/>
        </w:rPr>
        <w:t>et al.</w:t>
      </w:r>
      <w:r w:rsidRPr="00BD40B6">
        <w:rPr>
          <w:rFonts w:ascii="Arial" w:hAnsi="Arial" w:cs="Arial"/>
          <w:sz w:val="24"/>
          <w:szCs w:val="24"/>
        </w:rPr>
        <w:t xml:space="preserve">, 2008). Root exudates, sugars, organic acids, amino acids and secondary metabolites are the principal currency by which plants shape this community, selectively enriching taxa capable of using particular carbon sources and responding chemotactically to specific root signals (Vives-Peris </w:t>
      </w:r>
      <w:r w:rsidR="00587082" w:rsidRPr="00BD40B6">
        <w:rPr>
          <w:rFonts w:ascii="Arial" w:hAnsi="Arial" w:cs="Arial"/>
          <w:i/>
          <w:iCs/>
          <w:sz w:val="24"/>
          <w:szCs w:val="24"/>
        </w:rPr>
        <w:t>et al.</w:t>
      </w:r>
      <w:r w:rsidRPr="00BD40B6">
        <w:rPr>
          <w:rFonts w:ascii="Arial" w:hAnsi="Arial" w:cs="Arial"/>
          <w:sz w:val="24"/>
          <w:szCs w:val="24"/>
        </w:rPr>
        <w:t xml:space="preserve">, 2020; Sasse </w:t>
      </w:r>
      <w:r w:rsidR="00587082" w:rsidRPr="00BD40B6">
        <w:rPr>
          <w:rFonts w:ascii="Arial" w:hAnsi="Arial" w:cs="Arial"/>
          <w:i/>
          <w:iCs/>
          <w:sz w:val="24"/>
          <w:szCs w:val="24"/>
        </w:rPr>
        <w:t>et al.</w:t>
      </w:r>
      <w:r w:rsidRPr="00BD40B6">
        <w:rPr>
          <w:rFonts w:ascii="Arial" w:hAnsi="Arial" w:cs="Arial"/>
          <w:sz w:val="24"/>
          <w:szCs w:val="24"/>
        </w:rPr>
        <w:t xml:space="preserve">, 2018). The </w:t>
      </w:r>
      <w:proofErr w:type="spellStart"/>
      <w:r w:rsidRPr="00BD40B6">
        <w:rPr>
          <w:rFonts w:ascii="Arial" w:hAnsi="Arial" w:cs="Arial"/>
          <w:sz w:val="24"/>
          <w:szCs w:val="24"/>
        </w:rPr>
        <w:t>endosphere</w:t>
      </w:r>
      <w:proofErr w:type="spellEnd"/>
      <w:r w:rsidRPr="00BD40B6">
        <w:rPr>
          <w:rFonts w:ascii="Arial" w:hAnsi="Arial" w:cs="Arial"/>
          <w:sz w:val="24"/>
          <w:szCs w:val="24"/>
        </w:rPr>
        <w:t xml:space="preserve">, comprising tissues internal to roots, stems and leaves, hosts endophytes that colonise intercellular or intracellular spaces without triggering overt defence responses; these may be obligate, transmitted vertically through seed, or facultative, recruited from the surrounding rhizosphere or </w:t>
      </w:r>
      <w:proofErr w:type="spellStart"/>
      <w:r w:rsidRPr="00BD40B6">
        <w:rPr>
          <w:rFonts w:ascii="Arial" w:hAnsi="Arial" w:cs="Arial"/>
          <w:sz w:val="24"/>
          <w:szCs w:val="24"/>
        </w:rPr>
        <w:t>phyllosphere</w:t>
      </w:r>
      <w:proofErr w:type="spellEnd"/>
      <w:r w:rsidRPr="00BD40B6">
        <w:rPr>
          <w:rFonts w:ascii="Arial" w:hAnsi="Arial" w:cs="Arial"/>
          <w:sz w:val="24"/>
          <w:szCs w:val="24"/>
        </w:rPr>
        <w:t xml:space="preserve"> (</w:t>
      </w:r>
      <w:proofErr w:type="spellStart"/>
      <w:r w:rsidRPr="00BD40B6">
        <w:rPr>
          <w:rFonts w:ascii="Arial" w:hAnsi="Arial" w:cs="Arial"/>
          <w:sz w:val="24"/>
          <w:szCs w:val="24"/>
        </w:rPr>
        <w:t>Hardoim</w:t>
      </w:r>
      <w:proofErr w:type="spellEnd"/>
      <w:r w:rsidRPr="00BD40B6">
        <w:rPr>
          <w:rFonts w:ascii="Arial" w:hAnsi="Arial" w:cs="Arial"/>
          <w:sz w:val="24"/>
          <w:szCs w:val="24"/>
        </w:rPr>
        <w:t xml:space="preserve"> </w:t>
      </w:r>
      <w:r w:rsidR="00587082" w:rsidRPr="00BD40B6">
        <w:rPr>
          <w:rFonts w:ascii="Arial" w:hAnsi="Arial" w:cs="Arial"/>
          <w:i/>
          <w:iCs/>
          <w:sz w:val="24"/>
          <w:szCs w:val="24"/>
        </w:rPr>
        <w:t>et al.</w:t>
      </w:r>
      <w:r w:rsidRPr="00BD40B6">
        <w:rPr>
          <w:rFonts w:ascii="Arial" w:hAnsi="Arial" w:cs="Arial"/>
          <w:sz w:val="24"/>
          <w:szCs w:val="24"/>
        </w:rPr>
        <w:t xml:space="preserve">, 2015; Samreen </w:t>
      </w:r>
      <w:r w:rsidR="00587082" w:rsidRPr="00BD40B6">
        <w:rPr>
          <w:rFonts w:ascii="Arial" w:hAnsi="Arial" w:cs="Arial"/>
          <w:i/>
          <w:iCs/>
          <w:sz w:val="24"/>
          <w:szCs w:val="24"/>
        </w:rPr>
        <w:t>et al.</w:t>
      </w:r>
      <w:r w:rsidRPr="00BD40B6">
        <w:rPr>
          <w:rFonts w:ascii="Arial" w:hAnsi="Arial" w:cs="Arial"/>
          <w:sz w:val="24"/>
          <w:szCs w:val="24"/>
        </w:rPr>
        <w:t xml:space="preserve">, 2021). The </w:t>
      </w:r>
      <w:proofErr w:type="spellStart"/>
      <w:r w:rsidRPr="00BD40B6">
        <w:rPr>
          <w:rFonts w:ascii="Arial" w:hAnsi="Arial" w:cs="Arial"/>
          <w:sz w:val="24"/>
          <w:szCs w:val="24"/>
        </w:rPr>
        <w:t>phyllosphere</w:t>
      </w:r>
      <w:proofErr w:type="spellEnd"/>
      <w:r w:rsidRPr="00BD40B6">
        <w:rPr>
          <w:rFonts w:ascii="Arial" w:hAnsi="Arial" w:cs="Arial"/>
          <w:sz w:val="24"/>
          <w:szCs w:val="24"/>
        </w:rPr>
        <w:t xml:space="preserve">, aerial plant surfaces, is a comparatively nutrient-poor and environmentally exposed habitat whose resident bacteria nonetheless contribute measurably to foliar disease resistance, as shown by the protective effect of native Arabidopsis leaf bacterial communities against </w:t>
      </w:r>
      <w:r w:rsidRPr="00BD40B6">
        <w:rPr>
          <w:rFonts w:ascii="Arial" w:hAnsi="Arial" w:cs="Arial"/>
          <w:i/>
          <w:iCs/>
          <w:sz w:val="24"/>
          <w:szCs w:val="24"/>
        </w:rPr>
        <w:t xml:space="preserve">Pseudomonas </w:t>
      </w:r>
      <w:proofErr w:type="spellStart"/>
      <w:r w:rsidRPr="00BD40B6">
        <w:rPr>
          <w:rFonts w:ascii="Arial" w:hAnsi="Arial" w:cs="Arial"/>
          <w:i/>
          <w:iCs/>
          <w:sz w:val="24"/>
          <w:szCs w:val="24"/>
        </w:rPr>
        <w:t>syringae</w:t>
      </w:r>
      <w:proofErr w:type="spellEnd"/>
      <w:r w:rsidRPr="00BD40B6">
        <w:rPr>
          <w:rFonts w:ascii="Arial" w:hAnsi="Arial" w:cs="Arial"/>
          <w:sz w:val="24"/>
          <w:szCs w:val="24"/>
        </w:rPr>
        <w:t xml:space="preserve"> (Vogel </w:t>
      </w:r>
      <w:r w:rsidR="00587082" w:rsidRPr="00BD40B6">
        <w:rPr>
          <w:rFonts w:ascii="Arial" w:hAnsi="Arial" w:cs="Arial"/>
          <w:i/>
          <w:iCs/>
          <w:sz w:val="24"/>
          <w:szCs w:val="24"/>
        </w:rPr>
        <w:t>et al.</w:t>
      </w:r>
      <w:r w:rsidRPr="00BD40B6">
        <w:rPr>
          <w:rFonts w:ascii="Arial" w:hAnsi="Arial" w:cs="Arial"/>
          <w:sz w:val="24"/>
          <w:szCs w:val="24"/>
        </w:rPr>
        <w:t xml:space="preserve">, 2021). The seed microbiome, finally, provides the founder inoculum for many of these compartments and is increasingly recognised as a heritable component of plant-microbiome continuity across generations (Samreen </w:t>
      </w:r>
      <w:r w:rsidR="00587082" w:rsidRPr="00BD40B6">
        <w:rPr>
          <w:rFonts w:ascii="Arial" w:hAnsi="Arial" w:cs="Arial"/>
          <w:i/>
          <w:iCs/>
          <w:sz w:val="24"/>
          <w:szCs w:val="24"/>
        </w:rPr>
        <w:t>et al.</w:t>
      </w:r>
      <w:r w:rsidRPr="00BD40B6">
        <w:rPr>
          <w:rFonts w:ascii="Arial" w:hAnsi="Arial" w:cs="Arial"/>
          <w:sz w:val="24"/>
          <w:szCs w:val="24"/>
        </w:rPr>
        <w:t xml:space="preserve">, 2021; Bakker </w:t>
      </w:r>
      <w:r w:rsidR="00587082" w:rsidRPr="00BD40B6">
        <w:rPr>
          <w:rFonts w:ascii="Arial" w:hAnsi="Arial" w:cs="Arial"/>
          <w:i/>
          <w:iCs/>
          <w:sz w:val="24"/>
          <w:szCs w:val="24"/>
        </w:rPr>
        <w:t>et al.</w:t>
      </w:r>
      <w:r w:rsidRPr="00BD40B6">
        <w:rPr>
          <w:rFonts w:ascii="Arial" w:hAnsi="Arial" w:cs="Arial"/>
          <w:sz w:val="24"/>
          <w:szCs w:val="24"/>
        </w:rPr>
        <w:t>, 2018).</w:t>
      </w:r>
    </w:p>
    <w:p w14:paraId="199F8C3B" w14:textId="22DACCE3" w:rsidR="00F764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tab/>
        <w:t xml:space="preserve">These compartments are compositionally distinct but functionally interdependent, and all are shaped by an overlapping set of deterministic and stochastic factors. Host genotype and developmental stage, soil physicochemical properties, climate, agricultural management (tillage, crop rotation, fertiliser and pesticide regime), nutrient status, and prior or ongoing pathogen pressure. Host genotype exerts a particularly strong filtering effect, breeding history itself can alter rhizosphere microbiome composition and function, as demonstrated in common bean, where resistance breeding measurably shifted the rhizosphere community (Mendes </w:t>
      </w:r>
      <w:r w:rsidR="00587082" w:rsidRPr="00BD40B6">
        <w:rPr>
          <w:rFonts w:ascii="Arial" w:hAnsi="Arial" w:cs="Arial"/>
          <w:i/>
          <w:iCs/>
          <w:sz w:val="24"/>
          <w:szCs w:val="24"/>
        </w:rPr>
        <w:t>et al.</w:t>
      </w:r>
      <w:r w:rsidRPr="00BD40B6">
        <w:rPr>
          <w:rFonts w:ascii="Arial" w:hAnsi="Arial" w:cs="Arial"/>
          <w:sz w:val="24"/>
          <w:szCs w:val="24"/>
        </w:rPr>
        <w:t xml:space="preserve">, 2018). Agricultural management is equally consequential: intensive tillage, monoculture and heavy agrochemical use tend to homogenise and simplify microbial communities, while diversified rotations, cover cropping and reduced chemical inputs favour more diverse, and often more disease-suppressive, assemblages (Trivedi </w:t>
      </w:r>
      <w:r w:rsidR="00587082" w:rsidRPr="00BD40B6">
        <w:rPr>
          <w:rFonts w:ascii="Arial" w:hAnsi="Arial" w:cs="Arial"/>
          <w:i/>
          <w:iCs/>
          <w:sz w:val="24"/>
          <w:szCs w:val="24"/>
        </w:rPr>
        <w:t>et al.</w:t>
      </w:r>
      <w:r w:rsidRPr="00BD40B6">
        <w:rPr>
          <w:rFonts w:ascii="Arial" w:hAnsi="Arial" w:cs="Arial"/>
          <w:sz w:val="24"/>
          <w:szCs w:val="24"/>
        </w:rPr>
        <w:t>, 2022). Assembly is therefore not a single event but a continuous, multi-scale filtering process in which host signalling, microbe-microbe competition and environmental selection jointly determine which taxa establish, persist and function within each compartment.</w:t>
      </w:r>
    </w:p>
    <w:p w14:paraId="40A6B813" w14:textId="56D9D1F5" w:rsidR="00E478C3" w:rsidRPr="00BD40B6" w:rsidRDefault="00F764C3" w:rsidP="008A0374">
      <w:pPr>
        <w:spacing w:after="200" w:line="276" w:lineRule="auto"/>
        <w:jc w:val="both"/>
        <w:rPr>
          <w:rFonts w:ascii="Arial" w:hAnsi="Arial" w:cs="Arial"/>
          <w:sz w:val="24"/>
          <w:szCs w:val="24"/>
        </w:rPr>
      </w:pPr>
      <w:r w:rsidRPr="00BD40B6">
        <w:rPr>
          <w:rFonts w:ascii="Arial" w:hAnsi="Arial" w:cs="Arial"/>
          <w:sz w:val="24"/>
          <w:szCs w:val="24"/>
        </w:rPr>
        <w:lastRenderedPageBreak/>
        <w:tab/>
      </w:r>
      <w:r w:rsidR="000C304E" w:rsidRPr="00BD40B6">
        <w:rPr>
          <w:rFonts w:ascii="Arial" w:hAnsi="Arial" w:cs="Arial"/>
          <w:color w:val="000000" w:themeColor="text1"/>
          <w:sz w:val="24"/>
          <w:szCs w:val="24"/>
        </w:rPr>
        <w:t>For the purposes of this review, the relevant question is not simply which bacterial and fungal phyla dominate each niche</w:t>
      </w:r>
      <w:r w:rsidR="0002446A" w:rsidRPr="00BD40B6">
        <w:rPr>
          <w:rFonts w:ascii="Arial" w:hAnsi="Arial" w:cs="Arial"/>
          <w:color w:val="000000" w:themeColor="text1"/>
          <w:sz w:val="24"/>
          <w:szCs w:val="24"/>
        </w:rPr>
        <w:t>,</w:t>
      </w:r>
      <w:r w:rsidR="000C304E" w:rsidRPr="00BD40B6">
        <w:rPr>
          <w:rFonts w:ascii="Arial" w:hAnsi="Arial" w:cs="Arial"/>
          <w:color w:val="000000" w:themeColor="text1"/>
          <w:sz w:val="24"/>
          <w:szCs w:val="24"/>
        </w:rPr>
        <w:t xml:space="preserve"> a matter well covered by microbiology textbooks</w:t>
      </w:r>
      <w:r w:rsidR="0002446A" w:rsidRPr="00BD40B6">
        <w:rPr>
          <w:rFonts w:ascii="Arial" w:hAnsi="Arial" w:cs="Arial"/>
          <w:color w:val="000000" w:themeColor="text1"/>
          <w:sz w:val="24"/>
          <w:szCs w:val="24"/>
        </w:rPr>
        <w:t xml:space="preserve">, </w:t>
      </w:r>
      <w:r w:rsidR="000C304E" w:rsidRPr="00BD40B6">
        <w:rPr>
          <w:rFonts w:ascii="Arial" w:hAnsi="Arial" w:cs="Arial"/>
          <w:color w:val="000000" w:themeColor="text1"/>
          <w:sz w:val="24"/>
          <w:szCs w:val="24"/>
        </w:rPr>
        <w:t>but which assembly-shaping factors are actually mobilised, or exploitable, for disease resistance. Three findings are especially consequential for the reprogramming agenda developed later in this review. First, plant genetic control over exudation is sufficient to restructure the rhizosphere community</w:t>
      </w:r>
      <w:r w:rsidR="00997952" w:rsidRPr="00BD40B6">
        <w:rPr>
          <w:rFonts w:ascii="Arial" w:hAnsi="Arial" w:cs="Arial"/>
          <w:color w:val="000000" w:themeColor="text1"/>
          <w:sz w:val="24"/>
          <w:szCs w:val="24"/>
        </w:rPr>
        <w:t>.</w:t>
      </w:r>
      <w:r w:rsidR="000C304E" w:rsidRPr="00BD40B6">
        <w:rPr>
          <w:rFonts w:ascii="Arial" w:hAnsi="Arial" w:cs="Arial"/>
          <w:color w:val="000000" w:themeColor="text1"/>
          <w:sz w:val="24"/>
          <w:szCs w:val="24"/>
        </w:rPr>
        <w:t xml:space="preserve"> </w:t>
      </w:r>
      <w:r w:rsidR="00997952" w:rsidRPr="00BD40B6">
        <w:rPr>
          <w:rFonts w:ascii="Arial" w:hAnsi="Arial" w:cs="Arial"/>
          <w:color w:val="000000" w:themeColor="text1"/>
          <w:sz w:val="24"/>
          <w:szCs w:val="24"/>
        </w:rPr>
        <w:t>T</w:t>
      </w:r>
      <w:r w:rsidR="000C304E" w:rsidRPr="00BD40B6">
        <w:rPr>
          <w:rFonts w:ascii="Arial" w:hAnsi="Arial" w:cs="Arial"/>
          <w:color w:val="000000" w:themeColor="text1"/>
          <w:sz w:val="24"/>
          <w:szCs w:val="24"/>
        </w:rPr>
        <w:t xml:space="preserve">he ethylene-insensitive Never ripe (NR) tomato mutant shows altered root exudate composition and a correspondingly restructured rhizosphere bacterial community relative to wild type (Fu </w:t>
      </w:r>
      <w:r w:rsidR="00587082" w:rsidRPr="00BD40B6">
        <w:rPr>
          <w:rFonts w:ascii="Arial" w:hAnsi="Arial" w:cs="Arial"/>
          <w:i/>
          <w:iCs/>
          <w:color w:val="000000" w:themeColor="text1"/>
          <w:sz w:val="24"/>
          <w:szCs w:val="24"/>
        </w:rPr>
        <w:t>et al.</w:t>
      </w:r>
      <w:r w:rsidR="000C304E" w:rsidRPr="00BD40B6">
        <w:rPr>
          <w:rFonts w:ascii="Arial" w:hAnsi="Arial" w:cs="Arial"/>
          <w:color w:val="000000" w:themeColor="text1"/>
          <w:sz w:val="24"/>
          <w:szCs w:val="24"/>
        </w:rPr>
        <w:t xml:space="preserve">, 2021), while, separately, knockdown of the ethylene response factor gene ERF-E2 alters root exudate composition in a way that increases attraction of the root-knot and cyst nematodes Meloidogyne incognita and </w:t>
      </w:r>
      <w:proofErr w:type="spellStart"/>
      <w:r w:rsidR="000C304E" w:rsidRPr="00BD40B6">
        <w:rPr>
          <w:rFonts w:ascii="Arial" w:hAnsi="Arial" w:cs="Arial"/>
          <w:i/>
          <w:iCs/>
          <w:color w:val="000000" w:themeColor="text1"/>
          <w:sz w:val="24"/>
          <w:szCs w:val="24"/>
        </w:rPr>
        <w:t>Globodera</w:t>
      </w:r>
      <w:proofErr w:type="spellEnd"/>
      <w:r w:rsidR="000C304E" w:rsidRPr="00BD40B6">
        <w:rPr>
          <w:rFonts w:ascii="Arial" w:hAnsi="Arial" w:cs="Arial"/>
          <w:i/>
          <w:iCs/>
          <w:color w:val="000000" w:themeColor="text1"/>
          <w:sz w:val="24"/>
          <w:szCs w:val="24"/>
        </w:rPr>
        <w:t xml:space="preserve"> pallida</w:t>
      </w:r>
      <w:r w:rsidR="000C304E" w:rsidRPr="00BD40B6">
        <w:rPr>
          <w:rFonts w:ascii="Arial" w:hAnsi="Arial" w:cs="Arial"/>
          <w:color w:val="000000" w:themeColor="text1"/>
          <w:sz w:val="24"/>
          <w:szCs w:val="24"/>
        </w:rPr>
        <w:t>, though this same exudate change did not alter attraction of the two rhizosphere bacteria tested (</w:t>
      </w:r>
      <w:r w:rsidR="000C304E" w:rsidRPr="00BD40B6">
        <w:rPr>
          <w:rFonts w:ascii="Arial" w:hAnsi="Arial" w:cs="Arial"/>
          <w:i/>
          <w:iCs/>
          <w:color w:val="000000" w:themeColor="text1"/>
          <w:sz w:val="24"/>
          <w:szCs w:val="24"/>
        </w:rPr>
        <w:t>Bacillus subtilis</w:t>
      </w:r>
      <w:r w:rsidR="000C304E" w:rsidRPr="00BD40B6">
        <w:rPr>
          <w:rFonts w:ascii="Arial" w:hAnsi="Arial" w:cs="Arial"/>
          <w:color w:val="000000" w:themeColor="text1"/>
          <w:sz w:val="24"/>
          <w:szCs w:val="24"/>
        </w:rPr>
        <w:t xml:space="preserve">, </w:t>
      </w:r>
      <w:r w:rsidR="000C304E" w:rsidRPr="00BD40B6">
        <w:rPr>
          <w:rFonts w:ascii="Arial" w:hAnsi="Arial" w:cs="Arial"/>
          <w:i/>
          <w:iCs/>
          <w:color w:val="000000" w:themeColor="text1"/>
          <w:sz w:val="24"/>
          <w:szCs w:val="24"/>
        </w:rPr>
        <w:t>Agrobacterium tumefaciens</w:t>
      </w:r>
      <w:r w:rsidR="000C304E" w:rsidRPr="00BD40B6">
        <w:rPr>
          <w:rFonts w:ascii="Arial" w:hAnsi="Arial" w:cs="Arial"/>
          <w:color w:val="000000" w:themeColor="text1"/>
          <w:sz w:val="24"/>
          <w:szCs w:val="24"/>
        </w:rPr>
        <w:t xml:space="preserve">) in the same study (Dyer </w:t>
      </w:r>
      <w:r w:rsidR="00587082" w:rsidRPr="00BD40B6">
        <w:rPr>
          <w:rFonts w:ascii="Arial" w:hAnsi="Arial" w:cs="Arial"/>
          <w:i/>
          <w:iCs/>
          <w:color w:val="000000" w:themeColor="text1"/>
          <w:sz w:val="24"/>
          <w:szCs w:val="24"/>
        </w:rPr>
        <w:t>et al.</w:t>
      </w:r>
      <w:r w:rsidR="000C304E" w:rsidRPr="00BD40B6">
        <w:rPr>
          <w:rFonts w:ascii="Arial" w:hAnsi="Arial" w:cs="Arial"/>
          <w:color w:val="000000" w:themeColor="text1"/>
          <w:sz w:val="24"/>
          <w:szCs w:val="24"/>
        </w:rPr>
        <w:t>, 2019). Together</w:t>
      </w:r>
      <w:r w:rsidR="00997952" w:rsidRPr="00BD40B6">
        <w:rPr>
          <w:rFonts w:ascii="Arial" w:hAnsi="Arial" w:cs="Arial"/>
          <w:color w:val="000000" w:themeColor="text1"/>
          <w:sz w:val="24"/>
          <w:szCs w:val="24"/>
        </w:rPr>
        <w:t>,</w:t>
      </w:r>
      <w:r w:rsidR="000C304E" w:rsidRPr="00BD40B6">
        <w:rPr>
          <w:rFonts w:ascii="Arial" w:hAnsi="Arial" w:cs="Arial"/>
          <w:color w:val="000000" w:themeColor="text1"/>
          <w:sz w:val="24"/>
          <w:szCs w:val="24"/>
        </w:rPr>
        <w:t xml:space="preserve"> these indicate that root-exudate genetics is a tractable lever for microbiome assembly and for nematode-attraction phenotypes, though the two effects (microbiome restructuring and altered nematode attraction) have so far been demonstrated in different genes and different studies rather than as a single unified mechanism. Second, microbiome assembly is not static across a plant's lifetime but tracks developmental stage and, notably, disease pressure, since pathogen challenge itself measurably restructures the resident community (discussed in detail in Section 6). Third, assembly outcomes are strongly context-dependent: the same plant genotype grown under field versus greenhouse conditions recruits markedly different, and differently structured, microbial networks, with field-grown tomato rhizospheres showing greater network connectivity and a distinct keystone-taxon profile compared with greenhouse-grown counterparts (Zhou </w:t>
      </w:r>
      <w:r w:rsidR="00587082" w:rsidRPr="00BD40B6">
        <w:rPr>
          <w:rFonts w:ascii="Arial" w:hAnsi="Arial" w:cs="Arial"/>
          <w:i/>
          <w:iCs/>
          <w:color w:val="000000" w:themeColor="text1"/>
          <w:sz w:val="24"/>
          <w:szCs w:val="24"/>
        </w:rPr>
        <w:t>et al.</w:t>
      </w:r>
      <w:r w:rsidR="000C304E" w:rsidRPr="00BD40B6">
        <w:rPr>
          <w:rFonts w:ascii="Arial" w:hAnsi="Arial" w:cs="Arial"/>
          <w:color w:val="000000" w:themeColor="text1"/>
          <w:sz w:val="24"/>
          <w:szCs w:val="24"/>
        </w:rPr>
        <w:t>, 2022). This context-dependency is a recurring theme throughout this review and underlies much of the difficulty in translating laboratory-validated microbiome interventions into reliable field performance.</w:t>
      </w:r>
    </w:p>
    <w:p w14:paraId="5BFE2A02" w14:textId="44FF6EFF" w:rsidR="00E478C3" w:rsidRPr="00BD40B6" w:rsidRDefault="00E478C3" w:rsidP="008A0374">
      <w:pPr>
        <w:spacing w:after="200" w:line="276" w:lineRule="auto"/>
        <w:jc w:val="both"/>
        <w:rPr>
          <w:rFonts w:ascii="Arial" w:hAnsi="Arial" w:cs="Arial"/>
          <w:b/>
          <w:bCs/>
          <w:sz w:val="24"/>
          <w:szCs w:val="24"/>
        </w:rPr>
      </w:pPr>
      <w:r w:rsidRPr="00BD40B6">
        <w:rPr>
          <w:rFonts w:ascii="Arial" w:hAnsi="Arial" w:cs="Arial"/>
          <w:b/>
          <w:bCs/>
          <w:sz w:val="24"/>
          <w:szCs w:val="24"/>
        </w:rPr>
        <w:t>Table 1. Major plant</w:t>
      </w:r>
      <w:r w:rsidR="001B036B" w:rsidRPr="00BD40B6">
        <w:rPr>
          <w:rFonts w:ascii="Arial" w:hAnsi="Arial" w:cs="Arial"/>
          <w:b/>
          <w:bCs/>
          <w:sz w:val="24"/>
          <w:szCs w:val="24"/>
        </w:rPr>
        <w:t>-</w:t>
      </w:r>
      <w:r w:rsidRPr="00BD40B6">
        <w:rPr>
          <w:rFonts w:ascii="Arial" w:hAnsi="Arial" w:cs="Arial"/>
          <w:b/>
          <w:bCs/>
          <w:sz w:val="24"/>
          <w:szCs w:val="24"/>
        </w:rPr>
        <w:t>associated microbiome compartments and their potential roles in disease defence.</w:t>
      </w:r>
    </w:p>
    <w:tbl>
      <w:tblPr>
        <w:tblStyle w:val="TableGrid"/>
        <w:tblW w:w="9833" w:type="dxa"/>
        <w:jc w:val="center"/>
        <w:tblLook w:val="04A0" w:firstRow="1" w:lastRow="0" w:firstColumn="1" w:lastColumn="0" w:noHBand="0" w:noVBand="1"/>
      </w:tblPr>
      <w:tblGrid>
        <w:gridCol w:w="1561"/>
        <w:gridCol w:w="2203"/>
        <w:gridCol w:w="2758"/>
        <w:gridCol w:w="1571"/>
        <w:gridCol w:w="1740"/>
      </w:tblGrid>
      <w:tr w:rsidR="00BB66DD" w:rsidRPr="00CC1686" w14:paraId="7983CF95" w14:textId="77777777" w:rsidTr="00BB66DD">
        <w:trPr>
          <w:jc w:val="center"/>
        </w:trPr>
        <w:tc>
          <w:tcPr>
            <w:tcW w:w="1555" w:type="dxa"/>
          </w:tcPr>
          <w:p w14:paraId="4C9DADD4" w14:textId="77777777" w:rsidR="00BB66DD" w:rsidRPr="00CC1686" w:rsidRDefault="00BB66DD" w:rsidP="008A0374">
            <w:pPr>
              <w:spacing w:line="276" w:lineRule="auto"/>
              <w:rPr>
                <w:rFonts w:ascii="Arial" w:hAnsi="Arial" w:cs="Arial"/>
                <w:sz w:val="20"/>
                <w:szCs w:val="20"/>
              </w:rPr>
            </w:pPr>
            <w:r w:rsidRPr="00CC1686">
              <w:rPr>
                <w:rFonts w:ascii="Arial" w:hAnsi="Arial" w:cs="Arial"/>
                <w:b/>
                <w:bCs/>
                <w:sz w:val="20"/>
                <w:szCs w:val="20"/>
              </w:rPr>
              <w:t>Compartment</w:t>
            </w:r>
          </w:p>
        </w:tc>
        <w:tc>
          <w:tcPr>
            <w:tcW w:w="2203" w:type="dxa"/>
          </w:tcPr>
          <w:p w14:paraId="582276A8" w14:textId="77777777" w:rsidR="00BB66DD" w:rsidRPr="00CC1686" w:rsidRDefault="00BB66DD" w:rsidP="008A0374">
            <w:pPr>
              <w:spacing w:line="276" w:lineRule="auto"/>
              <w:rPr>
                <w:rFonts w:ascii="Arial" w:hAnsi="Arial" w:cs="Arial"/>
                <w:sz w:val="20"/>
                <w:szCs w:val="20"/>
              </w:rPr>
            </w:pPr>
            <w:r w:rsidRPr="00CC1686">
              <w:rPr>
                <w:rFonts w:ascii="Arial" w:hAnsi="Arial" w:cs="Arial"/>
                <w:b/>
                <w:bCs/>
                <w:sz w:val="20"/>
                <w:szCs w:val="20"/>
              </w:rPr>
              <w:t>Representative Taxa</w:t>
            </w:r>
          </w:p>
        </w:tc>
        <w:tc>
          <w:tcPr>
            <w:tcW w:w="0" w:type="auto"/>
          </w:tcPr>
          <w:p w14:paraId="3D2EE04D" w14:textId="77777777" w:rsidR="00BB66DD" w:rsidRPr="00CC1686" w:rsidRDefault="00BB66DD" w:rsidP="008A0374">
            <w:pPr>
              <w:spacing w:line="276" w:lineRule="auto"/>
              <w:rPr>
                <w:rFonts w:ascii="Arial" w:hAnsi="Arial" w:cs="Arial"/>
                <w:sz w:val="20"/>
                <w:szCs w:val="20"/>
              </w:rPr>
            </w:pPr>
            <w:r w:rsidRPr="00CC1686">
              <w:rPr>
                <w:rFonts w:ascii="Arial" w:hAnsi="Arial" w:cs="Arial"/>
                <w:b/>
                <w:bCs/>
                <w:sz w:val="20"/>
                <w:szCs w:val="20"/>
              </w:rPr>
              <w:t>Key Assembly Drivers</w:t>
            </w:r>
          </w:p>
        </w:tc>
        <w:tc>
          <w:tcPr>
            <w:tcW w:w="0" w:type="auto"/>
          </w:tcPr>
          <w:p w14:paraId="4A5FB892" w14:textId="77777777" w:rsidR="00BB66DD" w:rsidRPr="00CC1686" w:rsidRDefault="00BB66DD" w:rsidP="008A0374">
            <w:pPr>
              <w:spacing w:line="276" w:lineRule="auto"/>
              <w:rPr>
                <w:rFonts w:ascii="Arial" w:hAnsi="Arial" w:cs="Arial"/>
                <w:sz w:val="20"/>
                <w:szCs w:val="20"/>
              </w:rPr>
            </w:pPr>
            <w:r w:rsidRPr="00CC1686">
              <w:rPr>
                <w:rFonts w:ascii="Arial" w:hAnsi="Arial" w:cs="Arial"/>
                <w:b/>
                <w:bCs/>
                <w:sz w:val="20"/>
                <w:szCs w:val="20"/>
              </w:rPr>
              <w:t>Potential Role in Disease Defence</w:t>
            </w:r>
          </w:p>
        </w:tc>
        <w:tc>
          <w:tcPr>
            <w:tcW w:w="0" w:type="auto"/>
          </w:tcPr>
          <w:p w14:paraId="5538A7A2" w14:textId="77777777" w:rsidR="00BB66DD" w:rsidRPr="00CC1686" w:rsidRDefault="00BB66DD" w:rsidP="008A0374">
            <w:pPr>
              <w:spacing w:line="276" w:lineRule="auto"/>
              <w:rPr>
                <w:rFonts w:ascii="Arial" w:hAnsi="Arial" w:cs="Arial"/>
                <w:sz w:val="20"/>
                <w:szCs w:val="20"/>
              </w:rPr>
            </w:pPr>
            <w:r w:rsidRPr="00CC1686">
              <w:rPr>
                <w:rFonts w:ascii="Arial" w:hAnsi="Arial" w:cs="Arial"/>
                <w:b/>
                <w:bCs/>
                <w:sz w:val="20"/>
                <w:szCs w:val="20"/>
              </w:rPr>
              <w:t>Representative Reference(s)</w:t>
            </w:r>
          </w:p>
        </w:tc>
      </w:tr>
      <w:tr w:rsidR="00BB66DD" w:rsidRPr="00CC1686" w14:paraId="0B9F734E" w14:textId="77777777" w:rsidTr="00BB66DD">
        <w:trPr>
          <w:jc w:val="center"/>
        </w:trPr>
        <w:tc>
          <w:tcPr>
            <w:tcW w:w="1555" w:type="dxa"/>
          </w:tcPr>
          <w:p w14:paraId="50BF903F"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Rhizosphere</w:t>
            </w:r>
          </w:p>
        </w:tc>
        <w:tc>
          <w:tcPr>
            <w:tcW w:w="2203" w:type="dxa"/>
          </w:tcPr>
          <w:p w14:paraId="600DAA4F"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Bacillus, Pseudomonas, Trichoderma, mycorrhizal fungi</w:t>
            </w:r>
          </w:p>
        </w:tc>
        <w:tc>
          <w:tcPr>
            <w:tcW w:w="0" w:type="auto"/>
          </w:tcPr>
          <w:p w14:paraId="074B8859"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Root exudates, soil type, host genotype, agronomic management</w:t>
            </w:r>
          </w:p>
        </w:tc>
        <w:tc>
          <w:tcPr>
            <w:tcW w:w="0" w:type="auto"/>
          </w:tcPr>
          <w:p w14:paraId="77BA642B"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Nutrient competition, antibiosis, ISR priming, siderophore-mediated iron competition</w:t>
            </w:r>
          </w:p>
        </w:tc>
        <w:tc>
          <w:tcPr>
            <w:tcW w:w="0" w:type="auto"/>
          </w:tcPr>
          <w:p w14:paraId="44A1BB69" w14:textId="7B143451"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 xml:space="preserve">Mendes </w:t>
            </w:r>
            <w:r w:rsidR="00587082" w:rsidRPr="00CC1686">
              <w:rPr>
                <w:rFonts w:ascii="Arial" w:hAnsi="Arial" w:cs="Arial"/>
                <w:i/>
                <w:iCs/>
                <w:sz w:val="20"/>
                <w:szCs w:val="20"/>
              </w:rPr>
              <w:t>et al.</w:t>
            </w:r>
            <w:r w:rsidRPr="00CC1686">
              <w:rPr>
                <w:rFonts w:ascii="Arial" w:hAnsi="Arial" w:cs="Arial"/>
                <w:sz w:val="20"/>
                <w:szCs w:val="20"/>
              </w:rPr>
              <w:t xml:space="preserve">, 2011; Ali </w:t>
            </w:r>
            <w:r w:rsidR="00587082" w:rsidRPr="00CC1686">
              <w:rPr>
                <w:rFonts w:ascii="Arial" w:hAnsi="Arial" w:cs="Arial"/>
                <w:i/>
                <w:iCs/>
                <w:sz w:val="20"/>
                <w:szCs w:val="20"/>
              </w:rPr>
              <w:t>et al.</w:t>
            </w:r>
            <w:r w:rsidRPr="00CC1686">
              <w:rPr>
                <w:rFonts w:ascii="Arial" w:hAnsi="Arial" w:cs="Arial"/>
                <w:sz w:val="20"/>
                <w:szCs w:val="20"/>
              </w:rPr>
              <w:t>, 2023</w:t>
            </w:r>
          </w:p>
        </w:tc>
      </w:tr>
      <w:tr w:rsidR="00BB66DD" w:rsidRPr="00CC1686" w14:paraId="5D8AF0AE" w14:textId="77777777" w:rsidTr="00BB66DD">
        <w:trPr>
          <w:jc w:val="center"/>
        </w:trPr>
        <w:tc>
          <w:tcPr>
            <w:tcW w:w="1555" w:type="dxa"/>
          </w:tcPr>
          <w:p w14:paraId="7F1727BC" w14:textId="77777777" w:rsidR="00BB66DD" w:rsidRPr="00CC1686" w:rsidRDefault="00BB66DD" w:rsidP="008A0374">
            <w:pPr>
              <w:spacing w:line="276" w:lineRule="auto"/>
              <w:rPr>
                <w:rFonts w:ascii="Arial" w:hAnsi="Arial" w:cs="Arial"/>
                <w:sz w:val="20"/>
                <w:szCs w:val="20"/>
              </w:rPr>
            </w:pPr>
            <w:proofErr w:type="spellStart"/>
            <w:r w:rsidRPr="00CC1686">
              <w:rPr>
                <w:rFonts w:ascii="Arial" w:hAnsi="Arial" w:cs="Arial"/>
                <w:sz w:val="20"/>
                <w:szCs w:val="20"/>
              </w:rPr>
              <w:t>Endosphere</w:t>
            </w:r>
            <w:proofErr w:type="spellEnd"/>
            <w:r w:rsidRPr="00CC1686">
              <w:rPr>
                <w:rFonts w:ascii="Arial" w:hAnsi="Arial" w:cs="Arial"/>
                <w:sz w:val="20"/>
                <w:szCs w:val="20"/>
              </w:rPr>
              <w:t xml:space="preserve"> (root/stem/leaf)</w:t>
            </w:r>
          </w:p>
        </w:tc>
        <w:tc>
          <w:tcPr>
            <w:tcW w:w="2203" w:type="dxa"/>
          </w:tcPr>
          <w:p w14:paraId="365C648A"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 xml:space="preserve">Endophytic Bacillus, Pseudomonas, </w:t>
            </w:r>
            <w:proofErr w:type="spellStart"/>
            <w:r w:rsidRPr="00CC1686">
              <w:rPr>
                <w:rFonts w:ascii="Arial" w:hAnsi="Arial" w:cs="Arial"/>
                <w:sz w:val="20"/>
                <w:szCs w:val="20"/>
              </w:rPr>
              <w:t>Methylobacterium</w:t>
            </w:r>
            <w:proofErr w:type="spellEnd"/>
            <w:r w:rsidRPr="00CC1686">
              <w:rPr>
                <w:rFonts w:ascii="Arial" w:hAnsi="Arial" w:cs="Arial"/>
                <w:sz w:val="20"/>
                <w:szCs w:val="20"/>
              </w:rPr>
              <w:t>, endophytic fungi</w:t>
            </w:r>
          </w:p>
        </w:tc>
        <w:tc>
          <w:tcPr>
            <w:tcW w:w="0" w:type="auto"/>
          </w:tcPr>
          <w:p w14:paraId="1189C4BF"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Vertical (seed) and horizontal (rhizosphere/</w:t>
            </w:r>
            <w:proofErr w:type="spellStart"/>
            <w:r w:rsidRPr="00CC1686">
              <w:rPr>
                <w:rFonts w:ascii="Arial" w:hAnsi="Arial" w:cs="Arial"/>
                <w:sz w:val="20"/>
                <w:szCs w:val="20"/>
              </w:rPr>
              <w:t>phyllosphere</w:t>
            </w:r>
            <w:proofErr w:type="spellEnd"/>
            <w:r w:rsidRPr="00CC1686">
              <w:rPr>
                <w:rFonts w:ascii="Arial" w:hAnsi="Arial" w:cs="Arial"/>
                <w:sz w:val="20"/>
                <w:szCs w:val="20"/>
              </w:rPr>
              <w:t>) transmission; host immune tolerance</w:t>
            </w:r>
          </w:p>
        </w:tc>
        <w:tc>
          <w:tcPr>
            <w:tcW w:w="0" w:type="auto"/>
          </w:tcPr>
          <w:p w14:paraId="6D4D9938"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ISR activation, antimicrobial metabolite production, siderophore-mediated pathogen suppression</w:t>
            </w:r>
          </w:p>
        </w:tc>
        <w:tc>
          <w:tcPr>
            <w:tcW w:w="0" w:type="auto"/>
          </w:tcPr>
          <w:p w14:paraId="54FBDE45" w14:textId="48F8A09D" w:rsidR="00BB66DD" w:rsidRPr="00CC1686" w:rsidRDefault="001C392F" w:rsidP="008A0374">
            <w:pPr>
              <w:spacing w:line="276" w:lineRule="auto"/>
              <w:rPr>
                <w:rFonts w:ascii="Arial" w:hAnsi="Arial" w:cs="Arial"/>
                <w:sz w:val="20"/>
                <w:szCs w:val="20"/>
              </w:rPr>
            </w:pPr>
            <w:proofErr w:type="spellStart"/>
            <w:r w:rsidRPr="00CC1686">
              <w:rPr>
                <w:rFonts w:ascii="Arial" w:hAnsi="Arial" w:cs="Arial"/>
                <w:sz w:val="20"/>
                <w:szCs w:val="20"/>
              </w:rPr>
              <w:t>Ardanov</w:t>
            </w:r>
            <w:proofErr w:type="spellEnd"/>
            <w:r w:rsidRPr="00CC1686">
              <w:rPr>
                <w:rFonts w:ascii="Arial" w:hAnsi="Arial" w:cs="Arial"/>
                <w:sz w:val="20"/>
                <w:szCs w:val="20"/>
              </w:rPr>
              <w:t xml:space="preserve"> </w:t>
            </w:r>
            <w:r w:rsidR="00587082" w:rsidRPr="00CC1686">
              <w:rPr>
                <w:rFonts w:ascii="Arial" w:hAnsi="Arial" w:cs="Arial"/>
                <w:i/>
                <w:iCs/>
                <w:sz w:val="20"/>
                <w:szCs w:val="20"/>
              </w:rPr>
              <w:t>et al.</w:t>
            </w:r>
            <w:r w:rsidRPr="00CC1686">
              <w:rPr>
                <w:rFonts w:ascii="Arial" w:hAnsi="Arial" w:cs="Arial"/>
                <w:sz w:val="20"/>
                <w:szCs w:val="20"/>
              </w:rPr>
              <w:t>, 2012</w:t>
            </w:r>
            <w:r w:rsidR="00BB66DD" w:rsidRPr="00CC1686">
              <w:rPr>
                <w:rFonts w:ascii="Arial" w:hAnsi="Arial" w:cs="Arial"/>
                <w:sz w:val="20"/>
                <w:szCs w:val="20"/>
              </w:rPr>
              <w:t xml:space="preserve">; Samreen </w:t>
            </w:r>
            <w:r w:rsidR="00587082" w:rsidRPr="00CC1686">
              <w:rPr>
                <w:rFonts w:ascii="Arial" w:hAnsi="Arial" w:cs="Arial"/>
                <w:i/>
                <w:iCs/>
                <w:sz w:val="20"/>
                <w:szCs w:val="20"/>
              </w:rPr>
              <w:t>et al.</w:t>
            </w:r>
            <w:r w:rsidR="00BB66DD" w:rsidRPr="00CC1686">
              <w:rPr>
                <w:rFonts w:ascii="Arial" w:hAnsi="Arial" w:cs="Arial"/>
                <w:sz w:val="20"/>
                <w:szCs w:val="20"/>
              </w:rPr>
              <w:t>, 2021</w:t>
            </w:r>
          </w:p>
        </w:tc>
      </w:tr>
      <w:tr w:rsidR="00BB66DD" w:rsidRPr="00CC1686" w14:paraId="0768BA0A" w14:textId="77777777" w:rsidTr="00BB66DD">
        <w:trPr>
          <w:jc w:val="center"/>
        </w:trPr>
        <w:tc>
          <w:tcPr>
            <w:tcW w:w="1555" w:type="dxa"/>
          </w:tcPr>
          <w:p w14:paraId="36402777" w14:textId="77777777" w:rsidR="00BB66DD" w:rsidRPr="00CC1686" w:rsidRDefault="00BB66DD" w:rsidP="008A0374">
            <w:pPr>
              <w:spacing w:line="276" w:lineRule="auto"/>
              <w:rPr>
                <w:rFonts w:ascii="Arial" w:hAnsi="Arial" w:cs="Arial"/>
                <w:sz w:val="20"/>
                <w:szCs w:val="20"/>
              </w:rPr>
            </w:pPr>
            <w:proofErr w:type="spellStart"/>
            <w:r w:rsidRPr="00CC1686">
              <w:rPr>
                <w:rFonts w:ascii="Arial" w:hAnsi="Arial" w:cs="Arial"/>
                <w:sz w:val="20"/>
                <w:szCs w:val="20"/>
              </w:rPr>
              <w:t>Phyllosphere</w:t>
            </w:r>
            <w:proofErr w:type="spellEnd"/>
          </w:p>
        </w:tc>
        <w:tc>
          <w:tcPr>
            <w:tcW w:w="2203" w:type="dxa"/>
          </w:tcPr>
          <w:p w14:paraId="5636DB6B" w14:textId="77777777" w:rsidR="00BB66DD" w:rsidRPr="00CC1686" w:rsidRDefault="00BB66DD" w:rsidP="008A0374">
            <w:pPr>
              <w:spacing w:line="276" w:lineRule="auto"/>
              <w:rPr>
                <w:rFonts w:ascii="Arial" w:hAnsi="Arial" w:cs="Arial"/>
                <w:sz w:val="20"/>
                <w:szCs w:val="20"/>
              </w:rPr>
            </w:pPr>
            <w:proofErr w:type="spellStart"/>
            <w:r w:rsidRPr="00CC1686">
              <w:rPr>
                <w:rFonts w:ascii="Arial" w:hAnsi="Arial" w:cs="Arial"/>
                <w:sz w:val="20"/>
                <w:szCs w:val="20"/>
              </w:rPr>
              <w:t>Sphingomonas</w:t>
            </w:r>
            <w:proofErr w:type="spellEnd"/>
            <w:r w:rsidRPr="00CC1686">
              <w:rPr>
                <w:rFonts w:ascii="Arial" w:hAnsi="Arial" w:cs="Arial"/>
                <w:sz w:val="20"/>
                <w:szCs w:val="20"/>
              </w:rPr>
              <w:t xml:space="preserve">, </w:t>
            </w:r>
            <w:proofErr w:type="spellStart"/>
            <w:r w:rsidRPr="00CC1686">
              <w:rPr>
                <w:rFonts w:ascii="Arial" w:hAnsi="Arial" w:cs="Arial"/>
                <w:sz w:val="20"/>
                <w:szCs w:val="20"/>
              </w:rPr>
              <w:t>Methylobacterium</w:t>
            </w:r>
            <w:proofErr w:type="spellEnd"/>
            <w:r w:rsidRPr="00CC1686">
              <w:rPr>
                <w:rFonts w:ascii="Arial" w:hAnsi="Arial" w:cs="Arial"/>
                <w:sz w:val="20"/>
                <w:szCs w:val="20"/>
              </w:rPr>
              <w:t xml:space="preserve">, </w:t>
            </w:r>
            <w:proofErr w:type="spellStart"/>
            <w:r w:rsidRPr="00CC1686">
              <w:rPr>
                <w:rFonts w:ascii="Arial" w:hAnsi="Arial" w:cs="Arial"/>
                <w:sz w:val="20"/>
                <w:szCs w:val="20"/>
              </w:rPr>
              <w:t>Pantoea</w:t>
            </w:r>
            <w:proofErr w:type="spellEnd"/>
            <w:r w:rsidRPr="00CC1686">
              <w:rPr>
                <w:rFonts w:ascii="Arial" w:hAnsi="Arial" w:cs="Arial"/>
                <w:sz w:val="20"/>
                <w:szCs w:val="20"/>
              </w:rPr>
              <w:t xml:space="preserve"> and other epiphytic genera</w:t>
            </w:r>
          </w:p>
        </w:tc>
        <w:tc>
          <w:tcPr>
            <w:tcW w:w="0" w:type="auto"/>
          </w:tcPr>
          <w:p w14:paraId="118C73E3"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UV exposure, humidity, leaf surface chemistry, host genotype</w:t>
            </w:r>
          </w:p>
        </w:tc>
        <w:tc>
          <w:tcPr>
            <w:tcW w:w="0" w:type="auto"/>
          </w:tcPr>
          <w:p w14:paraId="5446810A"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 xml:space="preserve">Direct antagonism of foliar pathogens; ISR/PTI </w:t>
            </w:r>
            <w:r w:rsidRPr="00CC1686">
              <w:rPr>
                <w:rFonts w:ascii="Arial" w:hAnsi="Arial" w:cs="Arial"/>
                <w:sz w:val="20"/>
                <w:szCs w:val="20"/>
              </w:rPr>
              <w:lastRenderedPageBreak/>
              <w:t>priming; niche pre-emption on leaf surface</w:t>
            </w:r>
          </w:p>
        </w:tc>
        <w:tc>
          <w:tcPr>
            <w:tcW w:w="0" w:type="auto"/>
          </w:tcPr>
          <w:p w14:paraId="2FD1319A" w14:textId="15A4D271"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lastRenderedPageBreak/>
              <w:t xml:space="preserve">Vogel </w:t>
            </w:r>
            <w:r w:rsidR="00587082" w:rsidRPr="00CC1686">
              <w:rPr>
                <w:rFonts w:ascii="Arial" w:hAnsi="Arial" w:cs="Arial"/>
                <w:i/>
                <w:iCs/>
                <w:sz w:val="20"/>
                <w:szCs w:val="20"/>
              </w:rPr>
              <w:t>et al.</w:t>
            </w:r>
            <w:r w:rsidRPr="00CC1686">
              <w:rPr>
                <w:rFonts w:ascii="Arial" w:hAnsi="Arial" w:cs="Arial"/>
                <w:sz w:val="20"/>
                <w:szCs w:val="20"/>
              </w:rPr>
              <w:t>, 2021; Bergstrom/PMS synthesis, 2025</w:t>
            </w:r>
          </w:p>
        </w:tc>
      </w:tr>
      <w:tr w:rsidR="00BB66DD" w:rsidRPr="00CC1686" w14:paraId="40FAE81D" w14:textId="77777777" w:rsidTr="00BB66DD">
        <w:trPr>
          <w:jc w:val="center"/>
        </w:trPr>
        <w:tc>
          <w:tcPr>
            <w:tcW w:w="1555" w:type="dxa"/>
          </w:tcPr>
          <w:p w14:paraId="57B5C3FC"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Seed microbiome</w:t>
            </w:r>
          </w:p>
        </w:tc>
        <w:tc>
          <w:tcPr>
            <w:tcW w:w="2203" w:type="dxa"/>
          </w:tcPr>
          <w:p w14:paraId="732C76C8"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 xml:space="preserve">Bacillus, </w:t>
            </w:r>
            <w:proofErr w:type="spellStart"/>
            <w:r w:rsidRPr="00CC1686">
              <w:rPr>
                <w:rFonts w:ascii="Arial" w:hAnsi="Arial" w:cs="Arial"/>
                <w:sz w:val="20"/>
                <w:szCs w:val="20"/>
              </w:rPr>
              <w:t>Pantoea</w:t>
            </w:r>
            <w:proofErr w:type="spellEnd"/>
            <w:r w:rsidRPr="00CC1686">
              <w:rPr>
                <w:rFonts w:ascii="Arial" w:hAnsi="Arial" w:cs="Arial"/>
                <w:sz w:val="20"/>
                <w:szCs w:val="20"/>
              </w:rPr>
              <w:t>, Pseudomonas, seed-borne fungal endophytes</w:t>
            </w:r>
          </w:p>
        </w:tc>
        <w:tc>
          <w:tcPr>
            <w:tcW w:w="0" w:type="auto"/>
          </w:tcPr>
          <w:p w14:paraId="0BD5C780"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Maternal transmission, seed coat structure, storage conditions</w:t>
            </w:r>
          </w:p>
        </w:tc>
        <w:tc>
          <w:tcPr>
            <w:tcW w:w="0" w:type="auto"/>
          </w:tcPr>
          <w:p w14:paraId="23534242" w14:textId="77777777"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Founder inoculum for seedling microbiome; early-stage antagonism against seed/soil-borne pathogens</w:t>
            </w:r>
          </w:p>
        </w:tc>
        <w:tc>
          <w:tcPr>
            <w:tcW w:w="0" w:type="auto"/>
          </w:tcPr>
          <w:p w14:paraId="4C219FC3" w14:textId="082F8A63" w:rsidR="00BB66DD" w:rsidRPr="00CC1686" w:rsidRDefault="00BB66DD" w:rsidP="008A0374">
            <w:pPr>
              <w:spacing w:line="276" w:lineRule="auto"/>
              <w:rPr>
                <w:rFonts w:ascii="Arial" w:hAnsi="Arial" w:cs="Arial"/>
                <w:sz w:val="20"/>
                <w:szCs w:val="20"/>
              </w:rPr>
            </w:pPr>
            <w:r w:rsidRPr="00CC1686">
              <w:rPr>
                <w:rFonts w:ascii="Arial" w:hAnsi="Arial" w:cs="Arial"/>
                <w:sz w:val="20"/>
                <w:szCs w:val="20"/>
              </w:rPr>
              <w:t xml:space="preserve">Samreen </w:t>
            </w:r>
            <w:r w:rsidR="00587082" w:rsidRPr="00CC1686">
              <w:rPr>
                <w:rFonts w:ascii="Arial" w:hAnsi="Arial" w:cs="Arial"/>
                <w:i/>
                <w:iCs/>
                <w:sz w:val="20"/>
                <w:szCs w:val="20"/>
              </w:rPr>
              <w:t>et al.</w:t>
            </w:r>
            <w:r w:rsidRPr="00CC1686">
              <w:rPr>
                <w:rFonts w:ascii="Arial" w:hAnsi="Arial" w:cs="Arial"/>
                <w:sz w:val="20"/>
                <w:szCs w:val="20"/>
              </w:rPr>
              <w:t xml:space="preserve">, 2021; Syed </w:t>
            </w:r>
            <w:r w:rsidR="00587082" w:rsidRPr="00CC1686">
              <w:rPr>
                <w:rFonts w:ascii="Arial" w:hAnsi="Arial" w:cs="Arial"/>
                <w:i/>
                <w:iCs/>
                <w:sz w:val="20"/>
                <w:szCs w:val="20"/>
              </w:rPr>
              <w:t>et al.</w:t>
            </w:r>
            <w:r w:rsidRPr="00CC1686">
              <w:rPr>
                <w:rFonts w:ascii="Arial" w:hAnsi="Arial" w:cs="Arial"/>
                <w:sz w:val="20"/>
                <w:szCs w:val="20"/>
              </w:rPr>
              <w:t>, 2020</w:t>
            </w:r>
          </w:p>
        </w:tc>
      </w:tr>
    </w:tbl>
    <w:p w14:paraId="36FA4C60" w14:textId="17BE39D6" w:rsidR="00FA66C4" w:rsidRPr="000C4A55" w:rsidRDefault="00CC1686" w:rsidP="008A0374">
      <w:pPr>
        <w:pStyle w:val="Heading1"/>
        <w:spacing w:before="320" w:after="160" w:line="276" w:lineRule="auto"/>
        <w:rPr>
          <w:rFonts w:ascii="Arial" w:hAnsi="Arial" w:cs="Arial"/>
          <w:b/>
          <w:bCs/>
          <w:color w:val="000000" w:themeColor="text1"/>
          <w:sz w:val="24"/>
          <w:szCs w:val="24"/>
        </w:rPr>
      </w:pPr>
      <w:r w:rsidRPr="000C4A55">
        <w:rPr>
          <w:rFonts w:ascii="Arial" w:hAnsi="Arial" w:cs="Arial"/>
          <w:b/>
          <w:bCs/>
          <w:color w:val="000000" w:themeColor="text1"/>
          <w:sz w:val="24"/>
          <w:szCs w:val="24"/>
        </w:rPr>
        <w:t>3. FROM MICROBIAL PRESENCE TO FUNCTION: RETHINKING “WHO IS THERE”</w:t>
      </w:r>
    </w:p>
    <w:p w14:paraId="6FB41D99" w14:textId="19B8FCFA" w:rsidR="00E574B0" w:rsidRPr="000C4A55" w:rsidRDefault="00BB0D9C" w:rsidP="008A0374">
      <w:pPr>
        <w:spacing w:after="200" w:line="276" w:lineRule="auto"/>
        <w:jc w:val="both"/>
        <w:rPr>
          <w:rFonts w:ascii="Arial" w:hAnsi="Arial" w:cs="Arial"/>
          <w:sz w:val="24"/>
          <w:szCs w:val="24"/>
        </w:rPr>
      </w:pPr>
      <w:r w:rsidRPr="000C4A55">
        <w:rPr>
          <w:rFonts w:ascii="Arial" w:hAnsi="Arial" w:cs="Arial"/>
          <w:sz w:val="24"/>
          <w:szCs w:val="24"/>
        </w:rPr>
        <w:tab/>
      </w:r>
      <w:r w:rsidR="00E574B0" w:rsidRPr="000C4A55">
        <w:rPr>
          <w:rFonts w:ascii="Arial" w:hAnsi="Arial" w:cs="Arial"/>
          <w:sz w:val="24"/>
          <w:szCs w:val="24"/>
        </w:rPr>
        <w:t>Early plant microbiome research mostly just described what was there</w:t>
      </w:r>
      <w:r w:rsidR="0088481B" w:rsidRPr="000C4A55">
        <w:rPr>
          <w:rFonts w:ascii="Arial" w:hAnsi="Arial" w:cs="Arial"/>
          <w:sz w:val="24"/>
          <w:szCs w:val="24"/>
        </w:rPr>
        <w:t>, but now s</w:t>
      </w:r>
      <w:r w:rsidR="00E574B0" w:rsidRPr="000C4A55">
        <w:rPr>
          <w:rFonts w:ascii="Arial" w:hAnsi="Arial" w:cs="Arial"/>
          <w:sz w:val="24"/>
          <w:szCs w:val="24"/>
        </w:rPr>
        <w:t xml:space="preserve">cientists </w:t>
      </w:r>
      <w:r w:rsidR="0088481B" w:rsidRPr="000C4A55">
        <w:rPr>
          <w:rFonts w:ascii="Arial" w:hAnsi="Arial" w:cs="Arial"/>
          <w:sz w:val="24"/>
          <w:szCs w:val="24"/>
        </w:rPr>
        <w:t>use</w:t>
      </w:r>
      <w:r w:rsidR="00E574B0" w:rsidRPr="000C4A55">
        <w:rPr>
          <w:rFonts w:ascii="Arial" w:hAnsi="Arial" w:cs="Arial"/>
          <w:sz w:val="24"/>
          <w:szCs w:val="24"/>
        </w:rPr>
        <w:t xml:space="preserve"> a DNA method called amplicon sequencing to list which microbes lived in each part of the plant. To guess whether these microbes affected disease, they checked if certain microbes became more or less common in sick plants versus healthy ones. But this didn't tell them what the microbes were actually doing.</w:t>
      </w:r>
      <w:r w:rsidR="009D2A6C" w:rsidRPr="000C4A55">
        <w:rPr>
          <w:rFonts w:ascii="Arial" w:hAnsi="Arial" w:cs="Arial"/>
          <w:sz w:val="24"/>
          <w:szCs w:val="24"/>
        </w:rPr>
        <w:t xml:space="preserve"> </w:t>
      </w:r>
      <w:r w:rsidR="00E574B0" w:rsidRPr="000C4A55">
        <w:rPr>
          <w:rFonts w:ascii="Arial" w:hAnsi="Arial" w:cs="Arial"/>
          <w:sz w:val="24"/>
          <w:szCs w:val="24"/>
        </w:rPr>
        <w:t>This method taught us a lot, but it has a big limitation</w:t>
      </w:r>
      <w:r w:rsidR="009D2A6C" w:rsidRPr="000C4A55">
        <w:rPr>
          <w:rFonts w:ascii="Arial" w:hAnsi="Arial" w:cs="Arial"/>
          <w:sz w:val="24"/>
          <w:szCs w:val="24"/>
        </w:rPr>
        <w:t>,</w:t>
      </w:r>
      <w:r w:rsidR="00E574B0" w:rsidRPr="000C4A55">
        <w:rPr>
          <w:rFonts w:ascii="Arial" w:hAnsi="Arial" w:cs="Arial"/>
          <w:sz w:val="24"/>
          <w:szCs w:val="24"/>
        </w:rPr>
        <w:t xml:space="preserve"> just because a microbe is present doesn't mean we know its job. And just because a microbe becomes more common doesn't mean it's causing the disease.</w:t>
      </w:r>
    </w:p>
    <w:p w14:paraId="18D30177" w14:textId="451A7862" w:rsidR="00E574B0" w:rsidRPr="000C4A55" w:rsidRDefault="00D3612A" w:rsidP="008A0374">
      <w:pPr>
        <w:spacing w:after="200" w:line="276" w:lineRule="auto"/>
        <w:jc w:val="both"/>
        <w:rPr>
          <w:rFonts w:ascii="Arial" w:hAnsi="Arial" w:cs="Arial"/>
          <w:sz w:val="24"/>
          <w:szCs w:val="24"/>
        </w:rPr>
      </w:pPr>
      <w:r w:rsidRPr="000C4A55">
        <w:rPr>
          <w:rFonts w:ascii="Arial" w:hAnsi="Arial" w:cs="Arial"/>
          <w:sz w:val="24"/>
          <w:szCs w:val="24"/>
        </w:rPr>
        <w:tab/>
      </w:r>
      <w:r w:rsidR="00E574B0" w:rsidRPr="000C4A55">
        <w:rPr>
          <w:rFonts w:ascii="Arial" w:hAnsi="Arial" w:cs="Arial"/>
          <w:sz w:val="24"/>
          <w:szCs w:val="24"/>
        </w:rPr>
        <w:t xml:space="preserve">Here's why </w:t>
      </w:r>
      <w:proofErr w:type="gramStart"/>
      <w:r w:rsidR="00E574B0" w:rsidRPr="000C4A55">
        <w:rPr>
          <w:rFonts w:ascii="Arial" w:hAnsi="Arial" w:cs="Arial"/>
          <w:sz w:val="24"/>
          <w:szCs w:val="24"/>
        </w:rPr>
        <w:t>this matters</w:t>
      </w:r>
      <w:proofErr w:type="gramEnd"/>
      <w:r w:rsidR="00E574B0" w:rsidRPr="000C4A55">
        <w:rPr>
          <w:rFonts w:ascii="Arial" w:hAnsi="Arial" w:cs="Arial"/>
          <w:sz w:val="24"/>
          <w:szCs w:val="24"/>
        </w:rPr>
        <w:t xml:space="preserve">: the same group of microbes (even the same genus, or sometimes the same species) can include both harmful and helpful types. </w:t>
      </w:r>
      <w:r w:rsidR="00E574B0" w:rsidRPr="000C4A55">
        <w:rPr>
          <w:rFonts w:ascii="Arial" w:hAnsi="Arial" w:cs="Arial"/>
          <w:i/>
          <w:iCs/>
          <w:sz w:val="24"/>
          <w:szCs w:val="24"/>
        </w:rPr>
        <w:t>Pseudomonas</w:t>
      </w:r>
      <w:r w:rsidR="00E574B0" w:rsidRPr="000C4A55">
        <w:rPr>
          <w:rFonts w:ascii="Arial" w:hAnsi="Arial" w:cs="Arial"/>
          <w:sz w:val="24"/>
          <w:szCs w:val="24"/>
        </w:rPr>
        <w:t xml:space="preserve"> and </w:t>
      </w:r>
      <w:r w:rsidR="00E574B0" w:rsidRPr="000C4A55">
        <w:rPr>
          <w:rFonts w:ascii="Arial" w:hAnsi="Arial" w:cs="Arial"/>
          <w:i/>
          <w:iCs/>
          <w:sz w:val="24"/>
          <w:szCs w:val="24"/>
        </w:rPr>
        <w:t>Streptomyces</w:t>
      </w:r>
      <w:r w:rsidR="00E574B0" w:rsidRPr="000C4A55">
        <w:rPr>
          <w:rFonts w:ascii="Arial" w:hAnsi="Arial" w:cs="Arial"/>
          <w:sz w:val="24"/>
          <w:szCs w:val="24"/>
        </w:rPr>
        <w:t xml:space="preserve"> are good examples</w:t>
      </w:r>
      <w:r w:rsidRPr="000C4A55">
        <w:rPr>
          <w:rFonts w:ascii="Arial" w:hAnsi="Arial" w:cs="Arial"/>
          <w:sz w:val="24"/>
          <w:szCs w:val="24"/>
        </w:rPr>
        <w:t>;</w:t>
      </w:r>
      <w:r w:rsidR="00E574B0" w:rsidRPr="000C4A55">
        <w:rPr>
          <w:rFonts w:ascii="Arial" w:hAnsi="Arial" w:cs="Arial"/>
          <w:sz w:val="24"/>
          <w:szCs w:val="24"/>
        </w:rPr>
        <w:t xml:space="preserve"> some strains cause serious plant diseases (like fire blight or potato scab), while other, very similar strains actually protect plants from those same diseases (</w:t>
      </w:r>
      <w:proofErr w:type="spellStart"/>
      <w:r w:rsidR="00E574B0" w:rsidRPr="000C4A55">
        <w:rPr>
          <w:rFonts w:ascii="Arial" w:hAnsi="Arial" w:cs="Arial"/>
          <w:sz w:val="24"/>
          <w:szCs w:val="24"/>
        </w:rPr>
        <w:t>Legein</w:t>
      </w:r>
      <w:proofErr w:type="spellEnd"/>
      <w:r w:rsidR="00E574B0" w:rsidRPr="000C4A55">
        <w:rPr>
          <w:rFonts w:ascii="Arial" w:hAnsi="Arial" w:cs="Arial"/>
          <w:sz w:val="24"/>
          <w:szCs w:val="24"/>
        </w:rPr>
        <w:t xml:space="preserve"> </w:t>
      </w:r>
      <w:r w:rsidR="00587082" w:rsidRPr="000C4A55">
        <w:rPr>
          <w:rFonts w:ascii="Arial" w:hAnsi="Arial" w:cs="Arial"/>
          <w:i/>
          <w:iCs/>
          <w:sz w:val="24"/>
          <w:szCs w:val="24"/>
        </w:rPr>
        <w:t>et al.</w:t>
      </w:r>
      <w:r w:rsidR="00E574B0" w:rsidRPr="000C4A55">
        <w:rPr>
          <w:rFonts w:ascii="Arial" w:hAnsi="Arial" w:cs="Arial"/>
          <w:sz w:val="24"/>
          <w:szCs w:val="24"/>
        </w:rPr>
        <w:t xml:space="preserve">, 2020; </w:t>
      </w:r>
      <w:r w:rsidR="009C5465" w:rsidRPr="000C4A55">
        <w:rPr>
          <w:rFonts w:ascii="Arial" w:hAnsi="Arial" w:cs="Arial"/>
          <w:color w:val="000000" w:themeColor="text1"/>
          <w:sz w:val="24"/>
          <w:szCs w:val="24"/>
        </w:rPr>
        <w:t xml:space="preserve">Loria </w:t>
      </w:r>
      <w:r w:rsidR="00587082" w:rsidRPr="000C4A55">
        <w:rPr>
          <w:rFonts w:ascii="Arial" w:hAnsi="Arial" w:cs="Arial"/>
          <w:i/>
          <w:iCs/>
          <w:color w:val="000000" w:themeColor="text1"/>
          <w:sz w:val="24"/>
          <w:szCs w:val="24"/>
        </w:rPr>
        <w:t>et al.</w:t>
      </w:r>
      <w:r w:rsidR="009C5465" w:rsidRPr="000C4A55">
        <w:rPr>
          <w:rFonts w:ascii="Arial" w:hAnsi="Arial" w:cs="Arial"/>
          <w:color w:val="000000" w:themeColor="text1"/>
          <w:sz w:val="24"/>
          <w:szCs w:val="24"/>
        </w:rPr>
        <w:t>, 1997</w:t>
      </w:r>
      <w:r w:rsidR="00E574B0" w:rsidRPr="000C4A55">
        <w:rPr>
          <w:rFonts w:ascii="Arial" w:hAnsi="Arial" w:cs="Arial"/>
          <w:sz w:val="24"/>
          <w:szCs w:val="24"/>
        </w:rPr>
        <w:t>).</w:t>
      </w:r>
      <w:r w:rsidRPr="000C4A55">
        <w:rPr>
          <w:rFonts w:ascii="Arial" w:hAnsi="Arial" w:cs="Arial"/>
          <w:sz w:val="24"/>
          <w:szCs w:val="24"/>
        </w:rPr>
        <w:t xml:space="preserve"> </w:t>
      </w:r>
      <w:r w:rsidR="00E574B0" w:rsidRPr="000C4A55">
        <w:rPr>
          <w:rFonts w:ascii="Arial" w:hAnsi="Arial" w:cs="Arial"/>
          <w:sz w:val="24"/>
          <w:szCs w:val="24"/>
        </w:rPr>
        <w:t>So just knowing a microbe's name doesn't tell you what it's really doing in the plant. And simply making a list of "which microbes are there" isn't enough to predict whether a plant will get sick or stay healthy.</w:t>
      </w:r>
    </w:p>
    <w:p w14:paraId="582F3644" w14:textId="5FAF33E4" w:rsidR="00E25739" w:rsidRPr="000C4A55" w:rsidRDefault="009E5698" w:rsidP="008A0374">
      <w:pPr>
        <w:spacing w:after="200" w:line="276" w:lineRule="auto"/>
        <w:jc w:val="both"/>
        <w:rPr>
          <w:rFonts w:ascii="Arial" w:hAnsi="Arial" w:cs="Arial"/>
          <w:sz w:val="24"/>
          <w:szCs w:val="24"/>
        </w:rPr>
      </w:pPr>
      <w:r w:rsidRPr="000C4A55">
        <w:rPr>
          <w:rFonts w:ascii="Arial" w:hAnsi="Arial" w:cs="Arial"/>
          <w:sz w:val="24"/>
          <w:szCs w:val="24"/>
        </w:rPr>
        <w:tab/>
      </w:r>
      <w:r w:rsidR="00BB0D9C" w:rsidRPr="000C4A55">
        <w:rPr>
          <w:rFonts w:ascii="Arial" w:hAnsi="Arial" w:cs="Arial"/>
          <w:sz w:val="24"/>
          <w:szCs w:val="24"/>
        </w:rPr>
        <w:t xml:space="preserve">The field's conceptual centre of gravity has consequently shifted from "which microorganism is present?" toward "what is the microbiome doing?" a transition operationalised through several converging concepts. Keystone taxa are members whose removal has a disproportionate effect on community structure or function relative to their </w:t>
      </w:r>
      <w:r w:rsidR="00E25739" w:rsidRPr="000C4A55">
        <w:rPr>
          <w:rFonts w:ascii="Arial" w:hAnsi="Arial" w:cs="Arial"/>
          <w:sz w:val="24"/>
          <w:szCs w:val="24"/>
        </w:rPr>
        <w:t xml:space="preserve">abundance. To find these important microbes, scientists use a method called co-occurrence network analysis. This looks at which microbes tend to show up together, using special tools (like </w:t>
      </w:r>
      <w:proofErr w:type="spellStart"/>
      <w:r w:rsidR="00E25739" w:rsidRPr="000C4A55">
        <w:rPr>
          <w:rFonts w:ascii="Arial" w:hAnsi="Arial" w:cs="Arial"/>
          <w:sz w:val="24"/>
          <w:szCs w:val="24"/>
        </w:rPr>
        <w:t>SparCC</w:t>
      </w:r>
      <w:proofErr w:type="spellEnd"/>
      <w:r w:rsidR="00E25739" w:rsidRPr="000C4A55">
        <w:rPr>
          <w:rFonts w:ascii="Arial" w:hAnsi="Arial" w:cs="Arial"/>
          <w:sz w:val="24"/>
          <w:szCs w:val="24"/>
        </w:rPr>
        <w:t xml:space="preserve"> and </w:t>
      </w:r>
      <w:proofErr w:type="spellStart"/>
      <w:r w:rsidR="00E25739" w:rsidRPr="000C4A55">
        <w:rPr>
          <w:rFonts w:ascii="Arial" w:hAnsi="Arial" w:cs="Arial"/>
          <w:sz w:val="24"/>
          <w:szCs w:val="24"/>
        </w:rPr>
        <w:t>SpiecEasi</w:t>
      </w:r>
      <w:proofErr w:type="spellEnd"/>
      <w:r w:rsidR="00E25739" w:rsidRPr="000C4A55">
        <w:rPr>
          <w:rFonts w:ascii="Arial" w:hAnsi="Arial" w:cs="Arial"/>
          <w:sz w:val="24"/>
          <w:szCs w:val="24"/>
        </w:rPr>
        <w:t>) designed to handle this kind of data correctly.</w:t>
      </w:r>
      <w:r w:rsidR="0071069A" w:rsidRPr="000C4A55">
        <w:rPr>
          <w:rFonts w:ascii="Arial" w:hAnsi="Arial" w:cs="Arial"/>
          <w:sz w:val="24"/>
          <w:szCs w:val="24"/>
        </w:rPr>
        <w:t xml:space="preserve"> </w:t>
      </w:r>
      <w:r w:rsidR="00E25739" w:rsidRPr="000C4A55">
        <w:rPr>
          <w:rFonts w:ascii="Arial" w:hAnsi="Arial" w:cs="Arial"/>
          <w:sz w:val="24"/>
          <w:szCs w:val="24"/>
        </w:rPr>
        <w:t xml:space="preserve">This method was used in tomato plants that naturally resist Fusarium wilt disease. Researchers found that tomatoes grown in the field had richer, more tightly connected networks of bacteria and fungi than tomatoes grown in greenhouses. Using a tool called </w:t>
      </w:r>
      <w:proofErr w:type="spellStart"/>
      <w:r w:rsidR="00E25739" w:rsidRPr="000C4A55">
        <w:rPr>
          <w:rFonts w:ascii="Arial" w:hAnsi="Arial" w:cs="Arial"/>
          <w:sz w:val="24"/>
          <w:szCs w:val="24"/>
        </w:rPr>
        <w:t>NetShift</w:t>
      </w:r>
      <w:proofErr w:type="spellEnd"/>
      <w:r w:rsidR="00E25739" w:rsidRPr="000C4A55">
        <w:rPr>
          <w:rFonts w:ascii="Arial" w:hAnsi="Arial" w:cs="Arial"/>
          <w:sz w:val="24"/>
          <w:szCs w:val="24"/>
        </w:rPr>
        <w:t>, they identified certain microbe groups</w:t>
      </w:r>
      <w:r w:rsidR="00105991" w:rsidRPr="000C4A55">
        <w:rPr>
          <w:rFonts w:ascii="Arial" w:hAnsi="Arial" w:cs="Arial"/>
          <w:sz w:val="24"/>
          <w:szCs w:val="24"/>
        </w:rPr>
        <w:t>,</w:t>
      </w:r>
      <w:r w:rsidR="00E25739" w:rsidRPr="000C4A55">
        <w:rPr>
          <w:rFonts w:ascii="Arial" w:hAnsi="Arial" w:cs="Arial"/>
          <w:sz w:val="24"/>
          <w:szCs w:val="24"/>
        </w:rPr>
        <w:t xml:space="preserve"> </w:t>
      </w:r>
      <w:r w:rsidR="00E25739" w:rsidRPr="000C4A55">
        <w:rPr>
          <w:rFonts w:ascii="Arial" w:hAnsi="Arial" w:cs="Arial"/>
          <w:i/>
          <w:iCs/>
          <w:sz w:val="24"/>
          <w:szCs w:val="24"/>
        </w:rPr>
        <w:t>Bacillus, Pseudomonas</w:t>
      </w:r>
      <w:r w:rsidR="00E25739" w:rsidRPr="000C4A55">
        <w:rPr>
          <w:rFonts w:ascii="Arial" w:hAnsi="Arial" w:cs="Arial"/>
          <w:sz w:val="24"/>
          <w:szCs w:val="24"/>
        </w:rPr>
        <w:t>, and</w:t>
      </w:r>
      <w:r w:rsidR="00E25739" w:rsidRPr="000C4A55">
        <w:rPr>
          <w:rFonts w:ascii="Arial" w:hAnsi="Arial" w:cs="Arial"/>
          <w:i/>
          <w:iCs/>
          <w:sz w:val="24"/>
          <w:szCs w:val="24"/>
        </w:rPr>
        <w:t xml:space="preserve"> </w:t>
      </w:r>
      <w:proofErr w:type="spellStart"/>
      <w:r w:rsidR="00E25739" w:rsidRPr="000C4A55">
        <w:rPr>
          <w:rFonts w:ascii="Arial" w:hAnsi="Arial" w:cs="Arial"/>
          <w:i/>
          <w:iCs/>
          <w:sz w:val="24"/>
          <w:szCs w:val="24"/>
        </w:rPr>
        <w:t>Gemmatimonas</w:t>
      </w:r>
      <w:proofErr w:type="spellEnd"/>
      <w:r w:rsidR="00E25739" w:rsidRPr="000C4A55">
        <w:rPr>
          <w:rFonts w:ascii="Arial" w:hAnsi="Arial" w:cs="Arial"/>
          <w:sz w:val="24"/>
          <w:szCs w:val="24"/>
        </w:rPr>
        <w:t xml:space="preserve"> as the key "driver" microbes holding the field network together (Zhou </w:t>
      </w:r>
      <w:r w:rsidR="00587082" w:rsidRPr="000C4A55">
        <w:rPr>
          <w:rFonts w:ascii="Arial" w:hAnsi="Arial" w:cs="Arial"/>
          <w:i/>
          <w:iCs/>
          <w:sz w:val="24"/>
          <w:szCs w:val="24"/>
        </w:rPr>
        <w:t>et al.</w:t>
      </w:r>
      <w:r w:rsidR="00E25739" w:rsidRPr="000C4A55">
        <w:rPr>
          <w:rFonts w:ascii="Arial" w:hAnsi="Arial" w:cs="Arial"/>
          <w:sz w:val="24"/>
          <w:szCs w:val="24"/>
        </w:rPr>
        <w:t>, 2022).</w:t>
      </w:r>
    </w:p>
    <w:p w14:paraId="79CA0FB7" w14:textId="1DB2853A" w:rsidR="009130D2" w:rsidRPr="000C4A55" w:rsidRDefault="00105991" w:rsidP="008A0374">
      <w:pPr>
        <w:spacing w:after="200" w:line="276" w:lineRule="auto"/>
        <w:jc w:val="both"/>
        <w:rPr>
          <w:rFonts w:ascii="Arial" w:hAnsi="Arial" w:cs="Arial"/>
          <w:sz w:val="24"/>
          <w:szCs w:val="24"/>
        </w:rPr>
      </w:pPr>
      <w:r w:rsidRPr="000C4A55">
        <w:rPr>
          <w:rFonts w:ascii="Arial" w:hAnsi="Arial" w:cs="Arial"/>
          <w:sz w:val="24"/>
          <w:szCs w:val="24"/>
        </w:rPr>
        <w:tab/>
      </w:r>
      <w:r w:rsidR="009130D2" w:rsidRPr="000C4A55">
        <w:rPr>
          <w:rFonts w:ascii="Arial" w:hAnsi="Arial" w:cs="Arial"/>
          <w:sz w:val="24"/>
          <w:szCs w:val="24"/>
        </w:rPr>
        <w:t>Functional redundancy is another important idea. It means that many different types of microbes even ones that aren't closely related can do the same protective job for the plant.</w:t>
      </w:r>
    </w:p>
    <w:p w14:paraId="74B703D7" w14:textId="6208C382" w:rsidR="009130D2" w:rsidRPr="000C4A55" w:rsidRDefault="009130D2" w:rsidP="008A0374">
      <w:pPr>
        <w:spacing w:after="200" w:line="276" w:lineRule="auto"/>
        <w:jc w:val="both"/>
        <w:rPr>
          <w:rFonts w:ascii="Arial" w:hAnsi="Arial" w:cs="Arial"/>
          <w:sz w:val="24"/>
          <w:szCs w:val="24"/>
        </w:rPr>
      </w:pPr>
      <w:r w:rsidRPr="000C4A55">
        <w:rPr>
          <w:rFonts w:ascii="Arial" w:hAnsi="Arial" w:cs="Arial"/>
          <w:sz w:val="24"/>
          <w:szCs w:val="24"/>
        </w:rPr>
        <w:t>This explains something important: disease-suppressing microbial communities usually aren't protected by just one "superhero" microbe. Instead, they're protected by a whole team of different microbes that together compete with pathogens for resources, produce antimicrobial substances, and boost the plant's immune system.</w:t>
      </w:r>
      <w:r w:rsidR="002D7177" w:rsidRPr="000C4A55">
        <w:rPr>
          <w:rFonts w:ascii="Arial" w:hAnsi="Arial" w:cs="Arial"/>
          <w:sz w:val="24"/>
          <w:szCs w:val="24"/>
        </w:rPr>
        <w:t xml:space="preserve"> </w:t>
      </w:r>
      <w:r w:rsidRPr="000C4A55">
        <w:rPr>
          <w:rFonts w:ascii="Arial" w:hAnsi="Arial" w:cs="Arial"/>
          <w:sz w:val="24"/>
          <w:szCs w:val="24"/>
        </w:rPr>
        <w:t xml:space="preserve">This teamwork is probably one reason why using a whole </w:t>
      </w:r>
      <w:r w:rsidRPr="000C4A55">
        <w:rPr>
          <w:rFonts w:ascii="Arial" w:hAnsi="Arial" w:cs="Arial"/>
          <w:sz w:val="24"/>
          <w:szCs w:val="24"/>
        </w:rPr>
        <w:lastRenderedPageBreak/>
        <w:t xml:space="preserve">community of microbes tends to protect plants more reliably than using just a single microbial strain (Mendes </w:t>
      </w:r>
      <w:r w:rsidR="00587082" w:rsidRPr="000C4A55">
        <w:rPr>
          <w:rFonts w:ascii="Arial" w:hAnsi="Arial" w:cs="Arial"/>
          <w:i/>
          <w:iCs/>
          <w:sz w:val="24"/>
          <w:szCs w:val="24"/>
        </w:rPr>
        <w:t>et al.</w:t>
      </w:r>
      <w:r w:rsidRPr="000C4A55">
        <w:rPr>
          <w:rFonts w:ascii="Arial" w:hAnsi="Arial" w:cs="Arial"/>
          <w:sz w:val="24"/>
          <w:szCs w:val="24"/>
        </w:rPr>
        <w:t xml:space="preserve">, 2011; Trivedi </w:t>
      </w:r>
      <w:r w:rsidR="00587082" w:rsidRPr="000C4A55">
        <w:rPr>
          <w:rFonts w:ascii="Arial" w:hAnsi="Arial" w:cs="Arial"/>
          <w:i/>
          <w:iCs/>
          <w:sz w:val="24"/>
          <w:szCs w:val="24"/>
        </w:rPr>
        <w:t>et al.</w:t>
      </w:r>
      <w:r w:rsidRPr="000C4A55">
        <w:rPr>
          <w:rFonts w:ascii="Arial" w:hAnsi="Arial" w:cs="Arial"/>
          <w:sz w:val="24"/>
          <w:szCs w:val="24"/>
        </w:rPr>
        <w:t>, 2020). If one microbe in the team fails, others can still get the job done.</w:t>
      </w:r>
    </w:p>
    <w:p w14:paraId="309E7D24" w14:textId="5B2AFC5A" w:rsidR="00BB0D9C" w:rsidRPr="000C4A55" w:rsidRDefault="002D7177" w:rsidP="008A0374">
      <w:pPr>
        <w:spacing w:after="200" w:line="276" w:lineRule="auto"/>
        <w:jc w:val="both"/>
        <w:rPr>
          <w:rFonts w:ascii="Arial" w:hAnsi="Arial" w:cs="Arial"/>
          <w:sz w:val="24"/>
          <w:szCs w:val="24"/>
        </w:rPr>
      </w:pPr>
      <w:r w:rsidRPr="000C4A55">
        <w:rPr>
          <w:rFonts w:ascii="Arial" w:hAnsi="Arial" w:cs="Arial"/>
          <w:sz w:val="24"/>
          <w:szCs w:val="24"/>
        </w:rPr>
        <w:tab/>
      </w:r>
      <w:r w:rsidR="00BB0D9C" w:rsidRPr="000C4A55">
        <w:rPr>
          <w:rFonts w:ascii="Arial" w:hAnsi="Arial" w:cs="Arial"/>
          <w:sz w:val="24"/>
          <w:szCs w:val="24"/>
        </w:rPr>
        <w:t xml:space="preserve">Community stability, succession and niche differentiation add further layers of functional insight beyond static composition snapshots. Disease-suppressive soils are not simply enriched in a fixed set of taxa; they can develop suppressiveness through microbial succession, sometimes only manifesting fully in the second or third plant generation grown on transferred soil (Cha </w:t>
      </w:r>
      <w:r w:rsidR="00587082" w:rsidRPr="000C4A55">
        <w:rPr>
          <w:rFonts w:ascii="Arial" w:hAnsi="Arial" w:cs="Arial"/>
          <w:i/>
          <w:iCs/>
          <w:sz w:val="24"/>
          <w:szCs w:val="24"/>
        </w:rPr>
        <w:t>et al.</w:t>
      </w:r>
      <w:r w:rsidR="00BB0D9C" w:rsidRPr="000C4A55">
        <w:rPr>
          <w:rFonts w:ascii="Arial" w:hAnsi="Arial" w:cs="Arial"/>
          <w:sz w:val="24"/>
          <w:szCs w:val="24"/>
        </w:rPr>
        <w:t xml:space="preserve">, 2016), indicating a training or maturation process in the community rather than an instantaneous transplant effect. Niche differentiation the degree to which community members exploit distinct resources or occupy distinct spatial positions rather than competing directly has emerged as a design principle in synthetic community assembly, since niche overlap among introduced strains is now recognised as a common cause of engineered-community failure, whereas overlap between an introduced strain and the target pathogen is, conversely, associated with stronger biocontrol, because it forces direct resource competition with the organism to be suppressed (Wei </w:t>
      </w:r>
      <w:r w:rsidR="00587082" w:rsidRPr="000C4A55">
        <w:rPr>
          <w:rFonts w:ascii="Arial" w:hAnsi="Arial" w:cs="Arial"/>
          <w:i/>
          <w:iCs/>
          <w:sz w:val="24"/>
          <w:szCs w:val="24"/>
        </w:rPr>
        <w:t>et al.</w:t>
      </w:r>
      <w:r w:rsidR="00BB0D9C" w:rsidRPr="000C4A55">
        <w:rPr>
          <w:rFonts w:ascii="Arial" w:hAnsi="Arial" w:cs="Arial"/>
          <w:sz w:val="24"/>
          <w:szCs w:val="24"/>
        </w:rPr>
        <w:t xml:space="preserve">, 2015; </w:t>
      </w:r>
      <w:proofErr w:type="spellStart"/>
      <w:r w:rsidR="00BB0D9C" w:rsidRPr="000C4A55">
        <w:rPr>
          <w:rFonts w:ascii="Arial" w:hAnsi="Arial" w:cs="Arial"/>
          <w:sz w:val="24"/>
          <w:szCs w:val="24"/>
        </w:rPr>
        <w:t>Getzke</w:t>
      </w:r>
      <w:proofErr w:type="spellEnd"/>
      <w:r w:rsidR="00BB0D9C" w:rsidRPr="000C4A55">
        <w:rPr>
          <w:rFonts w:ascii="Arial" w:hAnsi="Arial" w:cs="Arial"/>
          <w:sz w:val="24"/>
          <w:szCs w:val="24"/>
        </w:rPr>
        <w:t xml:space="preserve"> </w:t>
      </w:r>
      <w:r w:rsidR="00587082" w:rsidRPr="000C4A55">
        <w:rPr>
          <w:rFonts w:ascii="Arial" w:hAnsi="Arial" w:cs="Arial"/>
          <w:i/>
          <w:iCs/>
          <w:sz w:val="24"/>
          <w:szCs w:val="24"/>
        </w:rPr>
        <w:t>et al.</w:t>
      </w:r>
      <w:r w:rsidR="00BB0D9C" w:rsidRPr="000C4A55">
        <w:rPr>
          <w:rFonts w:ascii="Arial" w:hAnsi="Arial" w:cs="Arial"/>
          <w:sz w:val="24"/>
          <w:szCs w:val="24"/>
        </w:rPr>
        <w:t>, 2023).</w:t>
      </w:r>
    </w:p>
    <w:p w14:paraId="29D4169A" w14:textId="5642517D" w:rsidR="003304D9" w:rsidRPr="000C4A55" w:rsidRDefault="003304D9" w:rsidP="008A0374">
      <w:pPr>
        <w:spacing w:line="276" w:lineRule="auto"/>
        <w:jc w:val="both"/>
        <w:rPr>
          <w:rFonts w:ascii="Arial" w:hAnsi="Arial" w:cs="Arial"/>
          <w:sz w:val="24"/>
          <w:szCs w:val="24"/>
        </w:rPr>
      </w:pPr>
      <w:r w:rsidRPr="000C4A55">
        <w:rPr>
          <w:rFonts w:ascii="Arial" w:hAnsi="Arial" w:cs="Arial"/>
          <w:sz w:val="24"/>
          <w:szCs w:val="24"/>
        </w:rPr>
        <w:t>A word of caution here</w:t>
      </w:r>
      <w:r w:rsidR="00A575F5" w:rsidRPr="000C4A55">
        <w:rPr>
          <w:rFonts w:ascii="Arial" w:hAnsi="Arial" w:cs="Arial"/>
          <w:sz w:val="24"/>
          <w:szCs w:val="24"/>
        </w:rPr>
        <w:t>,</w:t>
      </w:r>
      <w:r w:rsidRPr="000C4A55">
        <w:rPr>
          <w:rFonts w:ascii="Arial" w:hAnsi="Arial" w:cs="Arial"/>
          <w:sz w:val="24"/>
          <w:szCs w:val="24"/>
        </w:rPr>
        <w:t xml:space="preserve"> just because network analysis shows two microbes tend to appear together doesn't prove they're actually working together or doing something useful. A positive link between two microbes could mean real cooperation</w:t>
      </w:r>
      <w:r w:rsidR="00A575F5" w:rsidRPr="000C4A55">
        <w:rPr>
          <w:rFonts w:ascii="Arial" w:hAnsi="Arial" w:cs="Arial"/>
          <w:sz w:val="24"/>
          <w:szCs w:val="24"/>
        </w:rPr>
        <w:t>,</w:t>
      </w:r>
      <w:r w:rsidRPr="000C4A55">
        <w:rPr>
          <w:rFonts w:ascii="Arial" w:hAnsi="Arial" w:cs="Arial"/>
          <w:sz w:val="24"/>
          <w:szCs w:val="24"/>
        </w:rPr>
        <w:t xml:space="preserve"> but it could also just mean they both like the same environment, both struggle to spread to new areas, or one is simply eating the other (a predator-prey relationship). None of these </w:t>
      </w:r>
      <w:r w:rsidR="00A575F5" w:rsidRPr="000C4A55">
        <w:rPr>
          <w:rFonts w:ascii="Arial" w:hAnsi="Arial" w:cs="Arial"/>
          <w:sz w:val="24"/>
          <w:szCs w:val="24"/>
        </w:rPr>
        <w:t>have</w:t>
      </w:r>
      <w:r w:rsidRPr="000C4A55">
        <w:rPr>
          <w:rFonts w:ascii="Arial" w:hAnsi="Arial" w:cs="Arial"/>
          <w:sz w:val="24"/>
          <w:szCs w:val="24"/>
        </w:rPr>
        <w:t xml:space="preserve"> anything to do with fighting disease (</w:t>
      </w:r>
      <w:proofErr w:type="spellStart"/>
      <w:r w:rsidRPr="000C4A55">
        <w:rPr>
          <w:rFonts w:ascii="Arial" w:hAnsi="Arial" w:cs="Arial"/>
          <w:sz w:val="24"/>
          <w:szCs w:val="24"/>
        </w:rPr>
        <w:t>Goberna</w:t>
      </w:r>
      <w:proofErr w:type="spellEnd"/>
      <w:r w:rsidRPr="000C4A55">
        <w:rPr>
          <w:rFonts w:ascii="Arial" w:hAnsi="Arial" w:cs="Arial"/>
          <w:sz w:val="24"/>
          <w:szCs w:val="24"/>
        </w:rPr>
        <w:t xml:space="preserve"> and Verdu, 2</w:t>
      </w:r>
      <w:r w:rsidR="000562B9" w:rsidRPr="000C4A55">
        <w:rPr>
          <w:rFonts w:ascii="Arial" w:hAnsi="Arial" w:cs="Arial"/>
          <w:sz w:val="24"/>
          <w:szCs w:val="24"/>
        </w:rPr>
        <w:t>022</w:t>
      </w:r>
      <w:r w:rsidRPr="000C4A55">
        <w:rPr>
          <w:rFonts w:ascii="Arial" w:hAnsi="Arial" w:cs="Arial"/>
          <w:sz w:val="24"/>
          <w:szCs w:val="24"/>
        </w:rPr>
        <w:t>; Berry and Widder, 2014).</w:t>
      </w:r>
      <w:r w:rsidR="00A575F5" w:rsidRPr="000C4A55">
        <w:rPr>
          <w:rFonts w:ascii="Arial" w:hAnsi="Arial" w:cs="Arial"/>
          <w:sz w:val="24"/>
          <w:szCs w:val="24"/>
        </w:rPr>
        <w:t xml:space="preserve"> So,</w:t>
      </w:r>
      <w:r w:rsidRPr="000C4A55">
        <w:rPr>
          <w:rFonts w:ascii="Arial" w:hAnsi="Arial" w:cs="Arial"/>
          <w:sz w:val="24"/>
          <w:szCs w:val="24"/>
        </w:rPr>
        <w:t xml:space="preserve"> if a microbe shows up as an important "hub" in a network diagram, that alone doesn't prove it's actually important for the plant's health</w:t>
      </w:r>
      <w:r w:rsidR="00A575F5" w:rsidRPr="000C4A55">
        <w:rPr>
          <w:rFonts w:ascii="Arial" w:hAnsi="Arial" w:cs="Arial"/>
          <w:sz w:val="24"/>
          <w:szCs w:val="24"/>
        </w:rPr>
        <w:t xml:space="preserve">; </w:t>
      </w:r>
      <w:r w:rsidRPr="000C4A55">
        <w:rPr>
          <w:rFonts w:ascii="Arial" w:hAnsi="Arial" w:cs="Arial"/>
          <w:sz w:val="24"/>
          <w:szCs w:val="24"/>
        </w:rPr>
        <w:t>it just means it's statistically prominent. To really prove a microbe matters, scientists need to do extra tests</w:t>
      </w:r>
      <w:r w:rsidR="00467AD8" w:rsidRPr="000C4A55">
        <w:rPr>
          <w:rFonts w:ascii="Arial" w:hAnsi="Arial" w:cs="Arial"/>
          <w:sz w:val="24"/>
          <w:szCs w:val="24"/>
        </w:rPr>
        <w:t>,</w:t>
      </w:r>
      <w:r w:rsidRPr="000C4A55">
        <w:rPr>
          <w:rFonts w:ascii="Arial" w:hAnsi="Arial" w:cs="Arial"/>
          <w:sz w:val="24"/>
          <w:szCs w:val="24"/>
        </w:rPr>
        <w:t xml:space="preserve"> remove it and see what happens, add it back in, or check its genes directly. But most studies skip these extra steps.</w:t>
      </w:r>
      <w:r w:rsidR="00467AD8" w:rsidRPr="000C4A55">
        <w:rPr>
          <w:rFonts w:ascii="Arial" w:hAnsi="Arial" w:cs="Arial"/>
          <w:sz w:val="24"/>
          <w:szCs w:val="24"/>
        </w:rPr>
        <w:t xml:space="preserve"> </w:t>
      </w:r>
      <w:r w:rsidRPr="000C4A55">
        <w:rPr>
          <w:rFonts w:ascii="Arial" w:hAnsi="Arial" w:cs="Arial"/>
          <w:sz w:val="24"/>
          <w:szCs w:val="24"/>
        </w:rPr>
        <w:t>In short: the idea of moving from "just listing which microbes are present" to "understanding what they actually do" is a good and widely accepted goal. But in practice, most studies still only show that microbes are associated with an outcome</w:t>
      </w:r>
      <w:r w:rsidR="008A0374" w:rsidRPr="000C4A55">
        <w:rPr>
          <w:rFonts w:ascii="Arial" w:hAnsi="Arial" w:cs="Arial"/>
          <w:sz w:val="24"/>
          <w:szCs w:val="24"/>
        </w:rPr>
        <w:t>,</w:t>
      </w:r>
      <w:r w:rsidRPr="000C4A55">
        <w:rPr>
          <w:rFonts w:ascii="Arial" w:hAnsi="Arial" w:cs="Arial"/>
          <w:sz w:val="24"/>
          <w:szCs w:val="24"/>
        </w:rPr>
        <w:t xml:space="preserve"> not that they actually cause it.</w:t>
      </w:r>
    </w:p>
    <w:p w14:paraId="219F260E" w14:textId="3D9F19EE" w:rsidR="00483B17" w:rsidRPr="000C4A55" w:rsidRDefault="0008007A" w:rsidP="00483B17">
      <w:pPr>
        <w:pStyle w:val="Heading1"/>
        <w:spacing w:before="320" w:after="160"/>
        <w:rPr>
          <w:rFonts w:ascii="Arial" w:hAnsi="Arial" w:cs="Arial"/>
          <w:color w:val="000000" w:themeColor="text1"/>
          <w:sz w:val="24"/>
          <w:szCs w:val="24"/>
        </w:rPr>
      </w:pPr>
      <w:r w:rsidRPr="000C4A55">
        <w:rPr>
          <w:rFonts w:ascii="Arial" w:hAnsi="Arial" w:cs="Arial"/>
          <w:b/>
          <w:bCs/>
          <w:color w:val="000000" w:themeColor="text1"/>
          <w:sz w:val="24"/>
          <w:szCs w:val="24"/>
        </w:rPr>
        <w:t>4. MICROBIOME-MEDIATED DISEASE SUPPRESSION: MECHANISMS AND THEIR INTERACTIONS</w:t>
      </w:r>
    </w:p>
    <w:p w14:paraId="468874AB" w14:textId="23FB4424" w:rsidR="00CD3A06" w:rsidRPr="000C4A55" w:rsidRDefault="008B250E" w:rsidP="00CD3A06">
      <w:pPr>
        <w:spacing w:after="200" w:line="276" w:lineRule="auto"/>
        <w:jc w:val="both"/>
        <w:rPr>
          <w:rFonts w:ascii="Arial" w:hAnsi="Arial" w:cs="Arial"/>
          <w:sz w:val="24"/>
          <w:szCs w:val="24"/>
        </w:rPr>
      </w:pPr>
      <w:r w:rsidRPr="000C4A55">
        <w:rPr>
          <w:rFonts w:ascii="Arial" w:hAnsi="Arial" w:cs="Arial"/>
          <w:sz w:val="24"/>
          <w:szCs w:val="24"/>
        </w:rPr>
        <w:tab/>
        <w:t>Microbiome-mediated disease suppression operates through mechanisms conventionally grouped as direct, indirect and community-level, though in practice these categories interact rather than operating in isolation.</w:t>
      </w:r>
      <w:r w:rsidR="00CD3A06" w:rsidRPr="000C4A55">
        <w:rPr>
          <w:rFonts w:ascii="Arial" w:hAnsi="Arial" w:cs="Arial"/>
          <w:sz w:val="24"/>
          <w:szCs w:val="24"/>
        </w:rPr>
        <w:t xml:space="preserve"> Direct antagonism encompasses the classic biocontrol toolkit</w:t>
      </w:r>
      <w:r w:rsidR="00F51B2E" w:rsidRPr="000C4A55">
        <w:rPr>
          <w:rFonts w:ascii="Arial" w:hAnsi="Arial" w:cs="Arial"/>
          <w:sz w:val="24"/>
          <w:szCs w:val="24"/>
        </w:rPr>
        <w:t>;</w:t>
      </w:r>
      <w:r w:rsidR="00CD3A06" w:rsidRPr="000C4A55">
        <w:rPr>
          <w:rFonts w:ascii="Arial" w:hAnsi="Arial" w:cs="Arial"/>
          <w:sz w:val="24"/>
          <w:szCs w:val="24"/>
        </w:rPr>
        <w:t xml:space="preserve"> antibiotic and lipopeptide production (e.g., </w:t>
      </w:r>
      <w:proofErr w:type="spellStart"/>
      <w:r w:rsidR="00CD3A06" w:rsidRPr="000C4A55">
        <w:rPr>
          <w:rFonts w:ascii="Arial" w:hAnsi="Arial" w:cs="Arial"/>
          <w:sz w:val="24"/>
          <w:szCs w:val="24"/>
        </w:rPr>
        <w:t>surfactin</w:t>
      </w:r>
      <w:proofErr w:type="spellEnd"/>
      <w:r w:rsidR="00CD3A06" w:rsidRPr="000C4A55">
        <w:rPr>
          <w:rFonts w:ascii="Arial" w:hAnsi="Arial" w:cs="Arial"/>
          <w:sz w:val="24"/>
          <w:szCs w:val="24"/>
        </w:rPr>
        <w:t xml:space="preserve"> and related compounds from </w:t>
      </w:r>
      <w:r w:rsidR="00CD3A06" w:rsidRPr="000C4A55">
        <w:rPr>
          <w:rFonts w:ascii="Arial" w:hAnsi="Arial" w:cs="Arial"/>
          <w:i/>
          <w:iCs/>
          <w:sz w:val="24"/>
          <w:szCs w:val="24"/>
        </w:rPr>
        <w:t>Bacillus</w:t>
      </w:r>
      <w:r w:rsidR="00CD3A06" w:rsidRPr="000C4A55">
        <w:rPr>
          <w:rFonts w:ascii="Arial" w:hAnsi="Arial" w:cs="Arial"/>
          <w:sz w:val="24"/>
          <w:szCs w:val="24"/>
        </w:rPr>
        <w:t xml:space="preserve"> spp.), lytic enzymes (chitinases, </w:t>
      </w:r>
      <w:proofErr w:type="spellStart"/>
      <w:r w:rsidR="00CD3A06" w:rsidRPr="000C4A55">
        <w:rPr>
          <w:rFonts w:ascii="Arial" w:hAnsi="Arial" w:cs="Arial"/>
          <w:sz w:val="24"/>
          <w:szCs w:val="24"/>
        </w:rPr>
        <w:t>glucanases</w:t>
      </w:r>
      <w:proofErr w:type="spellEnd"/>
      <w:r w:rsidR="00CD3A06" w:rsidRPr="000C4A55">
        <w:rPr>
          <w:rFonts w:ascii="Arial" w:hAnsi="Arial" w:cs="Arial"/>
          <w:sz w:val="24"/>
          <w:szCs w:val="24"/>
        </w:rPr>
        <w:t xml:space="preserve">, proteases) that degrade fungal cell walls, siderophore-mediated iron sequestration that starves competing microbes of a limiting nutrient, volatile organic compounds with direct antifungal activity, and simple nutrient or spatial competition that excludes pathogens from colonisation sites (Ali </w:t>
      </w:r>
      <w:r w:rsidR="00587082" w:rsidRPr="000C4A55">
        <w:rPr>
          <w:rFonts w:ascii="Arial" w:hAnsi="Arial" w:cs="Arial"/>
          <w:i/>
          <w:iCs/>
          <w:sz w:val="24"/>
          <w:szCs w:val="24"/>
        </w:rPr>
        <w:t>et al.</w:t>
      </w:r>
      <w:r w:rsidR="00CD3A06" w:rsidRPr="000C4A55">
        <w:rPr>
          <w:rFonts w:ascii="Arial" w:hAnsi="Arial" w:cs="Arial"/>
          <w:sz w:val="24"/>
          <w:szCs w:val="24"/>
        </w:rPr>
        <w:t>, 2022; Chet and Inbar, 1994). Siderophore-mediated suppression illustrates the mechanistic subtlety involved</w:t>
      </w:r>
      <w:r w:rsidR="0033767D" w:rsidRPr="000C4A55">
        <w:rPr>
          <w:rFonts w:ascii="Arial" w:hAnsi="Arial" w:cs="Arial"/>
          <w:sz w:val="24"/>
          <w:szCs w:val="24"/>
        </w:rPr>
        <w:t>,</w:t>
      </w:r>
      <w:r w:rsidR="00CD3A06" w:rsidRPr="000C4A55">
        <w:rPr>
          <w:rFonts w:ascii="Arial" w:hAnsi="Arial" w:cs="Arial"/>
          <w:sz w:val="24"/>
          <w:szCs w:val="24"/>
        </w:rPr>
        <w:t xml:space="preserve"> effectiveness depends on whether the target pathogen can itself use the siderophore in question as an iron source, so that a "private" siderophore unusable by the pathogen suppresses it, whereas a shared siderophore usable by both organisms does not, as shown for pyoverdine-mediated suppression of </w:t>
      </w:r>
      <w:proofErr w:type="spellStart"/>
      <w:r w:rsidR="00CD3A06" w:rsidRPr="000C4A55">
        <w:rPr>
          <w:rFonts w:ascii="Arial" w:hAnsi="Arial" w:cs="Arial"/>
          <w:i/>
          <w:iCs/>
          <w:sz w:val="24"/>
          <w:szCs w:val="24"/>
        </w:rPr>
        <w:t>Ralstonia</w:t>
      </w:r>
      <w:proofErr w:type="spellEnd"/>
      <w:r w:rsidR="00CD3A06" w:rsidRPr="000C4A55">
        <w:rPr>
          <w:rFonts w:ascii="Arial" w:hAnsi="Arial" w:cs="Arial"/>
          <w:i/>
          <w:iCs/>
          <w:sz w:val="24"/>
          <w:szCs w:val="24"/>
        </w:rPr>
        <w:t xml:space="preserve"> solanacearum</w:t>
      </w:r>
      <w:r w:rsidR="00CD3A06" w:rsidRPr="000C4A55">
        <w:rPr>
          <w:rFonts w:ascii="Arial" w:hAnsi="Arial" w:cs="Arial"/>
          <w:sz w:val="24"/>
          <w:szCs w:val="24"/>
        </w:rPr>
        <w:t xml:space="preserve"> by </w:t>
      </w:r>
      <w:r w:rsidR="00CD3A06" w:rsidRPr="000C4A55">
        <w:rPr>
          <w:rFonts w:ascii="Arial" w:hAnsi="Arial" w:cs="Arial"/>
          <w:i/>
          <w:iCs/>
          <w:sz w:val="24"/>
          <w:szCs w:val="24"/>
        </w:rPr>
        <w:t xml:space="preserve">Pseudomonas </w:t>
      </w:r>
      <w:proofErr w:type="spellStart"/>
      <w:r w:rsidR="00CD3A06" w:rsidRPr="000C4A55">
        <w:rPr>
          <w:rFonts w:ascii="Arial" w:hAnsi="Arial" w:cs="Arial"/>
          <w:i/>
          <w:iCs/>
          <w:sz w:val="24"/>
          <w:szCs w:val="24"/>
        </w:rPr>
        <w:t>brassicacearum</w:t>
      </w:r>
      <w:proofErr w:type="spellEnd"/>
      <w:r w:rsidR="00CD3A06" w:rsidRPr="000C4A55">
        <w:rPr>
          <w:rFonts w:ascii="Arial" w:hAnsi="Arial" w:cs="Arial"/>
          <w:sz w:val="24"/>
          <w:szCs w:val="24"/>
        </w:rPr>
        <w:t xml:space="preserve"> R401 (Niehus </w:t>
      </w:r>
      <w:r w:rsidR="00587082" w:rsidRPr="000C4A55">
        <w:rPr>
          <w:rFonts w:ascii="Arial" w:hAnsi="Arial" w:cs="Arial"/>
          <w:i/>
          <w:iCs/>
          <w:sz w:val="24"/>
          <w:szCs w:val="24"/>
        </w:rPr>
        <w:t>et al.</w:t>
      </w:r>
      <w:r w:rsidR="00CD3A06" w:rsidRPr="000C4A55">
        <w:rPr>
          <w:rFonts w:ascii="Arial" w:hAnsi="Arial" w:cs="Arial"/>
          <w:sz w:val="24"/>
          <w:szCs w:val="24"/>
        </w:rPr>
        <w:t xml:space="preserve">, 2017; </w:t>
      </w:r>
      <w:proofErr w:type="spellStart"/>
      <w:r w:rsidR="00CD3A06" w:rsidRPr="000C4A55">
        <w:rPr>
          <w:rFonts w:ascii="Arial" w:hAnsi="Arial" w:cs="Arial"/>
          <w:sz w:val="24"/>
          <w:szCs w:val="24"/>
        </w:rPr>
        <w:t>Getzke</w:t>
      </w:r>
      <w:proofErr w:type="spellEnd"/>
      <w:r w:rsidR="00CD3A06" w:rsidRPr="000C4A55">
        <w:rPr>
          <w:rFonts w:ascii="Arial" w:hAnsi="Arial" w:cs="Arial"/>
          <w:sz w:val="24"/>
          <w:szCs w:val="24"/>
        </w:rPr>
        <w:t xml:space="preserve"> </w:t>
      </w:r>
      <w:r w:rsidR="00587082" w:rsidRPr="000C4A55">
        <w:rPr>
          <w:rFonts w:ascii="Arial" w:hAnsi="Arial" w:cs="Arial"/>
          <w:i/>
          <w:iCs/>
          <w:sz w:val="24"/>
          <w:szCs w:val="24"/>
        </w:rPr>
        <w:t>et al.</w:t>
      </w:r>
      <w:r w:rsidR="00CD3A06" w:rsidRPr="000C4A55">
        <w:rPr>
          <w:rFonts w:ascii="Arial" w:hAnsi="Arial" w:cs="Arial"/>
          <w:sz w:val="24"/>
          <w:szCs w:val="24"/>
        </w:rPr>
        <w:t>, 2023)  a finding that illustrates why siderophore production alone is a poor predictor of protective outcome without knowledge of the specific chemical compatibility involved.</w:t>
      </w:r>
    </w:p>
    <w:p w14:paraId="1E57DF3A" w14:textId="3AC8AFF7" w:rsidR="0051700F" w:rsidRPr="000C4A55" w:rsidRDefault="0051700F" w:rsidP="0051700F">
      <w:pPr>
        <w:spacing w:after="200" w:line="276" w:lineRule="auto"/>
        <w:jc w:val="both"/>
        <w:rPr>
          <w:rFonts w:ascii="Arial" w:hAnsi="Arial" w:cs="Arial"/>
          <w:sz w:val="24"/>
          <w:szCs w:val="24"/>
        </w:rPr>
      </w:pPr>
      <w:r w:rsidRPr="000C4A55">
        <w:rPr>
          <w:rFonts w:ascii="Arial" w:hAnsi="Arial" w:cs="Arial"/>
          <w:sz w:val="24"/>
          <w:szCs w:val="24"/>
        </w:rPr>
        <w:lastRenderedPageBreak/>
        <w:tab/>
        <w:t xml:space="preserve">Indirect mechanisms act through modulation of the plant's own immune system rather than direct pathogen killing. Induced systemic resistance (ISR), triggered by root-associated </w:t>
      </w:r>
      <w:r w:rsidRPr="000C4A55">
        <w:rPr>
          <w:rFonts w:ascii="Arial" w:hAnsi="Arial" w:cs="Arial"/>
          <w:i/>
          <w:iCs/>
          <w:sz w:val="24"/>
          <w:szCs w:val="24"/>
        </w:rPr>
        <w:t>Pseudomonas,</w:t>
      </w:r>
      <w:r w:rsidRPr="000C4A55">
        <w:rPr>
          <w:rFonts w:ascii="Arial" w:hAnsi="Arial" w:cs="Arial"/>
          <w:sz w:val="24"/>
          <w:szCs w:val="24"/>
        </w:rPr>
        <w:t xml:space="preserve"> </w:t>
      </w:r>
      <w:r w:rsidRPr="000C4A55">
        <w:rPr>
          <w:rFonts w:ascii="Arial" w:hAnsi="Arial" w:cs="Arial"/>
          <w:i/>
          <w:iCs/>
          <w:sz w:val="24"/>
          <w:szCs w:val="24"/>
        </w:rPr>
        <w:t>Bacillus</w:t>
      </w:r>
      <w:r w:rsidRPr="000C4A55">
        <w:rPr>
          <w:rFonts w:ascii="Arial" w:hAnsi="Arial" w:cs="Arial"/>
          <w:sz w:val="24"/>
          <w:szCs w:val="24"/>
        </w:rPr>
        <w:t xml:space="preserve"> and mycorrhizal fungi via </w:t>
      </w:r>
      <w:proofErr w:type="spellStart"/>
      <w:r w:rsidRPr="000C4A55">
        <w:rPr>
          <w:rFonts w:ascii="Arial" w:hAnsi="Arial" w:cs="Arial"/>
          <w:sz w:val="24"/>
          <w:szCs w:val="24"/>
        </w:rPr>
        <w:t>jasmonic</w:t>
      </w:r>
      <w:proofErr w:type="spellEnd"/>
      <w:r w:rsidRPr="000C4A55">
        <w:rPr>
          <w:rFonts w:ascii="Arial" w:hAnsi="Arial" w:cs="Arial"/>
          <w:sz w:val="24"/>
          <w:szCs w:val="24"/>
        </w:rPr>
        <w:t xml:space="preserve"> acid/ethylene-dependent signalling, primes the plant to mount a faster and stronger response upon subsequent pathogen challenge, and is mechanistically distinct from pathogen-triggered systemic acquired resistance (SAR), which is salicylic</w:t>
      </w:r>
      <w:r w:rsidR="00C75034" w:rsidRPr="000C4A55">
        <w:rPr>
          <w:rFonts w:ascii="Arial" w:hAnsi="Arial" w:cs="Arial"/>
          <w:sz w:val="24"/>
          <w:szCs w:val="24"/>
        </w:rPr>
        <w:t xml:space="preserve"> </w:t>
      </w:r>
      <w:r w:rsidRPr="000C4A55">
        <w:rPr>
          <w:rFonts w:ascii="Arial" w:hAnsi="Arial" w:cs="Arial"/>
          <w:sz w:val="24"/>
          <w:szCs w:val="24"/>
        </w:rPr>
        <w:t xml:space="preserve">acid dependent (Pieterse </w:t>
      </w:r>
      <w:r w:rsidR="00587082" w:rsidRPr="000C4A55">
        <w:rPr>
          <w:rFonts w:ascii="Arial" w:hAnsi="Arial" w:cs="Arial"/>
          <w:i/>
          <w:iCs/>
          <w:sz w:val="24"/>
          <w:szCs w:val="24"/>
        </w:rPr>
        <w:t>et al.</w:t>
      </w:r>
      <w:r w:rsidRPr="000C4A55">
        <w:rPr>
          <w:rFonts w:ascii="Arial" w:hAnsi="Arial" w:cs="Arial"/>
          <w:sz w:val="24"/>
          <w:szCs w:val="24"/>
        </w:rPr>
        <w:t xml:space="preserve">, 2014). Beyond ISR, resident microbiota </w:t>
      </w:r>
      <w:proofErr w:type="gramStart"/>
      <w:r w:rsidRPr="000C4A55">
        <w:rPr>
          <w:rFonts w:ascii="Arial" w:hAnsi="Arial" w:cs="Arial"/>
          <w:sz w:val="24"/>
          <w:szCs w:val="24"/>
        </w:rPr>
        <w:t>engage</w:t>
      </w:r>
      <w:proofErr w:type="gramEnd"/>
      <w:r w:rsidRPr="000C4A55">
        <w:rPr>
          <w:rFonts w:ascii="Arial" w:hAnsi="Arial" w:cs="Arial"/>
          <w:sz w:val="24"/>
          <w:szCs w:val="24"/>
        </w:rPr>
        <w:t xml:space="preserve"> the plant's pattern-triggered immunity (PTI) machinery in ways that are not simply antagonistic</w:t>
      </w:r>
      <w:r w:rsidR="00C75034" w:rsidRPr="000C4A55">
        <w:rPr>
          <w:rFonts w:ascii="Arial" w:hAnsi="Arial" w:cs="Arial"/>
          <w:sz w:val="24"/>
          <w:szCs w:val="24"/>
        </w:rPr>
        <w:t>. Commensal</w:t>
      </w:r>
      <w:r w:rsidRPr="000C4A55">
        <w:rPr>
          <w:rFonts w:ascii="Arial" w:hAnsi="Arial" w:cs="Arial"/>
          <w:sz w:val="24"/>
          <w:szCs w:val="24"/>
        </w:rPr>
        <w:t xml:space="preserve"> microbe-associated molecular patterns activate many of the same PTI genes as pathogen-associated patterns, and axenic (microbiome-free) plants show measurably reduced defence-gene expression and pathogen resistance, indicating that basal immunocompetence in intact plants is itself partly microbiome-dependent (</w:t>
      </w:r>
      <w:proofErr w:type="spellStart"/>
      <w:r w:rsidRPr="000C4A55">
        <w:rPr>
          <w:rFonts w:ascii="Arial" w:hAnsi="Arial" w:cs="Arial"/>
          <w:sz w:val="24"/>
          <w:szCs w:val="24"/>
        </w:rPr>
        <w:t>Nobori</w:t>
      </w:r>
      <w:proofErr w:type="spellEnd"/>
      <w:r w:rsidRPr="000C4A55">
        <w:rPr>
          <w:rFonts w:ascii="Arial" w:hAnsi="Arial" w:cs="Arial"/>
          <w:sz w:val="24"/>
          <w:szCs w:val="24"/>
        </w:rPr>
        <w:t xml:space="preserve"> </w:t>
      </w:r>
      <w:r w:rsidR="00587082" w:rsidRPr="000C4A55">
        <w:rPr>
          <w:rFonts w:ascii="Arial" w:hAnsi="Arial" w:cs="Arial"/>
          <w:i/>
          <w:iCs/>
          <w:sz w:val="24"/>
          <w:szCs w:val="24"/>
        </w:rPr>
        <w:t>et al.</w:t>
      </w:r>
      <w:r w:rsidRPr="000C4A55">
        <w:rPr>
          <w:rFonts w:ascii="Arial" w:hAnsi="Arial" w:cs="Arial"/>
          <w:sz w:val="24"/>
          <w:szCs w:val="24"/>
        </w:rPr>
        <w:t xml:space="preserve">, 2022; Paasch </w:t>
      </w:r>
      <w:r w:rsidR="00587082" w:rsidRPr="000C4A55">
        <w:rPr>
          <w:rFonts w:ascii="Arial" w:hAnsi="Arial" w:cs="Arial"/>
          <w:i/>
          <w:iCs/>
          <w:sz w:val="24"/>
          <w:szCs w:val="24"/>
        </w:rPr>
        <w:t>et al.</w:t>
      </w:r>
      <w:r w:rsidRPr="000C4A55">
        <w:rPr>
          <w:rFonts w:ascii="Arial" w:hAnsi="Arial" w:cs="Arial"/>
          <w:sz w:val="24"/>
          <w:szCs w:val="24"/>
        </w:rPr>
        <w:t>, 2023).</w:t>
      </w:r>
    </w:p>
    <w:p w14:paraId="2C6B4DB8" w14:textId="41969EF6" w:rsidR="00805122" w:rsidRPr="000C4A55" w:rsidRDefault="00805122" w:rsidP="00805122">
      <w:pPr>
        <w:spacing w:after="200" w:line="276" w:lineRule="auto"/>
        <w:jc w:val="both"/>
        <w:rPr>
          <w:rFonts w:ascii="Arial" w:hAnsi="Arial" w:cs="Arial"/>
          <w:sz w:val="24"/>
          <w:szCs w:val="24"/>
        </w:rPr>
      </w:pPr>
      <w:r w:rsidRPr="000C4A55">
        <w:rPr>
          <w:rFonts w:ascii="Arial" w:hAnsi="Arial" w:cs="Arial"/>
          <w:sz w:val="24"/>
          <w:szCs w:val="24"/>
        </w:rPr>
        <w:tab/>
        <w:t>Community-level mechanisms are the least reducible to single-organism biochemistry and are the primary justification for a microbiome, rather than single-strain, framing of disease control. These include pathogen exclusion through collective niche occupation, cross-feeding relationships that stabilise beneficial community members, pathogen-induced restructuring of the resident community toward a more protective configuration, and active recruitment of additional beneficial taxa following pathogen challenge (discussed in Section 6). Cross-kingdom interactions exemplify this</w:t>
      </w:r>
      <w:r w:rsidR="00656382" w:rsidRPr="000C4A55">
        <w:rPr>
          <w:rFonts w:ascii="Arial" w:hAnsi="Arial" w:cs="Arial"/>
          <w:sz w:val="24"/>
          <w:szCs w:val="24"/>
        </w:rPr>
        <w:t>,</w:t>
      </w:r>
      <w:r w:rsidRPr="000C4A55">
        <w:rPr>
          <w:rFonts w:ascii="Arial" w:hAnsi="Arial" w:cs="Arial"/>
          <w:sz w:val="24"/>
          <w:szCs w:val="24"/>
        </w:rPr>
        <w:t xml:space="preserve"> in tomato Fusarium-wilt-suppressive synthetic communities, fungal members contributed to community stability and nutrient provisioning while bacterial members supplied direct antimicrobial activity, and the combination outperformed either kingdom acting alone</w:t>
      </w:r>
      <w:r w:rsidR="00656382" w:rsidRPr="000C4A55">
        <w:rPr>
          <w:rFonts w:ascii="Arial" w:hAnsi="Arial" w:cs="Arial"/>
          <w:sz w:val="24"/>
          <w:szCs w:val="24"/>
        </w:rPr>
        <w:t xml:space="preserve">, </w:t>
      </w:r>
      <w:r w:rsidRPr="000C4A55">
        <w:rPr>
          <w:rFonts w:ascii="Arial" w:hAnsi="Arial" w:cs="Arial"/>
          <w:sz w:val="24"/>
          <w:szCs w:val="24"/>
        </w:rPr>
        <w:t xml:space="preserve">an outcome attributable specifically to complementary, not merely additive, interaction between the two groups (Zhou </w:t>
      </w:r>
      <w:r w:rsidR="00587082" w:rsidRPr="000C4A55">
        <w:rPr>
          <w:rFonts w:ascii="Arial" w:hAnsi="Arial" w:cs="Arial"/>
          <w:i/>
          <w:iCs/>
          <w:sz w:val="24"/>
          <w:szCs w:val="24"/>
        </w:rPr>
        <w:t>et al.</w:t>
      </w:r>
      <w:r w:rsidRPr="000C4A55">
        <w:rPr>
          <w:rFonts w:ascii="Arial" w:hAnsi="Arial" w:cs="Arial"/>
          <w:sz w:val="24"/>
          <w:szCs w:val="24"/>
        </w:rPr>
        <w:t>, 2022).</w:t>
      </w:r>
    </w:p>
    <w:p w14:paraId="4A2450B9" w14:textId="665FC835" w:rsidR="00561863" w:rsidRPr="000C4A55" w:rsidRDefault="00561863" w:rsidP="00561863">
      <w:pPr>
        <w:spacing w:after="200" w:line="276" w:lineRule="auto"/>
        <w:jc w:val="both"/>
        <w:rPr>
          <w:rFonts w:ascii="Arial" w:hAnsi="Arial" w:cs="Arial"/>
          <w:sz w:val="24"/>
          <w:szCs w:val="24"/>
        </w:rPr>
      </w:pPr>
      <w:r w:rsidRPr="000C4A55">
        <w:rPr>
          <w:rFonts w:ascii="Arial" w:hAnsi="Arial" w:cs="Arial"/>
          <w:sz w:val="24"/>
          <w:szCs w:val="24"/>
        </w:rPr>
        <w:tab/>
        <w:t>These three mechanistic tiers should not be read as independent pathways operating in parallel but as mutually reinforcing layers direct antagonism reduces initial pathogen load, which lowers the level of immune activation required from the plant; ISR and PTI priming reduce the pathogen's ability to establish even where antagonism is incomplete and community-level processes such as niche pre-emption and cross-feeding determine whether the antagonistic and immune-priming taxa persist long enough to exert an effect at all. A single suppressive outcome observed in the field is therefore rarely attributable to one mechanism acting alone, and mechanistic studies that isolate a single pathway (as is methodologically necessary in reductionist experiments) should be interpreted as demonstrating sufficiency of that mechanism under controlled conditions, not as demonstrating that it is the dominant mechanism operating in a natural, multi-species community.</w:t>
      </w:r>
    </w:p>
    <w:p w14:paraId="10959FE6" w14:textId="170CAE4B" w:rsidR="00E67E46" w:rsidRPr="000C4A55" w:rsidRDefault="00E67E46" w:rsidP="00E67E46">
      <w:pPr>
        <w:pStyle w:val="Caption"/>
        <w:keepNext/>
        <w:rPr>
          <w:rFonts w:ascii="Arial" w:hAnsi="Arial" w:cs="Arial"/>
          <w:b/>
          <w:bCs/>
          <w:i w:val="0"/>
          <w:iCs w:val="0"/>
          <w:color w:val="000000" w:themeColor="text1"/>
          <w:sz w:val="24"/>
          <w:szCs w:val="24"/>
        </w:rPr>
      </w:pPr>
      <w:r w:rsidRPr="000C4A55">
        <w:rPr>
          <w:rFonts w:ascii="Arial" w:hAnsi="Arial" w:cs="Arial"/>
          <w:b/>
          <w:bCs/>
          <w:i w:val="0"/>
          <w:iCs w:val="0"/>
          <w:color w:val="000000" w:themeColor="text1"/>
          <w:sz w:val="24"/>
          <w:szCs w:val="24"/>
        </w:rPr>
        <w:t>Table 2. Mechanisms of microbiome-mediated disease suppression.</w:t>
      </w:r>
    </w:p>
    <w:tbl>
      <w:tblPr>
        <w:tblStyle w:val="TableGrid"/>
        <w:tblW w:w="10500" w:type="dxa"/>
        <w:jc w:val="center"/>
        <w:tblLayout w:type="fixed"/>
        <w:tblLook w:val="04A0" w:firstRow="1" w:lastRow="0" w:firstColumn="1" w:lastColumn="0" w:noHBand="0" w:noVBand="1"/>
      </w:tblPr>
      <w:tblGrid>
        <w:gridCol w:w="2263"/>
        <w:gridCol w:w="1979"/>
        <w:gridCol w:w="2416"/>
        <w:gridCol w:w="2158"/>
        <w:gridCol w:w="1684"/>
      </w:tblGrid>
      <w:tr w:rsidR="00A811F6" w:rsidRPr="00AF3CD7" w14:paraId="45D41274" w14:textId="77777777" w:rsidTr="006C3D36">
        <w:trPr>
          <w:jc w:val="center"/>
        </w:trPr>
        <w:tc>
          <w:tcPr>
            <w:tcW w:w="2263" w:type="dxa"/>
          </w:tcPr>
          <w:p w14:paraId="7A87BB62" w14:textId="77777777" w:rsidR="00A811F6" w:rsidRPr="00AF3CD7" w:rsidRDefault="00A811F6" w:rsidP="003D26A2">
            <w:pPr>
              <w:jc w:val="center"/>
              <w:rPr>
                <w:rFonts w:ascii="Arial" w:hAnsi="Arial" w:cs="Arial"/>
                <w:sz w:val="20"/>
                <w:szCs w:val="20"/>
              </w:rPr>
            </w:pPr>
            <w:r w:rsidRPr="00AF3CD7">
              <w:rPr>
                <w:rFonts w:ascii="Arial" w:hAnsi="Arial" w:cs="Arial"/>
                <w:b/>
                <w:bCs/>
                <w:sz w:val="20"/>
                <w:szCs w:val="20"/>
              </w:rPr>
              <w:t>Mechanism Class</w:t>
            </w:r>
          </w:p>
        </w:tc>
        <w:tc>
          <w:tcPr>
            <w:tcW w:w="1979" w:type="dxa"/>
          </w:tcPr>
          <w:p w14:paraId="442C8A6C" w14:textId="77777777" w:rsidR="00A811F6" w:rsidRPr="00AF3CD7" w:rsidRDefault="00A811F6" w:rsidP="003D26A2">
            <w:pPr>
              <w:jc w:val="center"/>
              <w:rPr>
                <w:rFonts w:ascii="Arial" w:hAnsi="Arial" w:cs="Arial"/>
                <w:sz w:val="20"/>
                <w:szCs w:val="20"/>
              </w:rPr>
            </w:pPr>
            <w:r w:rsidRPr="00AF3CD7">
              <w:rPr>
                <w:rFonts w:ascii="Arial" w:hAnsi="Arial" w:cs="Arial"/>
                <w:b/>
                <w:bCs/>
                <w:sz w:val="20"/>
                <w:szCs w:val="20"/>
              </w:rPr>
              <w:t>Specific Mechanism</w:t>
            </w:r>
          </w:p>
        </w:tc>
        <w:tc>
          <w:tcPr>
            <w:tcW w:w="2416" w:type="dxa"/>
          </w:tcPr>
          <w:p w14:paraId="7BC739C2" w14:textId="77777777" w:rsidR="00A811F6" w:rsidRPr="00AF3CD7" w:rsidRDefault="00A811F6" w:rsidP="003D26A2">
            <w:pPr>
              <w:jc w:val="center"/>
              <w:rPr>
                <w:rFonts w:ascii="Arial" w:hAnsi="Arial" w:cs="Arial"/>
                <w:sz w:val="20"/>
                <w:szCs w:val="20"/>
              </w:rPr>
            </w:pPr>
            <w:r w:rsidRPr="00AF3CD7">
              <w:rPr>
                <w:rFonts w:ascii="Arial" w:hAnsi="Arial" w:cs="Arial"/>
                <w:b/>
                <w:bCs/>
                <w:sz w:val="20"/>
                <w:szCs w:val="20"/>
              </w:rPr>
              <w:t>Example System</w:t>
            </w:r>
          </w:p>
        </w:tc>
        <w:tc>
          <w:tcPr>
            <w:tcW w:w="2158" w:type="dxa"/>
          </w:tcPr>
          <w:p w14:paraId="24FFB03A" w14:textId="77777777" w:rsidR="00A811F6" w:rsidRPr="00AF3CD7" w:rsidRDefault="00A811F6" w:rsidP="003D26A2">
            <w:pPr>
              <w:jc w:val="center"/>
              <w:rPr>
                <w:rFonts w:ascii="Arial" w:hAnsi="Arial" w:cs="Arial"/>
                <w:sz w:val="20"/>
                <w:szCs w:val="20"/>
              </w:rPr>
            </w:pPr>
            <w:r w:rsidRPr="00AF3CD7">
              <w:rPr>
                <w:rFonts w:ascii="Arial" w:hAnsi="Arial" w:cs="Arial"/>
                <w:b/>
                <w:bCs/>
                <w:sz w:val="20"/>
                <w:szCs w:val="20"/>
              </w:rPr>
              <w:t>Evidence Level</w:t>
            </w:r>
          </w:p>
        </w:tc>
        <w:tc>
          <w:tcPr>
            <w:tcW w:w="1684" w:type="dxa"/>
          </w:tcPr>
          <w:p w14:paraId="00187884" w14:textId="77777777" w:rsidR="00A811F6" w:rsidRPr="00AF3CD7" w:rsidRDefault="00A811F6" w:rsidP="003D26A2">
            <w:pPr>
              <w:jc w:val="center"/>
              <w:rPr>
                <w:rFonts w:ascii="Arial" w:hAnsi="Arial" w:cs="Arial"/>
                <w:sz w:val="20"/>
                <w:szCs w:val="20"/>
              </w:rPr>
            </w:pPr>
            <w:r w:rsidRPr="00AF3CD7">
              <w:rPr>
                <w:rFonts w:ascii="Arial" w:hAnsi="Arial" w:cs="Arial"/>
                <w:b/>
                <w:bCs/>
                <w:sz w:val="20"/>
                <w:szCs w:val="20"/>
              </w:rPr>
              <w:t>Representative Reference</w:t>
            </w:r>
          </w:p>
        </w:tc>
      </w:tr>
      <w:tr w:rsidR="00A811F6" w:rsidRPr="00AF3CD7" w14:paraId="0A5C499F" w14:textId="77777777" w:rsidTr="006C3D36">
        <w:trPr>
          <w:jc w:val="center"/>
        </w:trPr>
        <w:tc>
          <w:tcPr>
            <w:tcW w:w="2263" w:type="dxa"/>
          </w:tcPr>
          <w:p w14:paraId="73D4D650" w14:textId="77777777" w:rsidR="00A811F6" w:rsidRPr="00AF3CD7" w:rsidRDefault="00A811F6" w:rsidP="003A3B3E">
            <w:pPr>
              <w:rPr>
                <w:rFonts w:ascii="Arial" w:hAnsi="Arial" w:cs="Arial"/>
                <w:sz w:val="20"/>
                <w:szCs w:val="20"/>
              </w:rPr>
            </w:pPr>
            <w:r w:rsidRPr="00AF3CD7">
              <w:rPr>
                <w:rFonts w:ascii="Arial" w:hAnsi="Arial" w:cs="Arial"/>
                <w:sz w:val="20"/>
                <w:szCs w:val="20"/>
              </w:rPr>
              <w:t>Direct antagonism</w:t>
            </w:r>
          </w:p>
        </w:tc>
        <w:tc>
          <w:tcPr>
            <w:tcW w:w="1979" w:type="dxa"/>
          </w:tcPr>
          <w:p w14:paraId="472EB14D" w14:textId="77777777" w:rsidR="00A811F6" w:rsidRPr="00AF3CD7" w:rsidRDefault="00A811F6" w:rsidP="003A3B3E">
            <w:pPr>
              <w:rPr>
                <w:rFonts w:ascii="Arial" w:hAnsi="Arial" w:cs="Arial"/>
                <w:sz w:val="20"/>
                <w:szCs w:val="20"/>
              </w:rPr>
            </w:pPr>
            <w:r w:rsidRPr="00AF3CD7">
              <w:rPr>
                <w:rFonts w:ascii="Arial" w:hAnsi="Arial" w:cs="Arial"/>
                <w:sz w:val="20"/>
                <w:szCs w:val="20"/>
              </w:rPr>
              <w:t>Antibiosis / lipopeptide production</w:t>
            </w:r>
          </w:p>
        </w:tc>
        <w:tc>
          <w:tcPr>
            <w:tcW w:w="2416" w:type="dxa"/>
          </w:tcPr>
          <w:p w14:paraId="6554A2B9" w14:textId="77777777" w:rsidR="00A811F6" w:rsidRPr="00AF3CD7" w:rsidRDefault="00A811F6" w:rsidP="003A3B3E">
            <w:pPr>
              <w:rPr>
                <w:rFonts w:ascii="Arial" w:hAnsi="Arial" w:cs="Arial"/>
                <w:sz w:val="20"/>
                <w:szCs w:val="20"/>
              </w:rPr>
            </w:pPr>
            <w:r w:rsidRPr="00AF3CD7">
              <w:rPr>
                <w:rFonts w:ascii="Arial" w:hAnsi="Arial" w:cs="Arial"/>
                <w:i/>
                <w:iCs/>
                <w:sz w:val="20"/>
                <w:szCs w:val="20"/>
              </w:rPr>
              <w:t>Bacillus</w:t>
            </w:r>
            <w:r w:rsidRPr="00AF3CD7">
              <w:rPr>
                <w:rFonts w:ascii="Arial" w:hAnsi="Arial" w:cs="Arial"/>
                <w:sz w:val="20"/>
                <w:szCs w:val="20"/>
              </w:rPr>
              <w:t xml:space="preserve"> spp. against fungal pathogens</w:t>
            </w:r>
          </w:p>
        </w:tc>
        <w:tc>
          <w:tcPr>
            <w:tcW w:w="2158" w:type="dxa"/>
          </w:tcPr>
          <w:p w14:paraId="7AF3858B" w14:textId="77777777" w:rsidR="00A811F6" w:rsidRPr="00AF3CD7" w:rsidRDefault="00A811F6" w:rsidP="003A3B3E">
            <w:pPr>
              <w:rPr>
                <w:rFonts w:ascii="Arial" w:hAnsi="Arial" w:cs="Arial"/>
                <w:sz w:val="20"/>
                <w:szCs w:val="20"/>
              </w:rPr>
            </w:pPr>
            <w:r w:rsidRPr="00AF3CD7">
              <w:rPr>
                <w:rFonts w:ascii="Arial" w:hAnsi="Arial" w:cs="Arial"/>
                <w:sz w:val="20"/>
                <w:szCs w:val="20"/>
              </w:rPr>
              <w:t>Functional (in vitro + planta)</w:t>
            </w:r>
          </w:p>
        </w:tc>
        <w:tc>
          <w:tcPr>
            <w:tcW w:w="1684" w:type="dxa"/>
          </w:tcPr>
          <w:p w14:paraId="6B572CBD" w14:textId="6F6D407C" w:rsidR="00A811F6" w:rsidRPr="00AF3CD7" w:rsidRDefault="00A811F6" w:rsidP="003A3B3E">
            <w:pPr>
              <w:rPr>
                <w:rFonts w:ascii="Arial" w:hAnsi="Arial" w:cs="Arial"/>
                <w:sz w:val="20"/>
                <w:szCs w:val="20"/>
              </w:rPr>
            </w:pPr>
            <w:r w:rsidRPr="00AF3CD7">
              <w:rPr>
                <w:rFonts w:ascii="Arial" w:hAnsi="Arial" w:cs="Arial"/>
                <w:sz w:val="20"/>
                <w:szCs w:val="20"/>
              </w:rPr>
              <w:t xml:space="preserve">Ali </w:t>
            </w:r>
            <w:r w:rsidR="00587082" w:rsidRPr="00AF3CD7">
              <w:rPr>
                <w:rFonts w:ascii="Arial" w:hAnsi="Arial" w:cs="Arial"/>
                <w:i/>
                <w:iCs/>
                <w:sz w:val="20"/>
                <w:szCs w:val="20"/>
              </w:rPr>
              <w:t>et al.</w:t>
            </w:r>
            <w:r w:rsidRPr="00AF3CD7">
              <w:rPr>
                <w:rFonts w:ascii="Arial" w:hAnsi="Arial" w:cs="Arial"/>
                <w:sz w:val="20"/>
                <w:szCs w:val="20"/>
              </w:rPr>
              <w:t>, 2022</w:t>
            </w:r>
          </w:p>
        </w:tc>
      </w:tr>
      <w:tr w:rsidR="00A811F6" w:rsidRPr="00AF3CD7" w14:paraId="647503FF" w14:textId="77777777" w:rsidTr="006C3D36">
        <w:trPr>
          <w:jc w:val="center"/>
        </w:trPr>
        <w:tc>
          <w:tcPr>
            <w:tcW w:w="2263" w:type="dxa"/>
          </w:tcPr>
          <w:p w14:paraId="11810F17" w14:textId="77777777" w:rsidR="00A811F6" w:rsidRPr="00AF3CD7" w:rsidRDefault="00A811F6" w:rsidP="003A3B3E">
            <w:pPr>
              <w:rPr>
                <w:rFonts w:ascii="Arial" w:hAnsi="Arial" w:cs="Arial"/>
                <w:sz w:val="20"/>
                <w:szCs w:val="20"/>
              </w:rPr>
            </w:pPr>
            <w:r w:rsidRPr="00AF3CD7">
              <w:rPr>
                <w:rFonts w:ascii="Arial" w:hAnsi="Arial" w:cs="Arial"/>
                <w:sz w:val="20"/>
                <w:szCs w:val="20"/>
              </w:rPr>
              <w:t>Direct antagonism</w:t>
            </w:r>
          </w:p>
        </w:tc>
        <w:tc>
          <w:tcPr>
            <w:tcW w:w="1979" w:type="dxa"/>
          </w:tcPr>
          <w:p w14:paraId="1F2C8CEC" w14:textId="77777777" w:rsidR="00A811F6" w:rsidRPr="00AF3CD7" w:rsidRDefault="00A811F6" w:rsidP="003A3B3E">
            <w:pPr>
              <w:rPr>
                <w:rFonts w:ascii="Arial" w:hAnsi="Arial" w:cs="Arial"/>
                <w:sz w:val="20"/>
                <w:szCs w:val="20"/>
              </w:rPr>
            </w:pPr>
            <w:r w:rsidRPr="00AF3CD7">
              <w:rPr>
                <w:rFonts w:ascii="Arial" w:hAnsi="Arial" w:cs="Arial"/>
                <w:sz w:val="20"/>
                <w:szCs w:val="20"/>
              </w:rPr>
              <w:t>Siderophore-mediated iron competition (compatibility-dependent)</w:t>
            </w:r>
          </w:p>
        </w:tc>
        <w:tc>
          <w:tcPr>
            <w:tcW w:w="2416" w:type="dxa"/>
          </w:tcPr>
          <w:p w14:paraId="0B26E99E" w14:textId="77777777" w:rsidR="00A811F6" w:rsidRPr="00AF3CD7" w:rsidRDefault="00A811F6" w:rsidP="003A3B3E">
            <w:pPr>
              <w:rPr>
                <w:rFonts w:ascii="Arial" w:hAnsi="Arial" w:cs="Arial"/>
                <w:sz w:val="20"/>
                <w:szCs w:val="20"/>
              </w:rPr>
            </w:pPr>
            <w:r w:rsidRPr="00AF3CD7">
              <w:rPr>
                <w:rFonts w:ascii="Arial" w:hAnsi="Arial" w:cs="Arial"/>
                <w:i/>
                <w:iCs/>
                <w:sz w:val="20"/>
                <w:szCs w:val="20"/>
              </w:rPr>
              <w:t xml:space="preserve">Pseudomonas </w:t>
            </w:r>
            <w:proofErr w:type="spellStart"/>
            <w:r w:rsidRPr="00AF3CD7">
              <w:rPr>
                <w:rFonts w:ascii="Arial" w:hAnsi="Arial" w:cs="Arial"/>
                <w:i/>
                <w:iCs/>
                <w:sz w:val="20"/>
                <w:szCs w:val="20"/>
              </w:rPr>
              <w:t>brassicacearum</w:t>
            </w:r>
            <w:proofErr w:type="spellEnd"/>
            <w:r w:rsidRPr="00AF3CD7">
              <w:rPr>
                <w:rFonts w:ascii="Arial" w:hAnsi="Arial" w:cs="Arial"/>
                <w:sz w:val="20"/>
                <w:szCs w:val="20"/>
              </w:rPr>
              <w:t xml:space="preserve"> R401 vs. </w:t>
            </w:r>
            <w:proofErr w:type="spellStart"/>
            <w:r w:rsidRPr="00AF3CD7">
              <w:rPr>
                <w:rFonts w:ascii="Arial" w:hAnsi="Arial" w:cs="Arial"/>
                <w:i/>
                <w:iCs/>
                <w:sz w:val="20"/>
                <w:szCs w:val="20"/>
              </w:rPr>
              <w:t>Ralstonia</w:t>
            </w:r>
            <w:proofErr w:type="spellEnd"/>
            <w:r w:rsidRPr="00AF3CD7">
              <w:rPr>
                <w:rFonts w:ascii="Arial" w:hAnsi="Arial" w:cs="Arial"/>
                <w:i/>
                <w:iCs/>
                <w:sz w:val="20"/>
                <w:szCs w:val="20"/>
              </w:rPr>
              <w:t xml:space="preserve"> solanacearum</w:t>
            </w:r>
            <w:r w:rsidRPr="00AF3CD7">
              <w:rPr>
                <w:rFonts w:ascii="Arial" w:hAnsi="Arial" w:cs="Arial"/>
                <w:sz w:val="20"/>
                <w:szCs w:val="20"/>
              </w:rPr>
              <w:t xml:space="preserve"> in tomato</w:t>
            </w:r>
          </w:p>
        </w:tc>
        <w:tc>
          <w:tcPr>
            <w:tcW w:w="2158" w:type="dxa"/>
          </w:tcPr>
          <w:p w14:paraId="6EDD087E" w14:textId="77777777" w:rsidR="00A811F6" w:rsidRPr="00AF3CD7" w:rsidRDefault="00A811F6" w:rsidP="003A3B3E">
            <w:pPr>
              <w:rPr>
                <w:rFonts w:ascii="Arial" w:hAnsi="Arial" w:cs="Arial"/>
                <w:sz w:val="20"/>
                <w:szCs w:val="20"/>
              </w:rPr>
            </w:pPr>
            <w:r w:rsidRPr="00AF3CD7">
              <w:rPr>
                <w:rFonts w:ascii="Arial" w:hAnsi="Arial" w:cs="Arial"/>
                <w:sz w:val="20"/>
                <w:szCs w:val="20"/>
              </w:rPr>
              <w:t>Causal (genetic/compound-level)</w:t>
            </w:r>
          </w:p>
        </w:tc>
        <w:tc>
          <w:tcPr>
            <w:tcW w:w="1684" w:type="dxa"/>
          </w:tcPr>
          <w:p w14:paraId="309BCF86" w14:textId="4B1230BA" w:rsidR="00A811F6" w:rsidRPr="00AF3CD7" w:rsidRDefault="00A811F6" w:rsidP="003A3B3E">
            <w:pPr>
              <w:rPr>
                <w:rFonts w:ascii="Arial" w:hAnsi="Arial" w:cs="Arial"/>
                <w:sz w:val="20"/>
                <w:szCs w:val="20"/>
              </w:rPr>
            </w:pPr>
            <w:r w:rsidRPr="00AF3CD7">
              <w:rPr>
                <w:rFonts w:ascii="Arial" w:hAnsi="Arial" w:cs="Arial"/>
                <w:sz w:val="20"/>
                <w:szCs w:val="20"/>
              </w:rPr>
              <w:t xml:space="preserve">Niehus </w:t>
            </w:r>
            <w:r w:rsidR="00587082" w:rsidRPr="00AF3CD7">
              <w:rPr>
                <w:rFonts w:ascii="Arial" w:hAnsi="Arial" w:cs="Arial"/>
                <w:i/>
                <w:iCs/>
                <w:sz w:val="20"/>
                <w:szCs w:val="20"/>
              </w:rPr>
              <w:t>et al.</w:t>
            </w:r>
            <w:r w:rsidRPr="00AF3CD7">
              <w:rPr>
                <w:rFonts w:ascii="Arial" w:hAnsi="Arial" w:cs="Arial"/>
                <w:sz w:val="20"/>
                <w:szCs w:val="20"/>
              </w:rPr>
              <w:t xml:space="preserve">, 2017; </w:t>
            </w:r>
            <w:proofErr w:type="spellStart"/>
            <w:r w:rsidRPr="00AF3CD7">
              <w:rPr>
                <w:rFonts w:ascii="Arial" w:hAnsi="Arial" w:cs="Arial"/>
                <w:sz w:val="20"/>
                <w:szCs w:val="20"/>
              </w:rPr>
              <w:t>Getzke</w:t>
            </w:r>
            <w:proofErr w:type="spellEnd"/>
            <w:r w:rsidRPr="00AF3CD7">
              <w:rPr>
                <w:rFonts w:ascii="Arial" w:hAnsi="Arial" w:cs="Arial"/>
                <w:sz w:val="20"/>
                <w:szCs w:val="20"/>
              </w:rPr>
              <w:t xml:space="preserve"> </w:t>
            </w:r>
            <w:r w:rsidR="00587082" w:rsidRPr="00AF3CD7">
              <w:rPr>
                <w:rFonts w:ascii="Arial" w:hAnsi="Arial" w:cs="Arial"/>
                <w:i/>
                <w:iCs/>
                <w:sz w:val="20"/>
                <w:szCs w:val="20"/>
              </w:rPr>
              <w:t>et al.</w:t>
            </w:r>
            <w:r w:rsidRPr="00AF3CD7">
              <w:rPr>
                <w:rFonts w:ascii="Arial" w:hAnsi="Arial" w:cs="Arial"/>
                <w:sz w:val="20"/>
                <w:szCs w:val="20"/>
              </w:rPr>
              <w:t>, 2023</w:t>
            </w:r>
          </w:p>
        </w:tc>
      </w:tr>
      <w:tr w:rsidR="00A811F6" w:rsidRPr="00AF3CD7" w14:paraId="21F4F1A8" w14:textId="77777777" w:rsidTr="006C3D36">
        <w:trPr>
          <w:jc w:val="center"/>
        </w:trPr>
        <w:tc>
          <w:tcPr>
            <w:tcW w:w="2263" w:type="dxa"/>
          </w:tcPr>
          <w:p w14:paraId="78272FF1" w14:textId="77777777" w:rsidR="00A811F6" w:rsidRPr="00AF3CD7" w:rsidRDefault="00A811F6" w:rsidP="003A3B3E">
            <w:pPr>
              <w:rPr>
                <w:rFonts w:ascii="Arial" w:hAnsi="Arial" w:cs="Arial"/>
                <w:sz w:val="20"/>
                <w:szCs w:val="20"/>
              </w:rPr>
            </w:pPr>
            <w:r w:rsidRPr="00AF3CD7">
              <w:rPr>
                <w:rFonts w:ascii="Arial" w:hAnsi="Arial" w:cs="Arial"/>
                <w:sz w:val="20"/>
                <w:szCs w:val="20"/>
              </w:rPr>
              <w:t>Indirect (immune modulation)</w:t>
            </w:r>
          </w:p>
        </w:tc>
        <w:tc>
          <w:tcPr>
            <w:tcW w:w="1979" w:type="dxa"/>
          </w:tcPr>
          <w:p w14:paraId="12671662" w14:textId="77777777" w:rsidR="00A811F6" w:rsidRPr="00AF3CD7" w:rsidRDefault="00A811F6" w:rsidP="003A3B3E">
            <w:pPr>
              <w:rPr>
                <w:rFonts w:ascii="Arial" w:hAnsi="Arial" w:cs="Arial"/>
                <w:sz w:val="20"/>
                <w:szCs w:val="20"/>
              </w:rPr>
            </w:pPr>
            <w:r w:rsidRPr="00AF3CD7">
              <w:rPr>
                <w:rFonts w:ascii="Arial" w:hAnsi="Arial" w:cs="Arial"/>
                <w:sz w:val="20"/>
                <w:szCs w:val="20"/>
              </w:rPr>
              <w:t>Induced systemic resistance (JA/ET-dependent)</w:t>
            </w:r>
          </w:p>
        </w:tc>
        <w:tc>
          <w:tcPr>
            <w:tcW w:w="2416" w:type="dxa"/>
          </w:tcPr>
          <w:p w14:paraId="17D25B63" w14:textId="77777777" w:rsidR="00A811F6" w:rsidRPr="00AF3CD7" w:rsidRDefault="00A811F6" w:rsidP="003A3B3E">
            <w:pPr>
              <w:rPr>
                <w:rFonts w:ascii="Arial" w:hAnsi="Arial" w:cs="Arial"/>
                <w:sz w:val="20"/>
                <w:szCs w:val="20"/>
              </w:rPr>
            </w:pPr>
            <w:r w:rsidRPr="00AF3CD7">
              <w:rPr>
                <w:rFonts w:ascii="Arial" w:hAnsi="Arial" w:cs="Arial"/>
                <w:i/>
                <w:iCs/>
                <w:sz w:val="20"/>
                <w:szCs w:val="20"/>
              </w:rPr>
              <w:t>Pseudomonas/Bacillus</w:t>
            </w:r>
            <w:r w:rsidRPr="00AF3CD7">
              <w:rPr>
                <w:rFonts w:ascii="Arial" w:hAnsi="Arial" w:cs="Arial"/>
                <w:sz w:val="20"/>
                <w:szCs w:val="20"/>
              </w:rPr>
              <w:t xml:space="preserve"> root colonisers</w:t>
            </w:r>
          </w:p>
        </w:tc>
        <w:tc>
          <w:tcPr>
            <w:tcW w:w="2158" w:type="dxa"/>
          </w:tcPr>
          <w:p w14:paraId="7C0897C3" w14:textId="77777777" w:rsidR="00A811F6" w:rsidRPr="00AF3CD7" w:rsidRDefault="00A811F6" w:rsidP="003A3B3E">
            <w:pPr>
              <w:rPr>
                <w:rFonts w:ascii="Arial" w:hAnsi="Arial" w:cs="Arial"/>
                <w:sz w:val="20"/>
                <w:szCs w:val="20"/>
              </w:rPr>
            </w:pPr>
            <w:r w:rsidRPr="00AF3CD7">
              <w:rPr>
                <w:rFonts w:ascii="Arial" w:hAnsi="Arial" w:cs="Arial"/>
                <w:sz w:val="20"/>
                <w:szCs w:val="20"/>
              </w:rPr>
              <w:t>Mechanistic, broadly replicated</w:t>
            </w:r>
          </w:p>
        </w:tc>
        <w:tc>
          <w:tcPr>
            <w:tcW w:w="1684" w:type="dxa"/>
          </w:tcPr>
          <w:p w14:paraId="70B319E2" w14:textId="359C35B8" w:rsidR="00A811F6" w:rsidRPr="00AF3CD7" w:rsidRDefault="00A811F6" w:rsidP="003A3B3E">
            <w:pPr>
              <w:rPr>
                <w:rFonts w:ascii="Arial" w:hAnsi="Arial" w:cs="Arial"/>
                <w:sz w:val="20"/>
                <w:szCs w:val="20"/>
              </w:rPr>
            </w:pPr>
            <w:r w:rsidRPr="00AF3CD7">
              <w:rPr>
                <w:rFonts w:ascii="Arial" w:hAnsi="Arial" w:cs="Arial"/>
                <w:sz w:val="20"/>
                <w:szCs w:val="20"/>
              </w:rPr>
              <w:t xml:space="preserve">Pieterse </w:t>
            </w:r>
            <w:r w:rsidR="00587082" w:rsidRPr="00AF3CD7">
              <w:rPr>
                <w:rFonts w:ascii="Arial" w:hAnsi="Arial" w:cs="Arial"/>
                <w:i/>
                <w:iCs/>
                <w:sz w:val="20"/>
                <w:szCs w:val="20"/>
              </w:rPr>
              <w:t>et al.</w:t>
            </w:r>
            <w:r w:rsidRPr="00AF3CD7">
              <w:rPr>
                <w:rFonts w:ascii="Arial" w:hAnsi="Arial" w:cs="Arial"/>
                <w:sz w:val="20"/>
                <w:szCs w:val="20"/>
              </w:rPr>
              <w:t>, 2014</w:t>
            </w:r>
          </w:p>
        </w:tc>
      </w:tr>
      <w:tr w:rsidR="00A811F6" w:rsidRPr="00AF3CD7" w14:paraId="4691EA5F" w14:textId="77777777" w:rsidTr="006C3D36">
        <w:trPr>
          <w:jc w:val="center"/>
        </w:trPr>
        <w:tc>
          <w:tcPr>
            <w:tcW w:w="2263" w:type="dxa"/>
          </w:tcPr>
          <w:p w14:paraId="4CE78BED" w14:textId="77777777" w:rsidR="00A811F6" w:rsidRPr="00AF3CD7" w:rsidRDefault="00A811F6" w:rsidP="003A3B3E">
            <w:pPr>
              <w:rPr>
                <w:rFonts w:ascii="Arial" w:hAnsi="Arial" w:cs="Arial"/>
                <w:sz w:val="20"/>
                <w:szCs w:val="20"/>
              </w:rPr>
            </w:pPr>
            <w:r w:rsidRPr="00AF3CD7">
              <w:rPr>
                <w:rFonts w:ascii="Arial" w:hAnsi="Arial" w:cs="Arial"/>
                <w:sz w:val="20"/>
                <w:szCs w:val="20"/>
              </w:rPr>
              <w:lastRenderedPageBreak/>
              <w:t>Indirect (immune modulation)</w:t>
            </w:r>
          </w:p>
        </w:tc>
        <w:tc>
          <w:tcPr>
            <w:tcW w:w="1979" w:type="dxa"/>
          </w:tcPr>
          <w:p w14:paraId="69EFF164" w14:textId="77777777" w:rsidR="00A811F6" w:rsidRPr="00AF3CD7" w:rsidRDefault="00A811F6" w:rsidP="003A3B3E">
            <w:pPr>
              <w:rPr>
                <w:rFonts w:ascii="Arial" w:hAnsi="Arial" w:cs="Arial"/>
                <w:sz w:val="20"/>
                <w:szCs w:val="20"/>
              </w:rPr>
            </w:pPr>
            <w:r w:rsidRPr="00AF3CD7">
              <w:rPr>
                <w:rFonts w:ascii="Arial" w:hAnsi="Arial" w:cs="Arial"/>
                <w:sz w:val="20"/>
                <w:szCs w:val="20"/>
              </w:rPr>
              <w:t>PTI priming by commensal MAMPs</w:t>
            </w:r>
          </w:p>
        </w:tc>
        <w:tc>
          <w:tcPr>
            <w:tcW w:w="2416" w:type="dxa"/>
          </w:tcPr>
          <w:p w14:paraId="350C718E" w14:textId="77777777" w:rsidR="00A811F6" w:rsidRPr="00AF3CD7" w:rsidRDefault="00A811F6" w:rsidP="003A3B3E">
            <w:pPr>
              <w:rPr>
                <w:rFonts w:ascii="Arial" w:hAnsi="Arial" w:cs="Arial"/>
                <w:sz w:val="20"/>
                <w:szCs w:val="20"/>
              </w:rPr>
            </w:pPr>
            <w:r w:rsidRPr="00AF3CD7">
              <w:rPr>
                <w:rFonts w:ascii="Arial" w:hAnsi="Arial" w:cs="Arial"/>
                <w:sz w:val="20"/>
                <w:szCs w:val="20"/>
              </w:rPr>
              <w:t>Arabidopsis axenic vs. colonised comparison</w:t>
            </w:r>
          </w:p>
        </w:tc>
        <w:tc>
          <w:tcPr>
            <w:tcW w:w="2158" w:type="dxa"/>
          </w:tcPr>
          <w:p w14:paraId="396D2177" w14:textId="77777777" w:rsidR="00A811F6" w:rsidRPr="00AF3CD7" w:rsidRDefault="00A811F6" w:rsidP="003A3B3E">
            <w:pPr>
              <w:rPr>
                <w:rFonts w:ascii="Arial" w:hAnsi="Arial" w:cs="Arial"/>
                <w:sz w:val="20"/>
                <w:szCs w:val="20"/>
              </w:rPr>
            </w:pPr>
            <w:r w:rsidRPr="00AF3CD7">
              <w:rPr>
                <w:rFonts w:ascii="Arial" w:hAnsi="Arial" w:cs="Arial"/>
                <w:sz w:val="20"/>
                <w:szCs w:val="20"/>
              </w:rPr>
              <w:t>Causal (axenic-plant experiment)</w:t>
            </w:r>
          </w:p>
        </w:tc>
        <w:tc>
          <w:tcPr>
            <w:tcW w:w="1684" w:type="dxa"/>
          </w:tcPr>
          <w:p w14:paraId="2AA993A5" w14:textId="463E3529" w:rsidR="00A811F6" w:rsidRPr="00AF3CD7" w:rsidRDefault="00A811F6" w:rsidP="003A3B3E">
            <w:pPr>
              <w:rPr>
                <w:rFonts w:ascii="Arial" w:hAnsi="Arial" w:cs="Arial"/>
                <w:sz w:val="20"/>
                <w:szCs w:val="20"/>
              </w:rPr>
            </w:pPr>
            <w:proofErr w:type="spellStart"/>
            <w:r w:rsidRPr="00AF3CD7">
              <w:rPr>
                <w:rFonts w:ascii="Arial" w:hAnsi="Arial" w:cs="Arial"/>
                <w:sz w:val="20"/>
                <w:szCs w:val="20"/>
              </w:rPr>
              <w:t>Nobori</w:t>
            </w:r>
            <w:proofErr w:type="spellEnd"/>
            <w:r w:rsidRPr="00AF3CD7">
              <w:rPr>
                <w:rFonts w:ascii="Arial" w:hAnsi="Arial" w:cs="Arial"/>
                <w:sz w:val="20"/>
                <w:szCs w:val="20"/>
              </w:rPr>
              <w:t xml:space="preserve"> </w:t>
            </w:r>
            <w:r w:rsidR="00587082" w:rsidRPr="00AF3CD7">
              <w:rPr>
                <w:rFonts w:ascii="Arial" w:hAnsi="Arial" w:cs="Arial"/>
                <w:i/>
                <w:iCs/>
                <w:sz w:val="20"/>
                <w:szCs w:val="20"/>
              </w:rPr>
              <w:t>et al.</w:t>
            </w:r>
            <w:r w:rsidRPr="00AF3CD7">
              <w:rPr>
                <w:rFonts w:ascii="Arial" w:hAnsi="Arial" w:cs="Arial"/>
                <w:sz w:val="20"/>
                <w:szCs w:val="20"/>
              </w:rPr>
              <w:t xml:space="preserve">, 2022; Paasch </w:t>
            </w:r>
            <w:r w:rsidR="00587082" w:rsidRPr="00AF3CD7">
              <w:rPr>
                <w:rFonts w:ascii="Arial" w:hAnsi="Arial" w:cs="Arial"/>
                <w:i/>
                <w:iCs/>
                <w:sz w:val="20"/>
                <w:szCs w:val="20"/>
              </w:rPr>
              <w:t>et al.</w:t>
            </w:r>
            <w:r w:rsidRPr="00AF3CD7">
              <w:rPr>
                <w:rFonts w:ascii="Arial" w:hAnsi="Arial" w:cs="Arial"/>
                <w:sz w:val="20"/>
                <w:szCs w:val="20"/>
              </w:rPr>
              <w:t>, 2023</w:t>
            </w:r>
          </w:p>
        </w:tc>
      </w:tr>
      <w:tr w:rsidR="00A811F6" w:rsidRPr="00AF3CD7" w14:paraId="0AFEA3F4" w14:textId="77777777" w:rsidTr="006C3D36">
        <w:trPr>
          <w:jc w:val="center"/>
        </w:trPr>
        <w:tc>
          <w:tcPr>
            <w:tcW w:w="2263" w:type="dxa"/>
          </w:tcPr>
          <w:p w14:paraId="66D918A6" w14:textId="77777777" w:rsidR="00A811F6" w:rsidRPr="00AF3CD7" w:rsidRDefault="00A811F6" w:rsidP="003A3B3E">
            <w:pPr>
              <w:rPr>
                <w:rFonts w:ascii="Arial" w:hAnsi="Arial" w:cs="Arial"/>
                <w:sz w:val="20"/>
                <w:szCs w:val="20"/>
              </w:rPr>
            </w:pPr>
            <w:r w:rsidRPr="00AF3CD7">
              <w:rPr>
                <w:rFonts w:ascii="Arial" w:hAnsi="Arial" w:cs="Arial"/>
                <w:sz w:val="20"/>
                <w:szCs w:val="20"/>
              </w:rPr>
              <w:t>Community-level</w:t>
            </w:r>
          </w:p>
        </w:tc>
        <w:tc>
          <w:tcPr>
            <w:tcW w:w="1979" w:type="dxa"/>
          </w:tcPr>
          <w:p w14:paraId="319385DA" w14:textId="77777777" w:rsidR="00A811F6" w:rsidRPr="00AF3CD7" w:rsidRDefault="00A811F6" w:rsidP="003A3B3E">
            <w:pPr>
              <w:rPr>
                <w:rFonts w:ascii="Arial" w:hAnsi="Arial" w:cs="Arial"/>
                <w:sz w:val="20"/>
                <w:szCs w:val="20"/>
              </w:rPr>
            </w:pPr>
            <w:r w:rsidRPr="00AF3CD7">
              <w:rPr>
                <w:rFonts w:ascii="Arial" w:hAnsi="Arial" w:cs="Arial"/>
                <w:sz w:val="20"/>
                <w:szCs w:val="20"/>
              </w:rPr>
              <w:t>Cross-kingdom complementarity (fungal stability + bacterial antibiosis)</w:t>
            </w:r>
          </w:p>
        </w:tc>
        <w:tc>
          <w:tcPr>
            <w:tcW w:w="2416" w:type="dxa"/>
          </w:tcPr>
          <w:p w14:paraId="0382C51B" w14:textId="77777777" w:rsidR="00A811F6" w:rsidRPr="00AF3CD7" w:rsidRDefault="00A811F6" w:rsidP="003A3B3E">
            <w:pPr>
              <w:rPr>
                <w:rFonts w:ascii="Arial" w:hAnsi="Arial" w:cs="Arial"/>
                <w:sz w:val="20"/>
                <w:szCs w:val="20"/>
              </w:rPr>
            </w:pPr>
            <w:r w:rsidRPr="00AF3CD7">
              <w:rPr>
                <w:rFonts w:ascii="Arial" w:hAnsi="Arial" w:cs="Arial"/>
                <w:sz w:val="20"/>
                <w:szCs w:val="20"/>
              </w:rPr>
              <w:t xml:space="preserve">Tomato Fusarium-wilt </w:t>
            </w:r>
            <w:proofErr w:type="spellStart"/>
            <w:r w:rsidRPr="00AF3CD7">
              <w:rPr>
                <w:rFonts w:ascii="Arial" w:hAnsi="Arial" w:cs="Arial"/>
                <w:sz w:val="20"/>
                <w:szCs w:val="20"/>
              </w:rPr>
              <w:t>SynComs</w:t>
            </w:r>
            <w:proofErr w:type="spellEnd"/>
          </w:p>
        </w:tc>
        <w:tc>
          <w:tcPr>
            <w:tcW w:w="2158" w:type="dxa"/>
          </w:tcPr>
          <w:p w14:paraId="4AD0462B" w14:textId="77777777" w:rsidR="00A811F6" w:rsidRPr="00AF3CD7" w:rsidRDefault="00A811F6" w:rsidP="003A3B3E">
            <w:pPr>
              <w:rPr>
                <w:rFonts w:ascii="Arial" w:hAnsi="Arial" w:cs="Arial"/>
                <w:sz w:val="20"/>
                <w:szCs w:val="20"/>
              </w:rPr>
            </w:pPr>
            <w:r w:rsidRPr="00AF3CD7">
              <w:rPr>
                <w:rFonts w:ascii="Arial" w:hAnsi="Arial" w:cs="Arial"/>
                <w:sz w:val="20"/>
                <w:szCs w:val="20"/>
              </w:rPr>
              <w:t>Causal (</w:t>
            </w:r>
            <w:proofErr w:type="spellStart"/>
            <w:r w:rsidRPr="00AF3CD7">
              <w:rPr>
                <w:rFonts w:ascii="Arial" w:hAnsi="Arial" w:cs="Arial"/>
                <w:sz w:val="20"/>
                <w:szCs w:val="20"/>
              </w:rPr>
              <w:t>SynCom</w:t>
            </w:r>
            <w:proofErr w:type="spellEnd"/>
            <w:r w:rsidRPr="00AF3CD7">
              <w:rPr>
                <w:rFonts w:ascii="Arial" w:hAnsi="Arial" w:cs="Arial"/>
                <w:sz w:val="20"/>
                <w:szCs w:val="20"/>
              </w:rPr>
              <w:t xml:space="preserve"> reconstruction)</w:t>
            </w:r>
          </w:p>
        </w:tc>
        <w:tc>
          <w:tcPr>
            <w:tcW w:w="1684" w:type="dxa"/>
          </w:tcPr>
          <w:p w14:paraId="3320C3A7" w14:textId="62B5F5B7" w:rsidR="00A811F6" w:rsidRPr="00AF3CD7" w:rsidRDefault="00A811F6" w:rsidP="003A3B3E">
            <w:pPr>
              <w:rPr>
                <w:rFonts w:ascii="Arial" w:hAnsi="Arial" w:cs="Arial"/>
                <w:sz w:val="20"/>
                <w:szCs w:val="20"/>
              </w:rPr>
            </w:pPr>
            <w:r w:rsidRPr="00AF3CD7">
              <w:rPr>
                <w:rFonts w:ascii="Arial" w:hAnsi="Arial" w:cs="Arial"/>
                <w:sz w:val="20"/>
                <w:szCs w:val="20"/>
              </w:rPr>
              <w:t xml:space="preserve">Zhou </w:t>
            </w:r>
            <w:r w:rsidR="00587082" w:rsidRPr="00AF3CD7">
              <w:rPr>
                <w:rFonts w:ascii="Arial" w:hAnsi="Arial" w:cs="Arial"/>
                <w:i/>
                <w:iCs/>
                <w:sz w:val="20"/>
                <w:szCs w:val="20"/>
              </w:rPr>
              <w:t>et al.</w:t>
            </w:r>
            <w:r w:rsidRPr="00AF3CD7">
              <w:rPr>
                <w:rFonts w:ascii="Arial" w:hAnsi="Arial" w:cs="Arial"/>
                <w:sz w:val="20"/>
                <w:szCs w:val="20"/>
              </w:rPr>
              <w:t>, 2022</w:t>
            </w:r>
          </w:p>
        </w:tc>
      </w:tr>
      <w:tr w:rsidR="00A811F6" w:rsidRPr="00AF3CD7" w14:paraId="262EABA1" w14:textId="77777777" w:rsidTr="006C3D36">
        <w:trPr>
          <w:jc w:val="center"/>
        </w:trPr>
        <w:tc>
          <w:tcPr>
            <w:tcW w:w="2263" w:type="dxa"/>
          </w:tcPr>
          <w:p w14:paraId="65E489A7" w14:textId="77777777" w:rsidR="00A811F6" w:rsidRPr="00AF3CD7" w:rsidRDefault="00A811F6" w:rsidP="003A3B3E">
            <w:pPr>
              <w:rPr>
                <w:rFonts w:ascii="Arial" w:hAnsi="Arial" w:cs="Arial"/>
                <w:sz w:val="20"/>
                <w:szCs w:val="20"/>
              </w:rPr>
            </w:pPr>
            <w:r w:rsidRPr="00AF3CD7">
              <w:rPr>
                <w:rFonts w:ascii="Arial" w:hAnsi="Arial" w:cs="Arial"/>
                <w:sz w:val="20"/>
                <w:szCs w:val="20"/>
              </w:rPr>
              <w:t>Community-level</w:t>
            </w:r>
          </w:p>
        </w:tc>
        <w:tc>
          <w:tcPr>
            <w:tcW w:w="1979" w:type="dxa"/>
          </w:tcPr>
          <w:p w14:paraId="0B81A67C" w14:textId="77777777" w:rsidR="00A811F6" w:rsidRPr="00AF3CD7" w:rsidRDefault="00A811F6" w:rsidP="003A3B3E">
            <w:pPr>
              <w:rPr>
                <w:rFonts w:ascii="Arial" w:hAnsi="Arial" w:cs="Arial"/>
                <w:sz w:val="20"/>
                <w:szCs w:val="20"/>
              </w:rPr>
            </w:pPr>
            <w:r w:rsidRPr="00AF3CD7">
              <w:rPr>
                <w:rFonts w:ascii="Arial" w:hAnsi="Arial" w:cs="Arial"/>
                <w:sz w:val="20"/>
                <w:szCs w:val="20"/>
              </w:rPr>
              <w:t>Keystone-taxon-mediated network stabilisation</w:t>
            </w:r>
          </w:p>
        </w:tc>
        <w:tc>
          <w:tcPr>
            <w:tcW w:w="2416" w:type="dxa"/>
          </w:tcPr>
          <w:p w14:paraId="07DC9C39" w14:textId="77777777" w:rsidR="00A811F6" w:rsidRPr="00AF3CD7" w:rsidRDefault="00A811F6" w:rsidP="003A3B3E">
            <w:pPr>
              <w:rPr>
                <w:rFonts w:ascii="Arial" w:hAnsi="Arial" w:cs="Arial"/>
                <w:sz w:val="20"/>
                <w:szCs w:val="20"/>
              </w:rPr>
            </w:pPr>
            <w:r w:rsidRPr="00AF3CD7">
              <w:rPr>
                <w:rFonts w:ascii="Arial" w:hAnsi="Arial" w:cs="Arial"/>
                <w:sz w:val="20"/>
                <w:szCs w:val="20"/>
              </w:rPr>
              <w:t>Field vs. greenhouse tomato rhizosphere networks</w:t>
            </w:r>
          </w:p>
        </w:tc>
        <w:tc>
          <w:tcPr>
            <w:tcW w:w="2158" w:type="dxa"/>
          </w:tcPr>
          <w:p w14:paraId="3561DA86" w14:textId="77777777" w:rsidR="00A811F6" w:rsidRPr="00AF3CD7" w:rsidRDefault="00A811F6" w:rsidP="003A3B3E">
            <w:pPr>
              <w:rPr>
                <w:rFonts w:ascii="Arial" w:hAnsi="Arial" w:cs="Arial"/>
                <w:sz w:val="20"/>
                <w:szCs w:val="20"/>
              </w:rPr>
            </w:pPr>
            <w:r w:rsidRPr="00AF3CD7">
              <w:rPr>
                <w:rFonts w:ascii="Arial" w:hAnsi="Arial" w:cs="Arial"/>
                <w:sz w:val="20"/>
                <w:szCs w:val="20"/>
              </w:rPr>
              <w:t>Correlative/associative (network analysis)</w:t>
            </w:r>
          </w:p>
        </w:tc>
        <w:tc>
          <w:tcPr>
            <w:tcW w:w="1684" w:type="dxa"/>
          </w:tcPr>
          <w:p w14:paraId="060919C7" w14:textId="188E9BEA" w:rsidR="00A811F6" w:rsidRPr="00AF3CD7" w:rsidRDefault="00A811F6" w:rsidP="003A3B3E">
            <w:pPr>
              <w:rPr>
                <w:rFonts w:ascii="Arial" w:hAnsi="Arial" w:cs="Arial"/>
                <w:sz w:val="20"/>
                <w:szCs w:val="20"/>
              </w:rPr>
            </w:pPr>
            <w:r w:rsidRPr="00AF3CD7">
              <w:rPr>
                <w:rFonts w:ascii="Arial" w:hAnsi="Arial" w:cs="Arial"/>
                <w:sz w:val="20"/>
                <w:szCs w:val="20"/>
              </w:rPr>
              <w:t xml:space="preserve">Zhou </w:t>
            </w:r>
            <w:r w:rsidR="00587082" w:rsidRPr="00AF3CD7">
              <w:rPr>
                <w:rFonts w:ascii="Arial" w:hAnsi="Arial" w:cs="Arial"/>
                <w:i/>
                <w:iCs/>
                <w:sz w:val="20"/>
                <w:szCs w:val="20"/>
              </w:rPr>
              <w:t>et al.</w:t>
            </w:r>
            <w:r w:rsidRPr="00AF3CD7">
              <w:rPr>
                <w:rFonts w:ascii="Arial" w:hAnsi="Arial" w:cs="Arial"/>
                <w:sz w:val="20"/>
                <w:szCs w:val="20"/>
              </w:rPr>
              <w:t>, 2022</w:t>
            </w:r>
          </w:p>
        </w:tc>
      </w:tr>
    </w:tbl>
    <w:p w14:paraId="31A74ED3" w14:textId="77777777" w:rsidR="00A811F6" w:rsidRDefault="00A811F6" w:rsidP="00561863">
      <w:pPr>
        <w:spacing w:after="200" w:line="276" w:lineRule="auto"/>
        <w:jc w:val="both"/>
        <w:rPr>
          <w:rFonts w:ascii="Arial" w:hAnsi="Arial" w:cs="Arial"/>
          <w:sz w:val="24"/>
          <w:szCs w:val="24"/>
        </w:rPr>
      </w:pPr>
    </w:p>
    <w:p w14:paraId="7C6A6882" w14:textId="1E087661" w:rsidR="00656382" w:rsidRPr="000C4A55" w:rsidRDefault="00AF3CD7" w:rsidP="00805122">
      <w:pPr>
        <w:spacing w:after="200" w:line="276" w:lineRule="auto"/>
        <w:jc w:val="both"/>
        <w:rPr>
          <w:rFonts w:ascii="Arial" w:hAnsi="Arial" w:cs="Arial"/>
          <w:sz w:val="24"/>
          <w:szCs w:val="24"/>
        </w:rPr>
      </w:pPr>
      <w:r w:rsidRPr="000C4A55">
        <w:rPr>
          <w:rFonts w:ascii="Arial" w:hAnsi="Arial" w:cs="Arial"/>
          <w:b/>
          <w:bCs/>
          <w:sz w:val="24"/>
          <w:szCs w:val="24"/>
        </w:rPr>
        <w:t>5. PLANT–MICROBIOME–PATHOGEN TRIANGULAR INTERACTIONS</w:t>
      </w:r>
    </w:p>
    <w:p w14:paraId="07668DC0" w14:textId="54A3D3BD" w:rsidR="00032614" w:rsidRPr="000C4A55" w:rsidRDefault="00032614" w:rsidP="00032614">
      <w:pPr>
        <w:spacing w:after="200" w:line="276" w:lineRule="auto"/>
        <w:jc w:val="both"/>
        <w:rPr>
          <w:rFonts w:ascii="Arial" w:hAnsi="Arial" w:cs="Arial"/>
          <w:sz w:val="24"/>
          <w:szCs w:val="24"/>
        </w:rPr>
      </w:pPr>
      <w:r w:rsidRPr="000C4A55">
        <w:rPr>
          <w:rFonts w:ascii="Arial" w:hAnsi="Arial" w:cs="Arial"/>
          <w:sz w:val="24"/>
          <w:szCs w:val="24"/>
        </w:rPr>
        <w:tab/>
        <w:t xml:space="preserve">Disease outcome cannot be modelled as a bilateral contest between plant and pathogen; it is more accurately represented as a triangular system in which the resident microbiome is an active third party capable of shifting the balance in either direction. Pathogens can recruit or activate helper organisms that increase their own virulence.  Co-inoculation with certain bacterial isolates augmented the pathogenicity of </w:t>
      </w:r>
      <w:proofErr w:type="spellStart"/>
      <w:r w:rsidRPr="000C4A55">
        <w:rPr>
          <w:rFonts w:ascii="Arial" w:hAnsi="Arial" w:cs="Arial"/>
          <w:i/>
          <w:iCs/>
          <w:sz w:val="24"/>
          <w:szCs w:val="24"/>
        </w:rPr>
        <w:t>Parastagonospora</w:t>
      </w:r>
      <w:proofErr w:type="spellEnd"/>
      <w:r w:rsidRPr="000C4A55">
        <w:rPr>
          <w:rFonts w:ascii="Arial" w:hAnsi="Arial" w:cs="Arial"/>
          <w:i/>
          <w:iCs/>
          <w:sz w:val="24"/>
          <w:szCs w:val="24"/>
        </w:rPr>
        <w:t xml:space="preserve"> </w:t>
      </w:r>
      <w:proofErr w:type="spellStart"/>
      <w:r w:rsidRPr="000C4A55">
        <w:rPr>
          <w:rFonts w:ascii="Arial" w:hAnsi="Arial" w:cs="Arial"/>
          <w:i/>
          <w:iCs/>
          <w:sz w:val="24"/>
          <w:szCs w:val="24"/>
        </w:rPr>
        <w:t>nodorum</w:t>
      </w:r>
      <w:proofErr w:type="spellEnd"/>
      <w:r w:rsidRPr="000C4A55">
        <w:rPr>
          <w:rFonts w:ascii="Arial" w:hAnsi="Arial" w:cs="Arial"/>
          <w:sz w:val="24"/>
          <w:szCs w:val="24"/>
        </w:rPr>
        <w:t xml:space="preserve"> in wheat, and arbuscular mycorrhizal colonisation increased, rather than decreased, susceptibility of Astragalus </w:t>
      </w:r>
      <w:proofErr w:type="spellStart"/>
      <w:r w:rsidRPr="000C4A55">
        <w:rPr>
          <w:rFonts w:ascii="Arial" w:hAnsi="Arial" w:cs="Arial"/>
          <w:sz w:val="24"/>
          <w:szCs w:val="24"/>
        </w:rPr>
        <w:t>adsurgens</w:t>
      </w:r>
      <w:proofErr w:type="spellEnd"/>
      <w:r w:rsidRPr="000C4A55">
        <w:rPr>
          <w:rFonts w:ascii="Arial" w:hAnsi="Arial" w:cs="Arial"/>
          <w:sz w:val="24"/>
          <w:szCs w:val="24"/>
        </w:rPr>
        <w:t xml:space="preserve"> to powdery mildew in one study</w:t>
      </w:r>
      <w:r w:rsidR="00025BD4" w:rsidRPr="000C4A55">
        <w:rPr>
          <w:rFonts w:ascii="Arial" w:hAnsi="Arial" w:cs="Arial"/>
          <w:sz w:val="24"/>
          <w:szCs w:val="24"/>
        </w:rPr>
        <w:t>,</w:t>
      </w:r>
      <w:r w:rsidRPr="000C4A55">
        <w:rPr>
          <w:rFonts w:ascii="Arial" w:hAnsi="Arial" w:cs="Arial"/>
          <w:sz w:val="24"/>
          <w:szCs w:val="24"/>
        </w:rPr>
        <w:t xml:space="preserve"> a reminder that generally beneficial microbial guilds are not uniformly protective across all host</w:t>
      </w:r>
      <w:r w:rsidR="00025BD4" w:rsidRPr="000C4A55">
        <w:rPr>
          <w:rFonts w:ascii="Arial" w:hAnsi="Arial" w:cs="Arial"/>
          <w:sz w:val="24"/>
          <w:szCs w:val="24"/>
        </w:rPr>
        <w:t>-</w:t>
      </w:r>
      <w:r w:rsidRPr="000C4A55">
        <w:rPr>
          <w:rFonts w:ascii="Arial" w:hAnsi="Arial" w:cs="Arial"/>
          <w:sz w:val="24"/>
          <w:szCs w:val="24"/>
        </w:rPr>
        <w:t xml:space="preserve">pathogen combinations (Dewey </w:t>
      </w:r>
      <w:r w:rsidR="00587082" w:rsidRPr="000C4A55">
        <w:rPr>
          <w:rFonts w:ascii="Arial" w:hAnsi="Arial" w:cs="Arial"/>
          <w:i/>
          <w:iCs/>
          <w:sz w:val="24"/>
          <w:szCs w:val="24"/>
        </w:rPr>
        <w:t>et al.</w:t>
      </w:r>
      <w:r w:rsidRPr="000C4A55">
        <w:rPr>
          <w:rFonts w:ascii="Arial" w:hAnsi="Arial" w:cs="Arial"/>
          <w:sz w:val="24"/>
          <w:szCs w:val="24"/>
        </w:rPr>
        <w:t xml:space="preserve">, 1999; Liu </w:t>
      </w:r>
      <w:r w:rsidR="00587082" w:rsidRPr="000C4A55">
        <w:rPr>
          <w:rFonts w:ascii="Arial" w:hAnsi="Arial" w:cs="Arial"/>
          <w:i/>
          <w:iCs/>
          <w:sz w:val="24"/>
          <w:szCs w:val="24"/>
        </w:rPr>
        <w:t>et al.</w:t>
      </w:r>
      <w:r w:rsidRPr="000C4A55">
        <w:rPr>
          <w:rFonts w:ascii="Arial" w:hAnsi="Arial" w:cs="Arial"/>
          <w:sz w:val="24"/>
          <w:szCs w:val="24"/>
        </w:rPr>
        <w:t>, 2018). Conversely, plants actively recruit protective microbes upon infection</w:t>
      </w:r>
      <w:r w:rsidR="00025BD4" w:rsidRPr="000C4A55">
        <w:rPr>
          <w:rFonts w:ascii="Arial" w:hAnsi="Arial" w:cs="Arial"/>
          <w:sz w:val="24"/>
          <w:szCs w:val="24"/>
        </w:rPr>
        <w:t>.</w:t>
      </w:r>
      <w:r w:rsidRPr="000C4A55">
        <w:rPr>
          <w:rFonts w:ascii="Arial" w:hAnsi="Arial" w:cs="Arial"/>
          <w:sz w:val="24"/>
          <w:szCs w:val="24"/>
        </w:rPr>
        <w:t xml:space="preserve"> </w:t>
      </w:r>
      <w:r w:rsidR="00025BD4" w:rsidRPr="000C4A55">
        <w:rPr>
          <w:rFonts w:ascii="Arial" w:hAnsi="Arial" w:cs="Arial"/>
          <w:sz w:val="24"/>
          <w:szCs w:val="24"/>
        </w:rPr>
        <w:t>The</w:t>
      </w:r>
      <w:r w:rsidRPr="000C4A55">
        <w:rPr>
          <w:rFonts w:ascii="Arial" w:hAnsi="Arial" w:cs="Arial"/>
          <w:sz w:val="24"/>
          <w:szCs w:val="24"/>
        </w:rPr>
        <w:t xml:space="preserve"> identification and experimental suppression of such "pathogen helper" organisms has itself been shown to reduce pathogen invasion, underscoring that the microbiome side of the triangle can be manipulated in either a protective or a permissive direction (Li </w:t>
      </w:r>
      <w:r w:rsidR="00587082" w:rsidRPr="000C4A55">
        <w:rPr>
          <w:rFonts w:ascii="Arial" w:hAnsi="Arial" w:cs="Arial"/>
          <w:i/>
          <w:iCs/>
          <w:sz w:val="24"/>
          <w:szCs w:val="24"/>
        </w:rPr>
        <w:t>et al.</w:t>
      </w:r>
      <w:r w:rsidRPr="000C4A55">
        <w:rPr>
          <w:rFonts w:ascii="Arial" w:hAnsi="Arial" w:cs="Arial"/>
          <w:sz w:val="24"/>
          <w:szCs w:val="24"/>
        </w:rPr>
        <w:t>, 2022a).</w:t>
      </w:r>
    </w:p>
    <w:p w14:paraId="7410DCB6" w14:textId="6FB7E17F" w:rsidR="00F624D5" w:rsidRPr="000C4A55" w:rsidRDefault="00F624D5" w:rsidP="00F624D5">
      <w:pPr>
        <w:spacing w:after="200" w:line="276" w:lineRule="auto"/>
        <w:jc w:val="both"/>
        <w:rPr>
          <w:rFonts w:ascii="Arial" w:hAnsi="Arial" w:cs="Arial"/>
          <w:sz w:val="24"/>
          <w:szCs w:val="24"/>
        </w:rPr>
      </w:pPr>
      <w:r w:rsidRPr="000C4A55">
        <w:rPr>
          <w:rFonts w:ascii="Arial" w:hAnsi="Arial" w:cs="Arial"/>
          <w:sz w:val="24"/>
          <w:szCs w:val="24"/>
        </w:rPr>
        <w:t xml:space="preserve">The clearest and best-characterised expression of this triangular dynamic is the "cry for help" phenomenon. Plants respond to pathogen attack by altering root exudate composition in ways that selectively recruit antagonistic or immune-priming microbes (Rolfe </w:t>
      </w:r>
      <w:r w:rsidR="00587082" w:rsidRPr="000C4A55">
        <w:rPr>
          <w:rFonts w:ascii="Arial" w:hAnsi="Arial" w:cs="Arial"/>
          <w:i/>
          <w:iCs/>
          <w:sz w:val="24"/>
          <w:szCs w:val="24"/>
        </w:rPr>
        <w:t>et al.</w:t>
      </w:r>
      <w:r w:rsidRPr="000C4A55">
        <w:rPr>
          <w:rFonts w:ascii="Arial" w:hAnsi="Arial" w:cs="Arial"/>
          <w:sz w:val="24"/>
          <w:szCs w:val="24"/>
        </w:rPr>
        <w:t xml:space="preserve">, 2019; Berendsen </w:t>
      </w:r>
      <w:r w:rsidR="00587082" w:rsidRPr="000C4A55">
        <w:rPr>
          <w:rFonts w:ascii="Arial" w:hAnsi="Arial" w:cs="Arial"/>
          <w:i/>
          <w:iCs/>
          <w:sz w:val="24"/>
          <w:szCs w:val="24"/>
        </w:rPr>
        <w:t>et al.</w:t>
      </w:r>
      <w:r w:rsidRPr="000C4A55">
        <w:rPr>
          <w:rFonts w:ascii="Arial" w:hAnsi="Arial" w:cs="Arial"/>
          <w:sz w:val="24"/>
          <w:szCs w:val="24"/>
        </w:rPr>
        <w:t xml:space="preserve">, 2018). In cucumber challenged with </w:t>
      </w:r>
      <w:r w:rsidRPr="000C4A55">
        <w:rPr>
          <w:rFonts w:ascii="Arial" w:hAnsi="Arial" w:cs="Arial"/>
          <w:i/>
          <w:iCs/>
          <w:sz w:val="24"/>
          <w:szCs w:val="24"/>
        </w:rPr>
        <w:t xml:space="preserve">Fusarium </w:t>
      </w:r>
      <w:proofErr w:type="spellStart"/>
      <w:r w:rsidRPr="000C4A55">
        <w:rPr>
          <w:rFonts w:ascii="Arial" w:hAnsi="Arial" w:cs="Arial"/>
          <w:i/>
          <w:iCs/>
          <w:sz w:val="24"/>
          <w:szCs w:val="24"/>
        </w:rPr>
        <w:t>oxysporum</w:t>
      </w:r>
      <w:proofErr w:type="spellEnd"/>
      <w:r w:rsidRPr="000C4A55">
        <w:rPr>
          <w:rFonts w:ascii="Arial" w:hAnsi="Arial" w:cs="Arial"/>
          <w:sz w:val="24"/>
          <w:szCs w:val="24"/>
        </w:rPr>
        <w:t xml:space="preserve">, infection shifts root exudation toward elevated citric acid, fumaric acid and tryptophan and reduced raffinose, and this shift selectively recruits the biocontrol strain </w:t>
      </w:r>
      <w:r w:rsidRPr="000C4A55">
        <w:rPr>
          <w:rFonts w:ascii="Arial" w:hAnsi="Arial" w:cs="Arial"/>
          <w:i/>
          <w:iCs/>
          <w:sz w:val="24"/>
          <w:szCs w:val="24"/>
        </w:rPr>
        <w:t xml:space="preserve">Bacillus </w:t>
      </w:r>
      <w:proofErr w:type="spellStart"/>
      <w:r w:rsidRPr="000C4A55">
        <w:rPr>
          <w:rFonts w:ascii="Arial" w:hAnsi="Arial" w:cs="Arial"/>
          <w:i/>
          <w:iCs/>
          <w:sz w:val="24"/>
          <w:szCs w:val="24"/>
        </w:rPr>
        <w:t>amyloliquefaciens</w:t>
      </w:r>
      <w:proofErr w:type="spellEnd"/>
      <w:r w:rsidRPr="000C4A55">
        <w:rPr>
          <w:rFonts w:ascii="Arial" w:hAnsi="Arial" w:cs="Arial"/>
          <w:sz w:val="24"/>
          <w:szCs w:val="24"/>
        </w:rPr>
        <w:t xml:space="preserve"> SQR9, reducing pathogen colonisation (Liu </w:t>
      </w:r>
      <w:r w:rsidR="00587082" w:rsidRPr="000C4A55">
        <w:rPr>
          <w:rFonts w:ascii="Arial" w:hAnsi="Arial" w:cs="Arial"/>
          <w:i/>
          <w:iCs/>
          <w:sz w:val="24"/>
          <w:szCs w:val="24"/>
        </w:rPr>
        <w:t>et al.</w:t>
      </w:r>
      <w:r w:rsidRPr="000C4A55">
        <w:rPr>
          <w:rFonts w:ascii="Arial" w:hAnsi="Arial" w:cs="Arial"/>
          <w:sz w:val="24"/>
          <w:szCs w:val="24"/>
        </w:rPr>
        <w:t xml:space="preserve">, 2014; Liu </w:t>
      </w:r>
      <w:r w:rsidR="00587082" w:rsidRPr="000C4A55">
        <w:rPr>
          <w:rFonts w:ascii="Arial" w:hAnsi="Arial" w:cs="Arial"/>
          <w:i/>
          <w:iCs/>
          <w:sz w:val="24"/>
          <w:szCs w:val="24"/>
        </w:rPr>
        <w:t>et al.</w:t>
      </w:r>
      <w:r w:rsidRPr="000C4A55">
        <w:rPr>
          <w:rFonts w:ascii="Arial" w:hAnsi="Arial" w:cs="Arial"/>
          <w:sz w:val="24"/>
          <w:szCs w:val="24"/>
        </w:rPr>
        <w:t xml:space="preserve">, 2017). Tomato attracts protective Streptomyces via secretion of 3-hydroxyflavone and riboflavin under </w:t>
      </w:r>
      <w:proofErr w:type="spellStart"/>
      <w:r w:rsidRPr="000C4A55">
        <w:rPr>
          <w:rFonts w:ascii="Arial" w:hAnsi="Arial" w:cs="Arial"/>
          <w:i/>
          <w:iCs/>
          <w:sz w:val="24"/>
          <w:szCs w:val="24"/>
        </w:rPr>
        <w:t>Ralstonia</w:t>
      </w:r>
      <w:proofErr w:type="spellEnd"/>
      <w:r w:rsidRPr="000C4A55">
        <w:rPr>
          <w:rFonts w:ascii="Arial" w:hAnsi="Arial" w:cs="Arial"/>
          <w:i/>
          <w:iCs/>
          <w:sz w:val="24"/>
          <w:szCs w:val="24"/>
        </w:rPr>
        <w:t xml:space="preserve"> solanacearum</w:t>
      </w:r>
      <w:r w:rsidRPr="000C4A55">
        <w:rPr>
          <w:rFonts w:ascii="Arial" w:hAnsi="Arial" w:cs="Arial"/>
          <w:sz w:val="24"/>
          <w:szCs w:val="24"/>
        </w:rPr>
        <w:t xml:space="preserve"> challenge, itself regulated by the RIPENING-INHIBITOR gene (Yang </w:t>
      </w:r>
      <w:r w:rsidR="00587082" w:rsidRPr="000C4A55">
        <w:rPr>
          <w:rFonts w:ascii="Arial" w:hAnsi="Arial" w:cs="Arial"/>
          <w:i/>
          <w:iCs/>
          <w:sz w:val="24"/>
          <w:szCs w:val="24"/>
        </w:rPr>
        <w:t>et al.</w:t>
      </w:r>
      <w:r w:rsidRPr="000C4A55">
        <w:rPr>
          <w:rFonts w:ascii="Arial" w:hAnsi="Arial" w:cs="Arial"/>
          <w:sz w:val="24"/>
          <w:szCs w:val="24"/>
        </w:rPr>
        <w:t xml:space="preserve">, 2023). Recruitment signalling is not restricted to soluble root exudates; volatile organic compounds emitted by </w:t>
      </w:r>
      <w:proofErr w:type="spellStart"/>
      <w:r w:rsidRPr="000C4A55">
        <w:rPr>
          <w:rFonts w:ascii="Arial" w:hAnsi="Arial" w:cs="Arial"/>
          <w:i/>
          <w:iCs/>
          <w:sz w:val="24"/>
          <w:szCs w:val="24"/>
        </w:rPr>
        <w:t>Carex</w:t>
      </w:r>
      <w:proofErr w:type="spellEnd"/>
      <w:r w:rsidRPr="000C4A55">
        <w:rPr>
          <w:rFonts w:ascii="Arial" w:hAnsi="Arial" w:cs="Arial"/>
          <w:i/>
          <w:iCs/>
          <w:sz w:val="24"/>
          <w:szCs w:val="24"/>
        </w:rPr>
        <w:t xml:space="preserve"> arenaria</w:t>
      </w:r>
      <w:r w:rsidRPr="000C4A55">
        <w:rPr>
          <w:rFonts w:ascii="Arial" w:hAnsi="Arial" w:cs="Arial"/>
          <w:sz w:val="24"/>
          <w:szCs w:val="24"/>
        </w:rPr>
        <w:t xml:space="preserve"> roots recruit antifungal soil bacteria from a distance under </w:t>
      </w:r>
      <w:r w:rsidRPr="000C4A55">
        <w:rPr>
          <w:rFonts w:ascii="Arial" w:hAnsi="Arial" w:cs="Arial"/>
          <w:i/>
          <w:iCs/>
          <w:sz w:val="24"/>
          <w:szCs w:val="24"/>
        </w:rPr>
        <w:t xml:space="preserve">Fusarium </w:t>
      </w:r>
      <w:proofErr w:type="spellStart"/>
      <w:r w:rsidRPr="000C4A55">
        <w:rPr>
          <w:rFonts w:ascii="Arial" w:hAnsi="Arial" w:cs="Arial"/>
          <w:i/>
          <w:iCs/>
          <w:sz w:val="24"/>
          <w:szCs w:val="24"/>
        </w:rPr>
        <w:t>culmorum</w:t>
      </w:r>
      <w:proofErr w:type="spellEnd"/>
      <w:r w:rsidRPr="000C4A55">
        <w:rPr>
          <w:rFonts w:ascii="Arial" w:hAnsi="Arial" w:cs="Arial"/>
          <w:sz w:val="24"/>
          <w:szCs w:val="24"/>
        </w:rPr>
        <w:t xml:space="preserve"> challenge (Schulz-Bohm </w:t>
      </w:r>
      <w:r w:rsidR="00587082" w:rsidRPr="000C4A55">
        <w:rPr>
          <w:rFonts w:ascii="Arial" w:hAnsi="Arial" w:cs="Arial"/>
          <w:i/>
          <w:iCs/>
          <w:sz w:val="24"/>
          <w:szCs w:val="24"/>
        </w:rPr>
        <w:t>et al.</w:t>
      </w:r>
      <w:r w:rsidRPr="000C4A55">
        <w:rPr>
          <w:rFonts w:ascii="Arial" w:hAnsi="Arial" w:cs="Arial"/>
          <w:sz w:val="24"/>
          <w:szCs w:val="24"/>
        </w:rPr>
        <w:t>, 2018), and foliar pathogen attack (</w:t>
      </w:r>
      <w:r w:rsidRPr="000C4A55">
        <w:rPr>
          <w:rFonts w:ascii="Arial" w:hAnsi="Arial" w:cs="Arial"/>
          <w:i/>
          <w:iCs/>
          <w:sz w:val="24"/>
          <w:szCs w:val="24"/>
        </w:rPr>
        <w:t xml:space="preserve">Pseudomonas </w:t>
      </w:r>
      <w:proofErr w:type="spellStart"/>
      <w:r w:rsidRPr="000C4A55">
        <w:rPr>
          <w:rFonts w:ascii="Arial" w:hAnsi="Arial" w:cs="Arial"/>
          <w:i/>
          <w:iCs/>
          <w:sz w:val="24"/>
          <w:szCs w:val="24"/>
        </w:rPr>
        <w:t>syringae</w:t>
      </w:r>
      <w:proofErr w:type="spellEnd"/>
      <w:r w:rsidRPr="000C4A55">
        <w:rPr>
          <w:rFonts w:ascii="Arial" w:hAnsi="Arial" w:cs="Arial"/>
          <w:sz w:val="24"/>
          <w:szCs w:val="24"/>
        </w:rPr>
        <w:t xml:space="preserve"> </w:t>
      </w:r>
      <w:proofErr w:type="spellStart"/>
      <w:r w:rsidRPr="000C4A55">
        <w:rPr>
          <w:rFonts w:ascii="Arial" w:hAnsi="Arial" w:cs="Arial"/>
          <w:sz w:val="24"/>
          <w:szCs w:val="24"/>
        </w:rPr>
        <w:t>pv</w:t>
      </w:r>
      <w:proofErr w:type="spellEnd"/>
      <w:r w:rsidRPr="000C4A55">
        <w:rPr>
          <w:rFonts w:ascii="Arial" w:hAnsi="Arial" w:cs="Arial"/>
          <w:sz w:val="24"/>
          <w:szCs w:val="24"/>
        </w:rPr>
        <w:t>. tomato) can trigger root-level exudate changes</w:t>
      </w:r>
      <w:r w:rsidR="009D44D8" w:rsidRPr="000C4A55">
        <w:rPr>
          <w:rFonts w:ascii="Arial" w:hAnsi="Arial" w:cs="Arial"/>
          <w:sz w:val="24"/>
          <w:szCs w:val="24"/>
        </w:rPr>
        <w:t xml:space="preserve">, including </w:t>
      </w:r>
      <w:r w:rsidRPr="000C4A55">
        <w:rPr>
          <w:rFonts w:ascii="Arial" w:hAnsi="Arial" w:cs="Arial"/>
          <w:sz w:val="24"/>
          <w:szCs w:val="24"/>
        </w:rPr>
        <w:t>elevated malic acid</w:t>
      </w:r>
      <w:r w:rsidR="009D44D8" w:rsidRPr="000C4A55">
        <w:rPr>
          <w:rFonts w:ascii="Arial" w:hAnsi="Arial" w:cs="Arial"/>
          <w:sz w:val="24"/>
          <w:szCs w:val="24"/>
        </w:rPr>
        <w:t>,</w:t>
      </w:r>
      <w:r w:rsidRPr="000C4A55">
        <w:rPr>
          <w:rFonts w:ascii="Arial" w:hAnsi="Arial" w:cs="Arial"/>
          <w:sz w:val="24"/>
          <w:szCs w:val="24"/>
        </w:rPr>
        <w:t xml:space="preserve"> that recruit the protective rhizobacterium </w:t>
      </w:r>
      <w:r w:rsidRPr="000C4A55">
        <w:rPr>
          <w:rFonts w:ascii="Arial" w:hAnsi="Arial" w:cs="Arial"/>
          <w:i/>
          <w:iCs/>
          <w:sz w:val="24"/>
          <w:szCs w:val="24"/>
        </w:rPr>
        <w:t>Bacillus subtilis</w:t>
      </w:r>
      <w:r w:rsidRPr="000C4A55">
        <w:rPr>
          <w:rFonts w:ascii="Arial" w:hAnsi="Arial" w:cs="Arial"/>
          <w:sz w:val="24"/>
          <w:szCs w:val="24"/>
        </w:rPr>
        <w:t xml:space="preserve"> FB17, demonstrating that recruitment signalling can operate across, and not merely within, plant compartments (</w:t>
      </w:r>
      <w:proofErr w:type="spellStart"/>
      <w:r w:rsidRPr="000C4A55">
        <w:rPr>
          <w:rFonts w:ascii="Arial" w:hAnsi="Arial" w:cs="Arial"/>
          <w:sz w:val="24"/>
          <w:szCs w:val="24"/>
        </w:rPr>
        <w:t>Rudrappa</w:t>
      </w:r>
      <w:proofErr w:type="spellEnd"/>
      <w:r w:rsidRPr="000C4A55">
        <w:rPr>
          <w:rFonts w:ascii="Arial" w:hAnsi="Arial" w:cs="Arial"/>
          <w:sz w:val="24"/>
          <w:szCs w:val="24"/>
        </w:rPr>
        <w:t xml:space="preserve"> </w:t>
      </w:r>
      <w:r w:rsidR="00587082" w:rsidRPr="000C4A55">
        <w:rPr>
          <w:rFonts w:ascii="Arial" w:hAnsi="Arial" w:cs="Arial"/>
          <w:i/>
          <w:iCs/>
          <w:sz w:val="24"/>
          <w:szCs w:val="24"/>
        </w:rPr>
        <w:t>et al.</w:t>
      </w:r>
      <w:r w:rsidRPr="000C4A55">
        <w:rPr>
          <w:rFonts w:ascii="Arial" w:hAnsi="Arial" w:cs="Arial"/>
          <w:sz w:val="24"/>
          <w:szCs w:val="24"/>
        </w:rPr>
        <w:t>, 2008).</w:t>
      </w:r>
    </w:p>
    <w:p w14:paraId="31C2556D" w14:textId="0A953888" w:rsidR="009D44D8" w:rsidRPr="000C4A55" w:rsidRDefault="00C5051B" w:rsidP="00F624D5">
      <w:pPr>
        <w:spacing w:after="200" w:line="276" w:lineRule="auto"/>
        <w:jc w:val="both"/>
        <w:rPr>
          <w:rFonts w:ascii="Arial" w:hAnsi="Arial" w:cs="Arial"/>
          <w:sz w:val="24"/>
          <w:szCs w:val="24"/>
        </w:rPr>
      </w:pPr>
      <w:r w:rsidRPr="000C4A55">
        <w:rPr>
          <w:rFonts w:ascii="Arial" w:hAnsi="Arial" w:cs="Arial"/>
          <w:sz w:val="24"/>
          <w:szCs w:val="24"/>
        </w:rPr>
        <w:t>This triangular framing also clarifies why the same microbial community can appear protective in one context and permissive in another</w:t>
      </w:r>
      <w:r w:rsidR="003C0A9A" w:rsidRPr="000C4A55">
        <w:rPr>
          <w:rFonts w:ascii="Arial" w:hAnsi="Arial" w:cs="Arial"/>
          <w:sz w:val="24"/>
          <w:szCs w:val="24"/>
        </w:rPr>
        <w:t xml:space="preserve">. </w:t>
      </w:r>
      <w:r w:rsidRPr="000C4A55">
        <w:rPr>
          <w:rFonts w:ascii="Arial" w:hAnsi="Arial" w:cs="Arial"/>
          <w:sz w:val="24"/>
          <w:szCs w:val="24"/>
        </w:rPr>
        <w:t xml:space="preserve">Outcome depends on the specific combination of host genotype, resident community composition and pathogen identity, not on any fixed property of a single microbial taxon. Comparative work across multiple Arabidopsis accessions and </w:t>
      </w:r>
      <w:proofErr w:type="spellStart"/>
      <w:r w:rsidRPr="000C4A55">
        <w:rPr>
          <w:rFonts w:ascii="Arial" w:hAnsi="Arial" w:cs="Arial"/>
          <w:sz w:val="24"/>
          <w:szCs w:val="24"/>
        </w:rPr>
        <w:t>Hyaloperonospora</w:t>
      </w:r>
      <w:proofErr w:type="spellEnd"/>
      <w:r w:rsidRPr="000C4A55">
        <w:rPr>
          <w:rFonts w:ascii="Arial" w:hAnsi="Arial" w:cs="Arial"/>
          <w:sz w:val="24"/>
          <w:szCs w:val="24"/>
        </w:rPr>
        <w:t xml:space="preserve"> </w:t>
      </w:r>
      <w:proofErr w:type="spellStart"/>
      <w:r w:rsidRPr="000C4A55">
        <w:rPr>
          <w:rFonts w:ascii="Arial" w:hAnsi="Arial" w:cs="Arial"/>
          <w:sz w:val="24"/>
          <w:szCs w:val="24"/>
        </w:rPr>
        <w:t>arabidopsidis</w:t>
      </w:r>
      <w:proofErr w:type="spellEnd"/>
      <w:r w:rsidRPr="000C4A55">
        <w:rPr>
          <w:rFonts w:ascii="Arial" w:hAnsi="Arial" w:cs="Arial"/>
          <w:sz w:val="24"/>
          <w:szCs w:val="24"/>
        </w:rPr>
        <w:t xml:space="preserve"> lineages found that genetically distinct hosts, when challenged by different pathogen lineages, converged on recruiting a similar protective microbiota, suggesting some generality to recruitment responses across host genotypes even though the precise recruitment mechanism remains incompletely understood (Goossens </w:t>
      </w:r>
      <w:r w:rsidR="00587082" w:rsidRPr="000C4A55">
        <w:rPr>
          <w:rFonts w:ascii="Arial" w:hAnsi="Arial" w:cs="Arial"/>
          <w:i/>
          <w:iCs/>
          <w:sz w:val="24"/>
          <w:szCs w:val="24"/>
        </w:rPr>
        <w:t>et al.</w:t>
      </w:r>
      <w:r w:rsidRPr="000C4A55">
        <w:rPr>
          <w:rFonts w:ascii="Arial" w:hAnsi="Arial" w:cs="Arial"/>
          <w:sz w:val="24"/>
          <w:szCs w:val="24"/>
        </w:rPr>
        <w:t xml:space="preserve">, 2023). Where such </w:t>
      </w:r>
      <w:r w:rsidRPr="000C4A55">
        <w:rPr>
          <w:rFonts w:ascii="Arial" w:hAnsi="Arial" w:cs="Arial"/>
          <w:sz w:val="24"/>
          <w:szCs w:val="24"/>
        </w:rPr>
        <w:lastRenderedPageBreak/>
        <w:t xml:space="preserve">context-dependency is documented, we treat it as an open mechanistic question rather than assuming a universal recruitment programme applicable across all </w:t>
      </w:r>
      <w:r w:rsidR="00900458" w:rsidRPr="000C4A55">
        <w:rPr>
          <w:rFonts w:ascii="Arial" w:hAnsi="Arial" w:cs="Arial"/>
          <w:sz w:val="24"/>
          <w:szCs w:val="24"/>
        </w:rPr>
        <w:t>crop-</w:t>
      </w:r>
      <w:r w:rsidRPr="000C4A55">
        <w:rPr>
          <w:rFonts w:ascii="Arial" w:hAnsi="Arial" w:cs="Arial"/>
          <w:sz w:val="24"/>
          <w:szCs w:val="24"/>
        </w:rPr>
        <w:t>pathogen systems.</w:t>
      </w:r>
    </w:p>
    <w:p w14:paraId="36FC7E9D" w14:textId="17616A65" w:rsidR="00CB5328" w:rsidRPr="000C4A55" w:rsidRDefault="00CB5328" w:rsidP="00CB5328">
      <w:pPr>
        <w:spacing w:after="200" w:line="276" w:lineRule="auto"/>
        <w:jc w:val="both"/>
        <w:rPr>
          <w:rFonts w:ascii="Arial" w:hAnsi="Arial" w:cs="Arial"/>
          <w:sz w:val="24"/>
          <w:szCs w:val="24"/>
        </w:rPr>
      </w:pPr>
      <w:r w:rsidRPr="000C4A55">
        <w:rPr>
          <w:rFonts w:ascii="Arial" w:hAnsi="Arial" w:cs="Arial"/>
          <w:sz w:val="24"/>
          <w:szCs w:val="24"/>
        </w:rPr>
        <w:tab/>
        <w:t xml:space="preserve">Feedback loops complete the triangular picture. Microbiome-mediated protection in one plant generation can leave a soil-borne legacy that benefits subsequent plantings on the same soil, a phenomenon most clearly demonstrated through experimentally trained disease-conducive soils that converted to disease-suppressive status after repeated pathogen challenge across several plant generations, and through specific plant-soil feedbacks such as maize root exudation of MBOA, which both defends the current plant and primes defence responses that persist to benefit subsequent plantings (Bakker </w:t>
      </w:r>
      <w:r w:rsidR="00587082" w:rsidRPr="000C4A55">
        <w:rPr>
          <w:rFonts w:ascii="Arial" w:hAnsi="Arial" w:cs="Arial"/>
          <w:i/>
          <w:iCs/>
          <w:sz w:val="24"/>
          <w:szCs w:val="24"/>
        </w:rPr>
        <w:t>et al.</w:t>
      </w:r>
      <w:r w:rsidRPr="000C4A55">
        <w:rPr>
          <w:rFonts w:ascii="Arial" w:hAnsi="Arial" w:cs="Arial"/>
          <w:sz w:val="24"/>
          <w:szCs w:val="24"/>
        </w:rPr>
        <w:t xml:space="preserve">, 2018; Hu </w:t>
      </w:r>
      <w:r w:rsidR="00587082" w:rsidRPr="000C4A55">
        <w:rPr>
          <w:rFonts w:ascii="Arial" w:hAnsi="Arial" w:cs="Arial"/>
          <w:i/>
          <w:iCs/>
          <w:sz w:val="24"/>
          <w:szCs w:val="24"/>
        </w:rPr>
        <w:t>et al.</w:t>
      </w:r>
      <w:r w:rsidRPr="000C4A55">
        <w:rPr>
          <w:rFonts w:ascii="Arial" w:hAnsi="Arial" w:cs="Arial"/>
          <w:sz w:val="24"/>
          <w:szCs w:val="24"/>
        </w:rPr>
        <w:t>, 2018). These transgenerational effects indicate that the plant-microbiome-pathogen triangle should be modelled dynamically, across cropping cycles, rather than as a single-season interaction, a point directly relevant to agronomic strategies such as crop rotation and long-term soil management discussed in Section 8.</w:t>
      </w:r>
    </w:p>
    <w:p w14:paraId="12E668DB" w14:textId="71FD2608" w:rsidR="002E1E2D" w:rsidRPr="000C4A55" w:rsidRDefault="00AF3CD7" w:rsidP="00CB5328">
      <w:pPr>
        <w:spacing w:after="200" w:line="276" w:lineRule="auto"/>
        <w:jc w:val="both"/>
        <w:rPr>
          <w:rFonts w:ascii="Arial" w:hAnsi="Arial" w:cs="Arial"/>
          <w:b/>
          <w:bCs/>
          <w:sz w:val="24"/>
          <w:szCs w:val="24"/>
        </w:rPr>
      </w:pPr>
      <w:r w:rsidRPr="000C4A55">
        <w:rPr>
          <w:rFonts w:ascii="Arial" w:hAnsi="Arial" w:cs="Arial"/>
          <w:b/>
          <w:bCs/>
          <w:sz w:val="24"/>
          <w:szCs w:val="24"/>
        </w:rPr>
        <w:t>6. HOW PATHOGENS SHAPE THE PLANT MICROBIOME</w:t>
      </w:r>
    </w:p>
    <w:p w14:paraId="68E023A1" w14:textId="1AB372A3" w:rsidR="00481E26" w:rsidRPr="000C4A55" w:rsidRDefault="00104C60" w:rsidP="00481E26">
      <w:pPr>
        <w:spacing w:after="200" w:line="276" w:lineRule="auto"/>
        <w:jc w:val="both"/>
        <w:rPr>
          <w:rFonts w:ascii="Arial" w:hAnsi="Arial" w:cs="Arial"/>
          <w:sz w:val="24"/>
          <w:szCs w:val="24"/>
        </w:rPr>
      </w:pPr>
      <w:r w:rsidRPr="000C4A55">
        <w:rPr>
          <w:rFonts w:ascii="Arial" w:hAnsi="Arial" w:cs="Arial"/>
          <w:sz w:val="24"/>
          <w:szCs w:val="24"/>
        </w:rPr>
        <w:tab/>
      </w:r>
      <w:r w:rsidR="00481E26" w:rsidRPr="000C4A55">
        <w:rPr>
          <w:rFonts w:ascii="Arial" w:hAnsi="Arial" w:cs="Arial"/>
          <w:sz w:val="24"/>
          <w:szCs w:val="24"/>
        </w:rPr>
        <w:t>The last section talked about how plants actively recruit helpful microbes. Now let's look at the flip side: how the pathogen itself changes the microbial community. These are two different processes, even though they often happen at the same time in real experiments.</w:t>
      </w:r>
      <w:r w:rsidR="00917931" w:rsidRPr="000C4A55">
        <w:rPr>
          <w:rFonts w:ascii="Arial" w:hAnsi="Arial" w:cs="Arial"/>
          <w:sz w:val="24"/>
          <w:szCs w:val="24"/>
        </w:rPr>
        <w:t xml:space="preserve"> </w:t>
      </w:r>
      <w:r w:rsidR="00481E26" w:rsidRPr="000C4A55">
        <w:rPr>
          <w:rFonts w:ascii="Arial" w:hAnsi="Arial" w:cs="Arial"/>
          <w:sz w:val="24"/>
          <w:szCs w:val="24"/>
        </w:rPr>
        <w:t>When a pathogen attacks a plant, it changes several things</w:t>
      </w:r>
      <w:r w:rsidR="00810452" w:rsidRPr="000C4A55">
        <w:rPr>
          <w:rFonts w:ascii="Arial" w:hAnsi="Arial" w:cs="Arial"/>
          <w:sz w:val="24"/>
          <w:szCs w:val="24"/>
        </w:rPr>
        <w:t>,</w:t>
      </w:r>
      <w:r w:rsidR="00481E26" w:rsidRPr="000C4A55">
        <w:rPr>
          <w:rFonts w:ascii="Arial" w:hAnsi="Arial" w:cs="Arial"/>
          <w:sz w:val="24"/>
          <w:szCs w:val="24"/>
        </w:rPr>
        <w:t xml:space="preserve"> the chemicals the roots release, the nutrients available at the infection site, and it triggers the plant's immune signals. These immune signals then produce their own effects</w:t>
      </w:r>
      <w:r w:rsidR="00810452" w:rsidRPr="000C4A55">
        <w:rPr>
          <w:rFonts w:ascii="Arial" w:hAnsi="Arial" w:cs="Arial"/>
          <w:sz w:val="24"/>
          <w:szCs w:val="24"/>
        </w:rPr>
        <w:t>,</w:t>
      </w:r>
      <w:r w:rsidR="00481E26" w:rsidRPr="000C4A55">
        <w:rPr>
          <w:rFonts w:ascii="Arial" w:hAnsi="Arial" w:cs="Arial"/>
          <w:sz w:val="24"/>
          <w:szCs w:val="24"/>
        </w:rPr>
        <w:t xml:space="preserve"> like antimicrobial chemicals and defence enzymes</w:t>
      </w:r>
      <w:r w:rsidR="007743B3" w:rsidRPr="000C4A55">
        <w:rPr>
          <w:rFonts w:ascii="Arial" w:hAnsi="Arial" w:cs="Arial"/>
          <w:sz w:val="24"/>
          <w:szCs w:val="24"/>
        </w:rPr>
        <w:t>,</w:t>
      </w:r>
      <w:r w:rsidR="00481E26" w:rsidRPr="000C4A55">
        <w:rPr>
          <w:rFonts w:ascii="Arial" w:hAnsi="Arial" w:cs="Arial"/>
          <w:sz w:val="24"/>
          <w:szCs w:val="24"/>
        </w:rPr>
        <w:t xml:space="preserve"> which further reshape the microbes living nearby.</w:t>
      </w:r>
      <w:r w:rsidR="007743B3" w:rsidRPr="000C4A55">
        <w:rPr>
          <w:rFonts w:ascii="Arial" w:hAnsi="Arial" w:cs="Arial"/>
          <w:sz w:val="24"/>
          <w:szCs w:val="24"/>
        </w:rPr>
        <w:t xml:space="preserve"> </w:t>
      </w:r>
      <w:r w:rsidR="00481E26" w:rsidRPr="000C4A55">
        <w:rPr>
          <w:rFonts w:ascii="Arial" w:hAnsi="Arial" w:cs="Arial"/>
          <w:sz w:val="24"/>
          <w:szCs w:val="24"/>
        </w:rPr>
        <w:t>There's strong evidence for this in disease-suppressive soils. When a pathogen attacks, it switches on stress-related genes in the helpful bacteria that live around the plant. In one well-studied example</w:t>
      </w:r>
      <w:r w:rsidR="00041D22" w:rsidRPr="000C4A55">
        <w:rPr>
          <w:rFonts w:ascii="Arial" w:hAnsi="Arial" w:cs="Arial"/>
          <w:sz w:val="24"/>
          <w:szCs w:val="24"/>
        </w:rPr>
        <w:t>,</w:t>
      </w:r>
      <w:r w:rsidR="00481E26" w:rsidRPr="000C4A55">
        <w:rPr>
          <w:rFonts w:ascii="Arial" w:hAnsi="Arial" w:cs="Arial"/>
          <w:sz w:val="24"/>
          <w:szCs w:val="24"/>
        </w:rPr>
        <w:t xml:space="preserve"> sugar beet plants attacked by the fungus </w:t>
      </w:r>
      <w:r w:rsidR="00481E26" w:rsidRPr="000C4A55">
        <w:rPr>
          <w:rFonts w:ascii="Arial" w:hAnsi="Arial" w:cs="Arial"/>
          <w:i/>
          <w:iCs/>
          <w:sz w:val="24"/>
          <w:szCs w:val="24"/>
        </w:rPr>
        <w:t xml:space="preserve">Rhizoctonia </w:t>
      </w:r>
      <w:proofErr w:type="spellStart"/>
      <w:r w:rsidR="00481E26" w:rsidRPr="000C4A55">
        <w:rPr>
          <w:rFonts w:ascii="Arial" w:hAnsi="Arial" w:cs="Arial"/>
          <w:i/>
          <w:iCs/>
          <w:sz w:val="24"/>
          <w:szCs w:val="24"/>
        </w:rPr>
        <w:t>solani</w:t>
      </w:r>
      <w:proofErr w:type="spellEnd"/>
      <w:r w:rsidR="00810452" w:rsidRPr="000C4A55">
        <w:rPr>
          <w:rFonts w:ascii="Arial" w:hAnsi="Arial" w:cs="Arial"/>
          <w:sz w:val="24"/>
          <w:szCs w:val="24"/>
        </w:rPr>
        <w:t xml:space="preserve">, </w:t>
      </w:r>
      <w:r w:rsidR="00481E26" w:rsidRPr="000C4A55">
        <w:rPr>
          <w:rFonts w:ascii="Arial" w:hAnsi="Arial" w:cs="Arial"/>
          <w:sz w:val="24"/>
          <w:szCs w:val="24"/>
        </w:rPr>
        <w:t>the pathogen caused two particular bacterial groups (</w:t>
      </w:r>
      <w:proofErr w:type="spellStart"/>
      <w:r w:rsidR="00481E26" w:rsidRPr="000C4A55">
        <w:rPr>
          <w:rFonts w:ascii="Arial" w:hAnsi="Arial" w:cs="Arial"/>
          <w:sz w:val="24"/>
          <w:szCs w:val="24"/>
        </w:rPr>
        <w:t>Chitinophagaceae</w:t>
      </w:r>
      <w:proofErr w:type="spellEnd"/>
      <w:r w:rsidR="00481E26" w:rsidRPr="000C4A55">
        <w:rPr>
          <w:rFonts w:ascii="Arial" w:hAnsi="Arial" w:cs="Arial"/>
          <w:sz w:val="24"/>
          <w:szCs w:val="24"/>
        </w:rPr>
        <w:t xml:space="preserve"> and </w:t>
      </w:r>
      <w:proofErr w:type="spellStart"/>
      <w:r w:rsidR="00481E26" w:rsidRPr="000C4A55">
        <w:rPr>
          <w:rFonts w:ascii="Arial" w:hAnsi="Arial" w:cs="Arial"/>
          <w:sz w:val="24"/>
          <w:szCs w:val="24"/>
        </w:rPr>
        <w:t>Flavobacteriaceae</w:t>
      </w:r>
      <w:proofErr w:type="spellEnd"/>
      <w:r w:rsidR="00481E26" w:rsidRPr="000C4A55">
        <w:rPr>
          <w:rFonts w:ascii="Arial" w:hAnsi="Arial" w:cs="Arial"/>
          <w:sz w:val="24"/>
          <w:szCs w:val="24"/>
        </w:rPr>
        <w:t xml:space="preserve">) to become more common inside the root. At the same time, these bacteria switched on genes for making chitinase enzymes and other antimicrobial compounds (Chapelle </w:t>
      </w:r>
      <w:r w:rsidR="00587082" w:rsidRPr="000C4A55">
        <w:rPr>
          <w:rFonts w:ascii="Arial" w:hAnsi="Arial" w:cs="Arial"/>
          <w:i/>
          <w:iCs/>
          <w:sz w:val="24"/>
          <w:szCs w:val="24"/>
        </w:rPr>
        <w:t>et al.</w:t>
      </w:r>
      <w:r w:rsidR="00481E26" w:rsidRPr="000C4A55">
        <w:rPr>
          <w:rFonts w:ascii="Arial" w:hAnsi="Arial" w:cs="Arial"/>
          <w:sz w:val="24"/>
          <w:szCs w:val="24"/>
        </w:rPr>
        <w:t xml:space="preserve">, 2016; Carrion </w:t>
      </w:r>
      <w:r w:rsidR="00587082" w:rsidRPr="000C4A55">
        <w:rPr>
          <w:rFonts w:ascii="Arial" w:hAnsi="Arial" w:cs="Arial"/>
          <w:i/>
          <w:iCs/>
          <w:sz w:val="24"/>
          <w:szCs w:val="24"/>
        </w:rPr>
        <w:t>et al.</w:t>
      </w:r>
      <w:r w:rsidR="00481E26" w:rsidRPr="000C4A55">
        <w:rPr>
          <w:rFonts w:ascii="Arial" w:hAnsi="Arial" w:cs="Arial"/>
          <w:sz w:val="24"/>
          <w:szCs w:val="24"/>
        </w:rPr>
        <w:t>, 2019).</w:t>
      </w:r>
      <w:r w:rsidR="00041D22" w:rsidRPr="000C4A55">
        <w:rPr>
          <w:rFonts w:ascii="Arial" w:hAnsi="Arial" w:cs="Arial"/>
          <w:sz w:val="24"/>
          <w:szCs w:val="24"/>
        </w:rPr>
        <w:t xml:space="preserve"> </w:t>
      </w:r>
      <w:r w:rsidR="00481E26" w:rsidRPr="000C4A55">
        <w:rPr>
          <w:rFonts w:ascii="Arial" w:hAnsi="Arial" w:cs="Arial"/>
          <w:sz w:val="24"/>
          <w:szCs w:val="24"/>
        </w:rPr>
        <w:t xml:space="preserve">This is one of the clearest examples we have where scientists didn't just see a </w:t>
      </w:r>
      <w:proofErr w:type="gramStart"/>
      <w:r w:rsidR="00481E26" w:rsidRPr="000C4A55">
        <w:rPr>
          <w:rFonts w:ascii="Arial" w:hAnsi="Arial" w:cs="Arial"/>
          <w:sz w:val="24"/>
          <w:szCs w:val="24"/>
        </w:rPr>
        <w:t>correlation</w:t>
      </w:r>
      <w:proofErr w:type="gramEnd"/>
      <w:r w:rsidR="00810452" w:rsidRPr="000C4A55">
        <w:rPr>
          <w:rFonts w:ascii="Arial" w:hAnsi="Arial" w:cs="Arial"/>
          <w:sz w:val="24"/>
          <w:szCs w:val="24"/>
        </w:rPr>
        <w:t xml:space="preserve"> </w:t>
      </w:r>
      <w:r w:rsidR="00481E26" w:rsidRPr="000C4A55">
        <w:rPr>
          <w:rFonts w:ascii="Arial" w:hAnsi="Arial" w:cs="Arial"/>
          <w:sz w:val="24"/>
          <w:szCs w:val="24"/>
        </w:rPr>
        <w:t>they actually showed the pathogen turning on a protective response in the plant's resident microbes, backed up by evidence of genes being switched on.</w:t>
      </w:r>
    </w:p>
    <w:p w14:paraId="04C02350" w14:textId="7DA5B51C" w:rsidR="00B6389F" w:rsidRPr="000C4A55" w:rsidRDefault="00CA620F" w:rsidP="00B6389F">
      <w:pPr>
        <w:spacing w:after="200" w:line="276" w:lineRule="auto"/>
        <w:jc w:val="both"/>
        <w:rPr>
          <w:rFonts w:ascii="Arial" w:hAnsi="Arial" w:cs="Arial"/>
          <w:sz w:val="24"/>
          <w:szCs w:val="24"/>
        </w:rPr>
      </w:pPr>
      <w:r w:rsidRPr="000C4A55">
        <w:rPr>
          <w:rFonts w:ascii="Arial" w:hAnsi="Arial" w:cs="Arial"/>
          <w:sz w:val="24"/>
          <w:szCs w:val="24"/>
        </w:rPr>
        <w:tab/>
        <w:t xml:space="preserve">A critical question, raised explicitly in this review's framework, is whether such pathogen-associated microbiome shifts represent cause, consequence, or feedback. The evidence is mixed and system-dependent. In some cases, the shift is clearly a plant-driven, adaptive response (the </w:t>
      </w:r>
      <w:r w:rsidR="00513ABF" w:rsidRPr="000C4A55">
        <w:rPr>
          <w:rFonts w:ascii="Arial" w:hAnsi="Arial" w:cs="Arial"/>
          <w:sz w:val="24"/>
          <w:szCs w:val="24"/>
        </w:rPr>
        <w:t>“</w:t>
      </w:r>
      <w:r w:rsidRPr="000C4A55">
        <w:rPr>
          <w:rFonts w:ascii="Arial" w:hAnsi="Arial" w:cs="Arial"/>
          <w:sz w:val="24"/>
          <w:szCs w:val="24"/>
        </w:rPr>
        <w:t>cry for help</w:t>
      </w:r>
      <w:r w:rsidR="00513ABF" w:rsidRPr="000C4A55">
        <w:rPr>
          <w:rFonts w:ascii="Arial" w:hAnsi="Arial" w:cs="Arial"/>
          <w:sz w:val="24"/>
          <w:szCs w:val="24"/>
        </w:rPr>
        <w:t>”</w:t>
      </w:r>
      <w:r w:rsidRPr="000C4A55">
        <w:rPr>
          <w:rFonts w:ascii="Arial" w:hAnsi="Arial" w:cs="Arial"/>
          <w:sz w:val="24"/>
          <w:szCs w:val="24"/>
        </w:rPr>
        <w:t xml:space="preserve"> recruitment described in Section 5), best interpreted as consequence-turned-protective-feedback. In others, the pathogen itself is the primary driver, actively manipulating the microbiome to its own advantage</w:t>
      </w:r>
      <w:r w:rsidR="00310193" w:rsidRPr="000C4A55">
        <w:rPr>
          <w:rFonts w:ascii="Arial" w:hAnsi="Arial" w:cs="Arial"/>
          <w:sz w:val="24"/>
          <w:szCs w:val="24"/>
        </w:rPr>
        <w:t>,</w:t>
      </w:r>
      <w:r w:rsidRPr="000C4A55">
        <w:rPr>
          <w:rFonts w:ascii="Arial" w:hAnsi="Arial" w:cs="Arial"/>
          <w:sz w:val="24"/>
          <w:szCs w:val="24"/>
        </w:rPr>
        <w:t xml:space="preserve"> for example, through secretion of antimicrobial effectors that suppress competing microbiota</w:t>
      </w:r>
      <w:r w:rsidR="00AD6181" w:rsidRPr="000C4A55">
        <w:rPr>
          <w:rFonts w:ascii="Arial" w:hAnsi="Arial" w:cs="Arial"/>
          <w:sz w:val="24"/>
          <w:szCs w:val="24"/>
        </w:rPr>
        <w:t xml:space="preserve">. </w:t>
      </w:r>
      <w:r w:rsidRPr="000C4A55">
        <w:rPr>
          <w:rFonts w:ascii="Arial" w:hAnsi="Arial" w:cs="Arial"/>
          <w:sz w:val="24"/>
          <w:szCs w:val="24"/>
        </w:rPr>
        <w:t>Distinguishing these possibilities experimentally requires manipulative designs</w:t>
      </w:r>
      <w:r w:rsidR="00310193" w:rsidRPr="000C4A55">
        <w:rPr>
          <w:rFonts w:ascii="Arial" w:hAnsi="Arial" w:cs="Arial"/>
          <w:sz w:val="24"/>
          <w:szCs w:val="24"/>
        </w:rPr>
        <w:t>,</w:t>
      </w:r>
      <w:r w:rsidRPr="000C4A55">
        <w:rPr>
          <w:rFonts w:ascii="Arial" w:hAnsi="Arial" w:cs="Arial"/>
          <w:sz w:val="24"/>
          <w:szCs w:val="24"/>
        </w:rPr>
        <w:t xml:space="preserve"> pathogen challenge with and without specific microbial community members present, gnotobiotic or synthetic-community systems, and time-resolved sampling that captures the sequence of exudate change, microbial recruitment and defence gene induction rather than single time-point correlational sampling of diseased versus healthy tissue, which cannot by itself resolve temporal or causal ordering.</w:t>
      </w:r>
      <w:r w:rsidR="00B6389F" w:rsidRPr="000C4A55">
        <w:rPr>
          <w:rFonts w:ascii="Arial" w:hAnsi="Arial" w:cs="Arial"/>
          <w:sz w:val="24"/>
          <w:szCs w:val="24"/>
        </w:rPr>
        <w:t xml:space="preserve"> Where pathogen pressure is severe or repeated, restructuring can tip from adaptive into pathological. Repeated or intense pathogen challenge can deplete protective microbiota to the point of triggering broader dysbiosis, in which the loss of competitively dominant beneficial taxa opens ecological space for secondary opportunists, compounding rather than containing disease (Trivedi </w:t>
      </w:r>
      <w:r w:rsidR="00587082" w:rsidRPr="000C4A55">
        <w:rPr>
          <w:rFonts w:ascii="Arial" w:hAnsi="Arial" w:cs="Arial"/>
          <w:i/>
          <w:iCs/>
          <w:sz w:val="24"/>
          <w:szCs w:val="24"/>
        </w:rPr>
        <w:t>et al.</w:t>
      </w:r>
      <w:r w:rsidR="00B6389F" w:rsidRPr="000C4A55">
        <w:rPr>
          <w:rFonts w:ascii="Arial" w:hAnsi="Arial" w:cs="Arial"/>
          <w:sz w:val="24"/>
          <w:szCs w:val="24"/>
        </w:rPr>
        <w:t>, 2020). This establishes an important asymmetry</w:t>
      </w:r>
      <w:r w:rsidR="00C96B07" w:rsidRPr="000C4A55">
        <w:rPr>
          <w:rFonts w:ascii="Arial" w:hAnsi="Arial" w:cs="Arial"/>
          <w:sz w:val="24"/>
          <w:szCs w:val="24"/>
        </w:rPr>
        <w:t>:</w:t>
      </w:r>
      <w:r w:rsidR="00B6389F" w:rsidRPr="000C4A55">
        <w:rPr>
          <w:rFonts w:ascii="Arial" w:hAnsi="Arial" w:cs="Arial"/>
          <w:sz w:val="24"/>
          <w:szCs w:val="24"/>
        </w:rPr>
        <w:t xml:space="preserve"> the same </w:t>
      </w:r>
      <w:r w:rsidR="00B6389F" w:rsidRPr="000C4A55">
        <w:rPr>
          <w:rFonts w:ascii="Arial" w:hAnsi="Arial" w:cs="Arial"/>
          <w:sz w:val="24"/>
          <w:szCs w:val="24"/>
        </w:rPr>
        <w:lastRenderedPageBreak/>
        <w:t>underlying process pathogen-driven alteration of the resident microbiome can manifest as adaptive, protective restructuring under moderate challenge and as destabilising dysbiosis under severe or chronic challenge, and the direction of this outcome appears to depend on community resilience (functional redundancy, diversity, prior conditioning) more than on pathogen identity alone. This dual potential is directly relevant to microbiome reprogramming strategy: an intervention that increases community diversity and redundancy without addressing the underlying stress driving pathogen pressure may still fail to prevent dysbiosis under sufficiently severe challenge, a caveat that is frequently underweighted in more optimistic accounts of microbiome engineering.</w:t>
      </w:r>
    </w:p>
    <w:p w14:paraId="0A270BD3" w14:textId="0F60F4B6" w:rsidR="003C7B5F" w:rsidRPr="000C4A55" w:rsidRDefault="00AF3CD7" w:rsidP="003C7B5F">
      <w:pPr>
        <w:spacing w:after="200" w:line="276" w:lineRule="auto"/>
        <w:jc w:val="both"/>
        <w:rPr>
          <w:rFonts w:ascii="Arial" w:hAnsi="Arial" w:cs="Arial"/>
          <w:b/>
          <w:bCs/>
          <w:sz w:val="24"/>
          <w:szCs w:val="24"/>
        </w:rPr>
      </w:pPr>
      <w:r w:rsidRPr="000C4A55">
        <w:rPr>
          <w:rFonts w:ascii="Arial" w:hAnsi="Arial" w:cs="Arial"/>
          <w:b/>
          <w:bCs/>
          <w:sz w:val="24"/>
          <w:szCs w:val="24"/>
        </w:rPr>
        <w:t>7.  MICROBIOME REPROGRAMMING: FROM CONCEPT TO STRATEGY</w:t>
      </w:r>
    </w:p>
    <w:p w14:paraId="683FCFA0" w14:textId="617698F2" w:rsidR="004F0D91" w:rsidRPr="000C4A55" w:rsidRDefault="004F0D91" w:rsidP="004F0D91">
      <w:pPr>
        <w:spacing w:after="200" w:line="276" w:lineRule="auto"/>
        <w:jc w:val="both"/>
        <w:rPr>
          <w:rFonts w:ascii="Arial" w:hAnsi="Arial" w:cs="Arial"/>
          <w:sz w:val="24"/>
          <w:szCs w:val="24"/>
        </w:rPr>
      </w:pPr>
      <w:r w:rsidRPr="000C4A55">
        <w:rPr>
          <w:rFonts w:ascii="Arial" w:hAnsi="Arial" w:cs="Arial"/>
          <w:sz w:val="24"/>
          <w:szCs w:val="24"/>
        </w:rPr>
        <w:tab/>
        <w:t>The term “microbiome reprogramming” is used loosely across the literature, often as a synonym for any intervention involving microorganisms. We define it more precisely here and distinguish it explicitly from simple microbial inoculation. Microbial inoculation refers to the introduction of one or a small number of characterised strains into a plant system, without any attempt to alter the composition, structure or function of the resident community as a whole; its logic, and its limitations, are those of classical single-strain biocontrol described in Section 1. Microbiome manipulation is a broader category encompassing any deliberate action that shifts community composition or activity, including organic amendment, crop rotation, cover cropping and bio stimulant application, but does not necessarily require detailed knowledge of the target community's structure or the mechanism by which the shift occurs. Microbiome reprogramming, as used in this review, denotes something more specific: a deliberate, mechanistically informed intervention aimed at reconstructing or redirecting the functional structure of a microbial community its keystone taxa, its functional guilds, its network architecture toward a defined, durable protective state, generally guided by prior characterisation of what that protective state looks like (for example, via comparison with a known disease-suppressive reference community). Under this definition, synthetic microbial community (</w:t>
      </w:r>
      <w:proofErr w:type="spellStart"/>
      <w:r w:rsidRPr="000C4A55">
        <w:rPr>
          <w:rFonts w:ascii="Arial" w:hAnsi="Arial" w:cs="Arial"/>
          <w:sz w:val="24"/>
          <w:szCs w:val="24"/>
        </w:rPr>
        <w:t>SynCom</w:t>
      </w:r>
      <w:proofErr w:type="spellEnd"/>
      <w:r w:rsidRPr="000C4A55">
        <w:rPr>
          <w:rFonts w:ascii="Arial" w:hAnsi="Arial" w:cs="Arial"/>
          <w:sz w:val="24"/>
          <w:szCs w:val="24"/>
        </w:rPr>
        <w:t>) design, microbiome transplantation from suppressive to conducive soils, host-genotype-guided recruitment of defined microbial guilds, and omics-guided precision inoculation qualify as reprogramming in the strict sense, because each is explicitly targeted at reconstructing a functional community state rather than simply adding or subtracting inputs. Organic amendments, crop rotation and reduced-input management, by contrast, are more accurately described as microbiome manipulation. They reliably shift community composition and often improve suppressiveness, but they operate through broad, relatively untargeted ecological pressure rather than through design of a specified community architecture. This distinction matters because it sets different standards of evidence and different expectations of precision: reprogramming strategies should, in principle, be evaluated against a specified functional target, whereas manipulation strategies are more appropriately evaluated against broader outcome measures (disease incidence, yield, community diversity) without requiring mechanistic specification of the intervening community state.</w:t>
      </w:r>
    </w:p>
    <w:p w14:paraId="730D0FCE" w14:textId="4CBA7507" w:rsidR="004F0D91" w:rsidRPr="000C4A55" w:rsidRDefault="00094041" w:rsidP="004F0D91">
      <w:pPr>
        <w:spacing w:after="200" w:line="276" w:lineRule="auto"/>
        <w:jc w:val="both"/>
        <w:rPr>
          <w:rFonts w:ascii="Arial" w:hAnsi="Arial" w:cs="Arial"/>
          <w:sz w:val="24"/>
          <w:szCs w:val="24"/>
        </w:rPr>
      </w:pPr>
      <w:r w:rsidRPr="000C4A55">
        <w:rPr>
          <w:rFonts w:ascii="Arial" w:hAnsi="Arial" w:cs="Arial"/>
          <w:sz w:val="24"/>
          <w:szCs w:val="24"/>
        </w:rPr>
        <w:tab/>
      </w:r>
      <w:r w:rsidR="004F0D91" w:rsidRPr="000C4A55">
        <w:rPr>
          <w:rFonts w:ascii="Arial" w:hAnsi="Arial" w:cs="Arial"/>
          <w:sz w:val="24"/>
          <w:szCs w:val="24"/>
        </w:rPr>
        <w:t xml:space="preserve">We therefore treat </w:t>
      </w:r>
      <w:r w:rsidR="00420CB6" w:rsidRPr="000C4A55">
        <w:rPr>
          <w:rFonts w:ascii="Arial" w:hAnsi="Arial" w:cs="Arial"/>
          <w:sz w:val="24"/>
          <w:szCs w:val="24"/>
        </w:rPr>
        <w:t>“</w:t>
      </w:r>
      <w:r w:rsidR="004F0D91" w:rsidRPr="000C4A55">
        <w:rPr>
          <w:rFonts w:ascii="Arial" w:hAnsi="Arial" w:cs="Arial"/>
          <w:sz w:val="24"/>
          <w:szCs w:val="24"/>
        </w:rPr>
        <w:t>reprogramming</w:t>
      </w:r>
      <w:r w:rsidR="00420CB6" w:rsidRPr="000C4A55">
        <w:rPr>
          <w:rFonts w:ascii="Arial" w:hAnsi="Arial" w:cs="Arial"/>
          <w:sz w:val="24"/>
          <w:szCs w:val="24"/>
        </w:rPr>
        <w:t>”</w:t>
      </w:r>
      <w:r w:rsidR="004F0D91" w:rsidRPr="000C4A55">
        <w:rPr>
          <w:rFonts w:ascii="Arial" w:hAnsi="Arial" w:cs="Arial"/>
          <w:sz w:val="24"/>
          <w:szCs w:val="24"/>
        </w:rPr>
        <w:t xml:space="preserve"> as an aspirational and increasingly attainable, but not yet routinely achieved, standard for microbiome-based disease management. Much of the current literature that invokes the term describes what is, by the definition above, microbiome manipulation</w:t>
      </w:r>
      <w:r w:rsidR="00420CB6" w:rsidRPr="000C4A55">
        <w:rPr>
          <w:rFonts w:ascii="Arial" w:hAnsi="Arial" w:cs="Arial"/>
          <w:sz w:val="24"/>
          <w:szCs w:val="24"/>
        </w:rPr>
        <w:t xml:space="preserve">; </w:t>
      </w:r>
      <w:r w:rsidR="004F0D91" w:rsidRPr="000C4A55">
        <w:rPr>
          <w:rFonts w:ascii="Arial" w:hAnsi="Arial" w:cs="Arial"/>
          <w:sz w:val="24"/>
          <w:szCs w:val="24"/>
        </w:rPr>
        <w:t>a terminological looseness this review aims to correct, in line with the requirement that reprogramming not be used merely as a fashionable label for any microbial intervention.</w:t>
      </w:r>
    </w:p>
    <w:p w14:paraId="31214BA1" w14:textId="22F6D280" w:rsidR="00094041" w:rsidRPr="000C4A55" w:rsidRDefault="00BD660F" w:rsidP="004F0D91">
      <w:pPr>
        <w:spacing w:after="200" w:line="276" w:lineRule="auto"/>
        <w:jc w:val="both"/>
        <w:rPr>
          <w:rFonts w:ascii="Arial" w:hAnsi="Arial" w:cs="Arial"/>
          <w:b/>
          <w:bCs/>
          <w:sz w:val="24"/>
          <w:szCs w:val="24"/>
        </w:rPr>
      </w:pPr>
      <w:r w:rsidRPr="000C4A55">
        <w:rPr>
          <w:rFonts w:ascii="Arial" w:hAnsi="Arial" w:cs="Arial"/>
          <w:b/>
          <w:bCs/>
          <w:sz w:val="24"/>
          <w:szCs w:val="24"/>
        </w:rPr>
        <w:t>8. STRATEGIES FOR REPROGRAMMING THE PLANT MICROBIOME</w:t>
      </w:r>
    </w:p>
    <w:p w14:paraId="41E08141" w14:textId="77777777" w:rsidR="00BB5E88" w:rsidRPr="000C4A55" w:rsidRDefault="00A84FAD" w:rsidP="00BB5E88">
      <w:pPr>
        <w:spacing w:after="200" w:line="276" w:lineRule="auto"/>
        <w:jc w:val="both"/>
        <w:rPr>
          <w:rFonts w:ascii="Arial" w:hAnsi="Arial" w:cs="Arial"/>
          <w:sz w:val="24"/>
          <w:szCs w:val="24"/>
        </w:rPr>
      </w:pPr>
      <w:r w:rsidRPr="000C4A55">
        <w:rPr>
          <w:rFonts w:ascii="Arial" w:hAnsi="Arial" w:cs="Arial"/>
          <w:sz w:val="24"/>
          <w:szCs w:val="24"/>
        </w:rPr>
        <w:lastRenderedPageBreak/>
        <w:tab/>
        <w:t>Approaches to reshaping plant-associated microbial communities can be organised into four broad, non-exclusive categories, distinguished by the point of intervention: the host plant, the microbial community itself, the surrounding soil/agronomic system, or a precision-engineering layer that integrates the other three.</w:t>
      </w:r>
    </w:p>
    <w:p w14:paraId="42A9E974" w14:textId="72E121F4" w:rsidR="00BB5E88" w:rsidRPr="000C4A55" w:rsidRDefault="00BB5E88" w:rsidP="00BB5E88">
      <w:pPr>
        <w:spacing w:after="200" w:line="276" w:lineRule="auto"/>
        <w:jc w:val="both"/>
        <w:rPr>
          <w:rFonts w:ascii="Arial" w:hAnsi="Arial" w:cs="Arial"/>
          <w:b/>
          <w:bCs/>
          <w:sz w:val="24"/>
          <w:szCs w:val="24"/>
        </w:rPr>
      </w:pPr>
      <w:r w:rsidRPr="000C4A55">
        <w:rPr>
          <w:rFonts w:ascii="Arial" w:hAnsi="Arial" w:cs="Arial"/>
          <w:b/>
          <w:bCs/>
          <w:sz w:val="24"/>
          <w:szCs w:val="24"/>
        </w:rPr>
        <w:t>Table 3. Strategies for plant microbiome manipulation and reprogramming</w:t>
      </w:r>
    </w:p>
    <w:tbl>
      <w:tblPr>
        <w:tblStyle w:val="TableGrid"/>
        <w:tblW w:w="5174" w:type="pct"/>
        <w:jc w:val="center"/>
        <w:tblLayout w:type="fixed"/>
        <w:tblCellMar>
          <w:left w:w="28" w:type="dxa"/>
          <w:right w:w="0" w:type="dxa"/>
        </w:tblCellMar>
        <w:tblLook w:val="04A0" w:firstRow="1" w:lastRow="0" w:firstColumn="1" w:lastColumn="0" w:noHBand="0" w:noVBand="1"/>
      </w:tblPr>
      <w:tblGrid>
        <w:gridCol w:w="1341"/>
        <w:gridCol w:w="1348"/>
        <w:gridCol w:w="1935"/>
        <w:gridCol w:w="1210"/>
        <w:gridCol w:w="1177"/>
        <w:gridCol w:w="1348"/>
        <w:gridCol w:w="1353"/>
        <w:gridCol w:w="1108"/>
      </w:tblGrid>
      <w:tr w:rsidR="00FC3C9F" w:rsidRPr="00AF3CD7" w14:paraId="0A5CFE6A" w14:textId="77777777" w:rsidTr="00390D00">
        <w:trPr>
          <w:cantSplit/>
          <w:trHeight w:val="1142"/>
          <w:jc w:val="center"/>
        </w:trPr>
        <w:tc>
          <w:tcPr>
            <w:tcW w:w="620" w:type="pct"/>
          </w:tcPr>
          <w:p w14:paraId="6DD7D6EF"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Strategy</w:t>
            </w:r>
          </w:p>
        </w:tc>
        <w:tc>
          <w:tcPr>
            <w:tcW w:w="623" w:type="pct"/>
          </w:tcPr>
          <w:p w14:paraId="0C5D8D88"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Target Component</w:t>
            </w:r>
          </w:p>
        </w:tc>
        <w:tc>
          <w:tcPr>
            <w:tcW w:w="894" w:type="pct"/>
          </w:tcPr>
          <w:p w14:paraId="7C0B53DF"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Mechanism</w:t>
            </w:r>
          </w:p>
        </w:tc>
        <w:tc>
          <w:tcPr>
            <w:tcW w:w="559" w:type="pct"/>
          </w:tcPr>
          <w:p w14:paraId="599D9E6D"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Disease-Management Outcome</w:t>
            </w:r>
          </w:p>
        </w:tc>
        <w:tc>
          <w:tcPr>
            <w:tcW w:w="544" w:type="pct"/>
          </w:tcPr>
          <w:p w14:paraId="0ED3A4BA"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Advantages</w:t>
            </w:r>
          </w:p>
        </w:tc>
        <w:tc>
          <w:tcPr>
            <w:tcW w:w="623" w:type="pct"/>
          </w:tcPr>
          <w:p w14:paraId="686320FA"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Limitations</w:t>
            </w:r>
          </w:p>
        </w:tc>
        <w:tc>
          <w:tcPr>
            <w:tcW w:w="625" w:type="pct"/>
          </w:tcPr>
          <w:p w14:paraId="3DF4F382"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Evidence Level</w:t>
            </w:r>
          </w:p>
        </w:tc>
        <w:tc>
          <w:tcPr>
            <w:tcW w:w="512" w:type="pct"/>
          </w:tcPr>
          <w:p w14:paraId="792E9026" w14:textId="77777777" w:rsidR="00FC3C9F" w:rsidRPr="00AF3CD7" w:rsidRDefault="00FC3C9F" w:rsidP="003F2B2D">
            <w:pPr>
              <w:jc w:val="center"/>
              <w:rPr>
                <w:rFonts w:ascii="Arial" w:hAnsi="Arial" w:cs="Arial"/>
                <w:sz w:val="20"/>
                <w:szCs w:val="20"/>
              </w:rPr>
            </w:pPr>
            <w:r w:rsidRPr="00AF3CD7">
              <w:rPr>
                <w:rFonts w:ascii="Arial" w:hAnsi="Arial" w:cs="Arial"/>
                <w:b/>
                <w:bCs/>
                <w:sz w:val="20"/>
                <w:szCs w:val="20"/>
              </w:rPr>
              <w:t>Representative Reference(s)</w:t>
            </w:r>
          </w:p>
        </w:tc>
      </w:tr>
      <w:tr w:rsidR="00FC3C9F" w:rsidRPr="00AF3CD7" w14:paraId="27DC518A" w14:textId="77777777" w:rsidTr="00390D00">
        <w:trPr>
          <w:cantSplit/>
          <w:trHeight w:val="1142"/>
          <w:jc w:val="center"/>
        </w:trPr>
        <w:tc>
          <w:tcPr>
            <w:tcW w:w="620" w:type="pct"/>
          </w:tcPr>
          <w:p w14:paraId="2C98DEAF"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Root-exudate gene manipulation</w:t>
            </w:r>
          </w:p>
        </w:tc>
        <w:tc>
          <w:tcPr>
            <w:tcW w:w="623" w:type="pct"/>
          </w:tcPr>
          <w:p w14:paraId="7FA39F8F"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Rhizosphere assembly</w:t>
            </w:r>
          </w:p>
        </w:tc>
        <w:tc>
          <w:tcPr>
            <w:tcW w:w="894" w:type="pct"/>
          </w:tcPr>
          <w:p w14:paraId="432D35CC"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Altered exudate composition via host genes (e.g., Never ripe, ERF-E2)</w:t>
            </w:r>
          </w:p>
        </w:tc>
        <w:tc>
          <w:tcPr>
            <w:tcW w:w="559" w:type="pct"/>
          </w:tcPr>
          <w:p w14:paraId="3875AEE6"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Shifted microbial community; altered nematode behaviour</w:t>
            </w:r>
          </w:p>
        </w:tc>
        <w:tc>
          <w:tcPr>
            <w:tcW w:w="544" w:type="pct"/>
          </w:tcPr>
          <w:p w14:paraId="15C37497"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Heritable; scalable via seed</w:t>
            </w:r>
          </w:p>
        </w:tc>
        <w:tc>
          <w:tcPr>
            <w:tcW w:w="623" w:type="pct"/>
          </w:tcPr>
          <w:p w14:paraId="065C7FD4"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Long breeding timelines; pathogen-specific trade-offs possible</w:t>
            </w:r>
          </w:p>
        </w:tc>
        <w:tc>
          <w:tcPr>
            <w:tcW w:w="625" w:type="pct"/>
          </w:tcPr>
          <w:p w14:paraId="25A0999F"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Functional (gene-level)</w:t>
            </w:r>
          </w:p>
        </w:tc>
        <w:tc>
          <w:tcPr>
            <w:tcW w:w="512" w:type="pct"/>
          </w:tcPr>
          <w:p w14:paraId="1D3225AE" w14:textId="199C8D4D" w:rsidR="00FC3C9F" w:rsidRPr="00AF3CD7" w:rsidRDefault="005A6736" w:rsidP="003F2B2D">
            <w:pPr>
              <w:jc w:val="center"/>
              <w:rPr>
                <w:rFonts w:ascii="Arial" w:hAnsi="Arial" w:cs="Arial"/>
                <w:sz w:val="20"/>
                <w:szCs w:val="20"/>
              </w:rPr>
            </w:pPr>
            <w:r w:rsidRPr="00AF3CD7">
              <w:rPr>
                <w:rFonts w:ascii="Arial" w:hAnsi="Arial" w:cs="Arial"/>
                <w:sz w:val="20"/>
                <w:szCs w:val="20"/>
              </w:rPr>
              <w:t xml:space="preserve">Fu </w:t>
            </w:r>
            <w:r w:rsidR="00587082" w:rsidRPr="00AF3CD7">
              <w:rPr>
                <w:rFonts w:ascii="Arial" w:hAnsi="Arial" w:cs="Arial"/>
                <w:i/>
                <w:iCs/>
                <w:sz w:val="20"/>
                <w:szCs w:val="20"/>
              </w:rPr>
              <w:t>et al.</w:t>
            </w:r>
            <w:r w:rsidRPr="00AF3CD7">
              <w:rPr>
                <w:rFonts w:ascii="Arial" w:hAnsi="Arial" w:cs="Arial"/>
                <w:sz w:val="20"/>
                <w:szCs w:val="20"/>
              </w:rPr>
              <w:t xml:space="preserve">, 2021; Dyer </w:t>
            </w:r>
            <w:r w:rsidR="00587082" w:rsidRPr="00AF3CD7">
              <w:rPr>
                <w:rFonts w:ascii="Arial" w:hAnsi="Arial" w:cs="Arial"/>
                <w:i/>
                <w:iCs/>
                <w:sz w:val="20"/>
                <w:szCs w:val="20"/>
              </w:rPr>
              <w:t>et al.</w:t>
            </w:r>
            <w:r w:rsidRPr="00AF3CD7">
              <w:rPr>
                <w:rFonts w:ascii="Arial" w:hAnsi="Arial" w:cs="Arial"/>
                <w:sz w:val="20"/>
                <w:szCs w:val="20"/>
              </w:rPr>
              <w:t>, 2019</w:t>
            </w:r>
          </w:p>
        </w:tc>
      </w:tr>
      <w:tr w:rsidR="00FC3C9F" w:rsidRPr="00AF3CD7" w14:paraId="4FED9210" w14:textId="77777777" w:rsidTr="00390D00">
        <w:trPr>
          <w:cantSplit/>
          <w:trHeight w:val="1142"/>
          <w:jc w:val="center"/>
        </w:trPr>
        <w:tc>
          <w:tcPr>
            <w:tcW w:w="620" w:type="pct"/>
          </w:tcPr>
          <w:p w14:paraId="4A30DFFE"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Synthetic microbial communities (</w:t>
            </w:r>
            <w:proofErr w:type="spellStart"/>
            <w:r w:rsidRPr="00AF3CD7">
              <w:rPr>
                <w:rFonts w:ascii="Arial" w:hAnsi="Arial" w:cs="Arial"/>
                <w:sz w:val="20"/>
                <w:szCs w:val="20"/>
              </w:rPr>
              <w:t>SynComs</w:t>
            </w:r>
            <w:proofErr w:type="spellEnd"/>
            <w:r w:rsidRPr="00AF3CD7">
              <w:rPr>
                <w:rFonts w:ascii="Arial" w:hAnsi="Arial" w:cs="Arial"/>
                <w:sz w:val="20"/>
                <w:szCs w:val="20"/>
              </w:rPr>
              <w:t>)</w:t>
            </w:r>
          </w:p>
        </w:tc>
        <w:tc>
          <w:tcPr>
            <w:tcW w:w="623" w:type="pct"/>
          </w:tcPr>
          <w:p w14:paraId="500DEA57" w14:textId="23FD6F6F" w:rsidR="00FC3C9F" w:rsidRPr="00AF3CD7" w:rsidRDefault="00E34E93" w:rsidP="003F2B2D">
            <w:pPr>
              <w:jc w:val="center"/>
              <w:rPr>
                <w:rFonts w:ascii="Arial" w:hAnsi="Arial" w:cs="Arial"/>
                <w:sz w:val="20"/>
                <w:szCs w:val="20"/>
              </w:rPr>
            </w:pPr>
            <w:r w:rsidRPr="00AF3CD7">
              <w:rPr>
                <w:rFonts w:ascii="Arial" w:hAnsi="Arial" w:cs="Arial"/>
                <w:sz w:val="20"/>
                <w:szCs w:val="20"/>
              </w:rPr>
              <w:t>Rhizosphere/</w:t>
            </w:r>
            <w:proofErr w:type="spellStart"/>
            <w:r w:rsidRPr="00AF3CD7">
              <w:rPr>
                <w:rFonts w:ascii="Arial" w:hAnsi="Arial" w:cs="Arial"/>
                <w:sz w:val="20"/>
                <w:szCs w:val="20"/>
              </w:rPr>
              <w:t>phyllosphere</w:t>
            </w:r>
            <w:proofErr w:type="spellEnd"/>
            <w:r w:rsidR="00FC3C9F" w:rsidRPr="00AF3CD7">
              <w:rPr>
                <w:rFonts w:ascii="Arial" w:hAnsi="Arial" w:cs="Arial"/>
                <w:sz w:val="20"/>
                <w:szCs w:val="20"/>
              </w:rPr>
              <w:t xml:space="preserve"> microbial community</w:t>
            </w:r>
          </w:p>
        </w:tc>
        <w:tc>
          <w:tcPr>
            <w:tcW w:w="894" w:type="pct"/>
          </w:tcPr>
          <w:p w14:paraId="40E3E7FE"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Assembled functional complementarity; cross-kingdom interaction</w:t>
            </w:r>
          </w:p>
        </w:tc>
        <w:tc>
          <w:tcPr>
            <w:tcW w:w="559" w:type="pct"/>
          </w:tcPr>
          <w:p w14:paraId="0247D3B1"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Enhanced, broad-spectrum suppression vs. single strains</w:t>
            </w:r>
          </w:p>
        </w:tc>
        <w:tc>
          <w:tcPr>
            <w:tcW w:w="544" w:type="pct"/>
          </w:tcPr>
          <w:p w14:paraId="1890EDAB"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Mechanistically tractable; rapid development</w:t>
            </w:r>
          </w:p>
        </w:tc>
        <w:tc>
          <w:tcPr>
            <w:tcW w:w="623" w:type="pct"/>
          </w:tcPr>
          <w:p w14:paraId="0AFA6DBA"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 xml:space="preserve">Field instability; </w:t>
            </w:r>
            <w:proofErr w:type="spellStart"/>
            <w:r w:rsidRPr="00AF3CD7">
              <w:rPr>
                <w:rFonts w:ascii="Arial" w:hAnsi="Arial" w:cs="Arial"/>
                <w:sz w:val="20"/>
                <w:szCs w:val="20"/>
              </w:rPr>
              <w:t>culturability</w:t>
            </w:r>
            <w:proofErr w:type="spellEnd"/>
            <w:r w:rsidRPr="00AF3CD7">
              <w:rPr>
                <w:rFonts w:ascii="Arial" w:hAnsi="Arial" w:cs="Arial"/>
                <w:sz w:val="20"/>
                <w:szCs w:val="20"/>
              </w:rPr>
              <w:t xml:space="preserve"> bottleneck; niche overlap failure</w:t>
            </w:r>
          </w:p>
        </w:tc>
        <w:tc>
          <w:tcPr>
            <w:tcW w:w="625" w:type="pct"/>
          </w:tcPr>
          <w:p w14:paraId="44503051"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Causal (greenhouse); Correlative-to-limited (field)</w:t>
            </w:r>
          </w:p>
        </w:tc>
        <w:tc>
          <w:tcPr>
            <w:tcW w:w="512" w:type="pct"/>
          </w:tcPr>
          <w:p w14:paraId="535A72A9" w14:textId="7AAA35D1" w:rsidR="00FC3C9F" w:rsidRPr="00AF3CD7" w:rsidRDefault="00FC3C9F" w:rsidP="003F2B2D">
            <w:pPr>
              <w:jc w:val="center"/>
              <w:rPr>
                <w:rFonts w:ascii="Arial" w:hAnsi="Arial" w:cs="Arial"/>
                <w:sz w:val="20"/>
                <w:szCs w:val="20"/>
              </w:rPr>
            </w:pPr>
            <w:proofErr w:type="spellStart"/>
            <w:r w:rsidRPr="00AF3CD7">
              <w:rPr>
                <w:rFonts w:ascii="Arial" w:hAnsi="Arial" w:cs="Arial"/>
                <w:sz w:val="20"/>
                <w:szCs w:val="20"/>
              </w:rPr>
              <w:t>Minchev</w:t>
            </w:r>
            <w:proofErr w:type="spellEnd"/>
            <w:r w:rsidRPr="00AF3CD7">
              <w:rPr>
                <w:rFonts w:ascii="Arial" w:hAnsi="Arial" w:cs="Arial"/>
                <w:sz w:val="20"/>
                <w:szCs w:val="20"/>
              </w:rPr>
              <w:t xml:space="preserve"> </w:t>
            </w:r>
            <w:r w:rsidR="00587082" w:rsidRPr="00AF3CD7">
              <w:rPr>
                <w:rFonts w:ascii="Arial" w:hAnsi="Arial" w:cs="Arial"/>
                <w:i/>
                <w:iCs/>
                <w:sz w:val="20"/>
                <w:szCs w:val="20"/>
              </w:rPr>
              <w:t>et al.</w:t>
            </w:r>
            <w:r w:rsidRPr="00AF3CD7">
              <w:rPr>
                <w:rFonts w:ascii="Arial" w:hAnsi="Arial" w:cs="Arial"/>
                <w:sz w:val="20"/>
                <w:szCs w:val="20"/>
              </w:rPr>
              <w:t xml:space="preserve">, 2021; Zhou </w:t>
            </w:r>
            <w:r w:rsidR="00587082" w:rsidRPr="00AF3CD7">
              <w:rPr>
                <w:rFonts w:ascii="Arial" w:hAnsi="Arial" w:cs="Arial"/>
                <w:i/>
                <w:iCs/>
                <w:sz w:val="20"/>
                <w:szCs w:val="20"/>
              </w:rPr>
              <w:t>et al.</w:t>
            </w:r>
            <w:r w:rsidRPr="00AF3CD7">
              <w:rPr>
                <w:rFonts w:ascii="Arial" w:hAnsi="Arial" w:cs="Arial"/>
                <w:sz w:val="20"/>
                <w:szCs w:val="20"/>
              </w:rPr>
              <w:t>, 2022</w:t>
            </w:r>
          </w:p>
        </w:tc>
      </w:tr>
      <w:tr w:rsidR="00FC3C9F" w:rsidRPr="00AF3CD7" w14:paraId="6542B02B" w14:textId="77777777" w:rsidTr="00390D00">
        <w:trPr>
          <w:cantSplit/>
          <w:trHeight w:val="1142"/>
          <w:jc w:val="center"/>
        </w:trPr>
        <w:tc>
          <w:tcPr>
            <w:tcW w:w="620" w:type="pct"/>
          </w:tcPr>
          <w:p w14:paraId="68095364"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Disease-suppressive soil transfer / transplantation</w:t>
            </w:r>
          </w:p>
        </w:tc>
        <w:tc>
          <w:tcPr>
            <w:tcW w:w="623" w:type="pct"/>
          </w:tcPr>
          <w:p w14:paraId="48D10C87"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Whole soil/rhizosphere microbiome</w:t>
            </w:r>
          </w:p>
        </w:tc>
        <w:tc>
          <w:tcPr>
            <w:tcW w:w="894" w:type="pct"/>
          </w:tcPr>
          <w:p w14:paraId="16DA71C9"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Transfer of naturally evolved suppressive community</w:t>
            </w:r>
          </w:p>
        </w:tc>
        <w:tc>
          <w:tcPr>
            <w:tcW w:w="559" w:type="pct"/>
          </w:tcPr>
          <w:p w14:paraId="554BDE38"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Partial to substantial transfer of suppressiveness</w:t>
            </w:r>
          </w:p>
        </w:tc>
        <w:tc>
          <w:tcPr>
            <w:tcW w:w="544" w:type="pct"/>
          </w:tcPr>
          <w:p w14:paraId="5A98FF01"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Draws on field-proven natural communities</w:t>
            </w:r>
          </w:p>
        </w:tc>
        <w:tc>
          <w:tcPr>
            <w:tcW w:w="623" w:type="pct"/>
          </w:tcPr>
          <w:p w14:paraId="3A7BC273"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Partial/incomplete transfer; scale-up logistics</w:t>
            </w:r>
          </w:p>
        </w:tc>
        <w:tc>
          <w:tcPr>
            <w:tcW w:w="625" w:type="pct"/>
          </w:tcPr>
          <w:p w14:paraId="38DF7DA2"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Causal (soil-mixing experiments)</w:t>
            </w:r>
          </w:p>
        </w:tc>
        <w:tc>
          <w:tcPr>
            <w:tcW w:w="512" w:type="pct"/>
          </w:tcPr>
          <w:p w14:paraId="70E3911B" w14:textId="13191F5C" w:rsidR="00FC3C9F" w:rsidRPr="00AF3CD7" w:rsidRDefault="00FC3C9F" w:rsidP="003F2B2D">
            <w:pPr>
              <w:jc w:val="center"/>
              <w:rPr>
                <w:rFonts w:ascii="Arial" w:hAnsi="Arial" w:cs="Arial"/>
                <w:sz w:val="20"/>
                <w:szCs w:val="20"/>
              </w:rPr>
            </w:pPr>
            <w:r w:rsidRPr="00AF3CD7">
              <w:rPr>
                <w:rFonts w:ascii="Arial" w:hAnsi="Arial" w:cs="Arial"/>
                <w:sz w:val="20"/>
                <w:szCs w:val="20"/>
              </w:rPr>
              <w:t xml:space="preserve">Mendes </w:t>
            </w:r>
            <w:r w:rsidR="00587082" w:rsidRPr="00AF3CD7">
              <w:rPr>
                <w:rFonts w:ascii="Arial" w:hAnsi="Arial" w:cs="Arial"/>
                <w:i/>
                <w:iCs/>
                <w:sz w:val="20"/>
                <w:szCs w:val="20"/>
              </w:rPr>
              <w:t>et al.</w:t>
            </w:r>
            <w:r w:rsidRPr="00AF3CD7">
              <w:rPr>
                <w:rFonts w:ascii="Arial" w:hAnsi="Arial" w:cs="Arial"/>
                <w:sz w:val="20"/>
                <w:szCs w:val="20"/>
              </w:rPr>
              <w:t>, 2011</w:t>
            </w:r>
          </w:p>
        </w:tc>
      </w:tr>
      <w:tr w:rsidR="00FC3C9F" w:rsidRPr="00AF3CD7" w14:paraId="7AACC415" w14:textId="77777777" w:rsidTr="00390D00">
        <w:trPr>
          <w:cantSplit/>
          <w:trHeight w:val="1142"/>
          <w:jc w:val="center"/>
        </w:trPr>
        <w:tc>
          <w:tcPr>
            <w:tcW w:w="620" w:type="pct"/>
          </w:tcPr>
          <w:p w14:paraId="4A6D4919"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Organic amendments (compost, biochar, chitin-rich material)</w:t>
            </w:r>
          </w:p>
        </w:tc>
        <w:tc>
          <w:tcPr>
            <w:tcW w:w="623" w:type="pct"/>
          </w:tcPr>
          <w:p w14:paraId="5D9A1800"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Soil microbial community broadly</w:t>
            </w:r>
          </w:p>
        </w:tc>
        <w:tc>
          <w:tcPr>
            <w:tcW w:w="894" w:type="pct"/>
          </w:tcPr>
          <w:p w14:paraId="7B97A29F" w14:textId="4A46D2B6" w:rsidR="00FC3C9F" w:rsidRPr="00AF3CD7" w:rsidRDefault="00672323" w:rsidP="003F2B2D">
            <w:pPr>
              <w:jc w:val="center"/>
              <w:rPr>
                <w:rFonts w:ascii="Arial" w:hAnsi="Arial" w:cs="Arial"/>
                <w:sz w:val="20"/>
                <w:szCs w:val="20"/>
              </w:rPr>
            </w:pPr>
            <w:r w:rsidRPr="00AF3CD7">
              <w:rPr>
                <w:rFonts w:ascii="Arial" w:hAnsi="Arial" w:cs="Arial"/>
                <w:sz w:val="20"/>
                <w:szCs w:val="20"/>
              </w:rPr>
              <w:t>Nitrogen immobilisation and pH buffering by co-amendment; enrichment of chitinolytic/antagonistic microflora</w:t>
            </w:r>
          </w:p>
        </w:tc>
        <w:tc>
          <w:tcPr>
            <w:tcW w:w="559" w:type="pct"/>
          </w:tcPr>
          <w:p w14:paraId="034699D0" w14:textId="696447CB" w:rsidR="00FC3C9F" w:rsidRPr="00AF3CD7" w:rsidRDefault="006E0B84" w:rsidP="003F2B2D">
            <w:pPr>
              <w:jc w:val="center"/>
              <w:rPr>
                <w:rFonts w:ascii="Arial" w:hAnsi="Arial" w:cs="Arial"/>
                <w:sz w:val="20"/>
                <w:szCs w:val="20"/>
              </w:rPr>
            </w:pPr>
            <w:r w:rsidRPr="00AF3CD7">
              <w:rPr>
                <w:rFonts w:ascii="Arial" w:hAnsi="Arial" w:cs="Arial"/>
                <w:sz w:val="20"/>
                <w:szCs w:val="20"/>
              </w:rPr>
              <w:t xml:space="preserve">Reduced phytotoxicity of </w:t>
            </w:r>
            <w:proofErr w:type="spellStart"/>
            <w:r w:rsidRPr="00AF3CD7">
              <w:rPr>
                <w:rFonts w:ascii="Arial" w:hAnsi="Arial" w:cs="Arial"/>
                <w:sz w:val="20"/>
                <w:szCs w:val="20"/>
              </w:rPr>
              <w:t>nematicidal</w:t>
            </w:r>
            <w:proofErr w:type="spellEnd"/>
            <w:r w:rsidRPr="00AF3CD7">
              <w:rPr>
                <w:rFonts w:ascii="Arial" w:hAnsi="Arial" w:cs="Arial"/>
                <w:sz w:val="20"/>
                <w:szCs w:val="20"/>
              </w:rPr>
              <w:t xml:space="preserve"> amendments while maintaining nematode control</w:t>
            </w:r>
          </w:p>
        </w:tc>
        <w:tc>
          <w:tcPr>
            <w:tcW w:w="544" w:type="pct"/>
          </w:tcPr>
          <w:p w14:paraId="46877157"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Farmer-adoptable; low regulatory barrier</w:t>
            </w:r>
          </w:p>
        </w:tc>
        <w:tc>
          <w:tcPr>
            <w:tcW w:w="623" w:type="pct"/>
          </w:tcPr>
          <w:p w14:paraId="5513F9F6"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Untargeted; slower, smaller effect size</w:t>
            </w:r>
          </w:p>
        </w:tc>
        <w:tc>
          <w:tcPr>
            <w:tcW w:w="625" w:type="pct"/>
          </w:tcPr>
          <w:p w14:paraId="7A693DA9" w14:textId="588C9E52" w:rsidR="00FC3C9F" w:rsidRPr="00AF3CD7" w:rsidRDefault="00AC6AAD" w:rsidP="003F2B2D">
            <w:pPr>
              <w:jc w:val="center"/>
              <w:rPr>
                <w:rFonts w:ascii="Arial" w:hAnsi="Arial" w:cs="Arial"/>
                <w:sz w:val="20"/>
                <w:szCs w:val="20"/>
              </w:rPr>
            </w:pPr>
            <w:r w:rsidRPr="00AF3CD7">
              <w:rPr>
                <w:rFonts w:ascii="Arial" w:hAnsi="Arial" w:cs="Arial"/>
                <w:sz w:val="20"/>
                <w:szCs w:val="20"/>
              </w:rPr>
              <w:t>Causal (controlled greenhouse study)</w:t>
            </w:r>
          </w:p>
        </w:tc>
        <w:tc>
          <w:tcPr>
            <w:tcW w:w="512" w:type="pct"/>
          </w:tcPr>
          <w:p w14:paraId="14D3AAF4" w14:textId="0C34BEDA" w:rsidR="00BB77EB" w:rsidRPr="00EF0A0A" w:rsidRDefault="00BB77EB" w:rsidP="003F2B2D">
            <w:pPr>
              <w:jc w:val="center"/>
              <w:rPr>
                <w:rFonts w:ascii="Arial" w:hAnsi="Arial" w:cs="Arial"/>
                <w:sz w:val="20"/>
                <w:szCs w:val="20"/>
              </w:rPr>
            </w:pPr>
            <w:r w:rsidRPr="00EF0A0A">
              <w:rPr>
                <w:rFonts w:ascii="Arial" w:hAnsi="Arial" w:cs="Arial"/>
                <w:sz w:val="20"/>
                <w:szCs w:val="20"/>
              </w:rPr>
              <w:t xml:space="preserve">Culbreath </w:t>
            </w:r>
            <w:r w:rsidR="00587082" w:rsidRPr="00EF0A0A">
              <w:rPr>
                <w:rFonts w:ascii="Arial" w:hAnsi="Arial" w:cs="Arial"/>
                <w:i/>
                <w:iCs/>
                <w:sz w:val="20"/>
                <w:szCs w:val="20"/>
              </w:rPr>
              <w:t>et al.</w:t>
            </w:r>
            <w:r w:rsidRPr="00EF0A0A">
              <w:rPr>
                <w:rFonts w:ascii="Arial" w:hAnsi="Arial" w:cs="Arial"/>
                <w:sz w:val="20"/>
                <w:szCs w:val="20"/>
              </w:rPr>
              <w:t>, 1985</w:t>
            </w:r>
          </w:p>
          <w:p w14:paraId="326F80CB" w14:textId="6EAAF413" w:rsidR="00FC3C9F" w:rsidRPr="00AF3CD7" w:rsidRDefault="00FC3C9F" w:rsidP="003F2B2D">
            <w:pPr>
              <w:jc w:val="center"/>
              <w:rPr>
                <w:rFonts w:ascii="Arial" w:hAnsi="Arial" w:cs="Arial"/>
                <w:sz w:val="20"/>
                <w:szCs w:val="20"/>
              </w:rPr>
            </w:pPr>
          </w:p>
        </w:tc>
      </w:tr>
      <w:tr w:rsidR="00FC3C9F" w:rsidRPr="00AF3CD7" w14:paraId="177DDC13" w14:textId="77777777" w:rsidTr="00390D00">
        <w:trPr>
          <w:cantSplit/>
          <w:trHeight w:val="1142"/>
          <w:jc w:val="center"/>
        </w:trPr>
        <w:tc>
          <w:tcPr>
            <w:tcW w:w="620" w:type="pct"/>
          </w:tcPr>
          <w:p w14:paraId="50EB5FC0"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Crop rotation / reduced chemical input</w:t>
            </w:r>
          </w:p>
        </w:tc>
        <w:tc>
          <w:tcPr>
            <w:tcW w:w="623" w:type="pct"/>
          </w:tcPr>
          <w:p w14:paraId="70C527FB"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Whole-field microbial community over time</w:t>
            </w:r>
          </w:p>
        </w:tc>
        <w:tc>
          <w:tcPr>
            <w:tcW w:w="894" w:type="pct"/>
          </w:tcPr>
          <w:p w14:paraId="569BC337"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Prevention of monoculture-driven simplification and dysbiosis</w:t>
            </w:r>
          </w:p>
        </w:tc>
        <w:tc>
          <w:tcPr>
            <w:tcW w:w="559" w:type="pct"/>
          </w:tcPr>
          <w:p w14:paraId="309CF8B6"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Reduced disease-conducive dysbiosis; supports soil-borne legacy</w:t>
            </w:r>
          </w:p>
        </w:tc>
        <w:tc>
          <w:tcPr>
            <w:tcW w:w="544" w:type="pct"/>
          </w:tcPr>
          <w:p w14:paraId="10FE2EE5"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Well-established agronomic practice</w:t>
            </w:r>
          </w:p>
        </w:tc>
        <w:tc>
          <w:tcPr>
            <w:tcW w:w="623" w:type="pct"/>
          </w:tcPr>
          <w:p w14:paraId="0259B354"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Slow-acting; not targeted to specific pathogen</w:t>
            </w:r>
          </w:p>
        </w:tc>
        <w:tc>
          <w:tcPr>
            <w:tcW w:w="625" w:type="pct"/>
          </w:tcPr>
          <w:p w14:paraId="46415078"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Correlative/associative (long-term)</w:t>
            </w:r>
          </w:p>
        </w:tc>
        <w:tc>
          <w:tcPr>
            <w:tcW w:w="512" w:type="pct"/>
          </w:tcPr>
          <w:p w14:paraId="52B8D2DA" w14:textId="00E58DE6" w:rsidR="00FC3C9F" w:rsidRPr="00AF3CD7" w:rsidRDefault="00FC3C9F" w:rsidP="003F2B2D">
            <w:pPr>
              <w:jc w:val="center"/>
              <w:rPr>
                <w:rFonts w:ascii="Arial" w:hAnsi="Arial" w:cs="Arial"/>
                <w:sz w:val="20"/>
                <w:szCs w:val="20"/>
              </w:rPr>
            </w:pPr>
            <w:r w:rsidRPr="00AF3CD7">
              <w:rPr>
                <w:rFonts w:ascii="Arial" w:hAnsi="Arial" w:cs="Arial"/>
                <w:sz w:val="20"/>
                <w:szCs w:val="20"/>
              </w:rPr>
              <w:t xml:space="preserve">Trivedi </w:t>
            </w:r>
            <w:r w:rsidR="00587082" w:rsidRPr="00AF3CD7">
              <w:rPr>
                <w:rFonts w:ascii="Arial" w:hAnsi="Arial" w:cs="Arial"/>
                <w:i/>
                <w:iCs/>
                <w:sz w:val="20"/>
                <w:szCs w:val="20"/>
              </w:rPr>
              <w:t>et al.</w:t>
            </w:r>
            <w:r w:rsidRPr="00AF3CD7">
              <w:rPr>
                <w:rFonts w:ascii="Arial" w:hAnsi="Arial" w:cs="Arial"/>
                <w:sz w:val="20"/>
                <w:szCs w:val="20"/>
              </w:rPr>
              <w:t>, 2022</w:t>
            </w:r>
          </w:p>
        </w:tc>
      </w:tr>
      <w:tr w:rsidR="00FC3C9F" w:rsidRPr="00AF3CD7" w14:paraId="6601BECA" w14:textId="77777777" w:rsidTr="00390D00">
        <w:trPr>
          <w:cantSplit/>
          <w:trHeight w:val="1142"/>
          <w:jc w:val="center"/>
        </w:trPr>
        <w:tc>
          <w:tcPr>
            <w:tcW w:w="620" w:type="pct"/>
          </w:tcPr>
          <w:p w14:paraId="52708770"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Omics-guided / precision inoculation</w:t>
            </w:r>
          </w:p>
        </w:tc>
        <w:tc>
          <w:tcPr>
            <w:tcW w:w="623" w:type="pct"/>
          </w:tcPr>
          <w:p w14:paraId="4208B8EA"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Specific keystone or functional taxa</w:t>
            </w:r>
          </w:p>
        </w:tc>
        <w:tc>
          <w:tcPr>
            <w:tcW w:w="894" w:type="pct"/>
          </w:tcPr>
          <w:p w14:paraId="63AAD20E"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Network- and multi-omics-informed selection of community members</w:t>
            </w:r>
          </w:p>
        </w:tc>
        <w:tc>
          <w:tcPr>
            <w:tcW w:w="559" w:type="pct"/>
          </w:tcPr>
          <w:p w14:paraId="2B495641"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 xml:space="preserve">Improved </w:t>
            </w:r>
            <w:proofErr w:type="spellStart"/>
            <w:r w:rsidRPr="00AF3CD7">
              <w:rPr>
                <w:rFonts w:ascii="Arial" w:hAnsi="Arial" w:cs="Arial"/>
                <w:sz w:val="20"/>
                <w:szCs w:val="20"/>
              </w:rPr>
              <w:t>SynCom</w:t>
            </w:r>
            <w:proofErr w:type="spellEnd"/>
            <w:r w:rsidRPr="00AF3CD7">
              <w:rPr>
                <w:rFonts w:ascii="Arial" w:hAnsi="Arial" w:cs="Arial"/>
                <w:sz w:val="20"/>
                <w:szCs w:val="20"/>
              </w:rPr>
              <w:t xml:space="preserve"> design (diversity, metabolic flexibility)</w:t>
            </w:r>
          </w:p>
        </w:tc>
        <w:tc>
          <w:tcPr>
            <w:tcW w:w="544" w:type="pct"/>
          </w:tcPr>
          <w:p w14:paraId="377EB60F"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Evidence-based design; narrows trial-and-error</w:t>
            </w:r>
          </w:p>
        </w:tc>
        <w:tc>
          <w:tcPr>
            <w:tcW w:w="623" w:type="pct"/>
          </w:tcPr>
          <w:p w14:paraId="131B2B01"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Model transferability across systems unproven</w:t>
            </w:r>
          </w:p>
        </w:tc>
        <w:tc>
          <w:tcPr>
            <w:tcW w:w="625" w:type="pct"/>
          </w:tcPr>
          <w:p w14:paraId="144D78C4" w14:textId="77777777" w:rsidR="00FC3C9F" w:rsidRPr="00AF3CD7" w:rsidRDefault="00FC3C9F" w:rsidP="003F2B2D">
            <w:pPr>
              <w:jc w:val="center"/>
              <w:rPr>
                <w:rFonts w:ascii="Arial" w:hAnsi="Arial" w:cs="Arial"/>
                <w:sz w:val="20"/>
                <w:szCs w:val="20"/>
              </w:rPr>
            </w:pPr>
            <w:r w:rsidRPr="00AF3CD7">
              <w:rPr>
                <w:rFonts w:ascii="Arial" w:hAnsi="Arial" w:cs="Arial"/>
                <w:sz w:val="20"/>
                <w:szCs w:val="20"/>
              </w:rPr>
              <w:t>Emerging / experimental</w:t>
            </w:r>
          </w:p>
        </w:tc>
        <w:tc>
          <w:tcPr>
            <w:tcW w:w="512" w:type="pct"/>
          </w:tcPr>
          <w:p w14:paraId="7B1EC1E7" w14:textId="4D83C587" w:rsidR="00FC3C9F" w:rsidRPr="00AF3CD7" w:rsidRDefault="00FC3C9F" w:rsidP="003F2B2D">
            <w:pPr>
              <w:jc w:val="center"/>
              <w:rPr>
                <w:rFonts w:ascii="Arial" w:hAnsi="Arial" w:cs="Arial"/>
                <w:sz w:val="20"/>
                <w:szCs w:val="20"/>
              </w:rPr>
            </w:pPr>
            <w:r w:rsidRPr="00AF3CD7">
              <w:rPr>
                <w:rFonts w:ascii="Arial" w:hAnsi="Arial" w:cs="Arial"/>
                <w:sz w:val="20"/>
                <w:szCs w:val="20"/>
              </w:rPr>
              <w:t xml:space="preserve">Zhou </w:t>
            </w:r>
            <w:r w:rsidR="00587082" w:rsidRPr="00AF3CD7">
              <w:rPr>
                <w:rFonts w:ascii="Arial" w:hAnsi="Arial" w:cs="Arial"/>
                <w:i/>
                <w:iCs/>
                <w:sz w:val="20"/>
                <w:szCs w:val="20"/>
              </w:rPr>
              <w:t>et al.</w:t>
            </w:r>
            <w:r w:rsidRPr="00AF3CD7">
              <w:rPr>
                <w:rFonts w:ascii="Arial" w:hAnsi="Arial" w:cs="Arial"/>
                <w:sz w:val="20"/>
                <w:szCs w:val="20"/>
              </w:rPr>
              <w:t xml:space="preserve">, 2022; Baranwal </w:t>
            </w:r>
            <w:r w:rsidR="00587082" w:rsidRPr="00AF3CD7">
              <w:rPr>
                <w:rFonts w:ascii="Arial" w:hAnsi="Arial" w:cs="Arial"/>
                <w:i/>
                <w:iCs/>
                <w:sz w:val="20"/>
                <w:szCs w:val="20"/>
              </w:rPr>
              <w:t>et al.</w:t>
            </w:r>
            <w:r w:rsidRPr="00AF3CD7">
              <w:rPr>
                <w:rFonts w:ascii="Arial" w:hAnsi="Arial" w:cs="Arial"/>
                <w:sz w:val="20"/>
                <w:szCs w:val="20"/>
              </w:rPr>
              <w:t>, 2022</w:t>
            </w:r>
          </w:p>
        </w:tc>
      </w:tr>
    </w:tbl>
    <w:p w14:paraId="07FB3F5D" w14:textId="77777777" w:rsidR="00094041" w:rsidRPr="003B42F7" w:rsidRDefault="00094041" w:rsidP="004F0D91">
      <w:pPr>
        <w:spacing w:after="200" w:line="276" w:lineRule="auto"/>
        <w:jc w:val="both"/>
        <w:rPr>
          <w:rFonts w:ascii="Arial" w:hAnsi="Arial" w:cs="Arial"/>
          <w:sz w:val="24"/>
          <w:szCs w:val="24"/>
        </w:rPr>
      </w:pPr>
    </w:p>
    <w:p w14:paraId="6D050799" w14:textId="792441F7" w:rsidR="00E23E86" w:rsidRPr="00462DD2" w:rsidRDefault="00670DAA" w:rsidP="004F0D91">
      <w:pPr>
        <w:spacing w:after="200" w:line="276" w:lineRule="auto"/>
        <w:jc w:val="both"/>
        <w:rPr>
          <w:rFonts w:ascii="Arial" w:hAnsi="Arial" w:cs="Arial"/>
          <w:b/>
          <w:bCs/>
          <w:sz w:val="24"/>
          <w:szCs w:val="24"/>
        </w:rPr>
      </w:pPr>
      <w:r w:rsidRPr="00462DD2">
        <w:rPr>
          <w:rFonts w:ascii="Arial" w:hAnsi="Arial" w:cs="Arial"/>
          <w:b/>
          <w:bCs/>
          <w:sz w:val="24"/>
          <w:szCs w:val="24"/>
        </w:rPr>
        <w:t>8.1 Host Mediated Approaches</w:t>
      </w:r>
    </w:p>
    <w:p w14:paraId="18FCCED7" w14:textId="1A0F94EB" w:rsidR="00B45274" w:rsidRPr="00462DD2" w:rsidRDefault="00D5268E" w:rsidP="00B45274">
      <w:pPr>
        <w:spacing w:after="200" w:line="276" w:lineRule="auto"/>
        <w:jc w:val="both"/>
        <w:rPr>
          <w:rFonts w:ascii="Arial" w:hAnsi="Arial" w:cs="Arial"/>
          <w:sz w:val="24"/>
          <w:szCs w:val="24"/>
        </w:rPr>
      </w:pPr>
      <w:r w:rsidRPr="00462DD2">
        <w:rPr>
          <w:rFonts w:ascii="Arial" w:hAnsi="Arial" w:cs="Arial"/>
          <w:sz w:val="24"/>
          <w:szCs w:val="24"/>
        </w:rPr>
        <w:tab/>
        <w:t xml:space="preserve">Host-mediated strategies exploit the plant’s own genetic control over microbiome recruitment. Breeding for microbiome recruitment traits selecting host genotypes on the basis of the protective microbial community they recruit rather than solely on the basis of intrinsic resistance genes is conceptually attractive because it works with, rather than against, the plant’s evolved recruitment machinery; resistance breeding in common bean has already been shown to alter rhizosphere </w:t>
      </w:r>
      <w:r w:rsidRPr="00462DD2">
        <w:rPr>
          <w:rFonts w:ascii="Arial" w:hAnsi="Arial" w:cs="Arial"/>
          <w:sz w:val="24"/>
          <w:szCs w:val="24"/>
        </w:rPr>
        <w:lastRenderedPageBreak/>
        <w:t xml:space="preserve">microbiome composition and function as an incidental consequence of selection on other traits (Mendes </w:t>
      </w:r>
      <w:r w:rsidR="00587082" w:rsidRPr="00462DD2">
        <w:rPr>
          <w:rFonts w:ascii="Arial" w:hAnsi="Arial" w:cs="Arial"/>
          <w:i/>
          <w:iCs/>
          <w:sz w:val="24"/>
          <w:szCs w:val="24"/>
        </w:rPr>
        <w:t>et al.</w:t>
      </w:r>
      <w:r w:rsidRPr="00462DD2">
        <w:rPr>
          <w:rFonts w:ascii="Arial" w:hAnsi="Arial" w:cs="Arial"/>
          <w:sz w:val="24"/>
          <w:szCs w:val="24"/>
        </w:rPr>
        <w:t xml:space="preserve">, 2018), suggesting the trait is heritable and selectable, though deliberate breeding programmes explicitly targeting microbiome recruitment remain at an early stage. </w:t>
      </w:r>
      <w:r w:rsidR="00B45274" w:rsidRPr="00462DD2">
        <w:rPr>
          <w:rFonts w:ascii="Arial" w:hAnsi="Arial" w:cs="Arial"/>
          <w:sz w:val="24"/>
          <w:szCs w:val="24"/>
        </w:rPr>
        <w:t xml:space="preserve">Root exudate manipulation via targeted gene modification offers a more direct genetic lever than breeding for these purposes. The ethylene-insensitive tomato mutant Never ripe (NR) shows altered root exudate composition together with a correspondingly restructured rhizosphere bacterial community relative to wild type (Fu </w:t>
      </w:r>
      <w:r w:rsidR="00587082" w:rsidRPr="00462DD2">
        <w:rPr>
          <w:rFonts w:ascii="Arial" w:hAnsi="Arial" w:cs="Arial"/>
          <w:i/>
          <w:iCs/>
          <w:sz w:val="24"/>
          <w:szCs w:val="24"/>
        </w:rPr>
        <w:t>et al.</w:t>
      </w:r>
      <w:r w:rsidR="00B45274" w:rsidRPr="00462DD2">
        <w:rPr>
          <w:rFonts w:ascii="Arial" w:hAnsi="Arial" w:cs="Arial"/>
          <w:sz w:val="24"/>
          <w:szCs w:val="24"/>
        </w:rPr>
        <w:t xml:space="preserve">, 2021), while knockdown of the distinct ethylene response factor gene ERF-E2 alters root exudate composition in a way that increases attraction of the plant-parasitic nematodes Meloidogyne incognita and </w:t>
      </w:r>
      <w:proofErr w:type="spellStart"/>
      <w:r w:rsidR="00B45274" w:rsidRPr="00462DD2">
        <w:rPr>
          <w:rFonts w:ascii="Arial" w:hAnsi="Arial" w:cs="Arial"/>
          <w:i/>
          <w:iCs/>
          <w:sz w:val="24"/>
          <w:szCs w:val="24"/>
        </w:rPr>
        <w:t>Globodera</w:t>
      </w:r>
      <w:proofErr w:type="spellEnd"/>
      <w:r w:rsidR="00B45274" w:rsidRPr="00462DD2">
        <w:rPr>
          <w:rFonts w:ascii="Arial" w:hAnsi="Arial" w:cs="Arial"/>
          <w:i/>
          <w:iCs/>
          <w:sz w:val="24"/>
          <w:szCs w:val="24"/>
        </w:rPr>
        <w:t xml:space="preserve"> pallida</w:t>
      </w:r>
      <w:r w:rsidR="00B45274" w:rsidRPr="00462DD2">
        <w:rPr>
          <w:rFonts w:ascii="Arial" w:hAnsi="Arial" w:cs="Arial"/>
          <w:sz w:val="24"/>
          <w:szCs w:val="24"/>
        </w:rPr>
        <w:t xml:space="preserve"> though the same study found no corresponding change in attraction of the two rhizosphere bacteria tested (Dyer </w:t>
      </w:r>
      <w:r w:rsidR="00587082" w:rsidRPr="00462DD2">
        <w:rPr>
          <w:rFonts w:ascii="Arial" w:hAnsi="Arial" w:cs="Arial"/>
          <w:i/>
          <w:iCs/>
          <w:sz w:val="24"/>
          <w:szCs w:val="24"/>
        </w:rPr>
        <w:t>et al.</w:t>
      </w:r>
      <w:r w:rsidR="00B45274" w:rsidRPr="00462DD2">
        <w:rPr>
          <w:rFonts w:ascii="Arial" w:hAnsi="Arial" w:cs="Arial"/>
          <w:sz w:val="24"/>
          <w:szCs w:val="24"/>
        </w:rPr>
        <w:t>, 2019). These are two separate genetic levers with distinct, non-overlapping demonstrated effects (microbiome restructuring in one case, nematode-attraction change without demonstrated microbiome effect in the other) rather than a single mechanism affecting both outcomes together. Advantages of host-mediated approaches include heritability, scalability through conventional seed distribution, and avoidance of live-microbial regulatory hurdles; limitations include the long breeding timelines involved, potential trade-offs with other agronomic traits, and the risk that a recruitment trait beneficial against one pathogen may be neutral or even detrimental against another, given the context-dependency documented in Section 5.</w:t>
      </w:r>
    </w:p>
    <w:p w14:paraId="1F501410" w14:textId="2B96D973" w:rsidR="00301B46" w:rsidRPr="00462DD2" w:rsidRDefault="00301B46" w:rsidP="00D5268E">
      <w:pPr>
        <w:spacing w:after="200" w:line="276" w:lineRule="auto"/>
        <w:jc w:val="both"/>
        <w:rPr>
          <w:rFonts w:ascii="Arial" w:hAnsi="Arial" w:cs="Arial"/>
          <w:b/>
          <w:bCs/>
          <w:sz w:val="24"/>
          <w:szCs w:val="24"/>
        </w:rPr>
      </w:pPr>
      <w:r w:rsidRPr="00462DD2">
        <w:rPr>
          <w:rFonts w:ascii="Arial" w:hAnsi="Arial" w:cs="Arial"/>
          <w:b/>
          <w:bCs/>
          <w:sz w:val="24"/>
          <w:szCs w:val="24"/>
        </w:rPr>
        <w:t xml:space="preserve">8.2 </w:t>
      </w:r>
      <w:r w:rsidR="003B1D81" w:rsidRPr="00462DD2">
        <w:rPr>
          <w:rFonts w:ascii="Arial" w:hAnsi="Arial" w:cs="Arial"/>
          <w:b/>
          <w:bCs/>
          <w:sz w:val="24"/>
          <w:szCs w:val="24"/>
        </w:rPr>
        <w:t>Microbial Approaches</w:t>
      </w:r>
    </w:p>
    <w:p w14:paraId="7E7E628C" w14:textId="00AFC38B" w:rsidR="009D16EF" w:rsidRPr="00462DD2" w:rsidRDefault="009D16EF" w:rsidP="009D16EF">
      <w:pPr>
        <w:spacing w:after="200" w:line="276" w:lineRule="auto"/>
        <w:jc w:val="both"/>
        <w:rPr>
          <w:rFonts w:ascii="Arial" w:hAnsi="Arial" w:cs="Arial"/>
          <w:sz w:val="24"/>
          <w:szCs w:val="24"/>
        </w:rPr>
      </w:pPr>
      <w:r w:rsidRPr="00462DD2">
        <w:rPr>
          <w:rFonts w:ascii="Arial" w:hAnsi="Arial" w:cs="Arial"/>
          <w:sz w:val="24"/>
          <w:szCs w:val="24"/>
        </w:rPr>
        <w:tab/>
        <w:t>Microbial approaches range from single beneficial strains, through defined multi-strain consortia, to fully synthetic microbial communities (</w:t>
      </w:r>
      <w:proofErr w:type="spellStart"/>
      <w:r w:rsidRPr="00462DD2">
        <w:rPr>
          <w:rFonts w:ascii="Arial" w:hAnsi="Arial" w:cs="Arial"/>
          <w:sz w:val="24"/>
          <w:szCs w:val="24"/>
        </w:rPr>
        <w:t>SynComs</w:t>
      </w:r>
      <w:proofErr w:type="spellEnd"/>
      <w:r w:rsidRPr="00462DD2">
        <w:rPr>
          <w:rFonts w:ascii="Arial" w:hAnsi="Arial" w:cs="Arial"/>
          <w:sz w:val="24"/>
          <w:szCs w:val="24"/>
        </w:rPr>
        <w:t xml:space="preserve">) assembled from characterised isolates. Single-strain inoculants remain the most commercially mature option but, as discussed throughout this review, are most vulnerable to colonisation failure and inconsistent field performance. Microbial consortia composed of a small number of complementary, well-characterised strains represent an intermediate step, exploiting functional complementarity for example, pairing a strain strong in nutrient competition with one strong in direct antibiosis without the full ecological complexity (and design difficulty) of a large </w:t>
      </w:r>
      <w:proofErr w:type="spellStart"/>
      <w:r w:rsidRPr="00462DD2">
        <w:rPr>
          <w:rFonts w:ascii="Arial" w:hAnsi="Arial" w:cs="Arial"/>
          <w:sz w:val="24"/>
          <w:szCs w:val="24"/>
        </w:rPr>
        <w:t>SynCom</w:t>
      </w:r>
      <w:proofErr w:type="spellEnd"/>
      <w:r w:rsidRPr="00462DD2">
        <w:rPr>
          <w:rFonts w:ascii="Arial" w:hAnsi="Arial" w:cs="Arial"/>
          <w:sz w:val="24"/>
          <w:szCs w:val="24"/>
        </w:rPr>
        <w:t xml:space="preserve">. Fully synthetic communities, discussed in depth in Section 10, are constructed either top-down (isolating and reassembling native community members) or bottom-up (assembling well-characterised strains chosen for specific functional traits), and increasingly target identified keystone or functionally central taxa rather than the most numerically abundant ones. Advantages of microbial approaches include mechanistic tractability and relatively short development timelines compared with breeding; limitations include the </w:t>
      </w:r>
      <w:proofErr w:type="spellStart"/>
      <w:r w:rsidRPr="00462DD2">
        <w:rPr>
          <w:rFonts w:ascii="Arial" w:hAnsi="Arial" w:cs="Arial"/>
          <w:sz w:val="24"/>
          <w:szCs w:val="24"/>
        </w:rPr>
        <w:t>culturability</w:t>
      </w:r>
      <w:proofErr w:type="spellEnd"/>
      <w:r w:rsidRPr="00462DD2">
        <w:rPr>
          <w:rFonts w:ascii="Arial" w:hAnsi="Arial" w:cs="Arial"/>
          <w:sz w:val="24"/>
          <w:szCs w:val="24"/>
        </w:rPr>
        <w:t xml:space="preserve"> bottleneck (well under 2% of environmental microorganisms are readily cultured under standard laboratory conditions, restricting the diversity available for consortium design), and the well-documented gap between controlled-condition and field performance (Zhang, 2024).</w:t>
      </w:r>
    </w:p>
    <w:p w14:paraId="7F8ECB7A" w14:textId="4C09A2F6" w:rsidR="008E2FB9" w:rsidRPr="00462DD2" w:rsidRDefault="008E2FB9" w:rsidP="009D16EF">
      <w:pPr>
        <w:spacing w:after="200" w:line="276" w:lineRule="auto"/>
        <w:jc w:val="both"/>
        <w:rPr>
          <w:rFonts w:ascii="Arial" w:hAnsi="Arial" w:cs="Arial"/>
          <w:b/>
          <w:bCs/>
          <w:sz w:val="24"/>
          <w:szCs w:val="24"/>
        </w:rPr>
      </w:pPr>
      <w:r w:rsidRPr="00462DD2">
        <w:rPr>
          <w:rFonts w:ascii="Arial" w:hAnsi="Arial" w:cs="Arial"/>
          <w:b/>
          <w:bCs/>
          <w:sz w:val="24"/>
          <w:szCs w:val="24"/>
        </w:rPr>
        <w:t xml:space="preserve">8.3 </w:t>
      </w:r>
      <w:r w:rsidR="00C74303" w:rsidRPr="00462DD2">
        <w:rPr>
          <w:rFonts w:ascii="Arial" w:hAnsi="Arial" w:cs="Arial"/>
          <w:b/>
          <w:bCs/>
          <w:sz w:val="24"/>
          <w:szCs w:val="24"/>
        </w:rPr>
        <w:t>Soil and Agricultural Approaches</w:t>
      </w:r>
    </w:p>
    <w:p w14:paraId="71408714" w14:textId="7F541883" w:rsidR="00896CA9" w:rsidRPr="00462DD2" w:rsidRDefault="00EA5E28" w:rsidP="00896CA9">
      <w:pPr>
        <w:spacing w:after="200" w:line="276" w:lineRule="auto"/>
        <w:jc w:val="both"/>
        <w:rPr>
          <w:rFonts w:ascii="Arial" w:hAnsi="Arial" w:cs="Arial"/>
          <w:sz w:val="24"/>
          <w:szCs w:val="24"/>
        </w:rPr>
      </w:pPr>
      <w:r w:rsidRPr="00462DD2">
        <w:rPr>
          <w:rFonts w:ascii="Arial" w:hAnsi="Arial" w:cs="Arial"/>
          <w:sz w:val="24"/>
          <w:szCs w:val="24"/>
        </w:rPr>
        <w:tab/>
      </w:r>
      <w:r w:rsidR="00896CA9" w:rsidRPr="00462DD2">
        <w:rPr>
          <w:rFonts w:ascii="Arial" w:hAnsi="Arial" w:cs="Arial"/>
          <w:sz w:val="24"/>
          <w:szCs w:val="24"/>
        </w:rPr>
        <w:t xml:space="preserve">Soil and agronomic approaches act on the wider environment in which the plant microbiome assembles rather than on any specific microbial strain. Organic amendments (compost, biochar, and carbon-rich co-amendments applied alongside chitin) can reduce the phytotoxic side-effects of otherwise-effective </w:t>
      </w:r>
      <w:proofErr w:type="spellStart"/>
      <w:r w:rsidR="00896CA9" w:rsidRPr="00462DD2">
        <w:rPr>
          <w:rFonts w:ascii="Arial" w:hAnsi="Arial" w:cs="Arial"/>
          <w:sz w:val="24"/>
          <w:szCs w:val="24"/>
        </w:rPr>
        <w:t>nematicidal</w:t>
      </w:r>
      <w:proofErr w:type="spellEnd"/>
      <w:r w:rsidR="00896CA9" w:rsidRPr="00462DD2">
        <w:rPr>
          <w:rFonts w:ascii="Arial" w:hAnsi="Arial" w:cs="Arial"/>
          <w:sz w:val="24"/>
          <w:szCs w:val="24"/>
        </w:rPr>
        <w:t xml:space="preserve"> amendments without compromising their efficacy: in a controlled greenhouse study, </w:t>
      </w:r>
      <w:proofErr w:type="spellStart"/>
      <w:r w:rsidR="00896CA9" w:rsidRPr="00462DD2">
        <w:rPr>
          <w:rFonts w:ascii="Arial" w:hAnsi="Arial" w:cs="Arial"/>
          <w:sz w:val="24"/>
          <w:szCs w:val="24"/>
        </w:rPr>
        <w:t>hemicellulosic</w:t>
      </w:r>
      <w:proofErr w:type="spellEnd"/>
      <w:r w:rsidR="00896CA9" w:rsidRPr="00462DD2">
        <w:rPr>
          <w:rFonts w:ascii="Arial" w:hAnsi="Arial" w:cs="Arial"/>
          <w:sz w:val="24"/>
          <w:szCs w:val="24"/>
        </w:rPr>
        <w:t xml:space="preserve"> waste (HW) from the paper pulp industry, applied together with chitin to soil infested with the root-knot nematode </w:t>
      </w:r>
      <w:r w:rsidR="00896CA9" w:rsidRPr="00462DD2">
        <w:rPr>
          <w:rFonts w:ascii="Arial" w:hAnsi="Arial" w:cs="Arial"/>
          <w:i/>
          <w:iCs/>
          <w:sz w:val="24"/>
          <w:szCs w:val="24"/>
        </w:rPr>
        <w:t>Meloidogyne arenaria</w:t>
      </w:r>
      <w:r w:rsidR="00896CA9" w:rsidRPr="00462DD2">
        <w:rPr>
          <w:rFonts w:ascii="Arial" w:hAnsi="Arial" w:cs="Arial"/>
          <w:sz w:val="24"/>
          <w:szCs w:val="24"/>
        </w:rPr>
        <w:t xml:space="preserve">, improved seedling survival and plant growth relative to chitin alone apparently through immobilisation of excess ammonia-derived nitrogen by HW-stimulated microbial activity and a buffering effect on soil </w:t>
      </w:r>
      <w:r w:rsidR="006C2253" w:rsidRPr="00462DD2">
        <w:rPr>
          <w:rFonts w:ascii="Arial" w:hAnsi="Arial" w:cs="Arial"/>
          <w:sz w:val="24"/>
          <w:szCs w:val="24"/>
        </w:rPr>
        <w:t>Ph,</w:t>
      </w:r>
      <w:r w:rsidR="00896CA9" w:rsidRPr="00462DD2">
        <w:rPr>
          <w:rFonts w:ascii="Arial" w:hAnsi="Arial" w:cs="Arial"/>
          <w:sz w:val="24"/>
          <w:szCs w:val="24"/>
        </w:rPr>
        <w:t xml:space="preserve"> while chitin's </w:t>
      </w:r>
      <w:r w:rsidR="00896CA9" w:rsidRPr="00462DD2">
        <w:rPr>
          <w:rFonts w:ascii="Arial" w:hAnsi="Arial" w:cs="Arial"/>
          <w:sz w:val="24"/>
          <w:szCs w:val="24"/>
        </w:rPr>
        <w:lastRenderedPageBreak/>
        <w:t xml:space="preserve">near-complete suppression of root-knot galling was maintained regardless of the level of HW added (Culbreath </w:t>
      </w:r>
      <w:r w:rsidR="00587082" w:rsidRPr="00462DD2">
        <w:rPr>
          <w:rFonts w:ascii="Arial" w:hAnsi="Arial" w:cs="Arial"/>
          <w:i/>
          <w:iCs/>
          <w:sz w:val="24"/>
          <w:szCs w:val="24"/>
        </w:rPr>
        <w:t>et al.</w:t>
      </w:r>
      <w:r w:rsidR="00896CA9" w:rsidRPr="00462DD2">
        <w:rPr>
          <w:rFonts w:ascii="Arial" w:hAnsi="Arial" w:cs="Arial"/>
          <w:sz w:val="24"/>
          <w:szCs w:val="24"/>
        </w:rPr>
        <w:t>, 1985). Reduced reliance on synthetic agrochemicals, crop rotation, and cover cropping act more diffusely, generally by preventing the community simplification and dysbiosis associated with monoculture and heavy chemical input, and by supporting the soil-borne-legacy effects described in Section 5. These approaches have the strongest track record of practical, farmer-adoptable implementation, precisely because they do not depend on live-microbial products that must survive shipping, storage and field establishment; their principal limitation is a lack of precision</w:t>
      </w:r>
      <w:r w:rsidR="00994808" w:rsidRPr="00462DD2">
        <w:rPr>
          <w:rFonts w:ascii="Arial" w:hAnsi="Arial" w:cs="Arial"/>
          <w:sz w:val="24"/>
          <w:szCs w:val="24"/>
        </w:rPr>
        <w:t xml:space="preserve"> </w:t>
      </w:r>
      <w:r w:rsidR="00896CA9" w:rsidRPr="00462DD2">
        <w:rPr>
          <w:rFonts w:ascii="Arial" w:hAnsi="Arial" w:cs="Arial"/>
          <w:sz w:val="24"/>
          <w:szCs w:val="24"/>
        </w:rPr>
        <w:t>they shift community composition in a generally favourable direction without targeting a specific functional outcome, and their effect size is often smaller and slower to manifest than that of a well-established, targeted microbial intervention.</w:t>
      </w:r>
    </w:p>
    <w:p w14:paraId="5B7BCD2E" w14:textId="538B02E6" w:rsidR="007D786A" w:rsidRPr="00462DD2" w:rsidRDefault="00DF6245" w:rsidP="00EA5E28">
      <w:pPr>
        <w:spacing w:after="200" w:line="276" w:lineRule="auto"/>
        <w:jc w:val="both"/>
        <w:rPr>
          <w:rFonts w:ascii="Arial" w:hAnsi="Arial" w:cs="Arial"/>
          <w:b/>
          <w:bCs/>
          <w:sz w:val="24"/>
          <w:szCs w:val="24"/>
        </w:rPr>
      </w:pPr>
      <w:r w:rsidRPr="00462DD2">
        <w:rPr>
          <w:rFonts w:ascii="Arial" w:hAnsi="Arial" w:cs="Arial"/>
          <w:b/>
          <w:bCs/>
          <w:sz w:val="24"/>
          <w:szCs w:val="24"/>
        </w:rPr>
        <w:t>8.4 Precision Approaches</w:t>
      </w:r>
    </w:p>
    <w:p w14:paraId="4619C692" w14:textId="284EAA2E" w:rsidR="00670522" w:rsidRPr="00462DD2" w:rsidRDefault="00670522" w:rsidP="00670522">
      <w:pPr>
        <w:spacing w:after="200" w:line="276" w:lineRule="auto"/>
        <w:jc w:val="both"/>
        <w:rPr>
          <w:rFonts w:ascii="Arial" w:hAnsi="Arial" w:cs="Arial"/>
          <w:sz w:val="24"/>
          <w:szCs w:val="24"/>
        </w:rPr>
      </w:pPr>
      <w:r w:rsidRPr="00462DD2">
        <w:rPr>
          <w:rFonts w:ascii="Arial" w:hAnsi="Arial" w:cs="Arial"/>
          <w:sz w:val="24"/>
          <w:szCs w:val="24"/>
        </w:rPr>
        <w:tab/>
        <w:t>Precision approaches represent the convergence point of the other three categories, using omics-derived data and computational modelling to guide microbiome engineering, metabolite-guided recruitment, and increasingly machine-learning-assisted community design. Metabolite-guided recruitment strategies use knowledge of specific plant-exuded recruitment signals (e.g., the MYB72-dependent coumarin pathway that recruits ISR-inducing root bacteria in Arabidopsis) to design amendments or breeding targets that amplify a known, mechanistically characterised recruitment pathway (</w:t>
      </w:r>
      <w:proofErr w:type="spellStart"/>
      <w:r w:rsidRPr="00462DD2">
        <w:rPr>
          <w:rFonts w:ascii="Arial" w:hAnsi="Arial" w:cs="Arial"/>
          <w:sz w:val="24"/>
          <w:szCs w:val="24"/>
        </w:rPr>
        <w:t>Stringlis</w:t>
      </w:r>
      <w:proofErr w:type="spellEnd"/>
      <w:r w:rsidRPr="00462DD2">
        <w:rPr>
          <w:rFonts w:ascii="Arial" w:hAnsi="Arial" w:cs="Arial"/>
          <w:sz w:val="24"/>
          <w:szCs w:val="24"/>
        </w:rPr>
        <w:t xml:space="preserve"> </w:t>
      </w:r>
      <w:r w:rsidR="00587082" w:rsidRPr="00462DD2">
        <w:rPr>
          <w:rFonts w:ascii="Arial" w:hAnsi="Arial" w:cs="Arial"/>
          <w:i/>
          <w:iCs/>
          <w:sz w:val="24"/>
          <w:szCs w:val="24"/>
        </w:rPr>
        <w:t>et al.</w:t>
      </w:r>
      <w:r w:rsidRPr="00462DD2">
        <w:rPr>
          <w:rFonts w:ascii="Arial" w:hAnsi="Arial" w:cs="Arial"/>
          <w:sz w:val="24"/>
          <w:szCs w:val="24"/>
        </w:rPr>
        <w:t xml:space="preserve">, 2018). Omics-guided microbial selection uses metagenomic, network and machine-learning analysis of natural disease-suppressive systems to identify candidate keystone taxa for inclusion in synthetic communities, rather than selecting strains purely on the basis of </w:t>
      </w:r>
      <w:r w:rsidRPr="00462DD2">
        <w:rPr>
          <w:rFonts w:ascii="Arial" w:hAnsi="Arial" w:cs="Arial"/>
          <w:i/>
          <w:iCs/>
          <w:sz w:val="24"/>
          <w:szCs w:val="24"/>
        </w:rPr>
        <w:t>in vitro</w:t>
      </w:r>
      <w:r w:rsidRPr="00462DD2">
        <w:rPr>
          <w:rFonts w:ascii="Arial" w:hAnsi="Arial" w:cs="Arial"/>
          <w:sz w:val="24"/>
          <w:szCs w:val="24"/>
        </w:rPr>
        <w:t xml:space="preserve"> antagonism assays, as illustrated by the network and random-forest-guided </w:t>
      </w:r>
      <w:proofErr w:type="spellStart"/>
      <w:r w:rsidRPr="00462DD2">
        <w:rPr>
          <w:rFonts w:ascii="Arial" w:hAnsi="Arial" w:cs="Arial"/>
          <w:sz w:val="24"/>
          <w:szCs w:val="24"/>
        </w:rPr>
        <w:t>SynCom</w:t>
      </w:r>
      <w:proofErr w:type="spellEnd"/>
      <w:r w:rsidRPr="00462DD2">
        <w:rPr>
          <w:rFonts w:ascii="Arial" w:hAnsi="Arial" w:cs="Arial"/>
          <w:sz w:val="24"/>
          <w:szCs w:val="24"/>
        </w:rPr>
        <w:t xml:space="preserve"> design used in tomato Fusarium-wilt suppression research (Zhou </w:t>
      </w:r>
      <w:r w:rsidR="00587082" w:rsidRPr="00462DD2">
        <w:rPr>
          <w:rFonts w:ascii="Arial" w:hAnsi="Arial" w:cs="Arial"/>
          <w:i/>
          <w:iCs/>
          <w:sz w:val="24"/>
          <w:szCs w:val="24"/>
        </w:rPr>
        <w:t>et al.</w:t>
      </w:r>
      <w:r w:rsidRPr="00462DD2">
        <w:rPr>
          <w:rFonts w:ascii="Arial" w:hAnsi="Arial" w:cs="Arial"/>
          <w:sz w:val="24"/>
          <w:szCs w:val="24"/>
        </w:rPr>
        <w:t>, 2022). These approaches are the most scientifically ambitious of the four categories</w:t>
      </w:r>
      <w:r w:rsidR="000A5066" w:rsidRPr="00462DD2">
        <w:rPr>
          <w:rFonts w:ascii="Arial" w:hAnsi="Arial" w:cs="Arial"/>
          <w:sz w:val="24"/>
          <w:szCs w:val="24"/>
        </w:rPr>
        <w:t>,</w:t>
      </w:r>
      <w:r w:rsidRPr="00462DD2">
        <w:rPr>
          <w:rFonts w:ascii="Arial" w:hAnsi="Arial" w:cs="Arial"/>
          <w:sz w:val="24"/>
          <w:szCs w:val="24"/>
        </w:rPr>
        <w:t xml:space="preserve"> and the least commercially mature; their principal current limitation is that most of the underlying models remain descriptive or predictive within the specific system they were trained on, with limited demonstrated transferability to new crop</w:t>
      </w:r>
      <w:r w:rsidR="000A5066" w:rsidRPr="00462DD2">
        <w:rPr>
          <w:rFonts w:ascii="Arial" w:hAnsi="Arial" w:cs="Arial"/>
          <w:sz w:val="24"/>
          <w:szCs w:val="24"/>
        </w:rPr>
        <w:t>-</w:t>
      </w:r>
      <w:r w:rsidRPr="00462DD2">
        <w:rPr>
          <w:rFonts w:ascii="Arial" w:hAnsi="Arial" w:cs="Arial"/>
          <w:sz w:val="24"/>
          <w:szCs w:val="24"/>
        </w:rPr>
        <w:t>pathogen</w:t>
      </w:r>
      <w:r w:rsidR="000A5066" w:rsidRPr="00462DD2">
        <w:rPr>
          <w:rFonts w:ascii="Arial" w:hAnsi="Arial" w:cs="Arial"/>
          <w:sz w:val="24"/>
          <w:szCs w:val="24"/>
        </w:rPr>
        <w:t>-</w:t>
      </w:r>
      <w:r w:rsidRPr="00462DD2">
        <w:rPr>
          <w:rFonts w:ascii="Arial" w:hAnsi="Arial" w:cs="Arial"/>
          <w:sz w:val="24"/>
          <w:szCs w:val="24"/>
        </w:rPr>
        <w:t>soil combinations a translation gap discussed further in Sections 10, 13 and 14.</w:t>
      </w:r>
    </w:p>
    <w:p w14:paraId="50076CF0" w14:textId="72EA822E" w:rsidR="00ED4096" w:rsidRPr="00462DD2" w:rsidRDefault="00E15619" w:rsidP="00670522">
      <w:pPr>
        <w:spacing w:after="200" w:line="276" w:lineRule="auto"/>
        <w:jc w:val="both"/>
        <w:rPr>
          <w:rFonts w:ascii="Arial" w:hAnsi="Arial" w:cs="Arial"/>
          <w:b/>
          <w:bCs/>
          <w:sz w:val="24"/>
          <w:szCs w:val="24"/>
        </w:rPr>
      </w:pPr>
      <w:r w:rsidRPr="00462DD2">
        <w:rPr>
          <w:rFonts w:ascii="Arial" w:hAnsi="Arial" w:cs="Arial"/>
          <w:b/>
          <w:bCs/>
          <w:sz w:val="24"/>
          <w:szCs w:val="24"/>
        </w:rPr>
        <w:t>9. OMICS AND TECHNOLOGICAL TOOLS FOR MICROBIOME REPROGRAMMING</w:t>
      </w:r>
    </w:p>
    <w:p w14:paraId="76F79F5B" w14:textId="20707526" w:rsidR="00627BB4" w:rsidRPr="00462DD2" w:rsidRDefault="00627BB4" w:rsidP="00627BB4">
      <w:pPr>
        <w:spacing w:after="200" w:line="276" w:lineRule="auto"/>
        <w:jc w:val="both"/>
        <w:rPr>
          <w:rFonts w:ascii="Arial" w:hAnsi="Arial" w:cs="Arial"/>
          <w:sz w:val="24"/>
          <w:szCs w:val="24"/>
        </w:rPr>
      </w:pPr>
      <w:r w:rsidRPr="00462DD2">
        <w:rPr>
          <w:rFonts w:ascii="Arial" w:hAnsi="Arial" w:cs="Arial"/>
          <w:sz w:val="24"/>
          <w:szCs w:val="24"/>
        </w:rPr>
        <w:tab/>
        <w:t>Successive generations of omics technology have moved plant microbiome research along a trajectory from description, through prediction, toward mechanism and, in a still-limited number of cases, intervention. Amplicon (16S rRNA, ITS) sequencing and shotgun metagenomics established the descriptive baseline</w:t>
      </w:r>
      <w:r w:rsidR="00C62EDA" w:rsidRPr="00462DD2">
        <w:rPr>
          <w:rFonts w:ascii="Arial" w:hAnsi="Arial" w:cs="Arial"/>
          <w:sz w:val="24"/>
          <w:szCs w:val="24"/>
        </w:rPr>
        <w:t xml:space="preserve"> of </w:t>
      </w:r>
      <w:r w:rsidRPr="00462DD2">
        <w:rPr>
          <w:rFonts w:ascii="Arial" w:hAnsi="Arial" w:cs="Arial"/>
          <w:sz w:val="24"/>
          <w:szCs w:val="24"/>
        </w:rPr>
        <w:t>who is present, and at what relative abundance</w:t>
      </w:r>
      <w:r w:rsidR="00C62EDA" w:rsidRPr="00462DD2">
        <w:rPr>
          <w:rFonts w:ascii="Arial" w:hAnsi="Arial" w:cs="Arial"/>
          <w:sz w:val="24"/>
          <w:szCs w:val="24"/>
        </w:rPr>
        <w:t>,</w:t>
      </w:r>
      <w:r w:rsidRPr="00462DD2">
        <w:rPr>
          <w:rFonts w:ascii="Arial" w:hAnsi="Arial" w:cs="Arial"/>
          <w:sz w:val="24"/>
          <w:szCs w:val="24"/>
        </w:rPr>
        <w:t xml:space="preserve"> that underlies most of the disease-suppressive-soil literature reviewed in Sections 1 and 3. </w:t>
      </w:r>
      <w:proofErr w:type="spellStart"/>
      <w:r w:rsidRPr="00462DD2">
        <w:rPr>
          <w:rFonts w:ascii="Arial" w:hAnsi="Arial" w:cs="Arial"/>
          <w:sz w:val="24"/>
          <w:szCs w:val="24"/>
        </w:rPr>
        <w:t>Metatranscriptomics</w:t>
      </w:r>
      <w:proofErr w:type="spellEnd"/>
      <w:r w:rsidRPr="00462DD2">
        <w:rPr>
          <w:rFonts w:ascii="Arial" w:hAnsi="Arial" w:cs="Arial"/>
          <w:sz w:val="24"/>
          <w:szCs w:val="24"/>
        </w:rPr>
        <w:t xml:space="preserve"> and </w:t>
      </w:r>
      <w:proofErr w:type="spellStart"/>
      <w:r w:rsidRPr="00462DD2">
        <w:rPr>
          <w:rFonts w:ascii="Arial" w:hAnsi="Arial" w:cs="Arial"/>
          <w:sz w:val="24"/>
          <w:szCs w:val="24"/>
        </w:rPr>
        <w:t>metaproteomics</w:t>
      </w:r>
      <w:proofErr w:type="spellEnd"/>
      <w:r w:rsidRPr="00462DD2">
        <w:rPr>
          <w:rFonts w:ascii="Arial" w:hAnsi="Arial" w:cs="Arial"/>
          <w:sz w:val="24"/>
          <w:szCs w:val="24"/>
        </w:rPr>
        <w:t xml:space="preserve"> extend this to what the community is actively expressing under a given condition, providing evidence closer to function than composition alone; the demonstration that pathogen challenge activates chitinase, NRPS and PKS gene expression specifically within plant-enriched, disease-suppressive bacterial taxa (Section 6) depended on this class of tool. Metabolomics closes part of the gap between gene expression and phenotype by characterising the small-molecule signals</w:t>
      </w:r>
      <w:r w:rsidR="00C62EDA" w:rsidRPr="00462DD2">
        <w:rPr>
          <w:rFonts w:ascii="Arial" w:hAnsi="Arial" w:cs="Arial"/>
          <w:sz w:val="24"/>
          <w:szCs w:val="24"/>
        </w:rPr>
        <w:t xml:space="preserve"> </w:t>
      </w:r>
      <w:r w:rsidRPr="00462DD2">
        <w:rPr>
          <w:rFonts w:ascii="Arial" w:hAnsi="Arial" w:cs="Arial"/>
          <w:sz w:val="24"/>
          <w:szCs w:val="24"/>
        </w:rPr>
        <w:t>root exudate components, microbial secondary metabolites that mediate plant</w:t>
      </w:r>
      <w:r w:rsidR="00C62EDA" w:rsidRPr="00462DD2">
        <w:rPr>
          <w:rFonts w:ascii="Arial" w:hAnsi="Arial" w:cs="Arial"/>
          <w:sz w:val="24"/>
          <w:szCs w:val="24"/>
        </w:rPr>
        <w:t>-</w:t>
      </w:r>
      <w:r w:rsidRPr="00462DD2">
        <w:rPr>
          <w:rFonts w:ascii="Arial" w:hAnsi="Arial" w:cs="Arial"/>
          <w:sz w:val="24"/>
          <w:szCs w:val="24"/>
        </w:rPr>
        <w:t>microbe and microbe</w:t>
      </w:r>
      <w:r w:rsidR="00C62EDA" w:rsidRPr="00462DD2">
        <w:rPr>
          <w:rFonts w:ascii="Arial" w:hAnsi="Arial" w:cs="Arial"/>
          <w:sz w:val="24"/>
          <w:szCs w:val="24"/>
        </w:rPr>
        <w:t>-</w:t>
      </w:r>
      <w:r w:rsidRPr="00462DD2">
        <w:rPr>
          <w:rFonts w:ascii="Arial" w:hAnsi="Arial" w:cs="Arial"/>
          <w:sz w:val="24"/>
          <w:szCs w:val="24"/>
        </w:rPr>
        <w:t xml:space="preserve">microbe </w:t>
      </w:r>
      <w:r w:rsidR="00D26B6D" w:rsidRPr="00462DD2">
        <w:rPr>
          <w:rFonts w:ascii="Arial" w:hAnsi="Arial" w:cs="Arial"/>
          <w:sz w:val="24"/>
          <w:szCs w:val="24"/>
        </w:rPr>
        <w:t>communication and</w:t>
      </w:r>
      <w:r w:rsidRPr="00462DD2">
        <w:rPr>
          <w:rFonts w:ascii="Arial" w:hAnsi="Arial" w:cs="Arial"/>
          <w:sz w:val="24"/>
          <w:szCs w:val="24"/>
        </w:rPr>
        <w:t xml:space="preserve"> has been central to identifying specific recruitment signals such as the cucumber citric acid/tryptophan shift or the tomato 3-hydroxyflavone/riboflavin signal described in Section 5.</w:t>
      </w:r>
      <w:r w:rsidR="0034039E" w:rsidRPr="00462DD2">
        <w:rPr>
          <w:rFonts w:ascii="Arial" w:hAnsi="Arial" w:cs="Arial"/>
          <w:sz w:val="24"/>
          <w:szCs w:val="24"/>
        </w:rPr>
        <w:t xml:space="preserve"> </w:t>
      </w:r>
      <w:r w:rsidRPr="00462DD2">
        <w:rPr>
          <w:rFonts w:ascii="Arial" w:hAnsi="Arial" w:cs="Arial"/>
          <w:sz w:val="24"/>
          <w:szCs w:val="24"/>
        </w:rPr>
        <w:t>Culturomics</w:t>
      </w:r>
      <w:r w:rsidR="0034039E" w:rsidRPr="00462DD2">
        <w:rPr>
          <w:rFonts w:ascii="Arial" w:hAnsi="Arial" w:cs="Arial"/>
          <w:sz w:val="24"/>
          <w:szCs w:val="24"/>
        </w:rPr>
        <w:t xml:space="preserve">; </w:t>
      </w:r>
      <w:r w:rsidRPr="00462DD2">
        <w:rPr>
          <w:rFonts w:ascii="Arial" w:hAnsi="Arial" w:cs="Arial"/>
          <w:sz w:val="24"/>
          <w:szCs w:val="24"/>
        </w:rPr>
        <w:t>high-throughput, often miniaturised cultivation approaches designed to recover previously unculturable taxa addresses a persistent structural limitation of the field</w:t>
      </w:r>
      <w:r w:rsidR="00A10B3A" w:rsidRPr="00462DD2">
        <w:rPr>
          <w:rFonts w:ascii="Arial" w:hAnsi="Arial" w:cs="Arial"/>
          <w:sz w:val="24"/>
          <w:szCs w:val="24"/>
        </w:rPr>
        <w:t>,</w:t>
      </w:r>
      <w:r w:rsidRPr="00462DD2">
        <w:rPr>
          <w:rFonts w:ascii="Arial" w:hAnsi="Arial" w:cs="Arial"/>
          <w:sz w:val="24"/>
          <w:szCs w:val="24"/>
        </w:rPr>
        <w:t xml:space="preserve"> because well under 2% of environmental microbial diversity is captured by standard culture methods, most functional validation and </w:t>
      </w:r>
      <w:proofErr w:type="spellStart"/>
      <w:r w:rsidRPr="00462DD2">
        <w:rPr>
          <w:rFonts w:ascii="Arial" w:hAnsi="Arial" w:cs="Arial"/>
          <w:sz w:val="24"/>
          <w:szCs w:val="24"/>
        </w:rPr>
        <w:t>SynCom</w:t>
      </w:r>
      <w:proofErr w:type="spellEnd"/>
      <w:r w:rsidRPr="00462DD2">
        <w:rPr>
          <w:rFonts w:ascii="Arial" w:hAnsi="Arial" w:cs="Arial"/>
          <w:sz w:val="24"/>
          <w:szCs w:val="24"/>
        </w:rPr>
        <w:t xml:space="preserve"> assembly is restricted to a narrow, culturable </w:t>
      </w:r>
      <w:r w:rsidRPr="00462DD2">
        <w:rPr>
          <w:rFonts w:ascii="Arial" w:hAnsi="Arial" w:cs="Arial"/>
          <w:sz w:val="24"/>
          <w:szCs w:val="24"/>
        </w:rPr>
        <w:lastRenderedPageBreak/>
        <w:t xml:space="preserve">subset of taxa that may exclude ecologically important </w:t>
      </w:r>
      <w:r w:rsidR="00A10B3A" w:rsidRPr="00462DD2">
        <w:rPr>
          <w:rFonts w:ascii="Arial" w:hAnsi="Arial" w:cs="Arial"/>
          <w:sz w:val="24"/>
          <w:szCs w:val="24"/>
        </w:rPr>
        <w:t>“</w:t>
      </w:r>
      <w:r w:rsidRPr="00462DD2">
        <w:rPr>
          <w:rFonts w:ascii="Arial" w:hAnsi="Arial" w:cs="Arial"/>
          <w:sz w:val="24"/>
          <w:szCs w:val="24"/>
        </w:rPr>
        <w:t>pioneer</w:t>
      </w:r>
      <w:r w:rsidR="00A10B3A" w:rsidRPr="00462DD2">
        <w:rPr>
          <w:rFonts w:ascii="Arial" w:hAnsi="Arial" w:cs="Arial"/>
          <w:sz w:val="24"/>
          <w:szCs w:val="24"/>
        </w:rPr>
        <w:t xml:space="preserve">” </w:t>
      </w:r>
      <w:r w:rsidRPr="00462DD2">
        <w:rPr>
          <w:rFonts w:ascii="Arial" w:hAnsi="Arial" w:cs="Arial"/>
          <w:sz w:val="24"/>
          <w:szCs w:val="24"/>
        </w:rPr>
        <w:t xml:space="preserve">organisms (Zhang, 2024; Zhang </w:t>
      </w:r>
      <w:r w:rsidR="00587082" w:rsidRPr="00462DD2">
        <w:rPr>
          <w:rFonts w:ascii="Arial" w:hAnsi="Arial" w:cs="Arial"/>
          <w:i/>
          <w:iCs/>
          <w:sz w:val="24"/>
          <w:szCs w:val="24"/>
        </w:rPr>
        <w:t>et al.</w:t>
      </w:r>
      <w:r w:rsidRPr="00462DD2">
        <w:rPr>
          <w:rFonts w:ascii="Arial" w:hAnsi="Arial" w:cs="Arial"/>
          <w:sz w:val="24"/>
          <w:szCs w:val="24"/>
        </w:rPr>
        <w:t>, 2021). Network analysis, discussed in Section 3, converts co-occurrence patterns from compositional data into testable hypotheses about keystone taxa and community structure, while genome-resolved metagenomics allows functional gene content to be assigned to specific, even uncultured, community members. Machine learning and multi-omics integration represent the most recent and most rapidly developing layer</w:t>
      </w:r>
      <w:r w:rsidR="004B5CA0" w:rsidRPr="00462DD2">
        <w:rPr>
          <w:rFonts w:ascii="Arial" w:hAnsi="Arial" w:cs="Arial"/>
          <w:sz w:val="24"/>
          <w:szCs w:val="24"/>
        </w:rPr>
        <w:t>.</w:t>
      </w:r>
      <w:r w:rsidRPr="00462DD2">
        <w:rPr>
          <w:rFonts w:ascii="Arial" w:hAnsi="Arial" w:cs="Arial"/>
          <w:sz w:val="24"/>
          <w:szCs w:val="24"/>
        </w:rPr>
        <w:t xml:space="preserve"> </w:t>
      </w:r>
      <w:r w:rsidR="004B5CA0" w:rsidRPr="00462DD2">
        <w:rPr>
          <w:rFonts w:ascii="Arial" w:hAnsi="Arial" w:cs="Arial"/>
          <w:sz w:val="24"/>
          <w:szCs w:val="24"/>
        </w:rPr>
        <w:t>Recurrent</w:t>
      </w:r>
      <w:r w:rsidRPr="00462DD2">
        <w:rPr>
          <w:rFonts w:ascii="Arial" w:hAnsi="Arial" w:cs="Arial"/>
          <w:sz w:val="24"/>
          <w:szCs w:val="24"/>
        </w:rPr>
        <w:t xml:space="preserve"> neural network and related approaches have been used to predict multifunctional community dynamics in analogous microbiome systems, and machine-learning-assisted analysis of community patterns has been used explicitly to identify microbiota configurations important for plant protection in synthetic community experiments (Baranwal </w:t>
      </w:r>
      <w:r w:rsidR="00587082" w:rsidRPr="00462DD2">
        <w:rPr>
          <w:rFonts w:ascii="Arial" w:hAnsi="Arial" w:cs="Arial"/>
          <w:i/>
          <w:iCs/>
          <w:sz w:val="24"/>
          <w:szCs w:val="24"/>
        </w:rPr>
        <w:t>et al.</w:t>
      </w:r>
      <w:r w:rsidRPr="00462DD2">
        <w:rPr>
          <w:rFonts w:ascii="Arial" w:hAnsi="Arial" w:cs="Arial"/>
          <w:sz w:val="24"/>
          <w:szCs w:val="24"/>
        </w:rPr>
        <w:t xml:space="preserve">, 2022; Emmenegger </w:t>
      </w:r>
      <w:r w:rsidR="00587082" w:rsidRPr="00462DD2">
        <w:rPr>
          <w:rFonts w:ascii="Arial" w:hAnsi="Arial" w:cs="Arial"/>
          <w:i/>
          <w:iCs/>
          <w:sz w:val="24"/>
          <w:szCs w:val="24"/>
        </w:rPr>
        <w:t>et al.</w:t>
      </w:r>
      <w:r w:rsidRPr="00462DD2">
        <w:rPr>
          <w:rFonts w:ascii="Arial" w:hAnsi="Arial" w:cs="Arial"/>
          <w:sz w:val="24"/>
          <w:szCs w:val="24"/>
        </w:rPr>
        <w:t>, 2023).</w:t>
      </w:r>
    </w:p>
    <w:p w14:paraId="57C66A16" w14:textId="7939DE3E" w:rsidR="00C9762B" w:rsidRPr="00462DD2" w:rsidRDefault="004B5CA0" w:rsidP="00C9762B">
      <w:pPr>
        <w:spacing w:after="200" w:line="276" w:lineRule="auto"/>
        <w:jc w:val="both"/>
        <w:rPr>
          <w:rFonts w:ascii="Arial" w:hAnsi="Arial" w:cs="Arial"/>
          <w:sz w:val="24"/>
          <w:szCs w:val="24"/>
        </w:rPr>
      </w:pPr>
      <w:r w:rsidRPr="00462DD2">
        <w:rPr>
          <w:rFonts w:ascii="Arial" w:hAnsi="Arial" w:cs="Arial"/>
          <w:sz w:val="24"/>
          <w:szCs w:val="24"/>
        </w:rPr>
        <w:tab/>
      </w:r>
      <w:r w:rsidR="00627BB4" w:rsidRPr="00462DD2">
        <w:rPr>
          <w:rFonts w:ascii="Arial" w:hAnsi="Arial" w:cs="Arial"/>
          <w:sz w:val="24"/>
          <w:szCs w:val="24"/>
        </w:rPr>
        <w:t xml:space="preserve">The trajectory from description to intervention is real but uneven across these tool classes: amplicon sequencing and network analysis are mature and widely applied; </w:t>
      </w:r>
      <w:proofErr w:type="spellStart"/>
      <w:r w:rsidR="00627BB4" w:rsidRPr="00462DD2">
        <w:rPr>
          <w:rFonts w:ascii="Arial" w:hAnsi="Arial" w:cs="Arial"/>
          <w:sz w:val="24"/>
          <w:szCs w:val="24"/>
        </w:rPr>
        <w:t>metatranscriptomic</w:t>
      </w:r>
      <w:proofErr w:type="spellEnd"/>
      <w:r w:rsidR="00627BB4" w:rsidRPr="00462DD2">
        <w:rPr>
          <w:rFonts w:ascii="Arial" w:hAnsi="Arial" w:cs="Arial"/>
          <w:sz w:val="24"/>
          <w:szCs w:val="24"/>
        </w:rPr>
        <w:t xml:space="preserve"> and metabolomic approaches are increasingly common but still resource-intensive and rarely applied at the field scale needed for agronomic decision-making; and machine-learning-guided </w:t>
      </w:r>
      <w:proofErr w:type="spellStart"/>
      <w:r w:rsidR="00627BB4" w:rsidRPr="00462DD2">
        <w:rPr>
          <w:rFonts w:ascii="Arial" w:hAnsi="Arial" w:cs="Arial"/>
          <w:sz w:val="24"/>
          <w:szCs w:val="24"/>
        </w:rPr>
        <w:t>SynCom</w:t>
      </w:r>
      <w:proofErr w:type="spellEnd"/>
      <w:r w:rsidR="00627BB4" w:rsidRPr="00462DD2">
        <w:rPr>
          <w:rFonts w:ascii="Arial" w:hAnsi="Arial" w:cs="Arial"/>
          <w:sz w:val="24"/>
          <w:szCs w:val="24"/>
        </w:rPr>
        <w:t xml:space="preserve"> design, while conceptually the most direct route to intervention, currently exists mostly as proof-of-concept work in a small number of well-resourced model systems. We caution against treating the existence of these tools as evidence that the field has already achieved predictive, intervention-ready microbiome engineering; the tools have substantially improved the resolution and speed of hypothesis generation, but the translational bottleneck identified throughout this review moving from a mechanistically characterised laboratory system to a reliably functioning field intervention remains largely unresolved by omics advances alone, and is compounded by genuine computational and interpretive challenges: large multi-omics datasets require substantial bioinformatics expertise, many ecologically relevant organisms remain unculturable and therefore functionally unvalidated, and environmental and biological variability continue to complicate cross-study comparison and reproducibility (</w:t>
      </w:r>
      <w:proofErr w:type="spellStart"/>
      <w:r w:rsidR="00627BB4" w:rsidRPr="00462DD2">
        <w:rPr>
          <w:rFonts w:ascii="Arial" w:hAnsi="Arial" w:cs="Arial"/>
          <w:sz w:val="24"/>
          <w:szCs w:val="24"/>
        </w:rPr>
        <w:t>Ngomle</w:t>
      </w:r>
      <w:proofErr w:type="spellEnd"/>
      <w:r w:rsidR="00627BB4" w:rsidRPr="00462DD2">
        <w:rPr>
          <w:rFonts w:ascii="Arial" w:hAnsi="Arial" w:cs="Arial"/>
          <w:sz w:val="24"/>
          <w:szCs w:val="24"/>
        </w:rPr>
        <w:t xml:space="preserve"> </w:t>
      </w:r>
      <w:r w:rsidR="00587082" w:rsidRPr="00462DD2">
        <w:rPr>
          <w:rFonts w:ascii="Arial" w:hAnsi="Arial" w:cs="Arial"/>
          <w:i/>
          <w:iCs/>
          <w:sz w:val="24"/>
          <w:szCs w:val="24"/>
        </w:rPr>
        <w:t>et al.</w:t>
      </w:r>
      <w:r w:rsidR="00627BB4" w:rsidRPr="00462DD2">
        <w:rPr>
          <w:rFonts w:ascii="Arial" w:hAnsi="Arial" w:cs="Arial"/>
          <w:sz w:val="24"/>
          <w:szCs w:val="24"/>
        </w:rPr>
        <w:t>, 2025).</w:t>
      </w:r>
    </w:p>
    <w:p w14:paraId="7506B5BA" w14:textId="6E4CA872" w:rsidR="00C9762B" w:rsidRPr="00462DD2" w:rsidRDefault="00A3139E" w:rsidP="00C9762B">
      <w:pPr>
        <w:spacing w:after="200" w:line="276" w:lineRule="auto"/>
        <w:jc w:val="both"/>
        <w:rPr>
          <w:rFonts w:ascii="Arial" w:hAnsi="Arial" w:cs="Arial"/>
          <w:sz w:val="24"/>
          <w:szCs w:val="24"/>
        </w:rPr>
      </w:pPr>
      <w:r w:rsidRPr="00462DD2">
        <w:rPr>
          <w:rFonts w:ascii="Arial" w:hAnsi="Arial" w:cs="Arial"/>
          <w:b/>
          <w:bCs/>
          <w:sz w:val="24"/>
          <w:szCs w:val="24"/>
        </w:rPr>
        <w:t>10. SYNTHETIC MICROBIAL COMMUNITIES AND MICROBIOME ENGINEERING</w:t>
      </w:r>
    </w:p>
    <w:p w14:paraId="006A9DAF" w14:textId="0CEAECEB" w:rsidR="000561F7" w:rsidRPr="00462DD2" w:rsidRDefault="000561F7" w:rsidP="000561F7">
      <w:pPr>
        <w:spacing w:after="200" w:line="276" w:lineRule="auto"/>
        <w:jc w:val="both"/>
        <w:rPr>
          <w:rFonts w:ascii="Arial" w:hAnsi="Arial" w:cs="Arial"/>
          <w:sz w:val="24"/>
          <w:szCs w:val="24"/>
        </w:rPr>
      </w:pPr>
      <w:r w:rsidRPr="00462DD2">
        <w:rPr>
          <w:rFonts w:ascii="Arial" w:hAnsi="Arial" w:cs="Arial"/>
          <w:sz w:val="24"/>
          <w:szCs w:val="24"/>
        </w:rPr>
        <w:tab/>
        <w:t>Synthetic microbial communities (</w:t>
      </w:r>
      <w:proofErr w:type="spellStart"/>
      <w:r w:rsidRPr="00462DD2">
        <w:rPr>
          <w:rFonts w:ascii="Arial" w:hAnsi="Arial" w:cs="Arial"/>
          <w:sz w:val="24"/>
          <w:szCs w:val="24"/>
        </w:rPr>
        <w:t>SynComs</w:t>
      </w:r>
      <w:proofErr w:type="spellEnd"/>
      <w:r w:rsidRPr="00462DD2">
        <w:rPr>
          <w:rFonts w:ascii="Arial" w:hAnsi="Arial" w:cs="Arial"/>
          <w:sz w:val="24"/>
          <w:szCs w:val="24"/>
        </w:rPr>
        <w:t xml:space="preserve">), deliberately assembled, taxonomically and functionally defined sets of microorganisms, are the most concrete current expression of microbiome reprogramming as defined in Section 7, and merit sustained critical attention. Two complementary construction strategies dominate the literature. The top-down approach begins with the native community, from which large numbers of isolates are cultured, individually characterised (often via antagonism assays against a target pathogen), and then reassembled into a community intended to recapture key elements of the original community's ecological structure; the isolation and screening of over 200 native bacterial cultures from healthy Arabidopsis leaves, individually tested and then recombined into synthetic communities that outperformed single strains against </w:t>
      </w:r>
      <w:r w:rsidRPr="00462DD2">
        <w:rPr>
          <w:rFonts w:ascii="Arial" w:hAnsi="Arial" w:cs="Arial"/>
          <w:i/>
          <w:iCs/>
          <w:sz w:val="24"/>
          <w:szCs w:val="24"/>
        </w:rPr>
        <w:t xml:space="preserve">Pseudomonas </w:t>
      </w:r>
      <w:proofErr w:type="spellStart"/>
      <w:r w:rsidRPr="00462DD2">
        <w:rPr>
          <w:rFonts w:ascii="Arial" w:hAnsi="Arial" w:cs="Arial"/>
          <w:i/>
          <w:iCs/>
          <w:sz w:val="24"/>
          <w:szCs w:val="24"/>
        </w:rPr>
        <w:t>syringae</w:t>
      </w:r>
      <w:proofErr w:type="spellEnd"/>
      <w:r w:rsidRPr="00462DD2">
        <w:rPr>
          <w:rFonts w:ascii="Arial" w:hAnsi="Arial" w:cs="Arial"/>
          <w:sz w:val="24"/>
          <w:szCs w:val="24"/>
        </w:rPr>
        <w:t xml:space="preserve">, exemplifies this route and demonstrates that engineered communities can exhibit emergent protective properties absent from any constituent strain acting alone (Vogel </w:t>
      </w:r>
      <w:r w:rsidR="00587082" w:rsidRPr="00462DD2">
        <w:rPr>
          <w:rFonts w:ascii="Arial" w:hAnsi="Arial" w:cs="Arial"/>
          <w:i/>
          <w:iCs/>
          <w:sz w:val="24"/>
          <w:szCs w:val="24"/>
        </w:rPr>
        <w:t>et al.</w:t>
      </w:r>
      <w:r w:rsidRPr="00462DD2">
        <w:rPr>
          <w:rFonts w:ascii="Arial" w:hAnsi="Arial" w:cs="Arial"/>
          <w:sz w:val="24"/>
          <w:szCs w:val="24"/>
        </w:rPr>
        <w:t>, 2021). The bottom-up approach instead begins from a curated set of already well-characterised beneficial strains selected for specific functional traits</w:t>
      </w:r>
      <w:r w:rsidR="006E4756" w:rsidRPr="00462DD2">
        <w:rPr>
          <w:rFonts w:ascii="Arial" w:hAnsi="Arial" w:cs="Arial"/>
          <w:sz w:val="24"/>
          <w:szCs w:val="24"/>
        </w:rPr>
        <w:t xml:space="preserve"> like</w:t>
      </w:r>
      <w:r w:rsidRPr="00462DD2">
        <w:rPr>
          <w:rFonts w:ascii="Arial" w:hAnsi="Arial" w:cs="Arial"/>
          <w:sz w:val="24"/>
          <w:szCs w:val="24"/>
        </w:rPr>
        <w:t xml:space="preserve"> biofilm formation, secondary metabolite production, VOC emission and assembles them, often guided by in silico modelling of predicted ecological interactions, into a community engineered toward a defined outcome; comparative testing of multiple </w:t>
      </w:r>
      <w:proofErr w:type="spellStart"/>
      <w:r w:rsidRPr="00462DD2">
        <w:rPr>
          <w:rFonts w:ascii="Arial" w:hAnsi="Arial" w:cs="Arial"/>
          <w:sz w:val="24"/>
          <w:szCs w:val="24"/>
        </w:rPr>
        <w:t>SynCom</w:t>
      </w:r>
      <w:proofErr w:type="spellEnd"/>
      <w:r w:rsidRPr="00462DD2">
        <w:rPr>
          <w:rFonts w:ascii="Arial" w:hAnsi="Arial" w:cs="Arial"/>
          <w:sz w:val="24"/>
          <w:szCs w:val="24"/>
        </w:rPr>
        <w:t xml:space="preserve"> formulations (including SynCom1, SynCom2 and structured variants) against tomato </w:t>
      </w:r>
      <w:r w:rsidRPr="00462DD2">
        <w:rPr>
          <w:rFonts w:ascii="Arial" w:hAnsi="Arial" w:cs="Arial"/>
          <w:i/>
          <w:iCs/>
          <w:sz w:val="24"/>
          <w:szCs w:val="24"/>
        </w:rPr>
        <w:t xml:space="preserve">Fusarium </w:t>
      </w:r>
      <w:proofErr w:type="spellStart"/>
      <w:r w:rsidRPr="00462DD2">
        <w:rPr>
          <w:rFonts w:ascii="Arial" w:hAnsi="Arial" w:cs="Arial"/>
          <w:i/>
          <w:iCs/>
          <w:sz w:val="24"/>
          <w:szCs w:val="24"/>
        </w:rPr>
        <w:t>oxysporum</w:t>
      </w:r>
      <w:proofErr w:type="spellEnd"/>
      <w:r w:rsidRPr="00462DD2">
        <w:rPr>
          <w:rFonts w:ascii="Arial" w:hAnsi="Arial" w:cs="Arial"/>
          <w:sz w:val="24"/>
          <w:szCs w:val="24"/>
        </w:rPr>
        <w:t xml:space="preserve"> and </w:t>
      </w:r>
      <w:r w:rsidRPr="00462DD2">
        <w:rPr>
          <w:rFonts w:ascii="Arial" w:hAnsi="Arial" w:cs="Arial"/>
          <w:i/>
          <w:iCs/>
          <w:sz w:val="24"/>
          <w:szCs w:val="24"/>
        </w:rPr>
        <w:t>Botrytis cinerea</w:t>
      </w:r>
      <w:r w:rsidRPr="00462DD2">
        <w:rPr>
          <w:rFonts w:ascii="Arial" w:hAnsi="Arial" w:cs="Arial"/>
          <w:sz w:val="24"/>
          <w:szCs w:val="24"/>
        </w:rPr>
        <w:t xml:space="preserve"> found that essentially all tested </w:t>
      </w:r>
      <w:proofErr w:type="spellStart"/>
      <w:r w:rsidRPr="00462DD2">
        <w:rPr>
          <w:rFonts w:ascii="Arial" w:hAnsi="Arial" w:cs="Arial"/>
          <w:sz w:val="24"/>
          <w:szCs w:val="24"/>
        </w:rPr>
        <w:t>SynCom</w:t>
      </w:r>
      <w:proofErr w:type="spellEnd"/>
      <w:r w:rsidRPr="00462DD2">
        <w:rPr>
          <w:rFonts w:ascii="Arial" w:hAnsi="Arial" w:cs="Arial"/>
          <w:sz w:val="24"/>
          <w:szCs w:val="24"/>
        </w:rPr>
        <w:t xml:space="preserve"> formulations, unlike single bacterial isolates, conferred protection above 80% survival against the </w:t>
      </w:r>
      <w:r w:rsidRPr="00462DD2">
        <w:rPr>
          <w:rFonts w:ascii="Arial" w:hAnsi="Arial" w:cs="Arial"/>
          <w:sz w:val="24"/>
          <w:szCs w:val="24"/>
        </w:rPr>
        <w:lastRenderedPageBreak/>
        <w:t>root pathogen, with the strongest formulation reducing foliar lesion development by close to 70% (</w:t>
      </w:r>
      <w:proofErr w:type="spellStart"/>
      <w:r w:rsidRPr="00462DD2">
        <w:rPr>
          <w:rFonts w:ascii="Arial" w:hAnsi="Arial" w:cs="Arial"/>
          <w:sz w:val="24"/>
          <w:szCs w:val="24"/>
        </w:rPr>
        <w:t>Minchev</w:t>
      </w:r>
      <w:proofErr w:type="spellEnd"/>
      <w:r w:rsidRPr="00462DD2">
        <w:rPr>
          <w:rFonts w:ascii="Arial" w:hAnsi="Arial" w:cs="Arial"/>
          <w:sz w:val="24"/>
          <w:szCs w:val="24"/>
        </w:rPr>
        <w:t xml:space="preserve"> </w:t>
      </w:r>
      <w:r w:rsidR="00587082" w:rsidRPr="00462DD2">
        <w:rPr>
          <w:rFonts w:ascii="Arial" w:hAnsi="Arial" w:cs="Arial"/>
          <w:i/>
          <w:iCs/>
          <w:sz w:val="24"/>
          <w:szCs w:val="24"/>
        </w:rPr>
        <w:t>et al.</w:t>
      </w:r>
      <w:r w:rsidRPr="00462DD2">
        <w:rPr>
          <w:rFonts w:ascii="Arial" w:hAnsi="Arial" w:cs="Arial"/>
          <w:sz w:val="24"/>
          <w:szCs w:val="24"/>
        </w:rPr>
        <w:t>, 2021).</w:t>
      </w:r>
    </w:p>
    <w:p w14:paraId="152FF574" w14:textId="3F099B23" w:rsidR="000561F7" w:rsidRPr="00462DD2" w:rsidRDefault="006E4756" w:rsidP="000561F7">
      <w:pPr>
        <w:spacing w:after="200" w:line="276" w:lineRule="auto"/>
        <w:jc w:val="both"/>
        <w:rPr>
          <w:rFonts w:ascii="Arial" w:hAnsi="Arial" w:cs="Arial"/>
          <w:sz w:val="24"/>
          <w:szCs w:val="24"/>
        </w:rPr>
      </w:pPr>
      <w:r w:rsidRPr="00462DD2">
        <w:rPr>
          <w:rFonts w:ascii="Arial" w:hAnsi="Arial" w:cs="Arial"/>
          <w:sz w:val="24"/>
          <w:szCs w:val="24"/>
        </w:rPr>
        <w:tab/>
      </w:r>
      <w:r w:rsidR="000561F7" w:rsidRPr="00462DD2">
        <w:rPr>
          <w:rFonts w:ascii="Arial" w:hAnsi="Arial" w:cs="Arial"/>
          <w:sz w:val="24"/>
          <w:szCs w:val="24"/>
        </w:rPr>
        <w:t xml:space="preserve">Functional complementarity, rather than simple additive strain number, appears to be the operative design principle behind successful </w:t>
      </w:r>
      <w:proofErr w:type="spellStart"/>
      <w:r w:rsidR="000561F7" w:rsidRPr="00462DD2">
        <w:rPr>
          <w:rFonts w:ascii="Arial" w:hAnsi="Arial" w:cs="Arial"/>
          <w:sz w:val="24"/>
          <w:szCs w:val="24"/>
        </w:rPr>
        <w:t>SynComs</w:t>
      </w:r>
      <w:proofErr w:type="spellEnd"/>
      <w:r w:rsidR="000561F7" w:rsidRPr="00462DD2">
        <w:rPr>
          <w:rFonts w:ascii="Arial" w:hAnsi="Arial" w:cs="Arial"/>
          <w:sz w:val="24"/>
          <w:szCs w:val="24"/>
        </w:rPr>
        <w:t xml:space="preserve">. Cross-kingdom communities combining bacterial and fungal members have outperformed single-kingdom consortia against tomato Fusarium wilt, an effect attributed specifically to complementary roles fungal members contributing to community stability and nutrient provisioning, bacterial members supplying direct antimicrobial activity rather than to simple summation of independent antagonistic effects (Zhou </w:t>
      </w:r>
      <w:r w:rsidR="00587082" w:rsidRPr="00462DD2">
        <w:rPr>
          <w:rFonts w:ascii="Arial" w:hAnsi="Arial" w:cs="Arial"/>
          <w:i/>
          <w:iCs/>
          <w:sz w:val="24"/>
          <w:szCs w:val="24"/>
        </w:rPr>
        <w:t>et al.</w:t>
      </w:r>
      <w:r w:rsidR="000561F7" w:rsidRPr="00462DD2">
        <w:rPr>
          <w:rFonts w:ascii="Arial" w:hAnsi="Arial" w:cs="Arial"/>
          <w:sz w:val="24"/>
          <w:szCs w:val="24"/>
        </w:rPr>
        <w:t xml:space="preserve">, 2022). </w:t>
      </w:r>
      <w:proofErr w:type="spellStart"/>
      <w:r w:rsidR="000561F7" w:rsidRPr="00462DD2">
        <w:rPr>
          <w:rFonts w:ascii="Arial" w:hAnsi="Arial" w:cs="Arial"/>
          <w:sz w:val="24"/>
          <w:szCs w:val="24"/>
        </w:rPr>
        <w:t>SynComs</w:t>
      </w:r>
      <w:proofErr w:type="spellEnd"/>
      <w:r w:rsidR="000561F7" w:rsidRPr="00462DD2">
        <w:rPr>
          <w:rFonts w:ascii="Arial" w:hAnsi="Arial" w:cs="Arial"/>
          <w:sz w:val="24"/>
          <w:szCs w:val="24"/>
        </w:rPr>
        <w:t xml:space="preserve"> designed around identified microbial hubs, rather than around the most abundant taxa, have likewise shown greater community complexity, broader metabolic flexibility (including enhanced synthesis of antifungal and antibacterial benzene derivatives and saponins) and improved multi-year field persistence in a two-year monitored trial, reinforcing that keystone-informed design outperforms abundance-informed design</w:t>
      </w:r>
      <w:r w:rsidR="004E39F1" w:rsidRPr="00462DD2">
        <w:rPr>
          <w:rFonts w:ascii="Arial" w:hAnsi="Arial" w:cs="Arial"/>
          <w:sz w:val="24"/>
          <w:szCs w:val="24"/>
        </w:rPr>
        <w:t>.</w:t>
      </w:r>
    </w:p>
    <w:p w14:paraId="6BE8236E" w14:textId="42ADD21E" w:rsidR="000561F7" w:rsidRPr="00462DD2" w:rsidRDefault="006D28FC" w:rsidP="000561F7">
      <w:pPr>
        <w:spacing w:after="200" w:line="276" w:lineRule="auto"/>
        <w:jc w:val="both"/>
        <w:rPr>
          <w:rFonts w:ascii="Arial" w:hAnsi="Arial" w:cs="Arial"/>
          <w:sz w:val="24"/>
          <w:szCs w:val="24"/>
        </w:rPr>
      </w:pPr>
      <w:r w:rsidRPr="00462DD2">
        <w:rPr>
          <w:rFonts w:ascii="Arial" w:hAnsi="Arial" w:cs="Arial"/>
          <w:sz w:val="24"/>
          <w:szCs w:val="24"/>
        </w:rPr>
        <w:tab/>
      </w:r>
      <w:r w:rsidR="000561F7" w:rsidRPr="00462DD2">
        <w:rPr>
          <w:rFonts w:ascii="Arial" w:hAnsi="Arial" w:cs="Arial"/>
          <w:sz w:val="24"/>
          <w:szCs w:val="24"/>
        </w:rPr>
        <w:t xml:space="preserve">Yet the central, and repeatedly documented, limitation of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research is precisely the one anticipated by the field-versus-greenhouse network differences noted in Section 2: a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that performs well, and appears stable, under controlled laboratory or greenhouse conditions frequently loses efficacy, stability or even detectable colonisation when deployed under field conditions. Several converging causes have been identified rather than a single dominant explanation. Loss of key functional members can occur through competitive exclusion by an already-established resident community, which a laboratory-assembled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introduced into sterile or near-sterile substrate, never has to contend with. Niche overlap among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members </w:t>
      </w:r>
      <w:r w:rsidRPr="00462DD2">
        <w:rPr>
          <w:rFonts w:ascii="Arial" w:hAnsi="Arial" w:cs="Arial"/>
          <w:sz w:val="24"/>
          <w:szCs w:val="24"/>
        </w:rPr>
        <w:t xml:space="preserve">and </w:t>
      </w:r>
      <w:r w:rsidR="000561F7" w:rsidRPr="00462DD2">
        <w:rPr>
          <w:rFonts w:ascii="Arial" w:hAnsi="Arial" w:cs="Arial"/>
          <w:sz w:val="24"/>
          <w:szCs w:val="24"/>
        </w:rPr>
        <w:t>competition for the same resource rather than the complementary resource partitioning intended by the design undermines the functional-redundancy logic the community was meant to embody. Environmental stochasticity (drought, temperature fluctuation, soil pH and heterogeneity) shifts which functions are actually expressed and by which members, in ways that laboratory conditions, held artificially constant, cannot anticipate. And evolutionary drift</w:t>
      </w:r>
      <w:r w:rsidR="007F5FFC" w:rsidRPr="00462DD2">
        <w:rPr>
          <w:rFonts w:ascii="Arial" w:hAnsi="Arial" w:cs="Arial"/>
          <w:sz w:val="24"/>
          <w:szCs w:val="24"/>
        </w:rPr>
        <w:t xml:space="preserve"> </w:t>
      </w:r>
      <w:r w:rsidR="000561F7" w:rsidRPr="00462DD2">
        <w:rPr>
          <w:rFonts w:ascii="Arial" w:hAnsi="Arial" w:cs="Arial"/>
          <w:sz w:val="24"/>
          <w:szCs w:val="24"/>
        </w:rPr>
        <w:t xml:space="preserve">genetic change within the introduced population itself, accelerated by horizontal gene transfer in the field can alter community function over a timescale of a single growing season (Trivedi </w:t>
      </w:r>
      <w:r w:rsidR="00587082" w:rsidRPr="00462DD2">
        <w:rPr>
          <w:rFonts w:ascii="Arial" w:hAnsi="Arial" w:cs="Arial"/>
          <w:i/>
          <w:iCs/>
          <w:sz w:val="24"/>
          <w:szCs w:val="24"/>
        </w:rPr>
        <w:t>et al.</w:t>
      </w:r>
      <w:r w:rsidR="000561F7" w:rsidRPr="00462DD2">
        <w:rPr>
          <w:rFonts w:ascii="Arial" w:hAnsi="Arial" w:cs="Arial"/>
          <w:sz w:val="24"/>
          <w:szCs w:val="24"/>
        </w:rPr>
        <w:t xml:space="preserve">, 2020; Berhanu </w:t>
      </w:r>
      <w:r w:rsidR="00587082" w:rsidRPr="00462DD2">
        <w:rPr>
          <w:rFonts w:ascii="Arial" w:hAnsi="Arial" w:cs="Arial"/>
          <w:i/>
          <w:iCs/>
          <w:sz w:val="24"/>
          <w:szCs w:val="24"/>
        </w:rPr>
        <w:t>et al.</w:t>
      </w:r>
      <w:r w:rsidR="000561F7" w:rsidRPr="00462DD2">
        <w:rPr>
          <w:rFonts w:ascii="Arial" w:hAnsi="Arial" w:cs="Arial"/>
          <w:sz w:val="24"/>
          <w:szCs w:val="24"/>
        </w:rPr>
        <w:t>, 2021</w:t>
      </w:r>
      <w:r w:rsidR="00E3357C" w:rsidRPr="00462DD2">
        <w:rPr>
          <w:rFonts w:ascii="Arial" w:hAnsi="Arial" w:cs="Arial"/>
          <w:sz w:val="24"/>
          <w:szCs w:val="24"/>
        </w:rPr>
        <w:t xml:space="preserve">; </w:t>
      </w:r>
      <w:r w:rsidR="00E3357C" w:rsidRPr="00462DD2">
        <w:rPr>
          <w:rFonts w:ascii="Arial" w:hAnsi="Arial" w:cs="Arial"/>
          <w:color w:val="000000" w:themeColor="text1"/>
          <w:sz w:val="24"/>
          <w:szCs w:val="24"/>
        </w:rPr>
        <w:t xml:space="preserve">Delgado-Baquerizo </w:t>
      </w:r>
      <w:r w:rsidR="00587082" w:rsidRPr="00462DD2">
        <w:rPr>
          <w:rFonts w:ascii="Arial" w:hAnsi="Arial" w:cs="Arial"/>
          <w:i/>
          <w:iCs/>
          <w:color w:val="000000" w:themeColor="text1"/>
          <w:sz w:val="24"/>
          <w:szCs w:val="24"/>
        </w:rPr>
        <w:t>et al.</w:t>
      </w:r>
      <w:r w:rsidR="00E3357C" w:rsidRPr="00462DD2">
        <w:rPr>
          <w:rFonts w:ascii="Arial" w:hAnsi="Arial" w:cs="Arial"/>
          <w:color w:val="000000" w:themeColor="text1"/>
          <w:sz w:val="24"/>
          <w:szCs w:val="24"/>
        </w:rPr>
        <w:t>, 2025</w:t>
      </w:r>
      <w:r w:rsidR="001327AB" w:rsidRPr="00462DD2">
        <w:rPr>
          <w:rFonts w:ascii="Arial" w:hAnsi="Arial" w:cs="Arial"/>
          <w:color w:val="000000" w:themeColor="text1"/>
          <w:sz w:val="24"/>
          <w:szCs w:val="24"/>
        </w:rPr>
        <w:t>)</w:t>
      </w:r>
      <w:r w:rsidR="000561F7" w:rsidRPr="00462DD2">
        <w:rPr>
          <w:rFonts w:ascii="Arial" w:hAnsi="Arial" w:cs="Arial"/>
          <w:color w:val="000000" w:themeColor="text1"/>
          <w:sz w:val="24"/>
          <w:szCs w:val="24"/>
        </w:rPr>
        <w:t>.</w:t>
      </w:r>
      <w:r w:rsidR="000561F7" w:rsidRPr="00462DD2">
        <w:rPr>
          <w:rFonts w:ascii="Arial" w:hAnsi="Arial" w:cs="Arial"/>
          <w:sz w:val="24"/>
          <w:szCs w:val="24"/>
        </w:rPr>
        <w:t xml:space="preserve"> Additional structural barriers compound these ecological ones: fewer than 2% of environmental microorganisms are readily culturable, restricting the pool from which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members can be drawn and biasing the field toward a narrow set of model genera (</w:t>
      </w:r>
      <w:r w:rsidR="000561F7" w:rsidRPr="00462DD2">
        <w:rPr>
          <w:rFonts w:ascii="Arial" w:hAnsi="Arial" w:cs="Arial"/>
          <w:i/>
          <w:iCs/>
          <w:sz w:val="24"/>
          <w:szCs w:val="24"/>
        </w:rPr>
        <w:t xml:space="preserve">Bacillus, Pseudomonas, </w:t>
      </w:r>
      <w:proofErr w:type="spellStart"/>
      <w:r w:rsidR="000561F7" w:rsidRPr="00462DD2">
        <w:rPr>
          <w:rFonts w:ascii="Arial" w:hAnsi="Arial" w:cs="Arial"/>
          <w:i/>
          <w:iCs/>
          <w:sz w:val="24"/>
          <w:szCs w:val="24"/>
        </w:rPr>
        <w:t>Azospirillum</w:t>
      </w:r>
      <w:proofErr w:type="spellEnd"/>
      <w:r w:rsidR="000561F7" w:rsidRPr="00462DD2">
        <w:rPr>
          <w:rFonts w:ascii="Arial" w:hAnsi="Arial" w:cs="Arial"/>
          <w:sz w:val="24"/>
          <w:szCs w:val="24"/>
        </w:rPr>
        <w:t xml:space="preserve">); the absence of standardised protocols for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construction, testing and reporting makes cross-study comparison difficult; and international regulatory frameworks for multi-strain, and particularly cross-kingdom or genetically modified, microbial products remain fragmented and in several jurisdictions essentially undefined (Folorunso </w:t>
      </w:r>
      <w:r w:rsidR="00587082" w:rsidRPr="00462DD2">
        <w:rPr>
          <w:rFonts w:ascii="Arial" w:hAnsi="Arial" w:cs="Arial"/>
          <w:i/>
          <w:iCs/>
          <w:sz w:val="24"/>
          <w:szCs w:val="24"/>
        </w:rPr>
        <w:t>et al.</w:t>
      </w:r>
      <w:r w:rsidR="000561F7" w:rsidRPr="00462DD2">
        <w:rPr>
          <w:rFonts w:ascii="Arial" w:hAnsi="Arial" w:cs="Arial"/>
          <w:sz w:val="24"/>
          <w:szCs w:val="24"/>
        </w:rPr>
        <w:t>, 202</w:t>
      </w:r>
      <w:r w:rsidR="003F734C" w:rsidRPr="00462DD2">
        <w:rPr>
          <w:rFonts w:ascii="Arial" w:hAnsi="Arial" w:cs="Arial"/>
          <w:sz w:val="24"/>
          <w:szCs w:val="24"/>
        </w:rPr>
        <w:t>6</w:t>
      </w:r>
      <w:r w:rsidR="000561F7" w:rsidRPr="00462DD2">
        <w:rPr>
          <w:rFonts w:ascii="Arial" w:hAnsi="Arial" w:cs="Arial"/>
          <w:sz w:val="24"/>
          <w:szCs w:val="24"/>
        </w:rPr>
        <w:t xml:space="preserve">; Cui </w:t>
      </w:r>
      <w:r w:rsidR="00587082" w:rsidRPr="00462DD2">
        <w:rPr>
          <w:rFonts w:ascii="Arial" w:hAnsi="Arial" w:cs="Arial"/>
          <w:i/>
          <w:iCs/>
          <w:sz w:val="24"/>
          <w:szCs w:val="24"/>
        </w:rPr>
        <w:t>et al.</w:t>
      </w:r>
      <w:r w:rsidR="000561F7" w:rsidRPr="00462DD2">
        <w:rPr>
          <w:rFonts w:ascii="Arial" w:hAnsi="Arial" w:cs="Arial"/>
          <w:sz w:val="24"/>
          <w:szCs w:val="24"/>
        </w:rPr>
        <w:t>, 202</w:t>
      </w:r>
      <w:r w:rsidR="00926083" w:rsidRPr="00462DD2">
        <w:rPr>
          <w:rFonts w:ascii="Arial" w:hAnsi="Arial" w:cs="Arial"/>
          <w:sz w:val="24"/>
          <w:szCs w:val="24"/>
        </w:rPr>
        <w:t>1</w:t>
      </w:r>
      <w:r w:rsidR="000561F7" w:rsidRPr="00462DD2">
        <w:rPr>
          <w:rFonts w:ascii="Arial" w:hAnsi="Arial" w:cs="Arial"/>
          <w:sz w:val="24"/>
          <w:szCs w:val="24"/>
        </w:rPr>
        <w:t>).</w:t>
      </w:r>
    </w:p>
    <w:p w14:paraId="4D769324" w14:textId="77777777" w:rsidR="00D53715" w:rsidRPr="00462DD2" w:rsidRDefault="007F5FFC" w:rsidP="00D53715">
      <w:pPr>
        <w:spacing w:after="200" w:line="276" w:lineRule="auto"/>
        <w:jc w:val="both"/>
        <w:rPr>
          <w:rFonts w:ascii="Arial" w:hAnsi="Arial" w:cs="Arial"/>
          <w:sz w:val="24"/>
          <w:szCs w:val="24"/>
        </w:rPr>
      </w:pPr>
      <w:r w:rsidRPr="00462DD2">
        <w:rPr>
          <w:rFonts w:ascii="Arial" w:hAnsi="Arial" w:cs="Arial"/>
          <w:sz w:val="24"/>
          <w:szCs w:val="24"/>
        </w:rPr>
        <w:tab/>
      </w:r>
      <w:r w:rsidR="000561F7" w:rsidRPr="00462DD2">
        <w:rPr>
          <w:rFonts w:ascii="Arial" w:hAnsi="Arial" w:cs="Arial"/>
          <w:sz w:val="24"/>
          <w:szCs w:val="24"/>
        </w:rPr>
        <w:t xml:space="preserve">We therefore regard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technology as a genuinely important advance in mechanistic understanding and as the clearest working instantiation of microbiome reprogramming to date, while explicitly rejecting the inference sometimes implicit in enthusiastic secondary literature that laboratory or greenhouse </w:t>
      </w:r>
      <w:proofErr w:type="spellStart"/>
      <w:r w:rsidR="000561F7" w:rsidRPr="00462DD2">
        <w:rPr>
          <w:rFonts w:ascii="Arial" w:hAnsi="Arial" w:cs="Arial"/>
          <w:sz w:val="24"/>
          <w:szCs w:val="24"/>
        </w:rPr>
        <w:t>SynCom</w:t>
      </w:r>
      <w:proofErr w:type="spellEnd"/>
      <w:r w:rsidR="000561F7" w:rsidRPr="00462DD2">
        <w:rPr>
          <w:rFonts w:ascii="Arial" w:hAnsi="Arial" w:cs="Arial"/>
          <w:sz w:val="24"/>
          <w:szCs w:val="24"/>
        </w:rPr>
        <w:t xml:space="preserve"> success constitutes evidence of field-ready technology. The gap between the two remains the single most important unresolved question in this area of the field.</w:t>
      </w:r>
    </w:p>
    <w:p w14:paraId="3CDD88F7" w14:textId="5BE7276D" w:rsidR="00D53715" w:rsidRPr="00462DD2" w:rsidRDefault="008D4D14" w:rsidP="00D53715">
      <w:pPr>
        <w:spacing w:after="200" w:line="276" w:lineRule="auto"/>
        <w:jc w:val="both"/>
        <w:rPr>
          <w:rFonts w:ascii="Arial" w:hAnsi="Arial" w:cs="Arial"/>
          <w:sz w:val="24"/>
          <w:szCs w:val="24"/>
        </w:rPr>
      </w:pPr>
      <w:r w:rsidRPr="00462DD2">
        <w:rPr>
          <w:rFonts w:ascii="Arial" w:hAnsi="Arial" w:cs="Arial"/>
          <w:b/>
          <w:bCs/>
          <w:sz w:val="24"/>
          <w:szCs w:val="24"/>
        </w:rPr>
        <w:t>11. MICROBIOME-ASSISTED DISEASE MANAGEMENT IN CROPS: EVIDENCE ORGANISED BY MECHANISM</w:t>
      </w:r>
    </w:p>
    <w:p w14:paraId="19DC5336" w14:textId="4CCEEE19" w:rsidR="00D53715" w:rsidRPr="00462DD2" w:rsidRDefault="00D53715" w:rsidP="00D53715">
      <w:pPr>
        <w:spacing w:after="200" w:line="276" w:lineRule="auto"/>
        <w:jc w:val="both"/>
        <w:rPr>
          <w:rFonts w:ascii="Arial" w:hAnsi="Arial" w:cs="Arial"/>
          <w:sz w:val="24"/>
          <w:szCs w:val="24"/>
        </w:rPr>
      </w:pPr>
      <w:r w:rsidRPr="00462DD2">
        <w:rPr>
          <w:rFonts w:ascii="Arial" w:hAnsi="Arial" w:cs="Arial"/>
          <w:sz w:val="24"/>
          <w:szCs w:val="24"/>
        </w:rPr>
        <w:lastRenderedPageBreak/>
        <w:tab/>
        <w:t xml:space="preserve">Rather than surveying crop-pathogen systems sequentially, we organise the strongest available evidence by the mechanism or strategy involved, since </w:t>
      </w:r>
      <w:proofErr w:type="gramStart"/>
      <w:r w:rsidRPr="00462DD2">
        <w:rPr>
          <w:rFonts w:ascii="Arial" w:hAnsi="Arial" w:cs="Arial"/>
          <w:sz w:val="24"/>
          <w:szCs w:val="24"/>
        </w:rPr>
        <w:t>this better reveals</w:t>
      </w:r>
      <w:proofErr w:type="gramEnd"/>
      <w:r w:rsidRPr="00462DD2">
        <w:rPr>
          <w:rFonts w:ascii="Arial" w:hAnsi="Arial" w:cs="Arial"/>
          <w:sz w:val="24"/>
          <w:szCs w:val="24"/>
        </w:rPr>
        <w:t xml:space="preserve"> which principles generalise across systems and which remain system-specific (Table 4 summarises representative examples with explicit evidence level). Root-exudate-mediated recruitment against soil-borne fungal pathogens is among the best-mechanistically-resolved categories, spanning cucumber–</w:t>
      </w:r>
      <w:r w:rsidRPr="00462DD2">
        <w:rPr>
          <w:rFonts w:ascii="Arial" w:hAnsi="Arial" w:cs="Arial"/>
          <w:i/>
          <w:iCs/>
          <w:sz w:val="24"/>
          <w:szCs w:val="24"/>
        </w:rPr>
        <w:t xml:space="preserve">Fusarium </w:t>
      </w:r>
      <w:proofErr w:type="spellStart"/>
      <w:r w:rsidRPr="00462DD2">
        <w:rPr>
          <w:rFonts w:ascii="Arial" w:hAnsi="Arial" w:cs="Arial"/>
          <w:i/>
          <w:iCs/>
          <w:sz w:val="24"/>
          <w:szCs w:val="24"/>
        </w:rPr>
        <w:t>oxysporum</w:t>
      </w:r>
      <w:proofErr w:type="spellEnd"/>
      <w:r w:rsidRPr="00462DD2">
        <w:rPr>
          <w:rFonts w:ascii="Arial" w:hAnsi="Arial" w:cs="Arial"/>
          <w:sz w:val="24"/>
          <w:szCs w:val="24"/>
        </w:rPr>
        <w:t xml:space="preserve"> (greenhouse-validated recruitment of </w:t>
      </w:r>
      <w:r w:rsidRPr="00462DD2">
        <w:rPr>
          <w:rFonts w:ascii="Arial" w:hAnsi="Arial" w:cs="Arial"/>
          <w:i/>
          <w:iCs/>
          <w:sz w:val="24"/>
          <w:szCs w:val="24"/>
        </w:rPr>
        <w:t xml:space="preserve">Bacillus </w:t>
      </w:r>
      <w:proofErr w:type="spellStart"/>
      <w:r w:rsidRPr="00462DD2">
        <w:rPr>
          <w:rFonts w:ascii="Arial" w:hAnsi="Arial" w:cs="Arial"/>
          <w:i/>
          <w:iCs/>
          <w:sz w:val="24"/>
          <w:szCs w:val="24"/>
        </w:rPr>
        <w:t>amyloliquefaciens</w:t>
      </w:r>
      <w:proofErr w:type="spellEnd"/>
      <w:r w:rsidRPr="00462DD2">
        <w:rPr>
          <w:rFonts w:ascii="Arial" w:hAnsi="Arial" w:cs="Arial"/>
          <w:i/>
          <w:iCs/>
          <w:sz w:val="24"/>
          <w:szCs w:val="24"/>
        </w:rPr>
        <w:t xml:space="preserve"> </w:t>
      </w:r>
      <w:r w:rsidRPr="00462DD2">
        <w:rPr>
          <w:rFonts w:ascii="Arial" w:hAnsi="Arial" w:cs="Arial"/>
          <w:sz w:val="24"/>
          <w:szCs w:val="24"/>
        </w:rPr>
        <w:t>SQR9), tomato–</w:t>
      </w:r>
      <w:proofErr w:type="spellStart"/>
      <w:r w:rsidRPr="00462DD2">
        <w:rPr>
          <w:rFonts w:ascii="Arial" w:hAnsi="Arial" w:cs="Arial"/>
          <w:sz w:val="24"/>
          <w:szCs w:val="24"/>
        </w:rPr>
        <w:t>Ralstonia</w:t>
      </w:r>
      <w:proofErr w:type="spellEnd"/>
      <w:r w:rsidRPr="00462DD2">
        <w:rPr>
          <w:rFonts w:ascii="Arial" w:hAnsi="Arial" w:cs="Arial"/>
          <w:sz w:val="24"/>
          <w:szCs w:val="24"/>
        </w:rPr>
        <w:t xml:space="preserve"> solanacearum (Streptomyces recruitment via 3-hydroxyflavone/riboflavin), and maize protection via benzoxazinoid-mediated recruitment of </w:t>
      </w:r>
      <w:r w:rsidRPr="00462DD2">
        <w:rPr>
          <w:rFonts w:ascii="Arial" w:hAnsi="Arial" w:cs="Arial"/>
          <w:i/>
          <w:iCs/>
          <w:sz w:val="24"/>
          <w:szCs w:val="24"/>
        </w:rPr>
        <w:t>Pseudomonas putida</w:t>
      </w:r>
      <w:r w:rsidRPr="00462DD2">
        <w:rPr>
          <w:rFonts w:ascii="Arial" w:hAnsi="Arial" w:cs="Arial"/>
          <w:sz w:val="24"/>
          <w:szCs w:val="24"/>
        </w:rPr>
        <w:t xml:space="preserve"> all supported by manipulative experiments (mutant or exudate-supplementation comparisons) rather than correlation alone, giving these examples a comparatively high evidence level (Liu </w:t>
      </w:r>
      <w:r w:rsidR="00587082" w:rsidRPr="00462DD2">
        <w:rPr>
          <w:rFonts w:ascii="Arial" w:hAnsi="Arial" w:cs="Arial"/>
          <w:i/>
          <w:iCs/>
          <w:sz w:val="24"/>
          <w:szCs w:val="24"/>
        </w:rPr>
        <w:t>et al.</w:t>
      </w:r>
      <w:r w:rsidRPr="00462DD2">
        <w:rPr>
          <w:rFonts w:ascii="Arial" w:hAnsi="Arial" w:cs="Arial"/>
          <w:sz w:val="24"/>
          <w:szCs w:val="24"/>
        </w:rPr>
        <w:t xml:space="preserve">, 2014; Yang </w:t>
      </w:r>
      <w:r w:rsidR="00587082" w:rsidRPr="00462DD2">
        <w:rPr>
          <w:rFonts w:ascii="Arial" w:hAnsi="Arial" w:cs="Arial"/>
          <w:i/>
          <w:iCs/>
          <w:sz w:val="24"/>
          <w:szCs w:val="24"/>
        </w:rPr>
        <w:t>et al.</w:t>
      </w:r>
      <w:r w:rsidRPr="00462DD2">
        <w:rPr>
          <w:rFonts w:ascii="Arial" w:hAnsi="Arial" w:cs="Arial"/>
          <w:sz w:val="24"/>
          <w:szCs w:val="24"/>
        </w:rPr>
        <w:t xml:space="preserve">, 2023; Neal </w:t>
      </w:r>
      <w:r w:rsidR="00587082" w:rsidRPr="00462DD2">
        <w:rPr>
          <w:rFonts w:ascii="Arial" w:hAnsi="Arial" w:cs="Arial"/>
          <w:i/>
          <w:iCs/>
          <w:sz w:val="24"/>
          <w:szCs w:val="24"/>
        </w:rPr>
        <w:t>et al.</w:t>
      </w:r>
      <w:r w:rsidRPr="00462DD2">
        <w:rPr>
          <w:rFonts w:ascii="Arial" w:hAnsi="Arial" w:cs="Arial"/>
          <w:sz w:val="24"/>
          <w:szCs w:val="24"/>
        </w:rPr>
        <w:t xml:space="preserve">, 2012). </w:t>
      </w:r>
      <w:proofErr w:type="spellStart"/>
      <w:r w:rsidRPr="00462DD2">
        <w:rPr>
          <w:rFonts w:ascii="Arial" w:hAnsi="Arial" w:cs="Arial"/>
          <w:sz w:val="24"/>
          <w:szCs w:val="24"/>
        </w:rPr>
        <w:t>SynCom</w:t>
      </w:r>
      <w:proofErr w:type="spellEnd"/>
      <w:r w:rsidRPr="00462DD2">
        <w:rPr>
          <w:rFonts w:ascii="Arial" w:hAnsi="Arial" w:cs="Arial"/>
          <w:sz w:val="24"/>
          <w:szCs w:val="24"/>
        </w:rPr>
        <w:t>-based suppression of vascular wilt pathogens (Fusarium spp., Verticillium spp.) across tomato, banana, cotton and Astragalus systems is supported by a substantial and largely consistent body of greenhouse-scale evidence but, with limited exceptions, has not yet been validated across multiple field seasons and sites, placing it at a moderate evidence level for field deployment specifically, even where the underlying mechanistic and greenhouse evidence is strong (</w:t>
      </w:r>
      <w:proofErr w:type="spellStart"/>
      <w:r w:rsidRPr="00462DD2">
        <w:rPr>
          <w:rFonts w:ascii="Arial" w:hAnsi="Arial" w:cs="Arial"/>
          <w:sz w:val="24"/>
          <w:szCs w:val="24"/>
        </w:rPr>
        <w:t>Prigigallo</w:t>
      </w:r>
      <w:proofErr w:type="spellEnd"/>
      <w:r w:rsidRPr="00462DD2">
        <w:rPr>
          <w:rFonts w:ascii="Arial" w:hAnsi="Arial" w:cs="Arial"/>
          <w:sz w:val="24"/>
          <w:szCs w:val="24"/>
        </w:rPr>
        <w:t xml:space="preserve"> </w:t>
      </w:r>
      <w:r w:rsidR="00587082" w:rsidRPr="00462DD2">
        <w:rPr>
          <w:rFonts w:ascii="Arial" w:hAnsi="Arial" w:cs="Arial"/>
          <w:i/>
          <w:iCs/>
          <w:sz w:val="24"/>
          <w:szCs w:val="24"/>
        </w:rPr>
        <w:t>et al.</w:t>
      </w:r>
      <w:r w:rsidRPr="00462DD2">
        <w:rPr>
          <w:rFonts w:ascii="Arial" w:hAnsi="Arial" w:cs="Arial"/>
          <w:sz w:val="24"/>
          <w:szCs w:val="24"/>
        </w:rPr>
        <w:t xml:space="preserve">, 2022; Wu </w:t>
      </w:r>
      <w:r w:rsidR="00587082" w:rsidRPr="00462DD2">
        <w:rPr>
          <w:rFonts w:ascii="Arial" w:hAnsi="Arial" w:cs="Arial"/>
          <w:i/>
          <w:iCs/>
          <w:sz w:val="24"/>
          <w:szCs w:val="24"/>
        </w:rPr>
        <w:t>et al.</w:t>
      </w:r>
      <w:r w:rsidRPr="00462DD2">
        <w:rPr>
          <w:rFonts w:ascii="Arial" w:hAnsi="Arial" w:cs="Arial"/>
          <w:sz w:val="24"/>
          <w:szCs w:val="24"/>
        </w:rPr>
        <w:t xml:space="preserve">, 2024; </w:t>
      </w:r>
      <w:proofErr w:type="spellStart"/>
      <w:r w:rsidRPr="00462DD2">
        <w:rPr>
          <w:rFonts w:ascii="Arial" w:hAnsi="Arial" w:cs="Arial"/>
          <w:sz w:val="24"/>
          <w:szCs w:val="24"/>
        </w:rPr>
        <w:t>Minchev</w:t>
      </w:r>
      <w:proofErr w:type="spellEnd"/>
      <w:r w:rsidRPr="00462DD2">
        <w:rPr>
          <w:rFonts w:ascii="Arial" w:hAnsi="Arial" w:cs="Arial"/>
          <w:sz w:val="24"/>
          <w:szCs w:val="24"/>
        </w:rPr>
        <w:t xml:space="preserve"> </w:t>
      </w:r>
      <w:r w:rsidR="00587082" w:rsidRPr="00462DD2">
        <w:rPr>
          <w:rFonts w:ascii="Arial" w:hAnsi="Arial" w:cs="Arial"/>
          <w:i/>
          <w:iCs/>
          <w:sz w:val="24"/>
          <w:szCs w:val="24"/>
        </w:rPr>
        <w:t>et al.</w:t>
      </w:r>
      <w:r w:rsidRPr="00462DD2">
        <w:rPr>
          <w:rFonts w:ascii="Arial" w:hAnsi="Arial" w:cs="Arial"/>
          <w:sz w:val="24"/>
          <w:szCs w:val="24"/>
        </w:rPr>
        <w:t xml:space="preserve">, 2021). Cross-kingdom bacterial-fungal </w:t>
      </w:r>
      <w:proofErr w:type="spellStart"/>
      <w:r w:rsidRPr="00462DD2">
        <w:rPr>
          <w:rFonts w:ascii="Arial" w:hAnsi="Arial" w:cs="Arial"/>
          <w:sz w:val="24"/>
          <w:szCs w:val="24"/>
        </w:rPr>
        <w:t>SynComs</w:t>
      </w:r>
      <w:proofErr w:type="spellEnd"/>
      <w:r w:rsidRPr="00462DD2">
        <w:rPr>
          <w:rFonts w:ascii="Arial" w:hAnsi="Arial" w:cs="Arial"/>
          <w:sz w:val="24"/>
          <w:szCs w:val="24"/>
        </w:rPr>
        <w:t xml:space="preserve"> against tomato Fusarium wilt represent the most rigorously network- and machine-learning-informed example in the current literature, combining co-occurrence network analysis, keystone-taxon identification and comparative field/greenhouse sampling within a single study (Zhou </w:t>
      </w:r>
      <w:r w:rsidR="00587082" w:rsidRPr="00462DD2">
        <w:rPr>
          <w:rFonts w:ascii="Arial" w:hAnsi="Arial" w:cs="Arial"/>
          <w:i/>
          <w:iCs/>
          <w:sz w:val="24"/>
          <w:szCs w:val="24"/>
        </w:rPr>
        <w:t>et al.</w:t>
      </w:r>
      <w:r w:rsidRPr="00462DD2">
        <w:rPr>
          <w:rFonts w:ascii="Arial" w:hAnsi="Arial" w:cs="Arial"/>
          <w:sz w:val="24"/>
          <w:szCs w:val="24"/>
        </w:rPr>
        <w:t>, 2022), though replication of this specific design pipeline across other crop systems remains limited.</w:t>
      </w:r>
    </w:p>
    <w:p w14:paraId="186034DB" w14:textId="2FEED522" w:rsidR="00AD48D7" w:rsidRPr="003B42F7" w:rsidRDefault="00D53715" w:rsidP="00D53715">
      <w:pPr>
        <w:spacing w:after="200" w:line="276" w:lineRule="auto"/>
        <w:jc w:val="both"/>
        <w:rPr>
          <w:rFonts w:ascii="Arial" w:hAnsi="Arial" w:cs="Arial"/>
          <w:sz w:val="24"/>
          <w:szCs w:val="24"/>
        </w:rPr>
      </w:pPr>
      <w:r w:rsidRPr="00462DD2">
        <w:rPr>
          <w:rFonts w:ascii="Arial" w:hAnsi="Arial" w:cs="Arial"/>
          <w:sz w:val="24"/>
          <w:szCs w:val="24"/>
        </w:rPr>
        <w:tab/>
        <w:t>Disease suppressive soil-derived interventions form a second coherent mechanistic category, spanning direct soil transfer (</w:t>
      </w:r>
      <w:r w:rsidRPr="00462DD2">
        <w:rPr>
          <w:rFonts w:ascii="Arial" w:hAnsi="Arial" w:cs="Arial"/>
          <w:i/>
          <w:iCs/>
          <w:sz w:val="24"/>
          <w:szCs w:val="24"/>
        </w:rPr>
        <w:t xml:space="preserve">Rhizoctonia </w:t>
      </w:r>
      <w:proofErr w:type="spellStart"/>
      <w:r w:rsidRPr="00462DD2">
        <w:rPr>
          <w:rFonts w:ascii="Arial" w:hAnsi="Arial" w:cs="Arial"/>
          <w:i/>
          <w:iCs/>
          <w:sz w:val="24"/>
          <w:szCs w:val="24"/>
        </w:rPr>
        <w:t>solani</w:t>
      </w:r>
      <w:proofErr w:type="spellEnd"/>
      <w:r w:rsidRPr="00462DD2">
        <w:rPr>
          <w:rFonts w:ascii="Arial" w:hAnsi="Arial" w:cs="Arial"/>
          <w:sz w:val="24"/>
          <w:szCs w:val="24"/>
        </w:rPr>
        <w:t xml:space="preserve"> suppression in sugar beet via 1:9 suppressive: conducive soil mixing), rhizosphere microbiome transplantation (slurry-based extraction and transfer protocols), and identification of specific suppressive taxa such as heat-resistant Streptomyces conferring Fusarium </w:t>
      </w:r>
      <w:proofErr w:type="spellStart"/>
      <w:r w:rsidRPr="00462DD2">
        <w:rPr>
          <w:rFonts w:ascii="Arial" w:hAnsi="Arial" w:cs="Arial"/>
          <w:sz w:val="24"/>
          <w:szCs w:val="24"/>
        </w:rPr>
        <w:t>oxysporum</w:t>
      </w:r>
      <w:proofErr w:type="spellEnd"/>
      <w:r w:rsidRPr="00462DD2">
        <w:rPr>
          <w:rFonts w:ascii="Arial" w:hAnsi="Arial" w:cs="Arial"/>
          <w:sz w:val="24"/>
          <w:szCs w:val="24"/>
        </w:rPr>
        <w:t xml:space="preserve"> suppression (Mendes </w:t>
      </w:r>
      <w:r w:rsidR="00587082" w:rsidRPr="00462DD2">
        <w:rPr>
          <w:rFonts w:ascii="Arial" w:hAnsi="Arial" w:cs="Arial"/>
          <w:i/>
          <w:iCs/>
          <w:sz w:val="24"/>
          <w:szCs w:val="24"/>
        </w:rPr>
        <w:t>et al.</w:t>
      </w:r>
      <w:r w:rsidRPr="00462DD2">
        <w:rPr>
          <w:rFonts w:ascii="Arial" w:hAnsi="Arial" w:cs="Arial"/>
          <w:sz w:val="24"/>
          <w:szCs w:val="24"/>
        </w:rPr>
        <w:t xml:space="preserve">, 2011; Cha </w:t>
      </w:r>
      <w:r w:rsidR="00587082" w:rsidRPr="00462DD2">
        <w:rPr>
          <w:rFonts w:ascii="Arial" w:hAnsi="Arial" w:cs="Arial"/>
          <w:i/>
          <w:iCs/>
          <w:sz w:val="24"/>
          <w:szCs w:val="24"/>
        </w:rPr>
        <w:t>et al.</w:t>
      </w:r>
      <w:r w:rsidRPr="00462DD2">
        <w:rPr>
          <w:rFonts w:ascii="Arial" w:hAnsi="Arial" w:cs="Arial"/>
          <w:sz w:val="24"/>
          <w:szCs w:val="24"/>
        </w:rPr>
        <w:t xml:space="preserve">, 2016). These interventions have the advantage of drawing on naturally evolved, field-proven suppressive communities rather than laboratory-assembled ones, but transfer efficiency is frequently partial rather than complete, and the mechanism of transfer (whole-soil versus extracted-microbiome-only) affects both efficacy and the practical feasibility of scale-up. </w:t>
      </w:r>
      <w:proofErr w:type="spellStart"/>
      <w:r w:rsidRPr="00462DD2">
        <w:rPr>
          <w:rFonts w:ascii="Arial" w:hAnsi="Arial" w:cs="Arial"/>
          <w:sz w:val="24"/>
          <w:szCs w:val="24"/>
        </w:rPr>
        <w:t>Phyllosphere</w:t>
      </w:r>
      <w:proofErr w:type="spellEnd"/>
      <w:r w:rsidRPr="00462DD2">
        <w:rPr>
          <w:rFonts w:ascii="Arial" w:hAnsi="Arial" w:cs="Arial"/>
          <w:sz w:val="24"/>
          <w:szCs w:val="24"/>
        </w:rPr>
        <w:t>-based protection, comparatively less studied than rhizosphere-based approaches, is supported by clear mechanistic evidence in the Arabidopsis–</w:t>
      </w:r>
      <w:r w:rsidRPr="00462DD2">
        <w:rPr>
          <w:rFonts w:ascii="Arial" w:hAnsi="Arial" w:cs="Arial"/>
          <w:i/>
          <w:iCs/>
          <w:sz w:val="24"/>
          <w:szCs w:val="24"/>
        </w:rPr>
        <w:t xml:space="preserve">Pseudomonas </w:t>
      </w:r>
      <w:proofErr w:type="spellStart"/>
      <w:r w:rsidRPr="00462DD2">
        <w:rPr>
          <w:rFonts w:ascii="Arial" w:hAnsi="Arial" w:cs="Arial"/>
          <w:i/>
          <w:iCs/>
          <w:sz w:val="24"/>
          <w:szCs w:val="24"/>
        </w:rPr>
        <w:t>syringae</w:t>
      </w:r>
      <w:proofErr w:type="spellEnd"/>
      <w:r w:rsidRPr="00462DD2">
        <w:rPr>
          <w:rFonts w:ascii="Arial" w:hAnsi="Arial" w:cs="Arial"/>
          <w:sz w:val="24"/>
          <w:szCs w:val="24"/>
        </w:rPr>
        <w:t xml:space="preserve"> system (native leaf-bacterial-community protection, further enhanced by rationally assembled top-down </w:t>
      </w:r>
      <w:proofErr w:type="spellStart"/>
      <w:r w:rsidRPr="00462DD2">
        <w:rPr>
          <w:rFonts w:ascii="Arial" w:hAnsi="Arial" w:cs="Arial"/>
          <w:sz w:val="24"/>
          <w:szCs w:val="24"/>
        </w:rPr>
        <w:t>SynComs</w:t>
      </w:r>
      <w:proofErr w:type="spellEnd"/>
      <w:r w:rsidRPr="00462DD2">
        <w:rPr>
          <w:rFonts w:ascii="Arial" w:hAnsi="Arial" w:cs="Arial"/>
          <w:sz w:val="24"/>
          <w:szCs w:val="24"/>
        </w:rPr>
        <w:t xml:space="preserve">) but has seen limited translation to major field crops to date, and the majority of supporting evidence remains at greenhouse or growth-chamber scale (Vogel </w:t>
      </w:r>
      <w:r w:rsidR="00587082" w:rsidRPr="00462DD2">
        <w:rPr>
          <w:rFonts w:ascii="Arial" w:hAnsi="Arial" w:cs="Arial"/>
          <w:i/>
          <w:iCs/>
          <w:sz w:val="24"/>
          <w:szCs w:val="24"/>
        </w:rPr>
        <w:t>et al.</w:t>
      </w:r>
      <w:r w:rsidRPr="00462DD2">
        <w:rPr>
          <w:rFonts w:ascii="Arial" w:hAnsi="Arial" w:cs="Arial"/>
          <w:sz w:val="24"/>
          <w:szCs w:val="24"/>
        </w:rPr>
        <w:t>, 2021).</w:t>
      </w:r>
    </w:p>
    <w:p w14:paraId="3962ACCC" w14:textId="571272E1" w:rsidR="00143CED" w:rsidRPr="00462DD2" w:rsidRDefault="00143CED" w:rsidP="00143CED">
      <w:pPr>
        <w:pStyle w:val="Caption"/>
        <w:keepNext/>
        <w:rPr>
          <w:rFonts w:ascii="Arial" w:hAnsi="Arial" w:cs="Arial"/>
          <w:b/>
          <w:bCs/>
          <w:i w:val="0"/>
          <w:iCs w:val="0"/>
          <w:color w:val="000000" w:themeColor="text1"/>
          <w:sz w:val="24"/>
          <w:szCs w:val="22"/>
        </w:rPr>
      </w:pPr>
      <w:r w:rsidRPr="00462DD2">
        <w:rPr>
          <w:rFonts w:ascii="Arial" w:hAnsi="Arial" w:cs="Arial"/>
          <w:b/>
          <w:bCs/>
          <w:i w:val="0"/>
          <w:iCs w:val="0"/>
          <w:color w:val="000000" w:themeColor="text1"/>
          <w:sz w:val="24"/>
          <w:szCs w:val="22"/>
        </w:rPr>
        <w:t>Table 4. Representative crop</w:t>
      </w:r>
      <w:r w:rsidR="002C5855" w:rsidRPr="00462DD2">
        <w:rPr>
          <w:rFonts w:ascii="Arial" w:hAnsi="Arial" w:cs="Arial"/>
          <w:b/>
          <w:bCs/>
          <w:i w:val="0"/>
          <w:iCs w:val="0"/>
          <w:color w:val="000000" w:themeColor="text1"/>
          <w:sz w:val="24"/>
          <w:szCs w:val="22"/>
        </w:rPr>
        <w:t>-</w:t>
      </w:r>
      <w:r w:rsidRPr="00462DD2">
        <w:rPr>
          <w:rFonts w:ascii="Arial" w:hAnsi="Arial" w:cs="Arial"/>
          <w:b/>
          <w:bCs/>
          <w:i w:val="0"/>
          <w:iCs w:val="0"/>
          <w:color w:val="000000" w:themeColor="text1"/>
          <w:sz w:val="24"/>
          <w:szCs w:val="22"/>
        </w:rPr>
        <w:t>pathogen systems demonstrating microbiome-mediated disease suppression.</w:t>
      </w:r>
    </w:p>
    <w:tbl>
      <w:tblPr>
        <w:tblStyle w:val="TableGrid"/>
        <w:tblW w:w="5083" w:type="pct"/>
        <w:tblLook w:val="04A0" w:firstRow="1" w:lastRow="0" w:firstColumn="1" w:lastColumn="0" w:noHBand="0" w:noVBand="1"/>
      </w:tblPr>
      <w:tblGrid>
        <w:gridCol w:w="1125"/>
        <w:gridCol w:w="1422"/>
        <w:gridCol w:w="1418"/>
        <w:gridCol w:w="1133"/>
        <w:gridCol w:w="1135"/>
        <w:gridCol w:w="995"/>
        <w:gridCol w:w="993"/>
        <w:gridCol w:w="1133"/>
        <w:gridCol w:w="1276"/>
      </w:tblGrid>
      <w:tr w:rsidR="0011506D" w:rsidRPr="00EB7059" w14:paraId="49BE57DE" w14:textId="77777777" w:rsidTr="00AF1FA1">
        <w:trPr>
          <w:trHeight w:val="1366"/>
        </w:trPr>
        <w:tc>
          <w:tcPr>
            <w:tcW w:w="529" w:type="pct"/>
            <w:textDirection w:val="btLr"/>
            <w:hideMark/>
          </w:tcPr>
          <w:p w14:paraId="6C2FABC6"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Reference</w:t>
            </w:r>
          </w:p>
        </w:tc>
        <w:tc>
          <w:tcPr>
            <w:tcW w:w="669" w:type="pct"/>
            <w:textDirection w:val="btLr"/>
            <w:hideMark/>
          </w:tcPr>
          <w:p w14:paraId="7BDDB1CE" w14:textId="478884A8"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Liu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2014, 2017</w:t>
            </w:r>
          </w:p>
        </w:tc>
        <w:tc>
          <w:tcPr>
            <w:tcW w:w="667" w:type="pct"/>
            <w:textDirection w:val="btLr"/>
            <w:hideMark/>
          </w:tcPr>
          <w:p w14:paraId="02FB14D1" w14:textId="09F0EC6F"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Yang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2023</w:t>
            </w:r>
          </w:p>
        </w:tc>
        <w:tc>
          <w:tcPr>
            <w:tcW w:w="533" w:type="pct"/>
            <w:textDirection w:val="btLr"/>
            <w:hideMark/>
          </w:tcPr>
          <w:p w14:paraId="755A3578" w14:textId="0E164B53"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Zhou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2022</w:t>
            </w:r>
          </w:p>
        </w:tc>
        <w:tc>
          <w:tcPr>
            <w:tcW w:w="534" w:type="pct"/>
            <w:textDirection w:val="btLr"/>
            <w:hideMark/>
          </w:tcPr>
          <w:p w14:paraId="20C2287F" w14:textId="26E89CB7" w:rsidR="0011506D" w:rsidRPr="00EB7059" w:rsidRDefault="0011506D" w:rsidP="0011506D">
            <w:pPr>
              <w:jc w:val="center"/>
              <w:rPr>
                <w:rFonts w:ascii="Arial" w:eastAsia="Times New Roman" w:hAnsi="Arial" w:cs="Arial"/>
                <w:color w:val="000000"/>
                <w:sz w:val="20"/>
                <w:szCs w:val="20"/>
              </w:rPr>
            </w:pPr>
            <w:proofErr w:type="spellStart"/>
            <w:r w:rsidRPr="00EB7059">
              <w:rPr>
                <w:rFonts w:ascii="Arial" w:eastAsia="Times New Roman" w:hAnsi="Arial" w:cs="Arial"/>
                <w:color w:val="000000"/>
                <w:sz w:val="20"/>
                <w:szCs w:val="20"/>
              </w:rPr>
              <w:t>Minchev</w:t>
            </w:r>
            <w:proofErr w:type="spellEnd"/>
            <w:r w:rsidRPr="00EB7059">
              <w:rPr>
                <w:rFonts w:ascii="Arial" w:eastAsia="Times New Roman" w:hAnsi="Arial" w:cs="Arial"/>
                <w:color w:val="000000"/>
                <w:sz w:val="20"/>
                <w:szCs w:val="20"/>
              </w:rPr>
              <w:t xml:space="preserve">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2021</w:t>
            </w:r>
          </w:p>
        </w:tc>
        <w:tc>
          <w:tcPr>
            <w:tcW w:w="468" w:type="pct"/>
            <w:textDirection w:val="btLr"/>
            <w:hideMark/>
          </w:tcPr>
          <w:p w14:paraId="539849E8" w14:textId="1D6BD6CB" w:rsidR="0011506D" w:rsidRPr="00EB7059" w:rsidRDefault="0011506D" w:rsidP="0011506D">
            <w:pPr>
              <w:jc w:val="center"/>
              <w:rPr>
                <w:rFonts w:ascii="Arial" w:eastAsia="Times New Roman" w:hAnsi="Arial" w:cs="Arial"/>
                <w:color w:val="000000"/>
                <w:sz w:val="20"/>
                <w:szCs w:val="20"/>
              </w:rPr>
            </w:pPr>
            <w:proofErr w:type="spellStart"/>
            <w:r w:rsidRPr="00EB7059">
              <w:rPr>
                <w:rFonts w:ascii="Arial" w:eastAsia="Times New Roman" w:hAnsi="Arial" w:cs="Arial"/>
                <w:color w:val="000000"/>
                <w:sz w:val="20"/>
                <w:szCs w:val="20"/>
              </w:rPr>
              <w:t>Prigigallo</w:t>
            </w:r>
            <w:proofErr w:type="spellEnd"/>
            <w:r w:rsidRPr="00EB7059">
              <w:rPr>
                <w:rFonts w:ascii="Arial" w:eastAsia="Times New Roman" w:hAnsi="Arial" w:cs="Arial"/>
                <w:color w:val="000000"/>
                <w:sz w:val="20"/>
                <w:szCs w:val="20"/>
              </w:rPr>
              <w:t xml:space="preserve">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2022</w:t>
            </w:r>
          </w:p>
        </w:tc>
        <w:tc>
          <w:tcPr>
            <w:tcW w:w="467" w:type="pct"/>
            <w:textDirection w:val="btLr"/>
            <w:hideMark/>
          </w:tcPr>
          <w:p w14:paraId="145824D9" w14:textId="43360C08"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Wu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2024</w:t>
            </w:r>
          </w:p>
        </w:tc>
        <w:tc>
          <w:tcPr>
            <w:tcW w:w="533" w:type="pct"/>
            <w:textDirection w:val="btLr"/>
            <w:hideMark/>
          </w:tcPr>
          <w:p w14:paraId="148A4AF6" w14:textId="7AA6D86F"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Yin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xml:space="preserve">, 2022; Carrion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2019</w:t>
            </w:r>
          </w:p>
        </w:tc>
        <w:tc>
          <w:tcPr>
            <w:tcW w:w="600" w:type="pct"/>
            <w:textDirection w:val="btLr"/>
            <w:hideMark/>
          </w:tcPr>
          <w:p w14:paraId="186A86B4" w14:textId="7C040ED3"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Vogel </w:t>
            </w:r>
            <w:r w:rsidR="00587082" w:rsidRPr="00EB7059">
              <w:rPr>
                <w:rFonts w:ascii="Arial" w:eastAsia="Times New Roman" w:hAnsi="Arial" w:cs="Arial"/>
                <w:i/>
                <w:iCs/>
                <w:color w:val="000000"/>
                <w:sz w:val="20"/>
                <w:szCs w:val="20"/>
              </w:rPr>
              <w:t>et al.</w:t>
            </w:r>
            <w:r w:rsidRPr="00EB7059">
              <w:rPr>
                <w:rFonts w:ascii="Arial" w:eastAsia="Times New Roman" w:hAnsi="Arial" w:cs="Arial"/>
                <w:color w:val="000000"/>
                <w:sz w:val="20"/>
                <w:szCs w:val="20"/>
              </w:rPr>
              <w:t>, 2021</w:t>
            </w:r>
          </w:p>
        </w:tc>
      </w:tr>
      <w:tr w:rsidR="0011506D" w:rsidRPr="00EB7059" w14:paraId="3B8FE451" w14:textId="77777777" w:rsidTr="00AF1FA1">
        <w:trPr>
          <w:trHeight w:val="1858"/>
        </w:trPr>
        <w:tc>
          <w:tcPr>
            <w:tcW w:w="529" w:type="pct"/>
            <w:textDirection w:val="btLr"/>
            <w:hideMark/>
          </w:tcPr>
          <w:p w14:paraId="263DCD7F"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lastRenderedPageBreak/>
              <w:t>Disease Outcome</w:t>
            </w:r>
          </w:p>
        </w:tc>
        <w:tc>
          <w:tcPr>
            <w:tcW w:w="669" w:type="pct"/>
            <w:textDirection w:val="btLr"/>
            <w:hideMark/>
          </w:tcPr>
          <w:p w14:paraId="2C013F8E"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Reduced pathogen colonisation</w:t>
            </w:r>
          </w:p>
        </w:tc>
        <w:tc>
          <w:tcPr>
            <w:tcW w:w="667" w:type="pct"/>
            <w:textDirection w:val="btLr"/>
            <w:hideMark/>
          </w:tcPr>
          <w:p w14:paraId="46EFE9D3"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Restrained pathogen infection</w:t>
            </w:r>
          </w:p>
        </w:tc>
        <w:tc>
          <w:tcPr>
            <w:tcW w:w="533" w:type="pct"/>
            <w:textDirection w:val="btLr"/>
            <w:hideMark/>
          </w:tcPr>
          <w:p w14:paraId="7CEA292D"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Suppression of Fusarium wilt disease (FWD)</w:t>
            </w:r>
          </w:p>
        </w:tc>
        <w:tc>
          <w:tcPr>
            <w:tcW w:w="534" w:type="pct"/>
            <w:textDirection w:val="btLr"/>
            <w:hideMark/>
          </w:tcPr>
          <w:p w14:paraId="3E3AA845"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&gt;80% survival (root); ~70% lesion reduction (leaf, best formulation)</w:t>
            </w:r>
          </w:p>
        </w:tc>
        <w:tc>
          <w:tcPr>
            <w:tcW w:w="468" w:type="pct"/>
            <w:textDirection w:val="btLr"/>
            <w:hideMark/>
          </w:tcPr>
          <w:p w14:paraId="6B5641E5"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Reduced Fusarium wilt severity</w:t>
            </w:r>
          </w:p>
        </w:tc>
        <w:tc>
          <w:tcPr>
            <w:tcW w:w="467" w:type="pct"/>
            <w:textDirection w:val="btLr"/>
            <w:hideMark/>
          </w:tcPr>
          <w:p w14:paraId="672ADE6F"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Reduced Verticillium wilt incidence</w:t>
            </w:r>
          </w:p>
        </w:tc>
        <w:tc>
          <w:tcPr>
            <w:tcW w:w="533" w:type="pct"/>
            <w:textDirection w:val="btLr"/>
            <w:hideMark/>
          </w:tcPr>
          <w:p w14:paraId="72A4260F"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Effective, consistent protection against root infection</w:t>
            </w:r>
          </w:p>
        </w:tc>
        <w:tc>
          <w:tcPr>
            <w:tcW w:w="600" w:type="pct"/>
            <w:textDirection w:val="btLr"/>
            <w:hideMark/>
          </w:tcPr>
          <w:p w14:paraId="1E54F035"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Enhanced disease resistance vs. single strains</w:t>
            </w:r>
          </w:p>
        </w:tc>
      </w:tr>
      <w:tr w:rsidR="0011506D" w:rsidRPr="00EB7059" w14:paraId="3493EC6D" w14:textId="77777777" w:rsidTr="00AF1FA1">
        <w:trPr>
          <w:trHeight w:val="1428"/>
        </w:trPr>
        <w:tc>
          <w:tcPr>
            <w:tcW w:w="529" w:type="pct"/>
            <w:textDirection w:val="btLr"/>
            <w:hideMark/>
          </w:tcPr>
          <w:p w14:paraId="1A36C0B5"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Experimental System</w:t>
            </w:r>
          </w:p>
        </w:tc>
        <w:tc>
          <w:tcPr>
            <w:tcW w:w="669" w:type="pct"/>
            <w:textDirection w:val="btLr"/>
            <w:hideMark/>
          </w:tcPr>
          <w:p w14:paraId="418BABF5"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Greenhouse / controlled</w:t>
            </w:r>
          </w:p>
        </w:tc>
        <w:tc>
          <w:tcPr>
            <w:tcW w:w="667" w:type="pct"/>
            <w:textDirection w:val="btLr"/>
            <w:hideMark/>
          </w:tcPr>
          <w:p w14:paraId="2650A56E"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Controlled / greenhouse</w:t>
            </w:r>
          </w:p>
        </w:tc>
        <w:tc>
          <w:tcPr>
            <w:tcW w:w="533" w:type="pct"/>
            <w:textDirection w:val="btLr"/>
            <w:hideMark/>
          </w:tcPr>
          <w:p w14:paraId="7EE7351D"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Field + greenhouse comparison</w:t>
            </w:r>
          </w:p>
        </w:tc>
        <w:tc>
          <w:tcPr>
            <w:tcW w:w="534" w:type="pct"/>
            <w:textDirection w:val="btLr"/>
            <w:hideMark/>
          </w:tcPr>
          <w:p w14:paraId="06ED96AB"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Greenhouse</w:t>
            </w:r>
          </w:p>
        </w:tc>
        <w:tc>
          <w:tcPr>
            <w:tcW w:w="468" w:type="pct"/>
            <w:textDirection w:val="btLr"/>
            <w:hideMark/>
          </w:tcPr>
          <w:p w14:paraId="63B9DEC8"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Greenhouse / rhizosphere soil-derived</w:t>
            </w:r>
          </w:p>
        </w:tc>
        <w:tc>
          <w:tcPr>
            <w:tcW w:w="467" w:type="pct"/>
            <w:textDirection w:val="btLr"/>
            <w:hideMark/>
          </w:tcPr>
          <w:p w14:paraId="6CA4957D" w14:textId="77777777" w:rsidR="0011506D" w:rsidRPr="00EB7059" w:rsidRDefault="0011506D" w:rsidP="0011506D">
            <w:pPr>
              <w:jc w:val="center"/>
              <w:rPr>
                <w:rFonts w:ascii="Arial" w:eastAsia="Times New Roman" w:hAnsi="Arial" w:cs="Arial"/>
                <w:color w:val="000000"/>
                <w:sz w:val="20"/>
                <w:szCs w:val="20"/>
              </w:rPr>
            </w:pPr>
            <w:proofErr w:type="spellStart"/>
            <w:r w:rsidRPr="00EB7059">
              <w:rPr>
                <w:rFonts w:ascii="Arial" w:eastAsia="Times New Roman" w:hAnsi="Arial" w:cs="Arial"/>
                <w:color w:val="000000"/>
                <w:sz w:val="20"/>
                <w:szCs w:val="20"/>
              </w:rPr>
              <w:t>Rhizospheric</w:t>
            </w:r>
            <w:proofErr w:type="spellEnd"/>
            <w:r w:rsidRPr="00EB7059">
              <w:rPr>
                <w:rFonts w:ascii="Arial" w:eastAsia="Times New Roman" w:hAnsi="Arial" w:cs="Arial"/>
                <w:color w:val="000000"/>
                <w:sz w:val="20"/>
                <w:szCs w:val="20"/>
              </w:rPr>
              <w:t xml:space="preserve"> soil, greenhouse</w:t>
            </w:r>
          </w:p>
        </w:tc>
        <w:tc>
          <w:tcPr>
            <w:tcW w:w="533" w:type="pct"/>
            <w:textDirection w:val="btLr"/>
            <w:hideMark/>
          </w:tcPr>
          <w:p w14:paraId="0107DFC3" w14:textId="77777777" w:rsidR="0011506D" w:rsidRPr="00EB7059" w:rsidRDefault="0011506D" w:rsidP="0011506D">
            <w:pPr>
              <w:jc w:val="center"/>
              <w:rPr>
                <w:rFonts w:ascii="Arial" w:eastAsia="Times New Roman" w:hAnsi="Arial" w:cs="Arial"/>
                <w:color w:val="000000"/>
                <w:sz w:val="20"/>
                <w:szCs w:val="20"/>
              </w:rPr>
            </w:pPr>
            <w:proofErr w:type="spellStart"/>
            <w:r w:rsidRPr="00EB7059">
              <w:rPr>
                <w:rFonts w:ascii="Arial" w:eastAsia="Times New Roman" w:hAnsi="Arial" w:cs="Arial"/>
                <w:color w:val="000000"/>
                <w:sz w:val="20"/>
                <w:szCs w:val="20"/>
              </w:rPr>
              <w:t>Rhizospheric</w:t>
            </w:r>
            <w:proofErr w:type="spellEnd"/>
            <w:r w:rsidRPr="00EB7059">
              <w:rPr>
                <w:rFonts w:ascii="Arial" w:eastAsia="Times New Roman" w:hAnsi="Arial" w:cs="Arial"/>
                <w:color w:val="000000"/>
                <w:sz w:val="20"/>
                <w:szCs w:val="20"/>
              </w:rPr>
              <w:t xml:space="preserve"> soil, greenhouse</w:t>
            </w:r>
          </w:p>
        </w:tc>
        <w:tc>
          <w:tcPr>
            <w:tcW w:w="600" w:type="pct"/>
            <w:textDirection w:val="btLr"/>
            <w:hideMark/>
          </w:tcPr>
          <w:p w14:paraId="261FFF5A"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Growth-chamber / planta</w:t>
            </w:r>
          </w:p>
        </w:tc>
      </w:tr>
      <w:tr w:rsidR="0011506D" w:rsidRPr="00EB7059" w14:paraId="2D455202" w14:textId="77777777" w:rsidTr="00AF1FA1">
        <w:trPr>
          <w:trHeight w:val="1583"/>
        </w:trPr>
        <w:tc>
          <w:tcPr>
            <w:tcW w:w="529" w:type="pct"/>
            <w:textDirection w:val="btLr"/>
            <w:hideMark/>
          </w:tcPr>
          <w:p w14:paraId="29E1D094" w14:textId="0D13A04C"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Mechanism</w:t>
            </w:r>
          </w:p>
        </w:tc>
        <w:tc>
          <w:tcPr>
            <w:tcW w:w="669" w:type="pct"/>
            <w:textDirection w:val="btLr"/>
            <w:hideMark/>
          </w:tcPr>
          <w:p w14:paraId="570B77B9"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Enhanced rhizosphere colonisation via altered root exudates</w:t>
            </w:r>
          </w:p>
        </w:tc>
        <w:tc>
          <w:tcPr>
            <w:tcW w:w="667" w:type="pct"/>
            <w:textDirection w:val="btLr"/>
            <w:hideMark/>
          </w:tcPr>
          <w:p w14:paraId="6DFCCE02"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Antagonism + niche competition</w:t>
            </w:r>
          </w:p>
        </w:tc>
        <w:tc>
          <w:tcPr>
            <w:tcW w:w="533" w:type="pct"/>
            <w:textDirection w:val="btLr"/>
            <w:hideMark/>
          </w:tcPr>
          <w:p w14:paraId="16780423" w14:textId="77777777" w:rsidR="0011506D" w:rsidRPr="00EB7059" w:rsidRDefault="0011506D" w:rsidP="0011506D">
            <w:pPr>
              <w:jc w:val="center"/>
              <w:rPr>
                <w:rFonts w:ascii="Arial" w:eastAsia="Times New Roman" w:hAnsi="Arial" w:cs="Arial"/>
                <w:color w:val="000000"/>
                <w:sz w:val="18"/>
                <w:szCs w:val="18"/>
              </w:rPr>
            </w:pPr>
            <w:r w:rsidRPr="00EB7059">
              <w:rPr>
                <w:rFonts w:ascii="Arial" w:eastAsia="Times New Roman" w:hAnsi="Arial" w:cs="Arial"/>
                <w:color w:val="000000"/>
                <w:sz w:val="18"/>
                <w:szCs w:val="18"/>
              </w:rPr>
              <w:t>Complementary antibiosis (bacteria) + stability/nutrient provisioning (fungi)</w:t>
            </w:r>
          </w:p>
        </w:tc>
        <w:tc>
          <w:tcPr>
            <w:tcW w:w="534" w:type="pct"/>
            <w:textDirection w:val="btLr"/>
            <w:hideMark/>
          </w:tcPr>
          <w:p w14:paraId="15436B4A"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Direct antagonism + induced systemic defence</w:t>
            </w:r>
          </w:p>
        </w:tc>
        <w:tc>
          <w:tcPr>
            <w:tcW w:w="468" w:type="pct"/>
            <w:textDirection w:val="btLr"/>
            <w:hideMark/>
          </w:tcPr>
          <w:p w14:paraId="5677AEAD"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Community-level antagonism</w:t>
            </w:r>
          </w:p>
        </w:tc>
        <w:tc>
          <w:tcPr>
            <w:tcW w:w="467" w:type="pct"/>
            <w:textDirection w:val="btLr"/>
            <w:hideMark/>
          </w:tcPr>
          <w:p w14:paraId="487516E9"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Antibiosis + competitive exclusion</w:t>
            </w:r>
          </w:p>
        </w:tc>
        <w:tc>
          <w:tcPr>
            <w:tcW w:w="533" w:type="pct"/>
            <w:textDirection w:val="btLr"/>
            <w:hideMark/>
          </w:tcPr>
          <w:p w14:paraId="4EFCD058"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Community-level antagonism/niche exclusion</w:t>
            </w:r>
          </w:p>
        </w:tc>
        <w:tc>
          <w:tcPr>
            <w:tcW w:w="600" w:type="pct"/>
            <w:textDirection w:val="btLr"/>
            <w:hideMark/>
          </w:tcPr>
          <w:p w14:paraId="53D1A8CB"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Emergent, synergistic antagonism absent in single strains</w:t>
            </w:r>
          </w:p>
        </w:tc>
      </w:tr>
      <w:tr w:rsidR="0011506D" w:rsidRPr="00EB7059" w14:paraId="0A9B02BA" w14:textId="77777777" w:rsidTr="00AF1FA1">
        <w:trPr>
          <w:trHeight w:val="1663"/>
        </w:trPr>
        <w:tc>
          <w:tcPr>
            <w:tcW w:w="529" w:type="pct"/>
            <w:textDirection w:val="btLr"/>
            <w:hideMark/>
          </w:tcPr>
          <w:p w14:paraId="5767DD88"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Intervention</w:t>
            </w:r>
          </w:p>
        </w:tc>
        <w:tc>
          <w:tcPr>
            <w:tcW w:w="669" w:type="pct"/>
            <w:textDirection w:val="btLr"/>
            <w:hideMark/>
          </w:tcPr>
          <w:p w14:paraId="46AA9D32"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Exudate-mediated recruitment</w:t>
            </w:r>
          </w:p>
        </w:tc>
        <w:tc>
          <w:tcPr>
            <w:tcW w:w="667" w:type="pct"/>
            <w:textDirection w:val="btLr"/>
            <w:hideMark/>
          </w:tcPr>
          <w:p w14:paraId="1A5D6B7F" w14:textId="1A4BE17C" w:rsidR="0011506D" w:rsidRPr="00AF1FA1" w:rsidRDefault="00604E26" w:rsidP="00EB7059">
            <w:pPr>
              <w:jc w:val="center"/>
              <w:rPr>
                <w:rFonts w:ascii="Arial" w:eastAsia="Times New Roman" w:hAnsi="Arial" w:cs="Arial"/>
                <w:color w:val="000000"/>
                <w:sz w:val="16"/>
                <w:szCs w:val="16"/>
              </w:rPr>
            </w:pPr>
            <w:r w:rsidRPr="00604E26">
              <w:rPr>
                <w:rFonts w:ascii="Arial" w:eastAsia="Times New Roman" w:hAnsi="Arial" w:cs="Arial"/>
                <w:color w:val="000000"/>
                <w:sz w:val="16"/>
                <w:szCs w:val="16"/>
              </w:rPr>
              <w:t xml:space="preserve">Root exudates recruit protective </w:t>
            </w:r>
            <w:r w:rsidRPr="00604E26">
              <w:rPr>
                <w:rFonts w:ascii="Arial" w:eastAsia="Times New Roman" w:hAnsi="Arial" w:cs="Arial"/>
                <w:i/>
                <w:iCs/>
                <w:color w:val="000000"/>
                <w:sz w:val="16"/>
                <w:szCs w:val="16"/>
              </w:rPr>
              <w:t>Streptomyces</w:t>
            </w:r>
            <w:r w:rsidRPr="00604E26">
              <w:rPr>
                <w:rFonts w:ascii="Arial" w:eastAsia="Times New Roman" w:hAnsi="Arial" w:cs="Arial"/>
                <w:color w:val="000000"/>
                <w:sz w:val="16"/>
                <w:szCs w:val="16"/>
              </w:rPr>
              <w:t xml:space="preserve"> in multiple tomato genotypes, confirmed using knockout lines.</w:t>
            </w:r>
          </w:p>
        </w:tc>
        <w:tc>
          <w:tcPr>
            <w:tcW w:w="533" w:type="pct"/>
            <w:textDirection w:val="btLr"/>
            <w:hideMark/>
          </w:tcPr>
          <w:p w14:paraId="0CF1A2EF"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Network- and RF-guided </w:t>
            </w:r>
            <w:proofErr w:type="spellStart"/>
            <w:r w:rsidRPr="00EB7059">
              <w:rPr>
                <w:rFonts w:ascii="Arial" w:eastAsia="Times New Roman" w:hAnsi="Arial" w:cs="Arial"/>
                <w:color w:val="000000"/>
                <w:sz w:val="20"/>
                <w:szCs w:val="20"/>
              </w:rPr>
              <w:t>SynCom</w:t>
            </w:r>
            <w:proofErr w:type="spellEnd"/>
            <w:r w:rsidRPr="00EB7059">
              <w:rPr>
                <w:rFonts w:ascii="Arial" w:eastAsia="Times New Roman" w:hAnsi="Arial" w:cs="Arial"/>
                <w:color w:val="000000"/>
                <w:sz w:val="20"/>
                <w:szCs w:val="20"/>
              </w:rPr>
              <w:t xml:space="preserve"> design</w:t>
            </w:r>
          </w:p>
        </w:tc>
        <w:tc>
          <w:tcPr>
            <w:tcW w:w="534" w:type="pct"/>
            <w:textDirection w:val="btLr"/>
            <w:hideMark/>
          </w:tcPr>
          <w:p w14:paraId="2D045C5A"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Bottom-up </w:t>
            </w:r>
            <w:proofErr w:type="spellStart"/>
            <w:r w:rsidRPr="00EB7059">
              <w:rPr>
                <w:rFonts w:ascii="Arial" w:eastAsia="Times New Roman" w:hAnsi="Arial" w:cs="Arial"/>
                <w:color w:val="000000"/>
                <w:sz w:val="20"/>
                <w:szCs w:val="20"/>
              </w:rPr>
              <w:t>SynCom</w:t>
            </w:r>
            <w:proofErr w:type="spellEnd"/>
            <w:r w:rsidRPr="00EB7059">
              <w:rPr>
                <w:rFonts w:ascii="Arial" w:eastAsia="Times New Roman" w:hAnsi="Arial" w:cs="Arial"/>
                <w:color w:val="000000"/>
                <w:sz w:val="20"/>
                <w:szCs w:val="20"/>
              </w:rPr>
              <w:t xml:space="preserve"> assembly</w:t>
            </w:r>
          </w:p>
        </w:tc>
        <w:tc>
          <w:tcPr>
            <w:tcW w:w="468" w:type="pct"/>
            <w:textDirection w:val="btLr"/>
            <w:hideMark/>
          </w:tcPr>
          <w:p w14:paraId="1B57C502"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Bottom-up </w:t>
            </w:r>
            <w:proofErr w:type="spellStart"/>
            <w:r w:rsidRPr="00EB7059">
              <w:rPr>
                <w:rFonts w:ascii="Arial" w:eastAsia="Times New Roman" w:hAnsi="Arial" w:cs="Arial"/>
                <w:color w:val="000000"/>
                <w:sz w:val="20"/>
                <w:szCs w:val="20"/>
              </w:rPr>
              <w:t>SynCom</w:t>
            </w:r>
            <w:proofErr w:type="spellEnd"/>
            <w:r w:rsidRPr="00EB7059">
              <w:rPr>
                <w:rFonts w:ascii="Arial" w:eastAsia="Times New Roman" w:hAnsi="Arial" w:cs="Arial"/>
                <w:color w:val="000000"/>
                <w:sz w:val="20"/>
                <w:szCs w:val="20"/>
              </w:rPr>
              <w:t xml:space="preserve"> design</w:t>
            </w:r>
          </w:p>
        </w:tc>
        <w:tc>
          <w:tcPr>
            <w:tcW w:w="467" w:type="pct"/>
            <w:textDirection w:val="btLr"/>
            <w:hideMark/>
          </w:tcPr>
          <w:p w14:paraId="112DAF2D"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Consortium inoculation</w:t>
            </w:r>
          </w:p>
        </w:tc>
        <w:tc>
          <w:tcPr>
            <w:tcW w:w="533" w:type="pct"/>
            <w:textDirection w:val="btLr"/>
            <w:hideMark/>
          </w:tcPr>
          <w:p w14:paraId="20A615D6"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Ratio-optimised </w:t>
            </w:r>
            <w:proofErr w:type="spellStart"/>
            <w:r w:rsidRPr="00EB7059">
              <w:rPr>
                <w:rFonts w:ascii="Arial" w:eastAsia="Times New Roman" w:hAnsi="Arial" w:cs="Arial"/>
                <w:color w:val="000000"/>
                <w:sz w:val="20"/>
                <w:szCs w:val="20"/>
              </w:rPr>
              <w:t>SynCom</w:t>
            </w:r>
            <w:proofErr w:type="spellEnd"/>
            <w:r w:rsidRPr="00EB7059">
              <w:rPr>
                <w:rFonts w:ascii="Arial" w:eastAsia="Times New Roman" w:hAnsi="Arial" w:cs="Arial"/>
                <w:color w:val="000000"/>
                <w:sz w:val="20"/>
                <w:szCs w:val="20"/>
              </w:rPr>
              <w:t xml:space="preserve"> design</w:t>
            </w:r>
          </w:p>
        </w:tc>
        <w:tc>
          <w:tcPr>
            <w:tcW w:w="600" w:type="pct"/>
            <w:textDirection w:val="btLr"/>
            <w:hideMark/>
          </w:tcPr>
          <w:p w14:paraId="1EA066F8"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Top-down </w:t>
            </w:r>
            <w:proofErr w:type="spellStart"/>
            <w:r w:rsidRPr="00EB7059">
              <w:rPr>
                <w:rFonts w:ascii="Arial" w:eastAsia="Times New Roman" w:hAnsi="Arial" w:cs="Arial"/>
                <w:color w:val="000000"/>
                <w:sz w:val="20"/>
                <w:szCs w:val="20"/>
              </w:rPr>
              <w:t>SynCom</w:t>
            </w:r>
            <w:proofErr w:type="spellEnd"/>
            <w:r w:rsidRPr="00EB7059">
              <w:rPr>
                <w:rFonts w:ascii="Arial" w:eastAsia="Times New Roman" w:hAnsi="Arial" w:cs="Arial"/>
                <w:color w:val="000000"/>
                <w:sz w:val="20"/>
                <w:szCs w:val="20"/>
              </w:rPr>
              <w:t xml:space="preserve"> assembly</w:t>
            </w:r>
          </w:p>
        </w:tc>
      </w:tr>
      <w:tr w:rsidR="0011506D" w:rsidRPr="00EB7059" w14:paraId="67934876" w14:textId="77777777" w:rsidTr="00AF1FA1">
        <w:trPr>
          <w:trHeight w:val="1417"/>
        </w:trPr>
        <w:tc>
          <w:tcPr>
            <w:tcW w:w="529" w:type="pct"/>
            <w:textDirection w:val="btLr"/>
            <w:hideMark/>
          </w:tcPr>
          <w:p w14:paraId="77C449BF"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Microbial Community / Taxon</w:t>
            </w:r>
          </w:p>
        </w:tc>
        <w:tc>
          <w:tcPr>
            <w:tcW w:w="669" w:type="pct"/>
            <w:textDirection w:val="btLr"/>
            <w:hideMark/>
          </w:tcPr>
          <w:p w14:paraId="404E1CB9"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 xml:space="preserve">Bacillus </w:t>
            </w:r>
            <w:proofErr w:type="spellStart"/>
            <w:r w:rsidRPr="00EB7059">
              <w:rPr>
                <w:rFonts w:ascii="Arial" w:eastAsia="Times New Roman" w:hAnsi="Arial" w:cs="Arial"/>
                <w:i/>
                <w:iCs/>
                <w:color w:val="000000"/>
                <w:sz w:val="20"/>
                <w:szCs w:val="20"/>
              </w:rPr>
              <w:t>amyloliquefacien</w:t>
            </w:r>
            <w:r w:rsidRPr="00EB7059">
              <w:rPr>
                <w:rFonts w:ascii="Arial" w:eastAsia="Times New Roman" w:hAnsi="Arial" w:cs="Arial"/>
                <w:color w:val="000000"/>
                <w:sz w:val="20"/>
                <w:szCs w:val="20"/>
              </w:rPr>
              <w:t>s</w:t>
            </w:r>
            <w:proofErr w:type="spellEnd"/>
            <w:r w:rsidRPr="00EB7059">
              <w:rPr>
                <w:rFonts w:ascii="Arial" w:eastAsia="Times New Roman" w:hAnsi="Arial" w:cs="Arial"/>
                <w:color w:val="000000"/>
                <w:sz w:val="20"/>
                <w:szCs w:val="20"/>
              </w:rPr>
              <w:t xml:space="preserve"> SQR9</w:t>
            </w:r>
          </w:p>
        </w:tc>
        <w:tc>
          <w:tcPr>
            <w:tcW w:w="667" w:type="pct"/>
            <w:textDirection w:val="btLr"/>
            <w:hideMark/>
          </w:tcPr>
          <w:p w14:paraId="0FB0B442"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 xml:space="preserve">Streptomyces </w:t>
            </w:r>
            <w:r w:rsidRPr="00EB7059">
              <w:rPr>
                <w:rFonts w:ascii="Arial" w:eastAsia="Times New Roman" w:hAnsi="Arial" w:cs="Arial"/>
                <w:color w:val="000000"/>
                <w:sz w:val="20"/>
                <w:szCs w:val="20"/>
              </w:rPr>
              <w:t>spp.</w:t>
            </w:r>
          </w:p>
        </w:tc>
        <w:tc>
          <w:tcPr>
            <w:tcW w:w="533" w:type="pct"/>
            <w:textDirection w:val="btLr"/>
            <w:hideMark/>
          </w:tcPr>
          <w:p w14:paraId="090013A8"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18"/>
                <w:szCs w:val="18"/>
              </w:rPr>
              <w:t xml:space="preserve">Cross-kingdom </w:t>
            </w:r>
            <w:proofErr w:type="spellStart"/>
            <w:r w:rsidRPr="00EB7059">
              <w:rPr>
                <w:rFonts w:ascii="Arial" w:eastAsia="Times New Roman" w:hAnsi="Arial" w:cs="Arial"/>
                <w:color w:val="000000"/>
                <w:sz w:val="18"/>
                <w:szCs w:val="18"/>
              </w:rPr>
              <w:t>SynCom</w:t>
            </w:r>
            <w:proofErr w:type="spellEnd"/>
            <w:r w:rsidRPr="00EB7059">
              <w:rPr>
                <w:rFonts w:ascii="Arial" w:eastAsia="Times New Roman" w:hAnsi="Arial" w:cs="Arial"/>
                <w:color w:val="000000"/>
                <w:sz w:val="18"/>
                <w:szCs w:val="18"/>
              </w:rPr>
              <w:t xml:space="preserve"> (bacteria + fungi, field-derived)</w:t>
            </w:r>
          </w:p>
        </w:tc>
        <w:tc>
          <w:tcPr>
            <w:tcW w:w="534" w:type="pct"/>
            <w:textDirection w:val="btLr"/>
            <w:hideMark/>
          </w:tcPr>
          <w:p w14:paraId="62FED90A"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SynCom1/2 and variants</w:t>
            </w:r>
          </w:p>
        </w:tc>
        <w:tc>
          <w:tcPr>
            <w:tcW w:w="468" w:type="pct"/>
            <w:textDirection w:val="btLr"/>
            <w:hideMark/>
          </w:tcPr>
          <w:p w14:paraId="65D939A2" w14:textId="77777777" w:rsidR="0011506D" w:rsidRPr="00EB7059" w:rsidRDefault="0011506D" w:rsidP="0011506D">
            <w:pPr>
              <w:jc w:val="center"/>
              <w:rPr>
                <w:rFonts w:ascii="Arial" w:eastAsia="Times New Roman" w:hAnsi="Arial" w:cs="Arial"/>
                <w:color w:val="000000"/>
                <w:sz w:val="20"/>
                <w:szCs w:val="20"/>
              </w:rPr>
            </w:pPr>
            <w:proofErr w:type="spellStart"/>
            <w:r w:rsidRPr="00EB7059">
              <w:rPr>
                <w:rFonts w:ascii="Arial" w:eastAsia="Times New Roman" w:hAnsi="Arial" w:cs="Arial"/>
                <w:color w:val="000000"/>
                <w:sz w:val="20"/>
                <w:szCs w:val="20"/>
              </w:rPr>
              <w:t>SynComs</w:t>
            </w:r>
            <w:proofErr w:type="spellEnd"/>
            <w:r w:rsidRPr="00EB7059">
              <w:rPr>
                <w:rFonts w:ascii="Arial" w:eastAsia="Times New Roman" w:hAnsi="Arial" w:cs="Arial"/>
                <w:color w:val="000000"/>
                <w:sz w:val="20"/>
                <w:szCs w:val="20"/>
              </w:rPr>
              <w:t xml:space="preserve"> (44, 11, 3 isolates)</w:t>
            </w:r>
          </w:p>
        </w:tc>
        <w:tc>
          <w:tcPr>
            <w:tcW w:w="467" w:type="pct"/>
            <w:textDirection w:val="btLr"/>
            <w:hideMark/>
          </w:tcPr>
          <w:p w14:paraId="5984F65C"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4-strain Bacillus consortium</w:t>
            </w:r>
          </w:p>
        </w:tc>
        <w:tc>
          <w:tcPr>
            <w:tcW w:w="533" w:type="pct"/>
            <w:textDirection w:val="btLr"/>
            <w:hideMark/>
          </w:tcPr>
          <w:p w14:paraId="5CEC0096"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7 </w:t>
            </w:r>
            <w:proofErr w:type="spellStart"/>
            <w:r w:rsidRPr="00EB7059">
              <w:rPr>
                <w:rFonts w:ascii="Arial" w:eastAsia="Times New Roman" w:hAnsi="Arial" w:cs="Arial"/>
                <w:color w:val="000000"/>
                <w:sz w:val="20"/>
                <w:szCs w:val="20"/>
              </w:rPr>
              <w:t>SynComs</w:t>
            </w:r>
            <w:proofErr w:type="spellEnd"/>
            <w:r w:rsidRPr="00EB7059">
              <w:rPr>
                <w:rFonts w:ascii="Arial" w:eastAsia="Times New Roman" w:hAnsi="Arial" w:cs="Arial"/>
                <w:color w:val="000000"/>
                <w:sz w:val="20"/>
                <w:szCs w:val="20"/>
              </w:rPr>
              <w:t xml:space="preserve"> from 14 rhizosphere strains</w:t>
            </w:r>
          </w:p>
        </w:tc>
        <w:tc>
          <w:tcPr>
            <w:tcW w:w="600" w:type="pct"/>
            <w:textDirection w:val="btLr"/>
            <w:hideMark/>
          </w:tcPr>
          <w:p w14:paraId="64DF5A2C"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Top-down leaf-derived </w:t>
            </w:r>
            <w:proofErr w:type="spellStart"/>
            <w:r w:rsidRPr="00EB7059">
              <w:rPr>
                <w:rFonts w:ascii="Arial" w:eastAsia="Times New Roman" w:hAnsi="Arial" w:cs="Arial"/>
                <w:color w:val="000000"/>
                <w:sz w:val="20"/>
                <w:szCs w:val="20"/>
              </w:rPr>
              <w:t>SynCom</w:t>
            </w:r>
            <w:proofErr w:type="spellEnd"/>
            <w:r w:rsidRPr="00EB7059">
              <w:rPr>
                <w:rFonts w:ascii="Arial" w:eastAsia="Times New Roman" w:hAnsi="Arial" w:cs="Arial"/>
                <w:color w:val="000000"/>
                <w:sz w:val="20"/>
                <w:szCs w:val="20"/>
              </w:rPr>
              <w:t xml:space="preserve"> (&gt;200 native isolates screened)</w:t>
            </w:r>
          </w:p>
        </w:tc>
      </w:tr>
      <w:tr w:rsidR="0011506D" w:rsidRPr="00EB7059" w14:paraId="7E5B4961" w14:textId="77777777" w:rsidTr="00AF1FA1">
        <w:trPr>
          <w:trHeight w:val="1861"/>
        </w:trPr>
        <w:tc>
          <w:tcPr>
            <w:tcW w:w="529" w:type="pct"/>
            <w:textDirection w:val="btLr"/>
            <w:hideMark/>
          </w:tcPr>
          <w:p w14:paraId="184FC816"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Pathogen</w:t>
            </w:r>
          </w:p>
        </w:tc>
        <w:tc>
          <w:tcPr>
            <w:tcW w:w="669" w:type="pct"/>
            <w:textDirection w:val="btLr"/>
            <w:hideMark/>
          </w:tcPr>
          <w:p w14:paraId="47BBB913" w14:textId="77777777" w:rsidR="0011506D" w:rsidRPr="00EB7059" w:rsidRDefault="0011506D" w:rsidP="0011506D">
            <w:pPr>
              <w:jc w:val="center"/>
              <w:rPr>
                <w:rFonts w:ascii="Arial" w:eastAsia="Times New Roman" w:hAnsi="Arial" w:cs="Arial"/>
                <w:i/>
                <w:iCs/>
                <w:color w:val="000000"/>
                <w:sz w:val="20"/>
                <w:szCs w:val="20"/>
              </w:rPr>
            </w:pPr>
            <w:r w:rsidRPr="00EB7059">
              <w:rPr>
                <w:rFonts w:ascii="Arial" w:eastAsia="Times New Roman" w:hAnsi="Arial" w:cs="Arial"/>
                <w:i/>
                <w:iCs/>
                <w:color w:val="000000"/>
                <w:sz w:val="20"/>
                <w:szCs w:val="20"/>
              </w:rPr>
              <w:t xml:space="preserve">Fusarium </w:t>
            </w:r>
            <w:proofErr w:type="spellStart"/>
            <w:r w:rsidRPr="00EB7059">
              <w:rPr>
                <w:rFonts w:ascii="Arial" w:eastAsia="Times New Roman" w:hAnsi="Arial" w:cs="Arial"/>
                <w:i/>
                <w:iCs/>
                <w:color w:val="000000"/>
                <w:sz w:val="20"/>
                <w:szCs w:val="20"/>
              </w:rPr>
              <w:t>oxysporum</w:t>
            </w:r>
            <w:proofErr w:type="spellEnd"/>
          </w:p>
        </w:tc>
        <w:tc>
          <w:tcPr>
            <w:tcW w:w="667" w:type="pct"/>
            <w:textDirection w:val="btLr"/>
            <w:hideMark/>
          </w:tcPr>
          <w:p w14:paraId="07B7F9E1" w14:textId="77777777" w:rsidR="0011506D" w:rsidRPr="00EB7059" w:rsidRDefault="0011506D" w:rsidP="0011506D">
            <w:pPr>
              <w:jc w:val="center"/>
              <w:rPr>
                <w:rFonts w:ascii="Arial" w:eastAsia="Times New Roman" w:hAnsi="Arial" w:cs="Arial"/>
                <w:i/>
                <w:iCs/>
                <w:color w:val="000000"/>
                <w:sz w:val="20"/>
                <w:szCs w:val="20"/>
              </w:rPr>
            </w:pPr>
            <w:proofErr w:type="spellStart"/>
            <w:r w:rsidRPr="00EB7059">
              <w:rPr>
                <w:rFonts w:ascii="Arial" w:eastAsia="Times New Roman" w:hAnsi="Arial" w:cs="Arial"/>
                <w:i/>
                <w:iCs/>
                <w:color w:val="000000"/>
                <w:sz w:val="20"/>
                <w:szCs w:val="20"/>
              </w:rPr>
              <w:t>Ralstonia</w:t>
            </w:r>
            <w:proofErr w:type="spellEnd"/>
            <w:r w:rsidRPr="00EB7059">
              <w:rPr>
                <w:rFonts w:ascii="Arial" w:eastAsia="Times New Roman" w:hAnsi="Arial" w:cs="Arial"/>
                <w:i/>
                <w:iCs/>
                <w:color w:val="000000"/>
                <w:sz w:val="20"/>
                <w:szCs w:val="20"/>
              </w:rPr>
              <w:t xml:space="preserve"> solanacearum</w:t>
            </w:r>
          </w:p>
        </w:tc>
        <w:tc>
          <w:tcPr>
            <w:tcW w:w="533" w:type="pct"/>
            <w:textDirection w:val="btLr"/>
            <w:hideMark/>
          </w:tcPr>
          <w:p w14:paraId="37F9D666"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 xml:space="preserve">Fusarium </w:t>
            </w:r>
            <w:proofErr w:type="spellStart"/>
            <w:r w:rsidRPr="00EB7059">
              <w:rPr>
                <w:rFonts w:ascii="Arial" w:eastAsia="Times New Roman" w:hAnsi="Arial" w:cs="Arial"/>
                <w:i/>
                <w:iCs/>
                <w:color w:val="000000"/>
                <w:sz w:val="20"/>
                <w:szCs w:val="20"/>
              </w:rPr>
              <w:t>oxysporum</w:t>
            </w:r>
            <w:proofErr w:type="spellEnd"/>
            <w:r w:rsidRPr="00EB7059">
              <w:rPr>
                <w:rFonts w:ascii="Arial" w:eastAsia="Times New Roman" w:hAnsi="Arial" w:cs="Arial"/>
                <w:color w:val="000000"/>
                <w:sz w:val="20"/>
                <w:szCs w:val="20"/>
              </w:rPr>
              <w:t xml:space="preserve"> f. sp. </w:t>
            </w:r>
            <w:proofErr w:type="spellStart"/>
            <w:r w:rsidRPr="00EB7059">
              <w:rPr>
                <w:rFonts w:ascii="Arial" w:eastAsia="Times New Roman" w:hAnsi="Arial" w:cs="Arial"/>
                <w:color w:val="000000"/>
                <w:sz w:val="20"/>
                <w:szCs w:val="20"/>
              </w:rPr>
              <w:t>l</w:t>
            </w:r>
            <w:r w:rsidRPr="00EB7059">
              <w:rPr>
                <w:rFonts w:ascii="Arial" w:eastAsia="Times New Roman" w:hAnsi="Arial" w:cs="Arial"/>
                <w:i/>
                <w:iCs/>
                <w:color w:val="000000"/>
                <w:sz w:val="20"/>
                <w:szCs w:val="20"/>
              </w:rPr>
              <w:t>ycopersici</w:t>
            </w:r>
            <w:proofErr w:type="spellEnd"/>
          </w:p>
        </w:tc>
        <w:tc>
          <w:tcPr>
            <w:tcW w:w="534" w:type="pct"/>
            <w:textDirection w:val="btLr"/>
            <w:hideMark/>
          </w:tcPr>
          <w:p w14:paraId="06A2E099"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 xml:space="preserve">Fusarium </w:t>
            </w:r>
            <w:proofErr w:type="spellStart"/>
            <w:r w:rsidRPr="00EB7059">
              <w:rPr>
                <w:rFonts w:ascii="Arial" w:eastAsia="Times New Roman" w:hAnsi="Arial" w:cs="Arial"/>
                <w:i/>
                <w:iCs/>
                <w:color w:val="000000"/>
                <w:sz w:val="20"/>
                <w:szCs w:val="20"/>
              </w:rPr>
              <w:t>oxysporum</w:t>
            </w:r>
            <w:proofErr w:type="spellEnd"/>
            <w:r w:rsidRPr="00EB7059">
              <w:rPr>
                <w:rFonts w:ascii="Arial" w:eastAsia="Times New Roman" w:hAnsi="Arial" w:cs="Arial"/>
                <w:color w:val="000000"/>
                <w:sz w:val="20"/>
                <w:szCs w:val="20"/>
              </w:rPr>
              <w:t xml:space="preserve"> (root) / </w:t>
            </w:r>
            <w:r w:rsidRPr="00EB7059">
              <w:rPr>
                <w:rFonts w:ascii="Arial" w:eastAsia="Times New Roman" w:hAnsi="Arial" w:cs="Arial"/>
                <w:i/>
                <w:iCs/>
                <w:color w:val="000000"/>
                <w:sz w:val="20"/>
                <w:szCs w:val="20"/>
              </w:rPr>
              <w:t>Botrytis cinerea</w:t>
            </w:r>
            <w:r w:rsidRPr="00EB7059">
              <w:rPr>
                <w:rFonts w:ascii="Arial" w:eastAsia="Times New Roman" w:hAnsi="Arial" w:cs="Arial"/>
                <w:color w:val="000000"/>
                <w:sz w:val="20"/>
                <w:szCs w:val="20"/>
              </w:rPr>
              <w:t xml:space="preserve"> (leaf)</w:t>
            </w:r>
          </w:p>
        </w:tc>
        <w:tc>
          <w:tcPr>
            <w:tcW w:w="468" w:type="pct"/>
            <w:textDirection w:val="btLr"/>
            <w:hideMark/>
          </w:tcPr>
          <w:p w14:paraId="318F0362" w14:textId="77777777" w:rsidR="0011506D" w:rsidRPr="00EB7059" w:rsidRDefault="0011506D" w:rsidP="0011506D">
            <w:pPr>
              <w:jc w:val="center"/>
              <w:rPr>
                <w:rFonts w:ascii="Arial" w:eastAsia="Times New Roman" w:hAnsi="Arial" w:cs="Arial"/>
                <w:i/>
                <w:iCs/>
                <w:color w:val="000000"/>
                <w:sz w:val="20"/>
                <w:szCs w:val="20"/>
              </w:rPr>
            </w:pPr>
            <w:r w:rsidRPr="00EB7059">
              <w:rPr>
                <w:rFonts w:ascii="Arial" w:eastAsia="Times New Roman" w:hAnsi="Arial" w:cs="Arial"/>
                <w:i/>
                <w:iCs/>
                <w:color w:val="000000"/>
                <w:sz w:val="20"/>
                <w:szCs w:val="20"/>
              </w:rPr>
              <w:t xml:space="preserve">Fusarium </w:t>
            </w:r>
            <w:proofErr w:type="spellStart"/>
            <w:r w:rsidRPr="00EB7059">
              <w:rPr>
                <w:rFonts w:ascii="Arial" w:eastAsia="Times New Roman" w:hAnsi="Arial" w:cs="Arial"/>
                <w:i/>
                <w:iCs/>
                <w:color w:val="000000"/>
                <w:sz w:val="20"/>
                <w:szCs w:val="20"/>
              </w:rPr>
              <w:t>oxysporum</w:t>
            </w:r>
            <w:proofErr w:type="spellEnd"/>
          </w:p>
        </w:tc>
        <w:tc>
          <w:tcPr>
            <w:tcW w:w="467" w:type="pct"/>
            <w:textDirection w:val="btLr"/>
            <w:hideMark/>
          </w:tcPr>
          <w:p w14:paraId="56818A1C"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 xml:space="preserve">Verticillium </w:t>
            </w:r>
            <w:r w:rsidRPr="00EB7059">
              <w:rPr>
                <w:rFonts w:ascii="Arial" w:eastAsia="Times New Roman" w:hAnsi="Arial" w:cs="Arial"/>
                <w:color w:val="000000"/>
                <w:sz w:val="20"/>
                <w:szCs w:val="20"/>
              </w:rPr>
              <w:t>spp.</w:t>
            </w:r>
          </w:p>
        </w:tc>
        <w:tc>
          <w:tcPr>
            <w:tcW w:w="533" w:type="pct"/>
            <w:textDirection w:val="btLr"/>
            <w:hideMark/>
          </w:tcPr>
          <w:p w14:paraId="429C4743"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Rhizoctonia</w:t>
            </w:r>
            <w:r w:rsidRPr="00EB7059">
              <w:rPr>
                <w:rFonts w:ascii="Arial" w:eastAsia="Times New Roman" w:hAnsi="Arial" w:cs="Arial"/>
                <w:color w:val="000000"/>
                <w:sz w:val="20"/>
                <w:szCs w:val="20"/>
              </w:rPr>
              <w:t xml:space="preserve"> </w:t>
            </w:r>
            <w:proofErr w:type="spellStart"/>
            <w:r w:rsidRPr="00EB7059">
              <w:rPr>
                <w:rFonts w:ascii="Arial" w:eastAsia="Times New Roman" w:hAnsi="Arial" w:cs="Arial"/>
                <w:color w:val="000000"/>
                <w:sz w:val="20"/>
                <w:szCs w:val="20"/>
              </w:rPr>
              <w:t>solani</w:t>
            </w:r>
            <w:proofErr w:type="spellEnd"/>
          </w:p>
        </w:tc>
        <w:tc>
          <w:tcPr>
            <w:tcW w:w="600" w:type="pct"/>
            <w:textDirection w:val="btLr"/>
            <w:hideMark/>
          </w:tcPr>
          <w:p w14:paraId="0066AF2F" w14:textId="77777777" w:rsidR="0011506D" w:rsidRPr="00EB7059" w:rsidRDefault="0011506D" w:rsidP="0011506D">
            <w:pPr>
              <w:jc w:val="center"/>
              <w:rPr>
                <w:rFonts w:ascii="Arial" w:eastAsia="Times New Roman" w:hAnsi="Arial" w:cs="Arial"/>
                <w:i/>
                <w:iCs/>
                <w:color w:val="000000"/>
                <w:sz w:val="20"/>
                <w:szCs w:val="20"/>
              </w:rPr>
            </w:pPr>
            <w:r w:rsidRPr="00EB7059">
              <w:rPr>
                <w:rFonts w:ascii="Arial" w:eastAsia="Times New Roman" w:hAnsi="Arial" w:cs="Arial"/>
                <w:i/>
                <w:iCs/>
                <w:color w:val="000000"/>
                <w:sz w:val="20"/>
                <w:szCs w:val="20"/>
              </w:rPr>
              <w:t xml:space="preserve">Pseudomonas </w:t>
            </w:r>
            <w:proofErr w:type="spellStart"/>
            <w:r w:rsidRPr="00EB7059">
              <w:rPr>
                <w:rFonts w:ascii="Arial" w:eastAsia="Times New Roman" w:hAnsi="Arial" w:cs="Arial"/>
                <w:i/>
                <w:iCs/>
                <w:color w:val="000000"/>
                <w:sz w:val="20"/>
                <w:szCs w:val="20"/>
              </w:rPr>
              <w:t>syringae</w:t>
            </w:r>
            <w:proofErr w:type="spellEnd"/>
          </w:p>
        </w:tc>
      </w:tr>
      <w:tr w:rsidR="0011506D" w:rsidRPr="00EB7059" w14:paraId="4264EDFB" w14:textId="77777777" w:rsidTr="00AF1FA1">
        <w:trPr>
          <w:trHeight w:val="1598"/>
        </w:trPr>
        <w:tc>
          <w:tcPr>
            <w:tcW w:w="529" w:type="pct"/>
            <w:textDirection w:val="btLr"/>
            <w:hideMark/>
          </w:tcPr>
          <w:p w14:paraId="0F1B0DFF" w14:textId="77777777" w:rsidR="0011506D" w:rsidRPr="00EB7059" w:rsidRDefault="0011506D" w:rsidP="0011506D">
            <w:pPr>
              <w:jc w:val="center"/>
              <w:rPr>
                <w:rFonts w:ascii="Arial" w:eastAsia="Times New Roman" w:hAnsi="Arial" w:cs="Arial"/>
                <w:b/>
                <w:bCs/>
                <w:color w:val="000000"/>
                <w:sz w:val="20"/>
                <w:szCs w:val="20"/>
              </w:rPr>
            </w:pPr>
            <w:r w:rsidRPr="00EB7059">
              <w:rPr>
                <w:rFonts w:ascii="Arial" w:eastAsia="Times New Roman" w:hAnsi="Arial" w:cs="Arial"/>
                <w:b/>
                <w:bCs/>
                <w:color w:val="000000"/>
                <w:sz w:val="20"/>
                <w:szCs w:val="20"/>
              </w:rPr>
              <w:t>Crop</w:t>
            </w:r>
          </w:p>
        </w:tc>
        <w:tc>
          <w:tcPr>
            <w:tcW w:w="669" w:type="pct"/>
            <w:textDirection w:val="btLr"/>
            <w:hideMark/>
          </w:tcPr>
          <w:p w14:paraId="432C8436" w14:textId="77777777" w:rsidR="006D6626"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Cucumber </w:t>
            </w:r>
          </w:p>
          <w:p w14:paraId="1BF4A5F6" w14:textId="1B08FF08"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w:t>
            </w:r>
            <w:r w:rsidRPr="00EB7059">
              <w:rPr>
                <w:rFonts w:ascii="Arial" w:eastAsia="Times New Roman" w:hAnsi="Arial" w:cs="Arial"/>
                <w:i/>
                <w:iCs/>
                <w:color w:val="000000"/>
                <w:sz w:val="20"/>
                <w:szCs w:val="20"/>
              </w:rPr>
              <w:t>Cucumis sativus</w:t>
            </w:r>
            <w:r w:rsidRPr="00EB7059">
              <w:rPr>
                <w:rFonts w:ascii="Arial" w:eastAsia="Times New Roman" w:hAnsi="Arial" w:cs="Arial"/>
                <w:color w:val="000000"/>
                <w:sz w:val="20"/>
                <w:szCs w:val="20"/>
              </w:rPr>
              <w:t>)</w:t>
            </w:r>
          </w:p>
        </w:tc>
        <w:tc>
          <w:tcPr>
            <w:tcW w:w="667" w:type="pct"/>
            <w:textDirection w:val="btLr"/>
            <w:hideMark/>
          </w:tcPr>
          <w:p w14:paraId="138F9C4C" w14:textId="7777777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Tomato (</w:t>
            </w:r>
            <w:r w:rsidRPr="00EB7059">
              <w:rPr>
                <w:rFonts w:ascii="Arial" w:eastAsia="Times New Roman" w:hAnsi="Arial" w:cs="Arial"/>
                <w:i/>
                <w:iCs/>
                <w:color w:val="000000"/>
                <w:sz w:val="20"/>
                <w:szCs w:val="20"/>
              </w:rPr>
              <w:t xml:space="preserve">Solanum </w:t>
            </w:r>
            <w:proofErr w:type="spellStart"/>
            <w:r w:rsidRPr="00EB7059">
              <w:rPr>
                <w:rFonts w:ascii="Arial" w:eastAsia="Times New Roman" w:hAnsi="Arial" w:cs="Arial"/>
                <w:i/>
                <w:iCs/>
                <w:color w:val="000000"/>
                <w:sz w:val="20"/>
                <w:szCs w:val="20"/>
              </w:rPr>
              <w:t>lycopersicum</w:t>
            </w:r>
            <w:proofErr w:type="spellEnd"/>
            <w:r w:rsidRPr="00EB7059">
              <w:rPr>
                <w:rFonts w:ascii="Arial" w:eastAsia="Times New Roman" w:hAnsi="Arial" w:cs="Arial"/>
                <w:color w:val="000000"/>
                <w:sz w:val="20"/>
                <w:szCs w:val="20"/>
              </w:rPr>
              <w:t>)</w:t>
            </w:r>
          </w:p>
        </w:tc>
        <w:tc>
          <w:tcPr>
            <w:tcW w:w="533" w:type="pct"/>
            <w:textDirection w:val="btLr"/>
            <w:hideMark/>
          </w:tcPr>
          <w:p w14:paraId="076BBF7E" w14:textId="5AEBB28B"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Tomato</w:t>
            </w:r>
            <w:r w:rsidR="006D6626" w:rsidRPr="00EB7059">
              <w:rPr>
                <w:rFonts w:ascii="Arial" w:eastAsia="Times New Roman" w:hAnsi="Arial" w:cs="Arial"/>
                <w:color w:val="000000"/>
                <w:sz w:val="20"/>
                <w:szCs w:val="20"/>
              </w:rPr>
              <w:t xml:space="preserve"> (</w:t>
            </w:r>
            <w:r w:rsidR="006D6626" w:rsidRPr="00EB7059">
              <w:rPr>
                <w:rFonts w:ascii="Arial" w:eastAsia="Times New Roman" w:hAnsi="Arial" w:cs="Arial"/>
                <w:i/>
                <w:iCs/>
                <w:color w:val="000000"/>
                <w:sz w:val="20"/>
                <w:szCs w:val="20"/>
              </w:rPr>
              <w:t xml:space="preserve">Solanum </w:t>
            </w:r>
            <w:proofErr w:type="spellStart"/>
            <w:r w:rsidR="006D6626" w:rsidRPr="00EB7059">
              <w:rPr>
                <w:rFonts w:ascii="Arial" w:eastAsia="Times New Roman" w:hAnsi="Arial" w:cs="Arial"/>
                <w:i/>
                <w:iCs/>
                <w:color w:val="000000"/>
                <w:sz w:val="20"/>
                <w:szCs w:val="20"/>
              </w:rPr>
              <w:t>lycopersicum</w:t>
            </w:r>
            <w:proofErr w:type="spellEnd"/>
            <w:r w:rsidR="006D6626" w:rsidRPr="00EB7059">
              <w:rPr>
                <w:rFonts w:ascii="Arial" w:eastAsia="Times New Roman" w:hAnsi="Arial" w:cs="Arial"/>
                <w:color w:val="000000"/>
                <w:sz w:val="20"/>
                <w:szCs w:val="20"/>
              </w:rPr>
              <w:t>)</w:t>
            </w:r>
          </w:p>
        </w:tc>
        <w:tc>
          <w:tcPr>
            <w:tcW w:w="534" w:type="pct"/>
            <w:textDirection w:val="btLr"/>
            <w:hideMark/>
          </w:tcPr>
          <w:p w14:paraId="4B9DFADF" w14:textId="2B8E36CD"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Tomato</w:t>
            </w:r>
            <w:r w:rsidR="006D6626" w:rsidRPr="00EB7059">
              <w:rPr>
                <w:rFonts w:ascii="Arial" w:eastAsia="Times New Roman" w:hAnsi="Arial" w:cs="Arial"/>
                <w:color w:val="000000"/>
                <w:sz w:val="20"/>
                <w:szCs w:val="20"/>
              </w:rPr>
              <w:t xml:space="preserve"> (</w:t>
            </w:r>
            <w:r w:rsidR="006D6626" w:rsidRPr="00EB7059">
              <w:rPr>
                <w:rFonts w:ascii="Arial" w:eastAsia="Times New Roman" w:hAnsi="Arial" w:cs="Arial"/>
                <w:i/>
                <w:iCs/>
                <w:color w:val="000000"/>
                <w:sz w:val="20"/>
                <w:szCs w:val="20"/>
              </w:rPr>
              <w:t xml:space="preserve">Solanum </w:t>
            </w:r>
            <w:proofErr w:type="spellStart"/>
            <w:r w:rsidR="006D6626" w:rsidRPr="00EB7059">
              <w:rPr>
                <w:rFonts w:ascii="Arial" w:eastAsia="Times New Roman" w:hAnsi="Arial" w:cs="Arial"/>
                <w:i/>
                <w:iCs/>
                <w:color w:val="000000"/>
                <w:sz w:val="20"/>
                <w:szCs w:val="20"/>
              </w:rPr>
              <w:t>lycopersicum</w:t>
            </w:r>
            <w:proofErr w:type="spellEnd"/>
            <w:r w:rsidR="006D6626" w:rsidRPr="00EB7059">
              <w:rPr>
                <w:rFonts w:ascii="Arial" w:eastAsia="Times New Roman" w:hAnsi="Arial" w:cs="Arial"/>
                <w:color w:val="000000"/>
                <w:sz w:val="20"/>
                <w:szCs w:val="20"/>
              </w:rPr>
              <w:t>)</w:t>
            </w:r>
          </w:p>
        </w:tc>
        <w:tc>
          <w:tcPr>
            <w:tcW w:w="468" w:type="pct"/>
            <w:textDirection w:val="btLr"/>
            <w:hideMark/>
          </w:tcPr>
          <w:p w14:paraId="265D3A5E" w14:textId="77777777" w:rsidR="006D6626"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Banana </w:t>
            </w:r>
          </w:p>
          <w:p w14:paraId="06AE1C66" w14:textId="1DD8EF33"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w:t>
            </w:r>
            <w:r w:rsidRPr="00EB7059">
              <w:rPr>
                <w:rFonts w:ascii="Arial" w:eastAsia="Times New Roman" w:hAnsi="Arial" w:cs="Arial"/>
                <w:i/>
                <w:iCs/>
                <w:color w:val="000000"/>
                <w:sz w:val="20"/>
                <w:szCs w:val="20"/>
              </w:rPr>
              <w:t>Musa paradisiaca</w:t>
            </w:r>
            <w:r w:rsidRPr="00EB7059">
              <w:rPr>
                <w:rFonts w:ascii="Arial" w:eastAsia="Times New Roman" w:hAnsi="Arial" w:cs="Arial"/>
                <w:color w:val="000000"/>
                <w:sz w:val="20"/>
                <w:szCs w:val="20"/>
              </w:rPr>
              <w:t>)</w:t>
            </w:r>
          </w:p>
        </w:tc>
        <w:tc>
          <w:tcPr>
            <w:tcW w:w="467" w:type="pct"/>
            <w:textDirection w:val="btLr"/>
            <w:hideMark/>
          </w:tcPr>
          <w:p w14:paraId="23D39652" w14:textId="77777777" w:rsidR="006D6626"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Cotton </w:t>
            </w:r>
          </w:p>
          <w:p w14:paraId="6084314C" w14:textId="0E4C6537"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w:t>
            </w:r>
            <w:r w:rsidRPr="00EB7059">
              <w:rPr>
                <w:rFonts w:ascii="Arial" w:eastAsia="Times New Roman" w:hAnsi="Arial" w:cs="Arial"/>
                <w:i/>
                <w:iCs/>
                <w:color w:val="000000"/>
                <w:sz w:val="20"/>
                <w:szCs w:val="20"/>
              </w:rPr>
              <w:t xml:space="preserve">Gossypium </w:t>
            </w:r>
            <w:r w:rsidRPr="00EB7059">
              <w:rPr>
                <w:rFonts w:ascii="Arial" w:eastAsia="Times New Roman" w:hAnsi="Arial" w:cs="Arial"/>
                <w:color w:val="000000"/>
                <w:sz w:val="20"/>
                <w:szCs w:val="20"/>
              </w:rPr>
              <w:t>spp.)</w:t>
            </w:r>
          </w:p>
        </w:tc>
        <w:tc>
          <w:tcPr>
            <w:tcW w:w="533" w:type="pct"/>
            <w:textDirection w:val="btLr"/>
            <w:hideMark/>
          </w:tcPr>
          <w:p w14:paraId="6BAB7973" w14:textId="77777777" w:rsidR="006D6626"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 xml:space="preserve">Wheat </w:t>
            </w:r>
          </w:p>
          <w:p w14:paraId="4A640BF2" w14:textId="073A8921"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w:t>
            </w:r>
            <w:r w:rsidRPr="00EB7059">
              <w:rPr>
                <w:rFonts w:ascii="Arial" w:eastAsia="Times New Roman" w:hAnsi="Arial" w:cs="Arial"/>
                <w:i/>
                <w:iCs/>
                <w:color w:val="000000"/>
                <w:sz w:val="20"/>
                <w:szCs w:val="20"/>
              </w:rPr>
              <w:t>Triticum aestivum</w:t>
            </w:r>
            <w:r w:rsidRPr="00EB7059">
              <w:rPr>
                <w:rFonts w:ascii="Arial" w:eastAsia="Times New Roman" w:hAnsi="Arial" w:cs="Arial"/>
                <w:color w:val="000000"/>
                <w:sz w:val="20"/>
                <w:szCs w:val="20"/>
              </w:rPr>
              <w:t>)</w:t>
            </w:r>
          </w:p>
        </w:tc>
        <w:tc>
          <w:tcPr>
            <w:tcW w:w="600" w:type="pct"/>
            <w:textDirection w:val="btLr"/>
            <w:hideMark/>
          </w:tcPr>
          <w:p w14:paraId="6E9E77E7" w14:textId="77777777" w:rsidR="006D6626"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i/>
                <w:iCs/>
                <w:color w:val="000000"/>
                <w:sz w:val="20"/>
                <w:szCs w:val="20"/>
              </w:rPr>
              <w:t xml:space="preserve">Arabidopsis thaliana </w:t>
            </w:r>
          </w:p>
          <w:p w14:paraId="7B2B2CDC" w14:textId="06B87CF5" w:rsidR="0011506D" w:rsidRPr="00EB7059" w:rsidRDefault="0011506D" w:rsidP="0011506D">
            <w:pPr>
              <w:jc w:val="center"/>
              <w:rPr>
                <w:rFonts w:ascii="Arial" w:eastAsia="Times New Roman" w:hAnsi="Arial" w:cs="Arial"/>
                <w:color w:val="000000"/>
                <w:sz w:val="20"/>
                <w:szCs w:val="20"/>
              </w:rPr>
            </w:pPr>
            <w:r w:rsidRPr="00EB7059">
              <w:rPr>
                <w:rFonts w:ascii="Arial" w:eastAsia="Times New Roman" w:hAnsi="Arial" w:cs="Arial"/>
                <w:color w:val="000000"/>
                <w:sz w:val="20"/>
                <w:szCs w:val="20"/>
              </w:rPr>
              <w:t>(leaf)</w:t>
            </w:r>
          </w:p>
        </w:tc>
      </w:tr>
    </w:tbl>
    <w:p w14:paraId="31696206" w14:textId="77777777" w:rsidR="00500FF1" w:rsidRPr="00010D9E" w:rsidRDefault="00500FF1" w:rsidP="00D53715">
      <w:pPr>
        <w:spacing w:after="200" w:line="276" w:lineRule="auto"/>
        <w:jc w:val="both"/>
        <w:rPr>
          <w:rFonts w:ascii="Arial" w:hAnsi="Arial" w:cs="Arial"/>
          <w:sz w:val="24"/>
          <w:szCs w:val="24"/>
        </w:rPr>
      </w:pPr>
    </w:p>
    <w:p w14:paraId="6B213E9B" w14:textId="5F789E9A" w:rsidR="00D53715" w:rsidRPr="00010D9E" w:rsidRDefault="00D53715" w:rsidP="00D53715">
      <w:pPr>
        <w:spacing w:after="200" w:line="276" w:lineRule="auto"/>
        <w:jc w:val="both"/>
        <w:rPr>
          <w:rFonts w:ascii="Arial" w:hAnsi="Arial" w:cs="Arial"/>
          <w:sz w:val="24"/>
          <w:szCs w:val="24"/>
        </w:rPr>
      </w:pPr>
      <w:r w:rsidRPr="00010D9E">
        <w:rPr>
          <w:rFonts w:ascii="Arial" w:hAnsi="Arial" w:cs="Arial"/>
          <w:sz w:val="24"/>
          <w:szCs w:val="24"/>
        </w:rPr>
        <w:t>Consistent with the earlier emphasis on distinguishing evidence levels, Table 4 explicitly separates laboratory/</w:t>
      </w:r>
      <w:r w:rsidRPr="00010D9E">
        <w:rPr>
          <w:rFonts w:ascii="Arial" w:hAnsi="Arial" w:cs="Arial"/>
          <w:i/>
          <w:iCs/>
          <w:sz w:val="24"/>
          <w:szCs w:val="24"/>
        </w:rPr>
        <w:t>in vitro</w:t>
      </w:r>
      <w:r w:rsidRPr="00010D9E">
        <w:rPr>
          <w:rFonts w:ascii="Arial" w:hAnsi="Arial" w:cs="Arial"/>
          <w:sz w:val="24"/>
          <w:szCs w:val="24"/>
        </w:rPr>
        <w:t>, greenhouse/controlled-environment, and field-validated evidence for each example; the general pattern across the table is that mechanistic and greenhouse-scale evidence for microbiome-mediated disease suppression is now extensive and increasingly rigorous, whereas multi-season, multi-site field validation remains the exception rather than the rule</w:t>
      </w:r>
      <w:r w:rsidR="009B6F65" w:rsidRPr="00010D9E">
        <w:rPr>
          <w:rFonts w:ascii="Arial" w:hAnsi="Arial" w:cs="Arial"/>
          <w:sz w:val="24"/>
          <w:szCs w:val="24"/>
        </w:rPr>
        <w:t xml:space="preserve"> </w:t>
      </w:r>
      <w:r w:rsidRPr="00010D9E">
        <w:rPr>
          <w:rFonts w:ascii="Arial" w:hAnsi="Arial" w:cs="Arial"/>
          <w:sz w:val="24"/>
          <w:szCs w:val="24"/>
        </w:rPr>
        <w:t>a pattern that directly motivates the challenges discussed in Section 13 and the precision-management agenda discussed in Section 14.</w:t>
      </w:r>
    </w:p>
    <w:p w14:paraId="649D233D" w14:textId="109C4210" w:rsidR="009B6F65" w:rsidRPr="00010D9E" w:rsidRDefault="00F13D81" w:rsidP="00F13D81">
      <w:pPr>
        <w:spacing w:after="200" w:line="276" w:lineRule="auto"/>
        <w:rPr>
          <w:rFonts w:ascii="Arial" w:hAnsi="Arial" w:cs="Arial"/>
          <w:b/>
          <w:bCs/>
          <w:sz w:val="24"/>
          <w:szCs w:val="24"/>
        </w:rPr>
      </w:pPr>
      <w:proofErr w:type="gramStart"/>
      <w:r w:rsidRPr="00010D9E">
        <w:rPr>
          <w:rFonts w:ascii="Arial" w:hAnsi="Arial" w:cs="Arial"/>
          <w:b/>
          <w:bCs/>
          <w:sz w:val="24"/>
          <w:szCs w:val="24"/>
        </w:rPr>
        <w:lastRenderedPageBreak/>
        <w:t>12 .</w:t>
      </w:r>
      <w:proofErr w:type="gramEnd"/>
      <w:r w:rsidRPr="00010D9E">
        <w:rPr>
          <w:rFonts w:ascii="Arial" w:hAnsi="Arial" w:cs="Arial"/>
          <w:b/>
          <w:bCs/>
          <w:sz w:val="24"/>
          <w:szCs w:val="24"/>
        </w:rPr>
        <w:t xml:space="preserve"> FROM BIOCONTROL AGENTS TO MICROBIAL COMMUNITIES: A CRITICAL COMPARISON</w:t>
      </w:r>
    </w:p>
    <w:p w14:paraId="316724DD" w14:textId="2A57F064" w:rsidR="00964AD5" w:rsidRPr="00010D9E" w:rsidRDefault="00964AD5" w:rsidP="00964AD5">
      <w:pPr>
        <w:spacing w:after="200" w:line="276" w:lineRule="auto"/>
        <w:jc w:val="both"/>
        <w:rPr>
          <w:rFonts w:ascii="Arial" w:hAnsi="Arial" w:cs="Arial"/>
          <w:sz w:val="24"/>
          <w:szCs w:val="24"/>
        </w:rPr>
      </w:pPr>
      <w:r w:rsidRPr="00010D9E">
        <w:rPr>
          <w:rFonts w:ascii="Arial" w:hAnsi="Arial" w:cs="Arial"/>
          <w:sz w:val="24"/>
          <w:szCs w:val="24"/>
        </w:rPr>
        <w:tab/>
        <w:t>Traditional biocontrol operates on a simple causal chain</w:t>
      </w:r>
      <w:r w:rsidR="005B7F83" w:rsidRPr="00010D9E">
        <w:rPr>
          <w:rFonts w:ascii="Arial" w:hAnsi="Arial" w:cs="Arial"/>
          <w:sz w:val="24"/>
          <w:szCs w:val="24"/>
        </w:rPr>
        <w:t>,</w:t>
      </w:r>
      <w:r w:rsidRPr="00010D9E">
        <w:rPr>
          <w:rFonts w:ascii="Arial" w:hAnsi="Arial" w:cs="Arial"/>
          <w:sz w:val="24"/>
          <w:szCs w:val="24"/>
        </w:rPr>
        <w:t xml:space="preserve"> a single microbial strain is selected for antagonism against a specific target pathogen, formulated, and applied, with efficacy attributed directly to that strain's known mechanism of action. Microbiome-based biocontrol substitutes a more complex, and in principle more robust, causal chain: a microbial community is assembled or promoted, ecological interactions within that community (functional redundancy, cross-feeding, niche occupation) generate emergent suppressive capacity, and pathogen suppression together with broader plant resilience follows from the community's collective, rather than any single member's, activity.</w:t>
      </w:r>
    </w:p>
    <w:p w14:paraId="5CFE0C59" w14:textId="6670A8EE" w:rsidR="00964AD5" w:rsidRPr="00010D9E" w:rsidRDefault="00964AD5" w:rsidP="00964AD5">
      <w:pPr>
        <w:spacing w:after="200" w:line="276" w:lineRule="auto"/>
        <w:jc w:val="both"/>
        <w:rPr>
          <w:rFonts w:ascii="Arial" w:hAnsi="Arial" w:cs="Arial"/>
          <w:sz w:val="24"/>
          <w:szCs w:val="24"/>
        </w:rPr>
      </w:pPr>
      <w:r w:rsidRPr="00010D9E">
        <w:rPr>
          <w:rFonts w:ascii="Arial" w:hAnsi="Arial" w:cs="Arial"/>
          <w:sz w:val="24"/>
          <w:szCs w:val="24"/>
        </w:rPr>
        <w:t xml:space="preserve">The claimed advantage of the community-based approach is genuine but conditional rather than absolute. Functional redundancy should, in principle, make community-level suppression more robust to environmental variability than single-strain biocontrol, because the loss or underperformance of any one member can in theory be compensated by others performing an overlapping function; the consistently stronger and more broad-spectrum protection observed for essentially all tested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formulations relative to single bacterial isolates in the </w:t>
      </w:r>
      <w:proofErr w:type="spellStart"/>
      <w:r w:rsidRPr="00010D9E">
        <w:rPr>
          <w:rFonts w:ascii="Arial" w:hAnsi="Arial" w:cs="Arial"/>
          <w:sz w:val="24"/>
          <w:szCs w:val="24"/>
        </w:rPr>
        <w:t>Minchev</w:t>
      </w:r>
      <w:proofErr w:type="spellEnd"/>
      <w:r w:rsidRPr="00010D9E">
        <w:rPr>
          <w:rFonts w:ascii="Arial" w:hAnsi="Arial" w:cs="Arial"/>
          <w:sz w:val="24"/>
          <w:szCs w:val="24"/>
        </w:rPr>
        <w:t xml:space="preserve"> </w:t>
      </w:r>
      <w:r w:rsidR="00587082" w:rsidRPr="00010D9E">
        <w:rPr>
          <w:rFonts w:ascii="Arial" w:hAnsi="Arial" w:cs="Arial"/>
          <w:i/>
          <w:iCs/>
          <w:sz w:val="24"/>
          <w:szCs w:val="24"/>
        </w:rPr>
        <w:t>et al.</w:t>
      </w:r>
      <w:r w:rsidRPr="00010D9E">
        <w:rPr>
          <w:rFonts w:ascii="Arial" w:hAnsi="Arial" w:cs="Arial"/>
          <w:sz w:val="24"/>
          <w:szCs w:val="24"/>
        </w:rPr>
        <w:t xml:space="preserve"> (2021) tomato study is a clear demonstration of this principle operating in practice. However, this advantage is only realised if the assembled community actually establishes and maintains functional redundancy under field conditions</w:t>
      </w:r>
      <w:r w:rsidR="00FA730F" w:rsidRPr="00010D9E">
        <w:rPr>
          <w:rFonts w:ascii="Arial" w:hAnsi="Arial" w:cs="Arial"/>
          <w:sz w:val="24"/>
          <w:szCs w:val="24"/>
        </w:rPr>
        <w:t>,</w:t>
      </w:r>
      <w:r w:rsidRPr="00010D9E">
        <w:rPr>
          <w:rFonts w:ascii="Arial" w:hAnsi="Arial" w:cs="Arial"/>
          <w:sz w:val="24"/>
          <w:szCs w:val="24"/>
        </w:rPr>
        <w:t xml:space="preserve"> precisely the outcome shown in Section 10 to be unreliable. A poorly designed or poorly persisting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does not automatically outperform a well-established single strain; it may in fact underperform it, since a community with several competing, non-persisting members can experience worse net colonisation than a single, well-adapted strain occupying the same niche without internal competition.</w:t>
      </w:r>
    </w:p>
    <w:p w14:paraId="192C98E9" w14:textId="02449048" w:rsidR="00964AD5" w:rsidRPr="00010D9E" w:rsidRDefault="00964AD5" w:rsidP="00964AD5">
      <w:pPr>
        <w:spacing w:after="200" w:line="276" w:lineRule="auto"/>
        <w:jc w:val="both"/>
        <w:rPr>
          <w:rFonts w:ascii="Arial" w:hAnsi="Arial" w:cs="Arial"/>
          <w:sz w:val="24"/>
          <w:szCs w:val="24"/>
        </w:rPr>
      </w:pPr>
      <w:r w:rsidRPr="00010D9E">
        <w:rPr>
          <w:rFonts w:ascii="Arial" w:hAnsi="Arial" w:cs="Arial"/>
          <w:sz w:val="24"/>
          <w:szCs w:val="24"/>
        </w:rPr>
        <w:t>A further, less frequently acknowledged limitation of the community framing is diagnostic and regulatory complexity</w:t>
      </w:r>
      <w:r w:rsidR="00421FC2" w:rsidRPr="00010D9E">
        <w:rPr>
          <w:rFonts w:ascii="Arial" w:hAnsi="Arial" w:cs="Arial"/>
          <w:sz w:val="24"/>
          <w:szCs w:val="24"/>
        </w:rPr>
        <w:t>,</w:t>
      </w:r>
      <w:r w:rsidRPr="00010D9E">
        <w:rPr>
          <w:rFonts w:ascii="Arial" w:hAnsi="Arial" w:cs="Arial"/>
          <w:sz w:val="24"/>
          <w:szCs w:val="24"/>
        </w:rPr>
        <w:t xml:space="preserve"> attributing an observed field failure or success to a specific mechanism, or predicting performance in a new field site, is substantially harder for a multi-member community than for a single characterised strain, because interactions among members, and between members and the resident community, introduce combinatorial complexity that single-strain biocontrol does not face. Regulatory frameworks built around single-active-ingredient biocontrol products are, correspondingly, poorly matched to multi-strain or cross-kingdom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products, contributing to the standardisation and commercialisation barriers discussed in Sections 10 and 13.</w:t>
      </w:r>
    </w:p>
    <w:p w14:paraId="3B9DDC16" w14:textId="77777777" w:rsidR="005B6316" w:rsidRPr="00010D9E" w:rsidRDefault="00964AD5" w:rsidP="00964AD5">
      <w:pPr>
        <w:spacing w:after="200" w:line="276" w:lineRule="auto"/>
        <w:jc w:val="both"/>
        <w:rPr>
          <w:rFonts w:ascii="Arial" w:hAnsi="Arial" w:cs="Arial"/>
          <w:sz w:val="24"/>
          <w:szCs w:val="24"/>
        </w:rPr>
      </w:pPr>
      <w:r w:rsidRPr="00010D9E">
        <w:rPr>
          <w:rFonts w:ascii="Arial" w:hAnsi="Arial" w:cs="Arial"/>
          <w:sz w:val="24"/>
          <w:szCs w:val="24"/>
        </w:rPr>
        <w:t>Our assessment, on the weight of current evidence, is that microbiome-based approaches do offer a genuine mechanistic advantage over single-strain biocontrol in principle, and demonstrate this advantage reliably under controlled conditions, but do not yet reliably overcome the field-performance limitations of single-strain biocontrol in practice, because the same ecological instability that limits single-strain establishment (competition with, and disruption by, the resident community; environmental variability) also limits the establishment of a synthetic community as a whole, and introduces additional failure modes (niche overlap among introduced members, evolutionary drift within the introduced community) that single-strain biocontrol does not face. The transition from single organisms to communities changes the nature of the ecological challenge; it does not, on current evidence, eliminate it</w:t>
      </w:r>
      <w:r w:rsidR="005B6316" w:rsidRPr="00010D9E">
        <w:rPr>
          <w:rFonts w:ascii="Arial" w:hAnsi="Arial" w:cs="Arial"/>
          <w:sz w:val="24"/>
          <w:szCs w:val="24"/>
        </w:rPr>
        <w:t>.</w:t>
      </w:r>
    </w:p>
    <w:p w14:paraId="35959249" w14:textId="105CFC60" w:rsidR="00670522" w:rsidRPr="00010D9E" w:rsidRDefault="00F13D81" w:rsidP="00964AD5">
      <w:pPr>
        <w:spacing w:after="200" w:line="276" w:lineRule="auto"/>
        <w:jc w:val="both"/>
        <w:rPr>
          <w:rFonts w:ascii="Arial" w:hAnsi="Arial" w:cs="Arial"/>
          <w:sz w:val="24"/>
          <w:szCs w:val="24"/>
        </w:rPr>
      </w:pPr>
      <w:r w:rsidRPr="00010D9E">
        <w:rPr>
          <w:rFonts w:ascii="Arial" w:hAnsi="Arial" w:cs="Arial"/>
          <w:b/>
          <w:bCs/>
          <w:sz w:val="24"/>
          <w:szCs w:val="24"/>
        </w:rPr>
        <w:t>13. CHALLENGES IN MICROBIOME REPROGRAMMING</w:t>
      </w:r>
    </w:p>
    <w:p w14:paraId="7F8F9F59" w14:textId="61A4B884" w:rsidR="007634E8" w:rsidRPr="00010D9E" w:rsidRDefault="00B64B3F" w:rsidP="007634E8">
      <w:pPr>
        <w:spacing w:after="200" w:line="276" w:lineRule="auto"/>
        <w:jc w:val="both"/>
        <w:rPr>
          <w:rFonts w:ascii="Arial" w:hAnsi="Arial" w:cs="Arial"/>
          <w:sz w:val="24"/>
          <w:szCs w:val="24"/>
        </w:rPr>
      </w:pPr>
      <w:r w:rsidRPr="00010D9E">
        <w:rPr>
          <w:rFonts w:ascii="Arial" w:hAnsi="Arial" w:cs="Arial"/>
          <w:sz w:val="24"/>
          <w:szCs w:val="24"/>
        </w:rPr>
        <w:lastRenderedPageBreak/>
        <w:tab/>
      </w:r>
      <w:r w:rsidR="007634E8" w:rsidRPr="00010D9E">
        <w:rPr>
          <w:rFonts w:ascii="Arial" w:hAnsi="Arial" w:cs="Arial"/>
          <w:sz w:val="24"/>
          <w:szCs w:val="24"/>
        </w:rPr>
        <w:t xml:space="preserve">A rigorous account of this field requires equal attention to its constraints. Environmental variability and soil heterogeneity mean that a community optimised for one soil type, climate or management regime frequently underperforms in another, and this variability interacts with, rather than simply adding to, host genotype effects, since the same introduced community can behave differently in genetically distinct host backgrounds even under otherwise identical soil and climate conditions (Trivedi </w:t>
      </w:r>
      <w:r w:rsidR="00587082" w:rsidRPr="00010D9E">
        <w:rPr>
          <w:rFonts w:ascii="Arial" w:hAnsi="Arial" w:cs="Arial"/>
          <w:i/>
          <w:iCs/>
          <w:sz w:val="24"/>
          <w:szCs w:val="24"/>
        </w:rPr>
        <w:t>et al.</w:t>
      </w:r>
      <w:r w:rsidR="007634E8" w:rsidRPr="00010D9E">
        <w:rPr>
          <w:rFonts w:ascii="Arial" w:hAnsi="Arial" w:cs="Arial"/>
          <w:sz w:val="24"/>
          <w:szCs w:val="24"/>
        </w:rPr>
        <w:t xml:space="preserve">, 2022; Shayanthan </w:t>
      </w:r>
      <w:r w:rsidR="00587082" w:rsidRPr="00010D9E">
        <w:rPr>
          <w:rFonts w:ascii="Arial" w:hAnsi="Arial" w:cs="Arial"/>
          <w:i/>
          <w:iCs/>
          <w:sz w:val="24"/>
          <w:szCs w:val="24"/>
        </w:rPr>
        <w:t>et al.</w:t>
      </w:r>
      <w:r w:rsidR="007634E8" w:rsidRPr="00010D9E">
        <w:rPr>
          <w:rFonts w:ascii="Arial" w:hAnsi="Arial" w:cs="Arial"/>
          <w:sz w:val="24"/>
          <w:szCs w:val="24"/>
        </w:rPr>
        <w:t xml:space="preserve">, 2022). Microbial competition and colonisation failure, discussed at length in Section 10, remain the proximate cause of most documented laboratory-to-field performance losses, compounded by ecological instability arising from evolutionary drift and horizontal gene transfer within introduced populations over a single growing season (Berhanu </w:t>
      </w:r>
      <w:r w:rsidR="00587082" w:rsidRPr="00010D9E">
        <w:rPr>
          <w:rFonts w:ascii="Arial" w:hAnsi="Arial" w:cs="Arial"/>
          <w:i/>
          <w:iCs/>
          <w:sz w:val="24"/>
          <w:szCs w:val="24"/>
        </w:rPr>
        <w:t>et al.</w:t>
      </w:r>
      <w:r w:rsidR="007634E8" w:rsidRPr="00010D9E">
        <w:rPr>
          <w:rFonts w:ascii="Arial" w:hAnsi="Arial" w:cs="Arial"/>
          <w:sz w:val="24"/>
          <w:szCs w:val="24"/>
        </w:rPr>
        <w:t>, 2021). Context dependency is pervasive rather than exceptional: the same microbial taxon or consortium can be protective, neutral or actively detrimental depending on host genotype, pathogen identity and environmental stress level, as illustrated by the arbuscular-mycorrhiza-increased-susceptibility example in Section 5 and the field-versus-greenhouse network divergence in Section 2.</w:t>
      </w:r>
    </w:p>
    <w:p w14:paraId="791720F6" w14:textId="1202DAAF" w:rsidR="00A74223" w:rsidRPr="00010D9E" w:rsidRDefault="00EB2426" w:rsidP="00A74223">
      <w:pPr>
        <w:spacing w:after="200" w:line="276" w:lineRule="auto"/>
        <w:jc w:val="both"/>
        <w:rPr>
          <w:rFonts w:ascii="Arial" w:hAnsi="Arial" w:cs="Arial"/>
          <w:sz w:val="24"/>
          <w:szCs w:val="24"/>
        </w:rPr>
      </w:pPr>
      <w:r w:rsidRPr="00010D9E">
        <w:rPr>
          <w:rFonts w:ascii="Arial" w:hAnsi="Arial" w:cs="Arial"/>
          <w:sz w:val="24"/>
          <w:szCs w:val="24"/>
        </w:rPr>
        <w:tab/>
      </w:r>
      <w:r w:rsidR="007634E8" w:rsidRPr="00010D9E">
        <w:rPr>
          <w:rFonts w:ascii="Arial" w:hAnsi="Arial" w:cs="Arial"/>
          <w:sz w:val="24"/>
          <w:szCs w:val="24"/>
        </w:rPr>
        <w:t>Formulation, shelf-life and delivery constitute an underappreciated practical bottleneck: a microbial community that is ecologically sound on paper is of limited value if it cannot survive storage, transport and field application in a viable, functionally intact state, and compatibility among co-formulated strains (avoiding mutual antagonism during storage, not only in the field) adds a further layer of formulation difficulty specific to multi-strain products. Non-target effects and ecological risk are genuine and insufficiently quantified concerns</w:t>
      </w:r>
      <w:r w:rsidR="006D146E" w:rsidRPr="00010D9E">
        <w:rPr>
          <w:rFonts w:ascii="Arial" w:hAnsi="Arial" w:cs="Arial"/>
          <w:sz w:val="24"/>
          <w:szCs w:val="24"/>
        </w:rPr>
        <w:t>.</w:t>
      </w:r>
      <w:r w:rsidR="007634E8" w:rsidRPr="00010D9E">
        <w:rPr>
          <w:rFonts w:ascii="Arial" w:hAnsi="Arial" w:cs="Arial"/>
          <w:sz w:val="24"/>
          <w:szCs w:val="24"/>
        </w:rPr>
        <w:t xml:space="preserve"> </w:t>
      </w:r>
      <w:r w:rsidR="006D146E" w:rsidRPr="00010D9E">
        <w:rPr>
          <w:rFonts w:ascii="Arial" w:hAnsi="Arial" w:cs="Arial"/>
          <w:sz w:val="24"/>
          <w:szCs w:val="24"/>
        </w:rPr>
        <w:t>Introduction</w:t>
      </w:r>
      <w:r w:rsidR="007634E8" w:rsidRPr="00010D9E">
        <w:rPr>
          <w:rFonts w:ascii="Arial" w:hAnsi="Arial" w:cs="Arial"/>
          <w:sz w:val="24"/>
          <w:szCs w:val="24"/>
        </w:rPr>
        <w:t xml:space="preserve"> of engineered or non-native microbial consortia into open agricultural ecosystems carries a documented, if generally low-probability, risk of native biodiversity displacement, unintended horizontal gene transfer to resident populations, and disruption of existing trophic interactions (Sharma and Bora, 2025; Folorunso </w:t>
      </w:r>
      <w:r w:rsidR="00587082" w:rsidRPr="00010D9E">
        <w:rPr>
          <w:rFonts w:ascii="Arial" w:hAnsi="Arial" w:cs="Arial"/>
          <w:i/>
          <w:iCs/>
          <w:sz w:val="24"/>
          <w:szCs w:val="24"/>
        </w:rPr>
        <w:t>et al.</w:t>
      </w:r>
      <w:r w:rsidR="007634E8" w:rsidRPr="00010D9E">
        <w:rPr>
          <w:rFonts w:ascii="Arial" w:hAnsi="Arial" w:cs="Arial"/>
          <w:sz w:val="24"/>
          <w:szCs w:val="24"/>
        </w:rPr>
        <w:t>, 202</w:t>
      </w:r>
      <w:r w:rsidR="0070346D" w:rsidRPr="00010D9E">
        <w:rPr>
          <w:rFonts w:ascii="Arial" w:hAnsi="Arial" w:cs="Arial"/>
          <w:sz w:val="24"/>
          <w:szCs w:val="24"/>
        </w:rPr>
        <w:t>6</w:t>
      </w:r>
      <w:r w:rsidR="007634E8" w:rsidRPr="00010D9E">
        <w:rPr>
          <w:rFonts w:ascii="Arial" w:hAnsi="Arial" w:cs="Arial"/>
          <w:sz w:val="24"/>
          <w:szCs w:val="24"/>
        </w:rPr>
        <w:t>). Scalability and cost present a further barrier distinct from ecological performance: manufacturing multi-strain, and particularly cross-kingdom, inoculants at a cost and reliability competitive with synthetic agrochemicals remains difficult, and this economic barrier operates independently of, and in addition to, the biological barriers already discussed.</w:t>
      </w:r>
      <w:r w:rsidR="006D146E" w:rsidRPr="00010D9E">
        <w:rPr>
          <w:rFonts w:ascii="Arial" w:hAnsi="Arial" w:cs="Arial"/>
          <w:sz w:val="24"/>
          <w:szCs w:val="24"/>
        </w:rPr>
        <w:t xml:space="preserve"> </w:t>
      </w:r>
      <w:r w:rsidR="007634E8" w:rsidRPr="00010D9E">
        <w:rPr>
          <w:rFonts w:ascii="Arial" w:hAnsi="Arial" w:cs="Arial"/>
          <w:sz w:val="24"/>
          <w:szCs w:val="24"/>
        </w:rPr>
        <w:t xml:space="preserve">Regulatory and standardisation gaps compound all of the above: bioinoculant regulatory frameworks differ substantially across jurisdictions, few offer clear guidance specifically for multi-strain synthetic products, and the absence of standardised efficacy, biosafety and persistence testing protocols makes cross-study comparison, and therefore cumulative field-readiness assessment, difficult (Cui </w:t>
      </w:r>
      <w:r w:rsidR="00587082" w:rsidRPr="00010D9E">
        <w:rPr>
          <w:rFonts w:ascii="Arial" w:hAnsi="Arial" w:cs="Arial"/>
          <w:i/>
          <w:iCs/>
          <w:sz w:val="24"/>
          <w:szCs w:val="24"/>
        </w:rPr>
        <w:t>et al.</w:t>
      </w:r>
      <w:r w:rsidR="007634E8" w:rsidRPr="00010D9E">
        <w:rPr>
          <w:rFonts w:ascii="Arial" w:hAnsi="Arial" w:cs="Arial"/>
          <w:sz w:val="24"/>
          <w:szCs w:val="24"/>
        </w:rPr>
        <w:t xml:space="preserve">, 2021; Pradhan </w:t>
      </w:r>
      <w:r w:rsidR="00587082" w:rsidRPr="00010D9E">
        <w:rPr>
          <w:rFonts w:ascii="Arial" w:hAnsi="Arial" w:cs="Arial"/>
          <w:i/>
          <w:iCs/>
          <w:sz w:val="24"/>
          <w:szCs w:val="24"/>
        </w:rPr>
        <w:t>et al.</w:t>
      </w:r>
      <w:r w:rsidR="007634E8" w:rsidRPr="00010D9E">
        <w:rPr>
          <w:rFonts w:ascii="Arial" w:hAnsi="Arial" w:cs="Arial"/>
          <w:sz w:val="24"/>
          <w:szCs w:val="24"/>
        </w:rPr>
        <w:t>, 2022). Finally, the difficulty of translating omics discoveries into field applications is not merely a matter of insufficient data but reflects a genuine scientific gap: predictive models trained on one crop</w:t>
      </w:r>
      <w:r w:rsidR="006D146E" w:rsidRPr="00010D9E">
        <w:rPr>
          <w:rFonts w:ascii="Arial" w:hAnsi="Arial" w:cs="Arial"/>
          <w:sz w:val="24"/>
          <w:szCs w:val="24"/>
        </w:rPr>
        <w:t>-</w:t>
      </w:r>
      <w:r w:rsidR="007634E8" w:rsidRPr="00010D9E">
        <w:rPr>
          <w:rFonts w:ascii="Arial" w:hAnsi="Arial" w:cs="Arial"/>
          <w:sz w:val="24"/>
          <w:szCs w:val="24"/>
        </w:rPr>
        <w:t>pathogen</w:t>
      </w:r>
      <w:r w:rsidR="006D146E" w:rsidRPr="00010D9E">
        <w:rPr>
          <w:rFonts w:ascii="Arial" w:hAnsi="Arial" w:cs="Arial"/>
          <w:sz w:val="24"/>
          <w:szCs w:val="24"/>
        </w:rPr>
        <w:t>-</w:t>
      </w:r>
      <w:r w:rsidR="007634E8" w:rsidRPr="00010D9E">
        <w:rPr>
          <w:rFonts w:ascii="Arial" w:hAnsi="Arial" w:cs="Arial"/>
          <w:sz w:val="24"/>
          <w:szCs w:val="24"/>
        </w:rPr>
        <w:t>soil system show limited demonstrated transferability to new systems, and the computational and bioinformatic expertise required to build and interpret such models remains a limiting resource in much of the applied agricultural research community (</w:t>
      </w:r>
      <w:proofErr w:type="spellStart"/>
      <w:r w:rsidR="007634E8" w:rsidRPr="00010D9E">
        <w:rPr>
          <w:rFonts w:ascii="Arial" w:hAnsi="Arial" w:cs="Arial"/>
          <w:sz w:val="24"/>
          <w:szCs w:val="24"/>
        </w:rPr>
        <w:t>Ngomle</w:t>
      </w:r>
      <w:proofErr w:type="spellEnd"/>
      <w:r w:rsidR="007634E8" w:rsidRPr="00010D9E">
        <w:rPr>
          <w:rFonts w:ascii="Arial" w:hAnsi="Arial" w:cs="Arial"/>
          <w:sz w:val="24"/>
          <w:szCs w:val="24"/>
        </w:rPr>
        <w:t xml:space="preserve"> </w:t>
      </w:r>
      <w:r w:rsidR="00587082" w:rsidRPr="00010D9E">
        <w:rPr>
          <w:rFonts w:ascii="Arial" w:hAnsi="Arial" w:cs="Arial"/>
          <w:i/>
          <w:iCs/>
          <w:sz w:val="24"/>
          <w:szCs w:val="24"/>
        </w:rPr>
        <w:t>et al.</w:t>
      </w:r>
      <w:r w:rsidR="007634E8" w:rsidRPr="00010D9E">
        <w:rPr>
          <w:rFonts w:ascii="Arial" w:hAnsi="Arial" w:cs="Arial"/>
          <w:sz w:val="24"/>
          <w:szCs w:val="24"/>
        </w:rPr>
        <w:t>, 2025). Taken together, these challenges indicate that microbiome reprogramming is best understood, at its current stage of development, as a maturing experimental science with a small number of field-proven applications, rather than as a broadly field-ready alternative to chemical disease management; this assessment is consistent with, rather than contradictory to, the substantial mechanistic progress documented throughout Sections 3 through 11.</w:t>
      </w:r>
      <w:r w:rsidR="00A74223" w:rsidRPr="00010D9E">
        <w:rPr>
          <w:rFonts w:ascii="Arial" w:hAnsi="Arial" w:cs="Arial"/>
          <w:sz w:val="24"/>
          <w:szCs w:val="24"/>
        </w:rPr>
        <w:t xml:space="preserve"> </w:t>
      </w:r>
    </w:p>
    <w:p w14:paraId="6596C116" w14:textId="7D4E7C56" w:rsidR="00A74223" w:rsidRPr="00010D9E" w:rsidRDefault="00F13D81" w:rsidP="00A74223">
      <w:pPr>
        <w:spacing w:after="200" w:line="276" w:lineRule="auto"/>
        <w:jc w:val="both"/>
        <w:rPr>
          <w:rFonts w:ascii="Arial" w:hAnsi="Arial" w:cs="Arial"/>
          <w:sz w:val="24"/>
          <w:szCs w:val="24"/>
        </w:rPr>
      </w:pPr>
      <w:r w:rsidRPr="00010D9E">
        <w:rPr>
          <w:rFonts w:ascii="Arial" w:hAnsi="Arial" w:cs="Arial"/>
          <w:b/>
          <w:bCs/>
          <w:sz w:val="24"/>
          <w:szCs w:val="24"/>
        </w:rPr>
        <w:t>14. TOWARD PRECISION MICROBIOME MANAGEMENT</w:t>
      </w:r>
    </w:p>
    <w:p w14:paraId="1752512B" w14:textId="2311B899" w:rsidR="00164993" w:rsidRPr="00010D9E" w:rsidRDefault="00164993" w:rsidP="00164993">
      <w:pPr>
        <w:spacing w:after="200" w:line="276" w:lineRule="auto"/>
        <w:jc w:val="both"/>
        <w:rPr>
          <w:rFonts w:ascii="Arial" w:hAnsi="Arial" w:cs="Arial"/>
          <w:sz w:val="24"/>
          <w:szCs w:val="24"/>
        </w:rPr>
      </w:pPr>
      <w:r w:rsidRPr="00010D9E">
        <w:rPr>
          <w:rFonts w:ascii="Arial" w:hAnsi="Arial" w:cs="Arial"/>
          <w:sz w:val="24"/>
          <w:szCs w:val="24"/>
        </w:rPr>
        <w:tab/>
        <w:t xml:space="preserve">The trajectory implied by the evidence reviewed above points toward a transition from a “one microbe-one pathogen” model, inherited directly from single-active-ingredient agrochemical logic, toward context-specific microbiome management, in which the intervention is matched to the </w:t>
      </w:r>
      <w:r w:rsidRPr="00010D9E">
        <w:rPr>
          <w:rFonts w:ascii="Arial" w:hAnsi="Arial" w:cs="Arial"/>
          <w:sz w:val="24"/>
          <w:szCs w:val="24"/>
        </w:rPr>
        <w:lastRenderedPageBreak/>
        <w:t xml:space="preserve">particular soil, crop genotype, climate and pathogen pressure profile of a given field rather than deployed as a uniform product. Several converging strands of emerging work point in this direction, though we emphasise that most remain experimental or early-stage rather than field-proven. Predictive microbiome models, built from multi-omics and network data, aim to forecast which community configuration is likely to be both stable and protective in a given environment before field deployment, reducing reliance on trial-and-error field testing (Baranwal </w:t>
      </w:r>
      <w:r w:rsidR="00587082" w:rsidRPr="00010D9E">
        <w:rPr>
          <w:rFonts w:ascii="Arial" w:hAnsi="Arial" w:cs="Arial"/>
          <w:i/>
          <w:iCs/>
          <w:sz w:val="24"/>
          <w:szCs w:val="24"/>
        </w:rPr>
        <w:t>et al.</w:t>
      </w:r>
      <w:r w:rsidRPr="00010D9E">
        <w:rPr>
          <w:rFonts w:ascii="Arial" w:hAnsi="Arial" w:cs="Arial"/>
          <w:sz w:val="24"/>
          <w:szCs w:val="24"/>
        </w:rPr>
        <w:t xml:space="preserve">, 2022). Microbiome-informed crop breeding extends the host-mediated approaches of Section 8.1 by using microbiome recruitment capacity as an explicit breeding selection criterion, rather than as an incidental by-product of selection for other traits. AI-assisted microbial community design, building on the machine-learning applications discussed in Section 9, aims to move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assembly from expert-curated selection toward data-driven optimisation across large strain libraries and interaction datasets. Disease forecasting systems, already used operationally in some conventional integrated pest management programmes, could in principle be coupled with microbiome-based interventions to time preventive community reinforcement ahead of predicted disease pressure windows, though we are not aware of well-documented field implementations of this specific combination at the time of writing.</w:t>
      </w:r>
    </w:p>
    <w:p w14:paraId="7079EFD3" w14:textId="77777777" w:rsidR="00DD0A23" w:rsidRPr="00010D9E" w:rsidRDefault="00423193" w:rsidP="00DD0A23">
      <w:pPr>
        <w:spacing w:after="200" w:line="276" w:lineRule="auto"/>
        <w:jc w:val="both"/>
        <w:rPr>
          <w:rFonts w:ascii="Arial" w:hAnsi="Arial" w:cs="Arial"/>
          <w:sz w:val="24"/>
          <w:szCs w:val="24"/>
        </w:rPr>
      </w:pPr>
      <w:r w:rsidRPr="00010D9E">
        <w:rPr>
          <w:rFonts w:ascii="Arial" w:hAnsi="Arial" w:cs="Arial"/>
          <w:sz w:val="24"/>
          <w:szCs w:val="24"/>
        </w:rPr>
        <w:tab/>
        <w:t>We treat all of these directions as promising but experimental rather than established, and explicitly caution against the inference, sometimes present in more promotional secondary literature, that precision microbiome engineering is close to displacing conventional disease management at scale. The core translational bottleneck identified in Sections 10 and 13</w:t>
      </w:r>
      <w:r w:rsidR="00BA34A2" w:rsidRPr="00010D9E">
        <w:rPr>
          <w:rFonts w:ascii="Arial" w:hAnsi="Arial" w:cs="Arial"/>
          <w:sz w:val="24"/>
          <w:szCs w:val="24"/>
        </w:rPr>
        <w:t>,</w:t>
      </w:r>
      <w:r w:rsidRPr="00010D9E">
        <w:rPr>
          <w:rFonts w:ascii="Arial" w:hAnsi="Arial" w:cs="Arial"/>
          <w:sz w:val="24"/>
          <w:szCs w:val="24"/>
        </w:rPr>
        <w:t xml:space="preserve"> unreliable field persistence and performance of engineered communities has not yet been solved by any of the precision tools described here; rather, these tools represent plausible routes toward eventually solving it, by making community design more evidence-based and by narrowing the search space of candidate interventions before field trial. Whether that promise translates into field-reliable, farmer-adoptable technology within the coming decade, as some optimistic projections suggest, remains genuinely uncertain and should be represented as such rather than as an inevitability</w:t>
      </w:r>
      <w:r w:rsidR="00BA34A2" w:rsidRPr="00010D9E">
        <w:rPr>
          <w:rFonts w:ascii="Arial" w:hAnsi="Arial" w:cs="Arial"/>
          <w:sz w:val="24"/>
          <w:szCs w:val="24"/>
        </w:rPr>
        <w:t>.</w:t>
      </w:r>
      <w:r w:rsidR="00DD0A23" w:rsidRPr="00010D9E">
        <w:rPr>
          <w:rFonts w:ascii="Arial" w:hAnsi="Arial" w:cs="Arial"/>
          <w:sz w:val="24"/>
          <w:szCs w:val="24"/>
        </w:rPr>
        <w:t xml:space="preserve"> </w:t>
      </w:r>
    </w:p>
    <w:p w14:paraId="4D9A41D8" w14:textId="235FDA5E" w:rsidR="00DD0A23" w:rsidRPr="00010D9E" w:rsidRDefault="00F13D81" w:rsidP="00DD0A23">
      <w:pPr>
        <w:spacing w:after="200" w:line="276" w:lineRule="auto"/>
        <w:jc w:val="both"/>
        <w:rPr>
          <w:rFonts w:ascii="Arial" w:hAnsi="Arial" w:cs="Arial"/>
          <w:sz w:val="24"/>
          <w:szCs w:val="24"/>
        </w:rPr>
      </w:pPr>
      <w:r w:rsidRPr="00010D9E">
        <w:rPr>
          <w:rFonts w:ascii="Arial" w:hAnsi="Arial" w:cs="Arial"/>
          <w:b/>
          <w:bCs/>
          <w:sz w:val="24"/>
          <w:szCs w:val="24"/>
        </w:rPr>
        <w:t>15. FUTURE RESEARCH PRIORITIES</w:t>
      </w:r>
    </w:p>
    <w:p w14:paraId="47BC18E9" w14:textId="77777777" w:rsidR="00FD5D9A" w:rsidRPr="00010D9E" w:rsidRDefault="007D2E79" w:rsidP="00FD5D9A">
      <w:pPr>
        <w:spacing w:after="200" w:line="276" w:lineRule="auto"/>
        <w:jc w:val="both"/>
        <w:rPr>
          <w:rFonts w:ascii="Arial" w:hAnsi="Arial" w:cs="Arial"/>
          <w:sz w:val="24"/>
          <w:szCs w:val="24"/>
        </w:rPr>
      </w:pPr>
      <w:r w:rsidRPr="00010D9E">
        <w:rPr>
          <w:rFonts w:ascii="Arial" w:hAnsi="Arial" w:cs="Arial"/>
          <w:sz w:val="24"/>
          <w:szCs w:val="24"/>
        </w:rPr>
        <w:tab/>
        <w:t>Building directly on the gaps identified across Sections 3, 6, 10 and 13, we identify the following specific research priorities rather than generic calls for more research. First, distinguishing causal from correlative microbial taxa in disease suppression requires wider adoption of manipulative experimental designs</w:t>
      </w:r>
      <w:r w:rsidR="00271893" w:rsidRPr="00010D9E">
        <w:rPr>
          <w:rFonts w:ascii="Arial" w:hAnsi="Arial" w:cs="Arial"/>
          <w:sz w:val="24"/>
          <w:szCs w:val="24"/>
        </w:rPr>
        <w:t>,</w:t>
      </w:r>
      <w:r w:rsidRPr="00010D9E">
        <w:rPr>
          <w:rFonts w:ascii="Arial" w:hAnsi="Arial" w:cs="Arial"/>
          <w:sz w:val="24"/>
          <w:szCs w:val="24"/>
        </w:rPr>
        <w:t xml:space="preserve"> targeted removal, gnotobiotic reconstruction, and reciprocal transplant in place of the amplicon-sequencing correlation studies that still dominate the descriptive literature (Section 3). Second, understanding the ecological rules governing community stability and assembly, including why niche overlap among introduced strains so often undermines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persistence while niche overlap with the target pathogen enhances suppression, is needed to move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design from largely empirical trial-and-error toward predictive ecological engineering (Sections 3, 10). Third, systematic study of plant genotype ×</w:t>
      </w:r>
      <w:r w:rsidR="00F70060" w:rsidRPr="00010D9E">
        <w:rPr>
          <w:rFonts w:ascii="Arial" w:hAnsi="Arial" w:cs="Arial"/>
          <w:sz w:val="24"/>
          <w:szCs w:val="24"/>
        </w:rPr>
        <w:t xml:space="preserve"> </w:t>
      </w:r>
      <w:r w:rsidRPr="00010D9E">
        <w:rPr>
          <w:rFonts w:ascii="Arial" w:hAnsi="Arial" w:cs="Arial"/>
          <w:sz w:val="24"/>
          <w:szCs w:val="24"/>
        </w:rPr>
        <w:t xml:space="preserve">microbiome interaction effects </w:t>
      </w:r>
      <w:proofErr w:type="gramStart"/>
      <w:r w:rsidRPr="00010D9E">
        <w:rPr>
          <w:rFonts w:ascii="Arial" w:hAnsi="Arial" w:cs="Arial"/>
          <w:sz w:val="24"/>
          <w:szCs w:val="24"/>
        </w:rPr>
        <w:t>is</w:t>
      </w:r>
      <w:proofErr w:type="gramEnd"/>
      <w:r w:rsidRPr="00010D9E">
        <w:rPr>
          <w:rFonts w:ascii="Arial" w:hAnsi="Arial" w:cs="Arial"/>
          <w:sz w:val="24"/>
          <w:szCs w:val="24"/>
        </w:rPr>
        <w:t xml:space="preserve"> needed to determine how generalisable any given reprogramming strategy is across host genetic backgrounds, rather than assuming portability from the single genotype in which a strategy was first validated (Sections 5, 13). Fourth, linking specific microbial genes and gene clusters (siderophore compatibility profiles, NRPS/PKS clusters, ISR-eliciting determinants) directly to demonstrated suppressive function, rather than to taxonomic identity alone, would substantially strengthen the presence-to-function transition discussed in Section 3. Fifth, establishing standardised benchmarks and reporting protocols for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construction, testing and field-performance reporting is a precondition for meaningful cross-study synthesis and regulatory harmonisation (Section 13). Sixth, </w:t>
      </w:r>
      <w:r w:rsidRPr="00010D9E">
        <w:rPr>
          <w:rFonts w:ascii="Arial" w:hAnsi="Arial" w:cs="Arial"/>
          <w:sz w:val="24"/>
          <w:szCs w:val="24"/>
        </w:rPr>
        <w:lastRenderedPageBreak/>
        <w:t xml:space="preserve">long-term, multi-season, multi-site ecological assessment of engineered or transplanted microbial communities tracking not only disease outcome but non-target ecological effects and eventual community fate </w:t>
      </w:r>
      <w:proofErr w:type="gramStart"/>
      <w:r w:rsidRPr="00010D9E">
        <w:rPr>
          <w:rFonts w:ascii="Arial" w:hAnsi="Arial" w:cs="Arial"/>
          <w:sz w:val="24"/>
          <w:szCs w:val="24"/>
        </w:rPr>
        <w:t>remains</w:t>
      </w:r>
      <w:proofErr w:type="gramEnd"/>
      <w:r w:rsidRPr="00010D9E">
        <w:rPr>
          <w:rFonts w:ascii="Arial" w:hAnsi="Arial" w:cs="Arial"/>
          <w:sz w:val="24"/>
          <w:szCs w:val="24"/>
        </w:rPr>
        <w:t xml:space="preserve"> rare relative to the number of short-term efficacy </w:t>
      </w:r>
      <w:r w:rsidR="00F70060" w:rsidRPr="00010D9E">
        <w:rPr>
          <w:rFonts w:ascii="Arial" w:hAnsi="Arial" w:cs="Arial"/>
          <w:sz w:val="24"/>
          <w:szCs w:val="24"/>
        </w:rPr>
        <w:t>studies and</w:t>
      </w:r>
      <w:r w:rsidRPr="00010D9E">
        <w:rPr>
          <w:rFonts w:ascii="Arial" w:hAnsi="Arial" w:cs="Arial"/>
          <w:sz w:val="24"/>
          <w:szCs w:val="24"/>
        </w:rPr>
        <w:t xml:space="preserve"> is necessary to responsibly evaluate the ecological-risk concerns raised in Section 13. We restrict this list to gaps directly identifiable from the literature synthesised in this review, in keeping with the requirement that research priorities be evidence-grounded rather than aspirational.</w:t>
      </w:r>
    </w:p>
    <w:p w14:paraId="5C9F3B17" w14:textId="4D2BAED8" w:rsidR="00FD5D9A" w:rsidRPr="00010D9E" w:rsidRDefault="000C16CB" w:rsidP="00FD5D9A">
      <w:pPr>
        <w:spacing w:after="200" w:line="276" w:lineRule="auto"/>
        <w:jc w:val="both"/>
        <w:rPr>
          <w:rFonts w:ascii="Arial" w:hAnsi="Arial" w:cs="Arial"/>
          <w:sz w:val="24"/>
          <w:szCs w:val="24"/>
        </w:rPr>
      </w:pPr>
      <w:r w:rsidRPr="00010D9E">
        <w:rPr>
          <w:rFonts w:ascii="Arial" w:hAnsi="Arial" w:cs="Arial"/>
          <w:b/>
          <w:bCs/>
          <w:sz w:val="24"/>
          <w:szCs w:val="24"/>
        </w:rPr>
        <w:t>16. CONCLUSION</w:t>
      </w:r>
    </w:p>
    <w:p w14:paraId="33CCB12A" w14:textId="2B2C42F0" w:rsidR="00A53925" w:rsidRPr="00010D9E" w:rsidRDefault="00A53925" w:rsidP="00A53925">
      <w:pPr>
        <w:spacing w:after="200" w:line="276" w:lineRule="auto"/>
        <w:jc w:val="both"/>
        <w:rPr>
          <w:rFonts w:ascii="Arial" w:hAnsi="Arial" w:cs="Arial"/>
          <w:sz w:val="24"/>
          <w:szCs w:val="24"/>
        </w:rPr>
      </w:pPr>
      <w:r w:rsidRPr="00010D9E">
        <w:rPr>
          <w:rFonts w:ascii="Arial" w:hAnsi="Arial" w:cs="Arial"/>
          <w:sz w:val="24"/>
          <w:szCs w:val="24"/>
        </w:rPr>
        <w:tab/>
        <w:t xml:space="preserve">This review has traced a conceptual progression from the architecture of the plant microbiome, through the transition in emphasis from microbial presence to microbial function, to the mechanisms and reciprocal dynamics of microbiome-mediated disease suppression, and finally to the strategies, tools and constraints associated with deliberately reprogramming plant-associated microbial communities. Across this progression, a consistent pattern </w:t>
      </w:r>
      <w:r w:rsidR="00DF1AB5" w:rsidRPr="00010D9E">
        <w:rPr>
          <w:rFonts w:ascii="Arial" w:hAnsi="Arial" w:cs="Arial"/>
          <w:sz w:val="24"/>
          <w:szCs w:val="24"/>
        </w:rPr>
        <w:t>emerges:</w:t>
      </w:r>
      <w:r w:rsidRPr="00010D9E">
        <w:rPr>
          <w:rFonts w:ascii="Arial" w:hAnsi="Arial" w:cs="Arial"/>
          <w:sz w:val="24"/>
          <w:szCs w:val="24"/>
        </w:rPr>
        <w:t xml:space="preserve"> mechanistic understanding of how microbiomes contribute to disease resistance has advanced substantially and, in several well-characterised systems (root-exudate-mediated recruitment, disease-suppressive-soil transfer, keystone-taxon-informed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design), rests on genuinely causal or strongly functional evidence rather than correlation alone. What has not yet been achieved, on the weight of current evidence, is reliable translation of that understanding into field-deployable interventions that perform consistently across the environmental and genetic variability of real agricultural systems.</w:t>
      </w:r>
    </w:p>
    <w:p w14:paraId="3B51CC16" w14:textId="05C5BDF6" w:rsidR="008F3B73" w:rsidRPr="00010D9E" w:rsidRDefault="00A53925" w:rsidP="008F3B73">
      <w:pPr>
        <w:spacing w:after="200" w:line="276" w:lineRule="auto"/>
        <w:jc w:val="both"/>
        <w:rPr>
          <w:rFonts w:ascii="Arial" w:hAnsi="Arial" w:cs="Arial"/>
          <w:sz w:val="24"/>
          <w:szCs w:val="24"/>
        </w:rPr>
      </w:pPr>
      <w:r w:rsidRPr="00010D9E">
        <w:rPr>
          <w:rFonts w:ascii="Arial" w:hAnsi="Arial" w:cs="Arial"/>
          <w:sz w:val="24"/>
          <w:szCs w:val="24"/>
        </w:rPr>
        <w:t>The future of sustainable disease management is therefore unlikely to depend on identifying a single microbial substitute for chemical inputs, in the way that single-strain biocontrol implicitly hoped to. It will more plausibly depend on the field's capacity to understand, assemble and manage functionally redundant, context-adapted microbial communities</w:t>
      </w:r>
      <w:r w:rsidR="00DF1AB5" w:rsidRPr="00010D9E">
        <w:rPr>
          <w:rFonts w:ascii="Arial" w:hAnsi="Arial" w:cs="Arial"/>
          <w:sz w:val="24"/>
          <w:szCs w:val="24"/>
        </w:rPr>
        <w:t xml:space="preserve"> </w:t>
      </w:r>
      <w:r w:rsidRPr="00010D9E">
        <w:rPr>
          <w:rFonts w:ascii="Arial" w:hAnsi="Arial" w:cs="Arial"/>
          <w:sz w:val="24"/>
          <w:szCs w:val="24"/>
        </w:rPr>
        <w:t>informed by keystone-taxon ecology, guided by omics and computational tools, and validated across the multi-season, multi-site field conditions that have so far been the exception rather than the rule in this literature. We deliberately avoid the claim that microbiome engineering will replace pesticides; the evidence reviewed here supports a more modest, but still consequential, conclusion</w:t>
      </w:r>
      <w:r w:rsidR="0041346E" w:rsidRPr="00010D9E">
        <w:rPr>
          <w:rFonts w:ascii="Arial" w:hAnsi="Arial" w:cs="Arial"/>
          <w:sz w:val="24"/>
          <w:szCs w:val="24"/>
        </w:rPr>
        <w:t>,</w:t>
      </w:r>
      <w:r w:rsidRPr="00010D9E">
        <w:rPr>
          <w:rFonts w:ascii="Arial" w:hAnsi="Arial" w:cs="Arial"/>
          <w:sz w:val="24"/>
          <w:szCs w:val="24"/>
        </w:rPr>
        <w:t xml:space="preserve"> that microbiome reprogramming is a scientifically maturing and mechanistically well-grounded strategy that already works reliably under controlled conditions, has to date been field-proven in a genuinely narrower set of systems than the volume of laboratory literature might suggest, and represents one of the more promising, evidence-based routes toward reducing agriculture's dependence on chemical disease control provided its remaining ecological, technical and regulatory constraints are addressed with the same rigour that has characterised the mechanistic research reviewed throughout this article.</w:t>
      </w:r>
    </w:p>
    <w:p w14:paraId="485CCCA8" w14:textId="5FC62039" w:rsidR="008F3B73" w:rsidRPr="00010D9E" w:rsidRDefault="0041346E" w:rsidP="008F3B73">
      <w:pPr>
        <w:spacing w:after="200" w:line="276" w:lineRule="auto"/>
        <w:jc w:val="both"/>
        <w:rPr>
          <w:rFonts w:ascii="Arial" w:hAnsi="Arial" w:cs="Arial"/>
          <w:b/>
          <w:bCs/>
          <w:sz w:val="24"/>
          <w:szCs w:val="24"/>
        </w:rPr>
      </w:pPr>
      <w:r w:rsidRPr="00010D9E">
        <w:rPr>
          <w:rFonts w:ascii="Arial" w:hAnsi="Arial" w:cs="Arial"/>
          <w:b/>
          <w:bCs/>
          <w:sz w:val="24"/>
          <w:szCs w:val="24"/>
        </w:rPr>
        <w:t>17. NOVELTY OF THIS REVIEW</w:t>
      </w:r>
    </w:p>
    <w:p w14:paraId="4D9A3C41" w14:textId="01789966" w:rsidR="00277E8D" w:rsidRDefault="00277E8D" w:rsidP="00277E8D">
      <w:pPr>
        <w:spacing w:after="200" w:line="276" w:lineRule="auto"/>
        <w:jc w:val="both"/>
        <w:rPr>
          <w:rFonts w:ascii="Arial" w:hAnsi="Arial" w:cs="Arial"/>
          <w:sz w:val="24"/>
          <w:szCs w:val="24"/>
        </w:rPr>
      </w:pPr>
      <w:r w:rsidRPr="00010D9E">
        <w:rPr>
          <w:rFonts w:ascii="Arial" w:hAnsi="Arial" w:cs="Arial"/>
          <w:sz w:val="24"/>
          <w:szCs w:val="24"/>
        </w:rPr>
        <w:tab/>
        <w:t xml:space="preserve">Existing reviews in this space tend to fall into one of several categories: comprehensive but largely descriptive plant-microbiome surveys organised by compartment (rhizosphere, </w:t>
      </w:r>
      <w:proofErr w:type="spellStart"/>
      <w:r w:rsidRPr="00010D9E">
        <w:rPr>
          <w:rFonts w:ascii="Arial" w:hAnsi="Arial" w:cs="Arial"/>
          <w:sz w:val="24"/>
          <w:szCs w:val="24"/>
        </w:rPr>
        <w:t>phyllosphere</w:t>
      </w:r>
      <w:proofErr w:type="spellEnd"/>
      <w:r w:rsidRPr="00010D9E">
        <w:rPr>
          <w:rFonts w:ascii="Arial" w:hAnsi="Arial" w:cs="Arial"/>
          <w:sz w:val="24"/>
          <w:szCs w:val="24"/>
        </w:rPr>
        <w:t xml:space="preserve">, </w:t>
      </w:r>
      <w:proofErr w:type="spellStart"/>
      <w:r w:rsidRPr="00010D9E">
        <w:rPr>
          <w:rFonts w:ascii="Arial" w:hAnsi="Arial" w:cs="Arial"/>
          <w:sz w:val="24"/>
          <w:szCs w:val="24"/>
        </w:rPr>
        <w:t>endosphere</w:t>
      </w:r>
      <w:proofErr w:type="spellEnd"/>
      <w:r w:rsidRPr="00010D9E">
        <w:rPr>
          <w:rFonts w:ascii="Arial" w:hAnsi="Arial" w:cs="Arial"/>
          <w:sz w:val="24"/>
          <w:szCs w:val="24"/>
        </w:rPr>
        <w:t xml:space="preserve">); disease-suppressive-soil reviews focused specifically on soil-borne pathogens; biocontrol-agent reviews organised by crop or pathogen; or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-specific technical reviews aimed at a microbial ecology audience. This review's intended contribution is to organise the literature explicitly around the conceptual progression from microbiome assembly to reprogrammed resilience, to apply a consistent, explicit evidentiary standard distinguishing correlation, functional demonstration and causal proof across mechanistic, ecological and applied sections alike, and to use that standard to identify specifically where field-readiness claims in the secondary literature outpace the primary evidence, most notably in the gap between greenhouse-validated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w:t>
      </w:r>
      <w:r w:rsidRPr="00010D9E">
        <w:rPr>
          <w:rFonts w:ascii="Arial" w:hAnsi="Arial" w:cs="Arial"/>
          <w:sz w:val="24"/>
          <w:szCs w:val="24"/>
        </w:rPr>
        <w:lastRenderedPageBreak/>
        <w:t xml:space="preserve">performance and multi-season field persistence. We note candidly where this novelty argument is weaker. The individual mechanistic building blocks synthesised here root-exudate recruitment, ISR, disease-suppressive soils, </w:t>
      </w:r>
      <w:r w:rsidR="007478DD" w:rsidRPr="00010D9E">
        <w:rPr>
          <w:rFonts w:ascii="Arial" w:hAnsi="Arial" w:cs="Arial"/>
          <w:sz w:val="24"/>
          <w:szCs w:val="24"/>
        </w:rPr>
        <w:t xml:space="preserve">and </w:t>
      </w:r>
      <w:proofErr w:type="spellStart"/>
      <w:r w:rsidRPr="00010D9E">
        <w:rPr>
          <w:rFonts w:ascii="Arial" w:hAnsi="Arial" w:cs="Arial"/>
          <w:sz w:val="24"/>
          <w:szCs w:val="24"/>
        </w:rPr>
        <w:t>SynCom</w:t>
      </w:r>
      <w:proofErr w:type="spellEnd"/>
      <w:r w:rsidRPr="00010D9E">
        <w:rPr>
          <w:rFonts w:ascii="Arial" w:hAnsi="Arial" w:cs="Arial"/>
          <w:sz w:val="24"/>
          <w:szCs w:val="24"/>
        </w:rPr>
        <w:t xml:space="preserve"> design principles are each already the subject of excellent, more narrowly focused primary reviews, several of which are cited throughout this article; this review's contribution is integrative and evaluative rather than the reporting of new primary data or the discovery of previously unrecognised mechanisms. Readers seeking exhaustive mechanistic detail on any single pillar (for example, the biochemistry of ISR signalling, or the bioinformatics of co-occurrence network construction) should treat the more specialised primary reviews cited in each section as the authoritative source, with this review serving as a conceptual map connecting them.</w:t>
      </w:r>
    </w:p>
    <w:p w14:paraId="48C37903" w14:textId="3D2CE595" w:rsidR="005F1B72" w:rsidRPr="005F1B72" w:rsidRDefault="005F1B72" w:rsidP="00277E8D">
      <w:pPr>
        <w:spacing w:after="200" w:line="276" w:lineRule="auto"/>
        <w:jc w:val="both"/>
        <w:rPr>
          <w:rFonts w:ascii="Arial" w:hAnsi="Arial" w:cs="Arial"/>
          <w:b/>
          <w:bCs/>
          <w:sz w:val="24"/>
          <w:szCs w:val="24"/>
        </w:rPr>
      </w:pPr>
      <w:r w:rsidRPr="005F1B72">
        <w:rPr>
          <w:rFonts w:ascii="Arial" w:hAnsi="Arial" w:cs="Arial"/>
          <w:b/>
          <w:bCs/>
          <w:sz w:val="24"/>
          <w:szCs w:val="24"/>
        </w:rPr>
        <w:t>COMPETING INTERESTS</w:t>
      </w:r>
    </w:p>
    <w:p w14:paraId="01EA0835" w14:textId="4C152224" w:rsidR="008F3B73" w:rsidRDefault="006F0D16" w:rsidP="008F3B73">
      <w:pPr>
        <w:spacing w:after="200" w:line="276" w:lineRule="auto"/>
        <w:jc w:val="both"/>
        <w:rPr>
          <w:rFonts w:ascii="Arial" w:hAnsi="Arial" w:cs="Arial"/>
          <w:sz w:val="24"/>
          <w:szCs w:val="24"/>
        </w:rPr>
      </w:pPr>
      <w:r>
        <w:rPr>
          <w:rFonts w:ascii="Arial" w:hAnsi="Arial" w:cs="Arial"/>
          <w:sz w:val="24"/>
          <w:szCs w:val="24"/>
        </w:rPr>
        <w:t>The authors</w:t>
      </w:r>
      <w:r w:rsidR="006D60DA" w:rsidRPr="006D60DA">
        <w:rPr>
          <w:rFonts w:ascii="Arial" w:hAnsi="Arial" w:cs="Arial"/>
          <w:sz w:val="24"/>
          <w:szCs w:val="24"/>
        </w:rPr>
        <w:t xml:space="preserve"> have declared that no competing interests exist.</w:t>
      </w:r>
    </w:p>
    <w:p w14:paraId="3D3C6A08" w14:textId="77777777" w:rsidR="006E3474" w:rsidRDefault="006E3474" w:rsidP="006E3474">
      <w:pPr>
        <w:rPr>
          <w:rFonts w:ascii="Times New Roman" w:hAnsi="Times New Roman" w:cs="Times New Roman"/>
          <w:b/>
        </w:rPr>
      </w:pPr>
      <w:r w:rsidRPr="000839CE">
        <w:rPr>
          <w:rFonts w:ascii="Times New Roman" w:hAnsi="Times New Roman" w:cs="Times New Roman"/>
          <w:b/>
        </w:rPr>
        <w:t>Declaration of AI Use</w:t>
      </w:r>
    </w:p>
    <w:p w14:paraId="51BC8395" w14:textId="77777777" w:rsidR="006E3474" w:rsidRDefault="006E3474" w:rsidP="006E3474">
      <w:pPr>
        <w:rPr>
          <w:rFonts w:ascii="Times New Roman" w:hAnsi="Times New Roman" w:cs="Times New Roman"/>
          <w:b/>
        </w:rPr>
      </w:pPr>
    </w:p>
    <w:p w14:paraId="4810BA54" w14:textId="77777777" w:rsidR="006E3474" w:rsidRDefault="006E3474" w:rsidP="006E3474">
      <w:pPr>
        <w:rPr>
          <w:rFonts w:ascii="Times New Roman" w:hAnsi="Times New Roman" w:cs="Times New Roman"/>
          <w:b/>
        </w:rPr>
      </w:pPr>
    </w:p>
    <w:p w14:paraId="44C90221" w14:textId="77777777" w:rsidR="006E3474" w:rsidRDefault="006E3474" w:rsidP="006E3474">
      <w:pPr>
        <w:rPr>
          <w:rFonts w:ascii="Times New Roman" w:hAnsi="Times New Roman" w:cs="Times New Roman"/>
          <w:b/>
        </w:rPr>
      </w:pPr>
    </w:p>
    <w:p w14:paraId="6E638F1E" w14:textId="77777777" w:rsidR="006E3474" w:rsidRPr="002D08AC" w:rsidRDefault="006E3474" w:rsidP="006E3474">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682A68D" w14:textId="77777777" w:rsidR="006E3474" w:rsidRPr="003B42F7" w:rsidRDefault="006E3474" w:rsidP="008F3B73">
      <w:pPr>
        <w:spacing w:after="200" w:line="276" w:lineRule="auto"/>
        <w:jc w:val="both"/>
        <w:rPr>
          <w:rFonts w:ascii="Arial" w:hAnsi="Arial" w:cs="Arial"/>
          <w:sz w:val="24"/>
          <w:szCs w:val="24"/>
        </w:rPr>
      </w:pPr>
    </w:p>
    <w:p w14:paraId="61C5BE10" w14:textId="13C23451" w:rsidR="00B65D7D" w:rsidRPr="00C20429" w:rsidRDefault="00C20429" w:rsidP="00A53925">
      <w:pPr>
        <w:spacing w:after="200" w:line="276" w:lineRule="auto"/>
        <w:jc w:val="both"/>
        <w:rPr>
          <w:rFonts w:ascii="Arial" w:hAnsi="Arial" w:cs="Arial"/>
          <w:b/>
          <w:bCs/>
          <w:color w:val="000000" w:themeColor="text1"/>
        </w:rPr>
      </w:pPr>
      <w:r w:rsidRPr="00C20429">
        <w:rPr>
          <w:rFonts w:ascii="Arial" w:hAnsi="Arial" w:cs="Arial"/>
          <w:b/>
          <w:bCs/>
          <w:color w:val="000000" w:themeColor="text1"/>
        </w:rPr>
        <w:t>REFERENCES.</w:t>
      </w:r>
    </w:p>
    <w:p w14:paraId="67A49D10" w14:textId="677BC318" w:rsidR="0042297D" w:rsidRDefault="0042297D" w:rsidP="008D190D">
      <w:pPr>
        <w:spacing w:after="120"/>
        <w:ind w:left="720" w:hanging="720"/>
        <w:jc w:val="both"/>
        <w:rPr>
          <w:rFonts w:ascii="Arial" w:hAnsi="Arial" w:cs="Arial"/>
          <w:color w:val="000000" w:themeColor="text1"/>
          <w:sz w:val="20"/>
          <w:szCs w:val="20"/>
        </w:rPr>
      </w:pPr>
      <w:r w:rsidRPr="0042297D">
        <w:rPr>
          <w:rFonts w:ascii="Arial" w:hAnsi="Arial" w:cs="Arial"/>
          <w:color w:val="000000" w:themeColor="text1"/>
          <w:sz w:val="20"/>
          <w:szCs w:val="20"/>
        </w:rPr>
        <w:t xml:space="preserve">Ali, S., Tyagi, A., &amp; Bae, H. (2023). Plant Microbiome: An Ocean of Possibilities for Improving Disease Resistance in Plants. </w:t>
      </w:r>
      <w:r w:rsidRPr="0042297D">
        <w:rPr>
          <w:rFonts w:ascii="Arial" w:hAnsi="Arial" w:cs="Arial"/>
          <w:i/>
          <w:iCs/>
          <w:color w:val="000000" w:themeColor="text1"/>
          <w:sz w:val="20"/>
          <w:szCs w:val="20"/>
        </w:rPr>
        <w:t>Microorganisms</w:t>
      </w:r>
      <w:r w:rsidRPr="0042297D">
        <w:rPr>
          <w:rFonts w:ascii="Arial" w:hAnsi="Arial" w:cs="Arial"/>
          <w:color w:val="000000" w:themeColor="text1"/>
          <w:sz w:val="20"/>
          <w:szCs w:val="20"/>
        </w:rPr>
        <w:t xml:space="preserve">, </w:t>
      </w:r>
      <w:r w:rsidRPr="0042297D">
        <w:rPr>
          <w:rFonts w:ascii="Arial" w:hAnsi="Arial" w:cs="Arial"/>
          <w:i/>
          <w:iCs/>
          <w:color w:val="000000" w:themeColor="text1"/>
          <w:sz w:val="20"/>
          <w:szCs w:val="20"/>
        </w:rPr>
        <w:t>11</w:t>
      </w:r>
      <w:r w:rsidRPr="0042297D">
        <w:rPr>
          <w:rFonts w:ascii="Arial" w:hAnsi="Arial" w:cs="Arial"/>
          <w:color w:val="000000" w:themeColor="text1"/>
          <w:sz w:val="20"/>
          <w:szCs w:val="20"/>
        </w:rPr>
        <w:t xml:space="preserve">(2), 392. </w:t>
      </w:r>
      <w:hyperlink r:id="rId8" w:history="1">
        <w:r w:rsidRPr="008A5419">
          <w:rPr>
            <w:rStyle w:val="Hyperlink"/>
            <w:rFonts w:ascii="Arial" w:hAnsi="Arial" w:cs="Arial"/>
            <w:sz w:val="20"/>
            <w:szCs w:val="20"/>
          </w:rPr>
          <w:t>https://doi.org/10.3390/microorganisms11020392</w:t>
        </w:r>
      </w:hyperlink>
    </w:p>
    <w:p w14:paraId="4F922765" w14:textId="77777777" w:rsidR="00D36270" w:rsidRDefault="00305DEE" w:rsidP="00D36270">
      <w:pPr>
        <w:spacing w:after="120"/>
        <w:ind w:left="720" w:hanging="720"/>
        <w:rPr>
          <w:rFonts w:ascii="Arial" w:hAnsi="Arial" w:cs="Arial"/>
          <w:color w:val="000000" w:themeColor="text1"/>
          <w:sz w:val="20"/>
          <w:szCs w:val="20"/>
        </w:rPr>
      </w:pPr>
      <w:r w:rsidRPr="00305DEE">
        <w:rPr>
          <w:rFonts w:ascii="Arial" w:hAnsi="Arial" w:cs="Arial"/>
          <w:color w:val="000000" w:themeColor="text1"/>
          <w:sz w:val="20"/>
          <w:szCs w:val="20"/>
        </w:rPr>
        <w:t xml:space="preserve">Ali SAM, Sayyed RZ, Mir MI, Khan MY, Hameeda B, </w:t>
      </w:r>
      <w:proofErr w:type="spellStart"/>
      <w:r w:rsidRPr="00305DEE">
        <w:rPr>
          <w:rFonts w:ascii="Arial" w:hAnsi="Arial" w:cs="Arial"/>
          <w:color w:val="000000" w:themeColor="text1"/>
          <w:sz w:val="20"/>
          <w:szCs w:val="20"/>
        </w:rPr>
        <w:t>Alkhanani</w:t>
      </w:r>
      <w:proofErr w:type="spellEnd"/>
      <w:r w:rsidRPr="00305DEE">
        <w:rPr>
          <w:rFonts w:ascii="Arial" w:hAnsi="Arial" w:cs="Arial"/>
          <w:color w:val="000000" w:themeColor="text1"/>
          <w:sz w:val="20"/>
          <w:szCs w:val="20"/>
        </w:rPr>
        <w:t xml:space="preserve"> MF, Haque S, Mohammad Al Tawaha AR and </w:t>
      </w:r>
      <w:proofErr w:type="spellStart"/>
      <w:r w:rsidRPr="00305DEE">
        <w:rPr>
          <w:rFonts w:ascii="Arial" w:hAnsi="Arial" w:cs="Arial"/>
          <w:color w:val="000000" w:themeColor="text1"/>
          <w:sz w:val="20"/>
          <w:szCs w:val="20"/>
        </w:rPr>
        <w:t>Poczai</w:t>
      </w:r>
      <w:proofErr w:type="spellEnd"/>
      <w:r w:rsidRPr="00305DEE">
        <w:rPr>
          <w:rFonts w:ascii="Arial" w:hAnsi="Arial" w:cs="Arial"/>
          <w:color w:val="000000" w:themeColor="text1"/>
          <w:sz w:val="20"/>
          <w:szCs w:val="20"/>
        </w:rPr>
        <w:t xml:space="preserve"> P (2022) Induction of Systemic Resistance in Maize and Antibiofilm Activity of </w:t>
      </w:r>
      <w:proofErr w:type="spellStart"/>
      <w:r w:rsidRPr="00305DEE">
        <w:rPr>
          <w:rFonts w:ascii="Arial" w:hAnsi="Arial" w:cs="Arial"/>
          <w:color w:val="000000" w:themeColor="text1"/>
          <w:sz w:val="20"/>
          <w:szCs w:val="20"/>
        </w:rPr>
        <w:t>Surfactin</w:t>
      </w:r>
      <w:proofErr w:type="spellEnd"/>
      <w:r w:rsidRPr="00305DEE">
        <w:rPr>
          <w:rFonts w:ascii="Arial" w:hAnsi="Arial" w:cs="Arial"/>
          <w:color w:val="000000" w:themeColor="text1"/>
          <w:sz w:val="20"/>
          <w:szCs w:val="20"/>
        </w:rPr>
        <w:t xml:space="preserve"> </w:t>
      </w:r>
      <w:proofErr w:type="gramStart"/>
      <w:r w:rsidRPr="00305DEE">
        <w:rPr>
          <w:rFonts w:ascii="Arial" w:hAnsi="Arial" w:cs="Arial"/>
          <w:color w:val="000000" w:themeColor="text1"/>
          <w:sz w:val="20"/>
          <w:szCs w:val="20"/>
        </w:rPr>
        <w:t>From</w:t>
      </w:r>
      <w:proofErr w:type="gramEnd"/>
      <w:r w:rsidRPr="00305DEE">
        <w:rPr>
          <w:rFonts w:ascii="Arial" w:hAnsi="Arial" w:cs="Arial"/>
          <w:color w:val="000000" w:themeColor="text1"/>
          <w:sz w:val="20"/>
          <w:szCs w:val="20"/>
        </w:rPr>
        <w:t xml:space="preserve"> Bacillus </w:t>
      </w:r>
      <w:proofErr w:type="spellStart"/>
      <w:r w:rsidRPr="00305DEE">
        <w:rPr>
          <w:rFonts w:ascii="Arial" w:hAnsi="Arial" w:cs="Arial"/>
          <w:color w:val="000000" w:themeColor="text1"/>
          <w:sz w:val="20"/>
          <w:szCs w:val="20"/>
        </w:rPr>
        <w:t>velezensis</w:t>
      </w:r>
      <w:proofErr w:type="spellEnd"/>
      <w:r w:rsidRPr="00305DEE">
        <w:rPr>
          <w:rFonts w:ascii="Arial" w:hAnsi="Arial" w:cs="Arial"/>
          <w:color w:val="000000" w:themeColor="text1"/>
          <w:sz w:val="20"/>
          <w:szCs w:val="20"/>
        </w:rPr>
        <w:t xml:space="preserve"> MS20. Front. </w:t>
      </w:r>
      <w:proofErr w:type="spellStart"/>
      <w:r w:rsidRPr="00305DEE">
        <w:rPr>
          <w:rFonts w:ascii="Arial" w:hAnsi="Arial" w:cs="Arial"/>
          <w:color w:val="000000" w:themeColor="text1"/>
          <w:sz w:val="20"/>
          <w:szCs w:val="20"/>
        </w:rPr>
        <w:t>Microbiol</w:t>
      </w:r>
      <w:proofErr w:type="spellEnd"/>
      <w:r w:rsidRPr="00305DEE">
        <w:rPr>
          <w:rFonts w:ascii="Arial" w:hAnsi="Arial" w:cs="Arial"/>
          <w:color w:val="000000" w:themeColor="text1"/>
          <w:sz w:val="20"/>
          <w:szCs w:val="20"/>
        </w:rPr>
        <w:t>. 13:879739.</w:t>
      </w:r>
      <w:r w:rsidR="008E3369">
        <w:rPr>
          <w:rFonts w:ascii="Arial" w:hAnsi="Arial" w:cs="Arial"/>
          <w:color w:val="000000" w:themeColor="text1"/>
          <w:sz w:val="20"/>
          <w:szCs w:val="20"/>
        </w:rPr>
        <w:t xml:space="preserve"> </w:t>
      </w:r>
      <w:hyperlink r:id="rId9" w:history="1">
        <w:r w:rsidR="008E3369" w:rsidRPr="008A5419">
          <w:rPr>
            <w:rStyle w:val="Hyperlink"/>
            <w:rFonts w:ascii="Arial" w:hAnsi="Arial" w:cs="Arial"/>
            <w:sz w:val="20"/>
            <w:szCs w:val="20"/>
          </w:rPr>
          <w:t>https://doi.org/10.3389/fmicb.2022.879739</w:t>
        </w:r>
      </w:hyperlink>
    </w:p>
    <w:p w14:paraId="488BC723" w14:textId="77777777" w:rsidR="00172BE1" w:rsidRDefault="004D20BD" w:rsidP="00172BE1">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 xml:space="preserve">Ardanov, P., </w:t>
      </w:r>
      <w:proofErr w:type="spellStart"/>
      <w:r w:rsidRPr="00C20429">
        <w:rPr>
          <w:rFonts w:ascii="Arial" w:hAnsi="Arial" w:cs="Arial"/>
          <w:color w:val="000000" w:themeColor="text1"/>
          <w:sz w:val="20"/>
          <w:szCs w:val="20"/>
        </w:rPr>
        <w:t>Sessitsch</w:t>
      </w:r>
      <w:proofErr w:type="spellEnd"/>
      <w:r w:rsidRPr="00C20429">
        <w:rPr>
          <w:rFonts w:ascii="Arial" w:hAnsi="Arial" w:cs="Arial"/>
          <w:color w:val="000000" w:themeColor="text1"/>
          <w:sz w:val="20"/>
          <w:szCs w:val="20"/>
        </w:rPr>
        <w:t xml:space="preserve">, A., </w:t>
      </w:r>
      <w:proofErr w:type="spellStart"/>
      <w:r w:rsidRPr="00C20429">
        <w:rPr>
          <w:rFonts w:ascii="Arial" w:hAnsi="Arial" w:cs="Arial"/>
          <w:color w:val="000000" w:themeColor="text1"/>
          <w:sz w:val="20"/>
          <w:szCs w:val="20"/>
        </w:rPr>
        <w:t>Haggman</w:t>
      </w:r>
      <w:proofErr w:type="spellEnd"/>
      <w:r w:rsidRPr="00C20429">
        <w:rPr>
          <w:rFonts w:ascii="Arial" w:hAnsi="Arial" w:cs="Arial"/>
          <w:color w:val="000000" w:themeColor="text1"/>
          <w:sz w:val="20"/>
          <w:szCs w:val="20"/>
        </w:rPr>
        <w:t xml:space="preserve">, H., </w:t>
      </w:r>
      <w:proofErr w:type="spellStart"/>
      <w:r w:rsidRPr="00C20429">
        <w:rPr>
          <w:rFonts w:ascii="Arial" w:hAnsi="Arial" w:cs="Arial"/>
          <w:color w:val="000000" w:themeColor="text1"/>
          <w:sz w:val="20"/>
          <w:szCs w:val="20"/>
        </w:rPr>
        <w:t>Kozyrovska</w:t>
      </w:r>
      <w:proofErr w:type="spellEnd"/>
      <w:r w:rsidRPr="00C20429">
        <w:rPr>
          <w:rFonts w:ascii="Arial" w:hAnsi="Arial" w:cs="Arial"/>
          <w:color w:val="000000" w:themeColor="text1"/>
          <w:sz w:val="20"/>
          <w:szCs w:val="20"/>
        </w:rPr>
        <w:t xml:space="preserve">, N., &amp; </w:t>
      </w:r>
      <w:proofErr w:type="spellStart"/>
      <w:r w:rsidRPr="00C20429">
        <w:rPr>
          <w:rFonts w:ascii="Arial" w:hAnsi="Arial" w:cs="Arial"/>
          <w:color w:val="000000" w:themeColor="text1"/>
          <w:sz w:val="20"/>
          <w:szCs w:val="20"/>
        </w:rPr>
        <w:t>Pirttila</w:t>
      </w:r>
      <w:proofErr w:type="spellEnd"/>
      <w:r w:rsidRPr="00C20429">
        <w:rPr>
          <w:rFonts w:ascii="Arial" w:hAnsi="Arial" w:cs="Arial"/>
          <w:color w:val="000000" w:themeColor="text1"/>
          <w:sz w:val="20"/>
          <w:szCs w:val="20"/>
        </w:rPr>
        <w:t xml:space="preserve">, A. M. (2012). </w:t>
      </w:r>
      <w:proofErr w:type="spellStart"/>
      <w:r w:rsidRPr="00D36270">
        <w:rPr>
          <w:rFonts w:ascii="Arial" w:hAnsi="Arial" w:cs="Arial"/>
          <w:i/>
          <w:iCs/>
          <w:color w:val="000000" w:themeColor="text1"/>
          <w:sz w:val="20"/>
          <w:szCs w:val="20"/>
        </w:rPr>
        <w:t>Methylobacterium</w:t>
      </w:r>
      <w:proofErr w:type="spellEnd"/>
      <w:r w:rsidRPr="00C20429">
        <w:rPr>
          <w:rFonts w:ascii="Arial" w:hAnsi="Arial" w:cs="Arial"/>
          <w:color w:val="000000" w:themeColor="text1"/>
          <w:sz w:val="20"/>
          <w:szCs w:val="20"/>
        </w:rPr>
        <w:t xml:space="preserve">-induced endophyte community changes correspond with protection of plants against pathogen attack. </w:t>
      </w:r>
      <w:r w:rsidRPr="0053180D">
        <w:rPr>
          <w:rFonts w:ascii="Arial" w:hAnsi="Arial" w:cs="Arial"/>
          <w:i/>
          <w:iCs/>
          <w:color w:val="000000" w:themeColor="text1"/>
          <w:sz w:val="20"/>
          <w:szCs w:val="20"/>
        </w:rPr>
        <w:t>PLOS ONE</w:t>
      </w:r>
      <w:r w:rsidRPr="00C20429">
        <w:rPr>
          <w:rFonts w:ascii="Arial" w:hAnsi="Arial" w:cs="Arial"/>
          <w:color w:val="000000" w:themeColor="text1"/>
          <w:sz w:val="20"/>
          <w:szCs w:val="20"/>
        </w:rPr>
        <w:t>, 7(10), e46802.</w:t>
      </w:r>
      <w:hyperlink r:id="rId10" w:history="1">
        <w:r w:rsidR="00D36270" w:rsidRPr="00D36270">
          <w:rPr>
            <w:rStyle w:val="Hyperlink"/>
            <w:rFonts w:ascii="Arial" w:hAnsi="Arial" w:cs="Arial"/>
            <w:sz w:val="20"/>
            <w:szCs w:val="20"/>
          </w:rPr>
          <w:t>https://doi.org/10.1371/journal.pone.0046802</w:t>
        </w:r>
      </w:hyperlink>
    </w:p>
    <w:p w14:paraId="434CE6DD" w14:textId="7B3F5AD0" w:rsidR="00ED32B4" w:rsidRPr="00172BE1" w:rsidRDefault="002B566C" w:rsidP="00172BE1">
      <w:pPr>
        <w:spacing w:after="120"/>
        <w:ind w:left="720" w:hanging="720"/>
        <w:jc w:val="both"/>
        <w:rPr>
          <w:rFonts w:ascii="Arial" w:hAnsi="Arial" w:cs="Arial"/>
          <w:color w:val="000000" w:themeColor="text1"/>
          <w:sz w:val="20"/>
          <w:szCs w:val="20"/>
        </w:rPr>
      </w:pPr>
      <w:r w:rsidRPr="002B566C">
        <w:rPr>
          <w:rFonts w:ascii="Arial" w:hAnsi="Arial" w:cs="Arial"/>
          <w:color w:val="000000" w:themeColor="text1"/>
          <w:sz w:val="20"/>
          <w:szCs w:val="20"/>
        </w:rPr>
        <w:t xml:space="preserve">Bakker PAHM, Pieterse CMJ, de Jonge R, Berendsen RL. The Soil-Borne Legacy. </w:t>
      </w:r>
      <w:r w:rsidRPr="00172BE1">
        <w:rPr>
          <w:rFonts w:ascii="Arial" w:hAnsi="Arial" w:cs="Arial"/>
          <w:i/>
          <w:iCs/>
          <w:color w:val="000000" w:themeColor="text1"/>
          <w:sz w:val="20"/>
          <w:szCs w:val="20"/>
        </w:rPr>
        <w:t>Cell</w:t>
      </w:r>
      <w:r w:rsidRPr="002B566C">
        <w:rPr>
          <w:rFonts w:ascii="Arial" w:hAnsi="Arial" w:cs="Arial"/>
          <w:color w:val="000000" w:themeColor="text1"/>
          <w:sz w:val="20"/>
          <w:szCs w:val="20"/>
        </w:rPr>
        <w:t>. 2018 Mar 8;172(6</w:t>
      </w:r>
      <w:proofErr w:type="gramStart"/>
      <w:r w:rsidRPr="002B566C">
        <w:rPr>
          <w:rFonts w:ascii="Arial" w:hAnsi="Arial" w:cs="Arial"/>
          <w:color w:val="000000" w:themeColor="text1"/>
          <w:sz w:val="20"/>
          <w:szCs w:val="20"/>
        </w:rPr>
        <w:t>):1178-1180.</w:t>
      </w:r>
      <w:r w:rsidR="00172BE1" w:rsidRPr="00172BE1">
        <w:rPr>
          <w:rFonts w:ascii="Arial" w:hAnsi="Arial" w:cs="Arial"/>
          <w:color w:val="000000" w:themeColor="text1"/>
          <w:sz w:val="20"/>
          <w:szCs w:val="20"/>
        </w:rPr>
        <w:t>DOI</w:t>
      </w:r>
      <w:proofErr w:type="gramEnd"/>
      <w:r w:rsidR="00172BE1" w:rsidRPr="00172BE1">
        <w:rPr>
          <w:rFonts w:ascii="Arial" w:hAnsi="Arial" w:cs="Arial"/>
          <w:color w:val="000000" w:themeColor="text1"/>
          <w:sz w:val="20"/>
          <w:szCs w:val="20"/>
        </w:rPr>
        <w:t xml:space="preserve">: </w:t>
      </w:r>
      <w:hyperlink r:id="rId11" w:tgtFrame="_blank" w:history="1">
        <w:r w:rsidR="00172BE1" w:rsidRPr="00172BE1">
          <w:rPr>
            <w:rStyle w:val="Hyperlink"/>
            <w:rFonts w:ascii="Arial" w:hAnsi="Arial" w:cs="Arial"/>
            <w:sz w:val="20"/>
            <w:szCs w:val="20"/>
          </w:rPr>
          <w:t>10.1016/j.cell.2018.02.024</w:t>
        </w:r>
      </w:hyperlink>
    </w:p>
    <w:p w14:paraId="63801772" w14:textId="77777777" w:rsidR="00A60585" w:rsidRDefault="002374DF" w:rsidP="00A60585">
      <w:pPr>
        <w:spacing w:after="120"/>
        <w:ind w:left="720" w:hanging="720"/>
        <w:jc w:val="both"/>
        <w:rPr>
          <w:rFonts w:ascii="Arial" w:hAnsi="Arial" w:cs="Arial"/>
          <w:color w:val="000000" w:themeColor="text1"/>
          <w:sz w:val="20"/>
          <w:szCs w:val="20"/>
        </w:rPr>
      </w:pPr>
      <w:r w:rsidRPr="002374DF">
        <w:rPr>
          <w:rFonts w:ascii="Arial" w:hAnsi="Arial" w:cs="Arial"/>
          <w:color w:val="000000" w:themeColor="text1"/>
          <w:sz w:val="20"/>
          <w:szCs w:val="20"/>
        </w:rPr>
        <w:t xml:space="preserve">Mayank Baranwal, Ryan L Clark, Jaron Thompson, </w:t>
      </w:r>
      <w:proofErr w:type="spellStart"/>
      <w:r w:rsidRPr="002374DF">
        <w:rPr>
          <w:rFonts w:ascii="Arial" w:hAnsi="Arial" w:cs="Arial"/>
          <w:color w:val="000000" w:themeColor="text1"/>
          <w:sz w:val="20"/>
          <w:szCs w:val="20"/>
        </w:rPr>
        <w:t>Zeyu</w:t>
      </w:r>
      <w:proofErr w:type="spellEnd"/>
      <w:r w:rsidRPr="002374DF">
        <w:rPr>
          <w:rFonts w:ascii="Arial" w:hAnsi="Arial" w:cs="Arial"/>
          <w:color w:val="000000" w:themeColor="text1"/>
          <w:sz w:val="20"/>
          <w:szCs w:val="20"/>
        </w:rPr>
        <w:t xml:space="preserve"> Sun, Alfred O Hero, Ophelia S Venturelli (2022) Recurrent neural networks enable design of multifunctional synthetic human gut microbiome dynamics </w:t>
      </w:r>
      <w:proofErr w:type="spellStart"/>
      <w:r w:rsidRPr="002374DF">
        <w:rPr>
          <w:rFonts w:ascii="Arial" w:hAnsi="Arial" w:cs="Arial"/>
          <w:color w:val="000000" w:themeColor="text1"/>
          <w:sz w:val="20"/>
          <w:szCs w:val="20"/>
        </w:rPr>
        <w:t>eLife</w:t>
      </w:r>
      <w:proofErr w:type="spellEnd"/>
      <w:r w:rsidRPr="002374DF">
        <w:rPr>
          <w:rFonts w:ascii="Arial" w:hAnsi="Arial" w:cs="Arial"/>
          <w:color w:val="000000" w:themeColor="text1"/>
          <w:sz w:val="20"/>
          <w:szCs w:val="20"/>
        </w:rPr>
        <w:t xml:space="preserve"> </w:t>
      </w:r>
      <w:proofErr w:type="gramStart"/>
      <w:r w:rsidRPr="002374DF">
        <w:rPr>
          <w:rFonts w:ascii="Arial" w:hAnsi="Arial" w:cs="Arial"/>
          <w:color w:val="000000" w:themeColor="text1"/>
          <w:sz w:val="20"/>
          <w:szCs w:val="20"/>
        </w:rPr>
        <w:t>11:e</w:t>
      </w:r>
      <w:proofErr w:type="gramEnd"/>
      <w:r w:rsidRPr="002374DF">
        <w:rPr>
          <w:rFonts w:ascii="Arial" w:hAnsi="Arial" w:cs="Arial"/>
          <w:color w:val="000000" w:themeColor="text1"/>
          <w:sz w:val="20"/>
          <w:szCs w:val="20"/>
        </w:rPr>
        <w:t>73870</w:t>
      </w:r>
      <w:r w:rsidR="004C0B6F">
        <w:rPr>
          <w:rFonts w:ascii="Arial" w:hAnsi="Arial" w:cs="Arial"/>
          <w:color w:val="000000" w:themeColor="text1"/>
          <w:sz w:val="20"/>
          <w:szCs w:val="20"/>
        </w:rPr>
        <w:t xml:space="preserve"> </w:t>
      </w:r>
      <w:r w:rsidR="004C0B6F" w:rsidRPr="004C0B6F">
        <w:rPr>
          <w:rFonts w:ascii="Arial" w:hAnsi="Arial" w:cs="Arial"/>
          <w:color w:val="000000" w:themeColor="text1"/>
          <w:sz w:val="20"/>
          <w:szCs w:val="20"/>
        </w:rPr>
        <w:t> </w:t>
      </w:r>
      <w:hyperlink r:id="rId12" w:history="1">
        <w:r w:rsidR="004C0B6F" w:rsidRPr="008A5419">
          <w:rPr>
            <w:rStyle w:val="Hyperlink"/>
            <w:rFonts w:ascii="Arial" w:hAnsi="Arial" w:cs="Arial"/>
            <w:sz w:val="20"/>
            <w:szCs w:val="20"/>
          </w:rPr>
          <w:t>https://doi.org/10.7554/eLife.73870</w:t>
        </w:r>
      </w:hyperlink>
    </w:p>
    <w:p w14:paraId="2B0279BB" w14:textId="1316E784" w:rsidR="008D190D" w:rsidRPr="00A60585" w:rsidRDefault="008D190D" w:rsidP="00A60585">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 xml:space="preserve">Berendsen, R. L., Pieterse, C. M. J., &amp; Bakker, P. A. H. M. (2018). Disease-induced assemblage of a plant-beneficial bacterial consortium. </w:t>
      </w:r>
      <w:r w:rsidRPr="00144CD4">
        <w:rPr>
          <w:rFonts w:ascii="Arial" w:hAnsi="Arial" w:cs="Arial"/>
          <w:i/>
          <w:iCs/>
          <w:color w:val="000000" w:themeColor="text1"/>
          <w:sz w:val="20"/>
          <w:szCs w:val="20"/>
        </w:rPr>
        <w:t>ISME Journal</w:t>
      </w:r>
      <w:r w:rsidRPr="00C20429">
        <w:rPr>
          <w:rFonts w:ascii="Arial" w:hAnsi="Arial" w:cs="Arial"/>
          <w:color w:val="000000" w:themeColor="text1"/>
          <w:sz w:val="20"/>
          <w:szCs w:val="20"/>
        </w:rPr>
        <w:t>, 12, 1496–1507.</w:t>
      </w:r>
      <w:hyperlink r:id="rId13" w:history="1">
        <w:r w:rsidR="001631D1" w:rsidRPr="001631D1">
          <w:rPr>
            <w:rStyle w:val="Hyperlink"/>
            <w:rFonts w:ascii="Arial" w:hAnsi="Arial" w:cs="Arial"/>
            <w:sz w:val="20"/>
            <w:szCs w:val="20"/>
          </w:rPr>
          <w:t>https://doi.org/10.1038/s41396-018-0093-1</w:t>
        </w:r>
      </w:hyperlink>
    </w:p>
    <w:p w14:paraId="1904C8C9" w14:textId="24EDCEF5" w:rsidR="008D190D" w:rsidRPr="00C20429" w:rsidRDefault="008D190D" w:rsidP="008D190D">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 xml:space="preserve">Berhanu, G., </w:t>
      </w:r>
      <w:proofErr w:type="spellStart"/>
      <w:r w:rsidRPr="00C20429">
        <w:rPr>
          <w:rFonts w:ascii="Arial" w:hAnsi="Arial" w:cs="Arial"/>
          <w:color w:val="000000" w:themeColor="text1"/>
          <w:sz w:val="20"/>
          <w:szCs w:val="20"/>
        </w:rPr>
        <w:t>Godishala</w:t>
      </w:r>
      <w:proofErr w:type="spellEnd"/>
      <w:r w:rsidRPr="00C20429">
        <w:rPr>
          <w:rFonts w:ascii="Arial" w:hAnsi="Arial" w:cs="Arial"/>
          <w:color w:val="000000" w:themeColor="text1"/>
          <w:sz w:val="20"/>
          <w:szCs w:val="20"/>
        </w:rPr>
        <w:t xml:space="preserve">, V., &amp; Kandi, V. (2021). Microbiome engineering and its applications: a rapid review. </w:t>
      </w:r>
      <w:r w:rsidRPr="00144CD4">
        <w:rPr>
          <w:rFonts w:ascii="Arial" w:hAnsi="Arial" w:cs="Arial"/>
          <w:i/>
          <w:iCs/>
          <w:color w:val="000000" w:themeColor="text1"/>
          <w:sz w:val="20"/>
          <w:szCs w:val="20"/>
        </w:rPr>
        <w:t>Applied Ecology and Environmental Sciences</w:t>
      </w:r>
      <w:r w:rsidRPr="00C20429">
        <w:rPr>
          <w:rFonts w:ascii="Arial" w:hAnsi="Arial" w:cs="Arial"/>
          <w:color w:val="000000" w:themeColor="text1"/>
          <w:sz w:val="20"/>
          <w:szCs w:val="20"/>
        </w:rPr>
        <w:t>, 9, 865–872.</w:t>
      </w:r>
      <w:r w:rsidR="00A473A7" w:rsidRPr="00A473A7">
        <w:rPr>
          <w:rFonts w:ascii="Arial" w:hAnsi="Arial" w:cs="Arial"/>
          <w:color w:val="000000" w:themeColor="text1"/>
          <w:sz w:val="20"/>
          <w:szCs w:val="20"/>
        </w:rPr>
        <w:t>DOI:</w:t>
      </w:r>
      <w:hyperlink r:id="rId14" w:tgtFrame="_blank" w:history="1">
        <w:r w:rsidR="00A473A7" w:rsidRPr="00A473A7">
          <w:rPr>
            <w:rStyle w:val="Hyperlink"/>
            <w:rFonts w:ascii="Arial" w:hAnsi="Arial" w:cs="Arial"/>
            <w:sz w:val="20"/>
            <w:szCs w:val="20"/>
          </w:rPr>
          <w:t>10.12691/aees-9-10-3</w:t>
        </w:r>
      </w:hyperlink>
    </w:p>
    <w:p w14:paraId="0F35D14F" w14:textId="55E799AE" w:rsidR="003855EA" w:rsidRDefault="003855EA" w:rsidP="008D190D">
      <w:pPr>
        <w:spacing w:after="120"/>
        <w:ind w:left="720" w:hanging="720"/>
        <w:jc w:val="both"/>
        <w:rPr>
          <w:rFonts w:ascii="Arial" w:hAnsi="Arial" w:cs="Arial"/>
          <w:color w:val="000000" w:themeColor="text1"/>
          <w:sz w:val="20"/>
          <w:szCs w:val="20"/>
        </w:rPr>
      </w:pPr>
      <w:r w:rsidRPr="003855EA">
        <w:rPr>
          <w:rFonts w:ascii="Arial" w:hAnsi="Arial" w:cs="Arial"/>
          <w:color w:val="000000" w:themeColor="text1"/>
          <w:sz w:val="20"/>
          <w:szCs w:val="20"/>
        </w:rPr>
        <w:t xml:space="preserve">Berry D and Widder S (2014) Deciphering microbial interactions and detecting keystone species with co-occurrence networks. Front. </w:t>
      </w:r>
      <w:proofErr w:type="spellStart"/>
      <w:r w:rsidRPr="003855EA">
        <w:rPr>
          <w:rFonts w:ascii="Arial" w:hAnsi="Arial" w:cs="Arial"/>
          <w:color w:val="000000" w:themeColor="text1"/>
          <w:sz w:val="20"/>
          <w:szCs w:val="20"/>
        </w:rPr>
        <w:t>Microbiol</w:t>
      </w:r>
      <w:proofErr w:type="spellEnd"/>
      <w:r w:rsidRPr="003855EA">
        <w:rPr>
          <w:rFonts w:ascii="Arial" w:hAnsi="Arial" w:cs="Arial"/>
          <w:color w:val="000000" w:themeColor="text1"/>
          <w:sz w:val="20"/>
          <w:szCs w:val="20"/>
        </w:rPr>
        <w:t xml:space="preserve">. 5:219. </w:t>
      </w:r>
      <w:hyperlink r:id="rId15" w:history="1">
        <w:r w:rsidR="006174D2" w:rsidRPr="006174D2">
          <w:rPr>
            <w:rStyle w:val="Hyperlink"/>
            <w:rFonts w:ascii="Arial" w:hAnsi="Arial" w:cs="Arial"/>
            <w:sz w:val="20"/>
            <w:szCs w:val="20"/>
          </w:rPr>
          <w:t>https://doi.org/10.3389/fmicb.2014.00219</w:t>
        </w:r>
      </w:hyperlink>
    </w:p>
    <w:p w14:paraId="6797964B" w14:textId="05402A63" w:rsidR="008D190D" w:rsidRPr="00C20429" w:rsidRDefault="008D190D" w:rsidP="008D190D">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 xml:space="preserve">Carrión, V. J., Perez-Jaramillo, J., Cordovez, V., Tracanna, V., De Hollander, M., Ruiz-Buck, D., Mendes, L. W., van </w:t>
      </w:r>
      <w:proofErr w:type="spellStart"/>
      <w:r w:rsidRPr="00C20429">
        <w:rPr>
          <w:rFonts w:ascii="Arial" w:hAnsi="Arial" w:cs="Arial"/>
          <w:color w:val="000000" w:themeColor="text1"/>
          <w:sz w:val="20"/>
          <w:szCs w:val="20"/>
        </w:rPr>
        <w:t>Ijcken</w:t>
      </w:r>
      <w:proofErr w:type="spellEnd"/>
      <w:r w:rsidRPr="00C20429">
        <w:rPr>
          <w:rFonts w:ascii="Arial" w:hAnsi="Arial" w:cs="Arial"/>
          <w:color w:val="000000" w:themeColor="text1"/>
          <w:sz w:val="20"/>
          <w:szCs w:val="20"/>
        </w:rPr>
        <w:t xml:space="preserve">, W. F. J., Gomez-Exposito, R., &amp; Elsayed, S. S. (2019). Pathogen-induced activation of disease-suppressive functions in the endophytic root microbiome. </w:t>
      </w:r>
      <w:r w:rsidRPr="00144CD4">
        <w:rPr>
          <w:rFonts w:ascii="Arial" w:hAnsi="Arial" w:cs="Arial"/>
          <w:i/>
          <w:iCs/>
          <w:color w:val="000000" w:themeColor="text1"/>
          <w:sz w:val="20"/>
          <w:szCs w:val="20"/>
        </w:rPr>
        <w:t>Science</w:t>
      </w:r>
      <w:r w:rsidRPr="00C20429">
        <w:rPr>
          <w:rFonts w:ascii="Arial" w:hAnsi="Arial" w:cs="Arial"/>
          <w:color w:val="000000" w:themeColor="text1"/>
          <w:sz w:val="20"/>
          <w:szCs w:val="20"/>
        </w:rPr>
        <w:t>, 366, 606–612.</w:t>
      </w:r>
      <w:r w:rsidR="00EB10AB">
        <w:rPr>
          <w:rFonts w:ascii="Arial" w:hAnsi="Arial" w:cs="Arial"/>
          <w:color w:val="000000" w:themeColor="text1"/>
          <w:sz w:val="20"/>
          <w:szCs w:val="20"/>
        </w:rPr>
        <w:t xml:space="preserve"> </w:t>
      </w:r>
      <w:hyperlink r:id="rId16" w:history="1">
        <w:r w:rsidR="00EB10AB" w:rsidRPr="00EB10AB">
          <w:rPr>
            <w:rStyle w:val="Hyperlink"/>
            <w:rFonts w:ascii="Arial" w:hAnsi="Arial" w:cs="Arial"/>
            <w:sz w:val="20"/>
            <w:szCs w:val="20"/>
          </w:rPr>
          <w:t>DOI: 10.1126/</w:t>
        </w:r>
        <w:proofErr w:type="gramStart"/>
        <w:r w:rsidR="00EB10AB" w:rsidRPr="00EB10AB">
          <w:rPr>
            <w:rStyle w:val="Hyperlink"/>
            <w:rFonts w:ascii="Arial" w:hAnsi="Arial" w:cs="Arial"/>
            <w:sz w:val="20"/>
            <w:szCs w:val="20"/>
          </w:rPr>
          <w:t>science.aaw</w:t>
        </w:r>
        <w:proofErr w:type="gramEnd"/>
        <w:r w:rsidR="00EB10AB" w:rsidRPr="00EB10AB">
          <w:rPr>
            <w:rStyle w:val="Hyperlink"/>
            <w:rFonts w:ascii="Arial" w:hAnsi="Arial" w:cs="Arial"/>
            <w:sz w:val="20"/>
            <w:szCs w:val="20"/>
          </w:rPr>
          <w:t>9285</w:t>
        </w:r>
      </w:hyperlink>
    </w:p>
    <w:p w14:paraId="3D6D9BD4" w14:textId="1F309133" w:rsidR="008D190D" w:rsidRPr="00C20429" w:rsidRDefault="008D190D" w:rsidP="008D190D">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 xml:space="preserve">Cha, J. Y., Han, S., Hong, H. J., Cho, H., Kim, D., Kwon, Y., </w:t>
      </w:r>
      <w:r w:rsidR="00587082" w:rsidRPr="00C20429">
        <w:rPr>
          <w:rFonts w:ascii="Arial" w:hAnsi="Arial" w:cs="Arial"/>
          <w:i/>
          <w:iCs/>
          <w:color w:val="000000" w:themeColor="text1"/>
          <w:sz w:val="20"/>
          <w:szCs w:val="20"/>
        </w:rPr>
        <w:t>et al.</w:t>
      </w:r>
      <w:r w:rsidRPr="00C20429">
        <w:rPr>
          <w:rFonts w:ascii="Arial" w:hAnsi="Arial" w:cs="Arial"/>
          <w:color w:val="000000" w:themeColor="text1"/>
          <w:sz w:val="20"/>
          <w:szCs w:val="20"/>
        </w:rPr>
        <w:t xml:space="preserve"> (2016). Microbial and biochemical basis of a Fusarium wilt-suppressive soil. </w:t>
      </w:r>
      <w:r w:rsidRPr="00D213EF">
        <w:rPr>
          <w:rFonts w:ascii="Arial" w:hAnsi="Arial" w:cs="Arial"/>
          <w:i/>
          <w:iCs/>
          <w:color w:val="000000" w:themeColor="text1"/>
          <w:sz w:val="20"/>
          <w:szCs w:val="20"/>
        </w:rPr>
        <w:t>ISME Journal</w:t>
      </w:r>
      <w:r w:rsidRPr="00C20429">
        <w:rPr>
          <w:rFonts w:ascii="Arial" w:hAnsi="Arial" w:cs="Arial"/>
          <w:color w:val="000000" w:themeColor="text1"/>
          <w:sz w:val="20"/>
          <w:szCs w:val="20"/>
        </w:rPr>
        <w:t>, 10, 119–129.</w:t>
      </w:r>
      <w:hyperlink r:id="rId17" w:history="1">
        <w:r w:rsidR="005A102C" w:rsidRPr="005A102C">
          <w:rPr>
            <w:rStyle w:val="Hyperlink"/>
            <w:rFonts w:ascii="Arial" w:hAnsi="Arial" w:cs="Arial"/>
            <w:sz w:val="20"/>
            <w:szCs w:val="20"/>
          </w:rPr>
          <w:t>https://doi.org/10.1038/ismej.2015.95</w:t>
        </w:r>
      </w:hyperlink>
    </w:p>
    <w:p w14:paraId="30FFF307" w14:textId="11D9102D" w:rsidR="008D190D" w:rsidRPr="00C20429" w:rsidRDefault="008D190D" w:rsidP="008D190D">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Chapelle, E., Mendes, R., Bakker, P. A. H. M., &amp; Raaijmakers, J. M. (2016). Fungal invasion of the rhizosphere microbiome</w:t>
      </w:r>
      <w:r w:rsidRPr="00D213EF">
        <w:rPr>
          <w:rFonts w:ascii="Arial" w:hAnsi="Arial" w:cs="Arial"/>
          <w:i/>
          <w:iCs/>
          <w:color w:val="000000" w:themeColor="text1"/>
          <w:sz w:val="20"/>
          <w:szCs w:val="20"/>
        </w:rPr>
        <w:t>. ISME Journal</w:t>
      </w:r>
      <w:r w:rsidRPr="00C20429">
        <w:rPr>
          <w:rFonts w:ascii="Arial" w:hAnsi="Arial" w:cs="Arial"/>
          <w:color w:val="000000" w:themeColor="text1"/>
          <w:sz w:val="20"/>
          <w:szCs w:val="20"/>
        </w:rPr>
        <w:t>, 10, 265–268.</w:t>
      </w:r>
      <w:hyperlink r:id="rId18" w:history="1">
        <w:r w:rsidR="00AC7293" w:rsidRPr="00AC7293">
          <w:rPr>
            <w:rStyle w:val="Hyperlink"/>
            <w:rFonts w:ascii="Arial" w:hAnsi="Arial" w:cs="Arial"/>
            <w:sz w:val="20"/>
            <w:szCs w:val="20"/>
          </w:rPr>
          <w:t>https://doi.org/10.1038/ismej.2015.82</w:t>
        </w:r>
      </w:hyperlink>
    </w:p>
    <w:p w14:paraId="5DD9DBC4" w14:textId="77777777" w:rsidR="00BD7C51" w:rsidRDefault="008D190D" w:rsidP="00BD7C51">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lastRenderedPageBreak/>
        <w:t xml:space="preserve">Chet, I., &amp; Inbar, J. (1994). Biological control of fungal pathogens. </w:t>
      </w:r>
      <w:r w:rsidRPr="00D213EF">
        <w:rPr>
          <w:rFonts w:ascii="Arial" w:hAnsi="Arial" w:cs="Arial"/>
          <w:i/>
          <w:iCs/>
          <w:color w:val="000000" w:themeColor="text1"/>
          <w:sz w:val="20"/>
          <w:szCs w:val="20"/>
        </w:rPr>
        <w:t>Applied Biochemistry and Biotechnology</w:t>
      </w:r>
      <w:r w:rsidRPr="00C20429">
        <w:rPr>
          <w:rFonts w:ascii="Arial" w:hAnsi="Arial" w:cs="Arial"/>
          <w:color w:val="000000" w:themeColor="text1"/>
          <w:sz w:val="20"/>
          <w:szCs w:val="20"/>
        </w:rPr>
        <w:t>, 48, 37–43.</w:t>
      </w:r>
      <w:r w:rsidR="00A26AAD" w:rsidRPr="00A26AAD">
        <w:rPr>
          <w:rFonts w:ascii="Arial" w:hAnsi="Arial" w:cs="Arial"/>
          <w:color w:val="000000" w:themeColor="text1"/>
          <w:sz w:val="20"/>
          <w:szCs w:val="20"/>
        </w:rPr>
        <w:t xml:space="preserve"> DOI: </w:t>
      </w:r>
      <w:hyperlink r:id="rId19" w:tgtFrame="_blank" w:history="1">
        <w:r w:rsidR="00A26AAD" w:rsidRPr="00A26AAD">
          <w:rPr>
            <w:rStyle w:val="Hyperlink"/>
            <w:rFonts w:ascii="Arial" w:hAnsi="Arial" w:cs="Arial"/>
            <w:sz w:val="20"/>
            <w:szCs w:val="20"/>
          </w:rPr>
          <w:t>10.1007/BF02825358</w:t>
        </w:r>
      </w:hyperlink>
    </w:p>
    <w:p w14:paraId="5DE878B4" w14:textId="5B9A6BF0" w:rsidR="00BD7C51" w:rsidRPr="00BD7C51" w:rsidRDefault="00266391" w:rsidP="00BD7C51">
      <w:pPr>
        <w:spacing w:after="120"/>
        <w:ind w:left="720" w:hanging="720"/>
        <w:jc w:val="both"/>
        <w:rPr>
          <w:rFonts w:ascii="Arial" w:hAnsi="Arial" w:cs="Arial"/>
          <w:color w:val="000000" w:themeColor="text1"/>
          <w:sz w:val="20"/>
          <w:szCs w:val="20"/>
        </w:rPr>
      </w:pPr>
      <w:r w:rsidRPr="00C20429">
        <w:rPr>
          <w:rFonts w:ascii="Arial" w:hAnsi="Arial" w:cs="Arial"/>
          <w:color w:val="000000" w:themeColor="text1"/>
          <w:sz w:val="20"/>
          <w:szCs w:val="20"/>
        </w:rPr>
        <w:t xml:space="preserve">Cui W, Marsland R, Mehta P. 2021. Diverse communities behave like typical random ecosystems. </w:t>
      </w:r>
      <w:r w:rsidRPr="00D213EF">
        <w:rPr>
          <w:rFonts w:ascii="Arial" w:hAnsi="Arial" w:cs="Arial"/>
          <w:i/>
          <w:iCs/>
          <w:color w:val="000000" w:themeColor="text1"/>
          <w:sz w:val="20"/>
          <w:szCs w:val="20"/>
        </w:rPr>
        <w:t>Physical Review E</w:t>
      </w:r>
      <w:r w:rsidRPr="00C20429">
        <w:rPr>
          <w:rFonts w:ascii="Arial" w:hAnsi="Arial" w:cs="Arial"/>
          <w:color w:val="000000" w:themeColor="text1"/>
          <w:sz w:val="20"/>
          <w:szCs w:val="20"/>
        </w:rPr>
        <w:t xml:space="preserve"> 104: 034416. </w:t>
      </w:r>
      <w:r w:rsidR="00BD7C51" w:rsidRPr="00BD7C51">
        <w:rPr>
          <w:rFonts w:ascii="Arial" w:hAnsi="Arial" w:cs="Arial"/>
          <w:color w:val="000000" w:themeColor="text1"/>
          <w:sz w:val="20"/>
          <w:szCs w:val="20"/>
        </w:rPr>
        <w:t xml:space="preserve">DOI: </w:t>
      </w:r>
      <w:hyperlink r:id="rId20" w:tgtFrame="_blank" w:history="1">
        <w:r w:rsidR="00BD7C51" w:rsidRPr="00BD7C51">
          <w:rPr>
            <w:rStyle w:val="Hyperlink"/>
            <w:rFonts w:ascii="Arial" w:hAnsi="Arial" w:cs="Arial"/>
            <w:sz w:val="20"/>
            <w:szCs w:val="20"/>
          </w:rPr>
          <w:t>10.1103/PhysRevE.104.034416</w:t>
        </w:r>
      </w:hyperlink>
    </w:p>
    <w:p w14:paraId="679B0E3F" w14:textId="09CA007A" w:rsidR="00861C11" w:rsidRPr="00C20429" w:rsidRDefault="00861C11" w:rsidP="00992520">
      <w:pPr>
        <w:spacing w:after="120"/>
        <w:ind w:left="720" w:hanging="720"/>
        <w:rPr>
          <w:rFonts w:ascii="Arial" w:hAnsi="Arial" w:cs="Arial"/>
          <w:color w:val="000000" w:themeColor="text1"/>
          <w:sz w:val="20"/>
          <w:szCs w:val="20"/>
        </w:rPr>
      </w:pPr>
      <w:r w:rsidRPr="00C20429">
        <w:rPr>
          <w:rFonts w:ascii="Arial" w:hAnsi="Arial" w:cs="Arial"/>
          <w:color w:val="000000" w:themeColor="text1"/>
          <w:sz w:val="20"/>
          <w:szCs w:val="20"/>
        </w:rPr>
        <w:t>Culbreath, A. K., Rodríguez-</w:t>
      </w:r>
      <w:proofErr w:type="spellStart"/>
      <w:r w:rsidRPr="00C20429">
        <w:rPr>
          <w:rFonts w:ascii="Arial" w:hAnsi="Arial" w:cs="Arial"/>
          <w:color w:val="000000" w:themeColor="text1"/>
          <w:sz w:val="20"/>
          <w:szCs w:val="20"/>
        </w:rPr>
        <w:t>Kábana</w:t>
      </w:r>
      <w:proofErr w:type="spellEnd"/>
      <w:r w:rsidRPr="00C20429">
        <w:rPr>
          <w:rFonts w:ascii="Arial" w:hAnsi="Arial" w:cs="Arial"/>
          <w:color w:val="000000" w:themeColor="text1"/>
          <w:sz w:val="20"/>
          <w:szCs w:val="20"/>
        </w:rPr>
        <w:t xml:space="preserve">, R., &amp; Morgan-Jones, G. (1985). The use of </w:t>
      </w:r>
      <w:proofErr w:type="spellStart"/>
      <w:r w:rsidRPr="00C20429">
        <w:rPr>
          <w:rFonts w:ascii="Arial" w:hAnsi="Arial" w:cs="Arial"/>
          <w:color w:val="000000" w:themeColor="text1"/>
          <w:sz w:val="20"/>
          <w:szCs w:val="20"/>
        </w:rPr>
        <w:t>hemicellulosic</w:t>
      </w:r>
      <w:proofErr w:type="spellEnd"/>
      <w:r w:rsidRPr="00C20429">
        <w:rPr>
          <w:rFonts w:ascii="Arial" w:hAnsi="Arial" w:cs="Arial"/>
          <w:color w:val="000000" w:themeColor="text1"/>
          <w:sz w:val="20"/>
          <w:szCs w:val="20"/>
        </w:rPr>
        <w:t xml:space="preserve"> waste matter for reduction of the phytotoxic effects of chitin and control of root-knot nematodes. </w:t>
      </w:r>
      <w:proofErr w:type="spellStart"/>
      <w:r w:rsidRPr="00D213EF">
        <w:rPr>
          <w:rFonts w:ascii="Arial" w:hAnsi="Arial" w:cs="Arial"/>
          <w:i/>
          <w:iCs/>
          <w:color w:val="000000" w:themeColor="text1"/>
          <w:sz w:val="20"/>
          <w:szCs w:val="20"/>
        </w:rPr>
        <w:t>Nematropica</w:t>
      </w:r>
      <w:proofErr w:type="spellEnd"/>
      <w:r w:rsidRPr="00D213EF">
        <w:rPr>
          <w:rFonts w:ascii="Arial" w:hAnsi="Arial" w:cs="Arial"/>
          <w:i/>
          <w:iCs/>
          <w:color w:val="000000" w:themeColor="text1"/>
          <w:sz w:val="20"/>
          <w:szCs w:val="20"/>
        </w:rPr>
        <w:t>,</w:t>
      </w:r>
      <w:r w:rsidRPr="00C20429">
        <w:rPr>
          <w:rFonts w:ascii="Arial" w:hAnsi="Arial" w:cs="Arial"/>
          <w:color w:val="000000" w:themeColor="text1"/>
          <w:sz w:val="20"/>
          <w:szCs w:val="20"/>
        </w:rPr>
        <w:t xml:space="preserve"> </w:t>
      </w:r>
      <w:r w:rsidRPr="00C20429">
        <w:rPr>
          <w:rFonts w:ascii="Arial" w:hAnsi="Arial" w:cs="Arial"/>
          <w:i/>
          <w:iCs/>
          <w:color w:val="000000" w:themeColor="text1"/>
          <w:sz w:val="20"/>
          <w:szCs w:val="20"/>
        </w:rPr>
        <w:t>15</w:t>
      </w:r>
      <w:r w:rsidRPr="00C20429">
        <w:rPr>
          <w:rFonts w:ascii="Arial" w:hAnsi="Arial" w:cs="Arial"/>
          <w:color w:val="000000" w:themeColor="text1"/>
          <w:sz w:val="20"/>
          <w:szCs w:val="20"/>
        </w:rPr>
        <w:t>(1), 49–75.</w:t>
      </w:r>
    </w:p>
    <w:p w14:paraId="48433AA4" w14:textId="77777777" w:rsidR="005659BB" w:rsidRDefault="0036607F" w:rsidP="005659BB">
      <w:pPr>
        <w:spacing w:after="120"/>
        <w:ind w:left="720" w:hanging="720"/>
        <w:rPr>
          <w:rFonts w:ascii="Arial" w:hAnsi="Arial" w:cs="Arial"/>
          <w:color w:val="000000" w:themeColor="text1"/>
          <w:sz w:val="20"/>
          <w:szCs w:val="20"/>
        </w:rPr>
      </w:pPr>
      <w:r w:rsidRPr="00C20429">
        <w:rPr>
          <w:rFonts w:ascii="Arial" w:hAnsi="Arial" w:cs="Arial"/>
          <w:color w:val="000000" w:themeColor="text1"/>
          <w:sz w:val="20"/>
          <w:szCs w:val="20"/>
        </w:rPr>
        <w:t xml:space="preserve">Delgado-Baquerizo, M., Singh, B. K., Liu, Y.-R., Sáez-Sandino, T., </w:t>
      </w:r>
      <w:proofErr w:type="spellStart"/>
      <w:r w:rsidRPr="00C20429">
        <w:rPr>
          <w:rFonts w:ascii="Arial" w:hAnsi="Arial" w:cs="Arial"/>
          <w:color w:val="000000" w:themeColor="text1"/>
          <w:sz w:val="20"/>
          <w:szCs w:val="20"/>
        </w:rPr>
        <w:t>Coleine</w:t>
      </w:r>
      <w:proofErr w:type="spellEnd"/>
      <w:r w:rsidRPr="00C20429">
        <w:rPr>
          <w:rFonts w:ascii="Arial" w:hAnsi="Arial" w:cs="Arial"/>
          <w:color w:val="000000" w:themeColor="text1"/>
          <w:sz w:val="20"/>
          <w:szCs w:val="20"/>
        </w:rPr>
        <w:t xml:space="preserve">, C., Muñoz-Rojas, M., Bastida, F., &amp; Trivedi, P. (2025). Integrating ecological and evolutionary frameworks for </w:t>
      </w:r>
      <w:proofErr w:type="spellStart"/>
      <w:r w:rsidRPr="00C20429">
        <w:rPr>
          <w:rFonts w:ascii="Arial" w:hAnsi="Arial" w:cs="Arial"/>
          <w:color w:val="000000" w:themeColor="text1"/>
          <w:sz w:val="20"/>
          <w:szCs w:val="20"/>
        </w:rPr>
        <w:t>SynCom</w:t>
      </w:r>
      <w:proofErr w:type="spellEnd"/>
      <w:r w:rsidRPr="00C20429">
        <w:rPr>
          <w:rFonts w:ascii="Arial" w:hAnsi="Arial" w:cs="Arial"/>
          <w:color w:val="000000" w:themeColor="text1"/>
          <w:sz w:val="20"/>
          <w:szCs w:val="20"/>
        </w:rPr>
        <w:t xml:space="preserve"> success. </w:t>
      </w:r>
      <w:r w:rsidRPr="00D213EF">
        <w:rPr>
          <w:rFonts w:ascii="Arial" w:hAnsi="Arial" w:cs="Arial"/>
          <w:i/>
          <w:iCs/>
          <w:color w:val="000000" w:themeColor="text1"/>
          <w:sz w:val="20"/>
          <w:szCs w:val="20"/>
        </w:rPr>
        <w:t>New Phytologist</w:t>
      </w:r>
      <w:r w:rsidRPr="00C20429">
        <w:rPr>
          <w:rFonts w:ascii="Arial" w:hAnsi="Arial" w:cs="Arial"/>
          <w:color w:val="000000" w:themeColor="text1"/>
          <w:sz w:val="20"/>
          <w:szCs w:val="20"/>
        </w:rPr>
        <w:t>, 246(5), 1922–1933.</w:t>
      </w:r>
      <w:r w:rsidR="005241BC" w:rsidRPr="005241BC">
        <w:rPr>
          <w:rFonts w:ascii="Arial" w:hAnsi="Arial" w:cs="Arial"/>
          <w:color w:val="000000" w:themeColor="text1"/>
          <w:sz w:val="20"/>
          <w:szCs w:val="20"/>
        </w:rPr>
        <w:t> </w:t>
      </w:r>
      <w:hyperlink r:id="rId21" w:history="1">
        <w:r w:rsidR="00F56C8B" w:rsidRPr="00F56C8B">
          <w:rPr>
            <w:rStyle w:val="Hyperlink"/>
            <w:rFonts w:ascii="Arial" w:hAnsi="Arial" w:cs="Arial"/>
            <w:sz w:val="20"/>
            <w:szCs w:val="20"/>
          </w:rPr>
          <w:t>https://doi.org/10.1111/nph.70112Digital Object Identifier (DOI)</w:t>
        </w:r>
      </w:hyperlink>
    </w:p>
    <w:p w14:paraId="061A1727" w14:textId="201106EB" w:rsidR="005659BB" w:rsidRPr="005659BB" w:rsidRDefault="008D190D" w:rsidP="005659BB">
      <w:pPr>
        <w:spacing w:after="120"/>
        <w:ind w:left="720" w:hanging="720"/>
        <w:rPr>
          <w:rFonts w:ascii="Arial" w:hAnsi="Arial" w:cs="Arial"/>
          <w:color w:val="000000" w:themeColor="text1"/>
          <w:sz w:val="20"/>
          <w:szCs w:val="20"/>
        </w:rPr>
      </w:pPr>
      <w:r w:rsidRPr="00C20429">
        <w:rPr>
          <w:rFonts w:ascii="Arial" w:hAnsi="Arial" w:cs="Arial"/>
          <w:color w:val="000000" w:themeColor="text1"/>
          <w:sz w:val="20"/>
          <w:szCs w:val="20"/>
        </w:rPr>
        <w:t xml:space="preserve">Dewey, F. M., Wong, Y. L., Seery, R., Hollins, T. W., &amp; Gurr, S. J. (1999). Bacteria associated with </w:t>
      </w:r>
      <w:proofErr w:type="spellStart"/>
      <w:r w:rsidRPr="00C20429">
        <w:rPr>
          <w:rFonts w:ascii="Arial" w:hAnsi="Arial" w:cs="Arial"/>
          <w:color w:val="000000" w:themeColor="text1"/>
          <w:sz w:val="20"/>
          <w:szCs w:val="20"/>
        </w:rPr>
        <w:t>Stagonospora</w:t>
      </w:r>
      <w:proofErr w:type="spellEnd"/>
      <w:r w:rsidRPr="00C20429">
        <w:rPr>
          <w:rFonts w:ascii="Arial" w:hAnsi="Arial" w:cs="Arial"/>
          <w:color w:val="000000" w:themeColor="text1"/>
          <w:sz w:val="20"/>
          <w:szCs w:val="20"/>
        </w:rPr>
        <w:t xml:space="preserve"> (Septoria) </w:t>
      </w:r>
      <w:proofErr w:type="spellStart"/>
      <w:r w:rsidRPr="00C20429">
        <w:rPr>
          <w:rFonts w:ascii="Arial" w:hAnsi="Arial" w:cs="Arial"/>
          <w:color w:val="000000" w:themeColor="text1"/>
          <w:sz w:val="20"/>
          <w:szCs w:val="20"/>
        </w:rPr>
        <w:t>nodorum</w:t>
      </w:r>
      <w:proofErr w:type="spellEnd"/>
      <w:r w:rsidRPr="00C20429">
        <w:rPr>
          <w:rFonts w:ascii="Arial" w:hAnsi="Arial" w:cs="Arial"/>
          <w:color w:val="000000" w:themeColor="text1"/>
          <w:sz w:val="20"/>
          <w:szCs w:val="20"/>
        </w:rPr>
        <w:t xml:space="preserve"> increase pathogenicity of the fungus</w:t>
      </w:r>
      <w:r w:rsidRPr="009A3D81">
        <w:rPr>
          <w:rFonts w:ascii="Arial" w:hAnsi="Arial" w:cs="Arial"/>
          <w:i/>
          <w:iCs/>
          <w:color w:val="000000" w:themeColor="text1"/>
          <w:sz w:val="20"/>
          <w:szCs w:val="20"/>
        </w:rPr>
        <w:t>. New Phytologist</w:t>
      </w:r>
      <w:r w:rsidRPr="00C20429">
        <w:rPr>
          <w:rFonts w:ascii="Arial" w:hAnsi="Arial" w:cs="Arial"/>
          <w:color w:val="000000" w:themeColor="text1"/>
          <w:sz w:val="20"/>
          <w:szCs w:val="20"/>
        </w:rPr>
        <w:t>, 144, 489</w:t>
      </w:r>
      <w:r w:rsidR="00F56C8B">
        <w:rPr>
          <w:rFonts w:ascii="Arial" w:hAnsi="Arial" w:cs="Arial"/>
          <w:color w:val="000000" w:themeColor="text1"/>
          <w:sz w:val="20"/>
          <w:szCs w:val="20"/>
        </w:rPr>
        <w:t>-</w:t>
      </w:r>
      <w:r w:rsidRPr="00C20429">
        <w:rPr>
          <w:rFonts w:ascii="Arial" w:hAnsi="Arial" w:cs="Arial"/>
          <w:color w:val="000000" w:themeColor="text1"/>
          <w:sz w:val="20"/>
          <w:szCs w:val="20"/>
        </w:rPr>
        <w:t>497.</w:t>
      </w:r>
      <w:r w:rsidR="005659BB" w:rsidRPr="005659BB">
        <w:rPr>
          <w:rFonts w:ascii="Arial" w:hAnsi="Arial" w:cs="Arial"/>
          <w:color w:val="000000" w:themeColor="text1"/>
          <w:sz w:val="20"/>
          <w:szCs w:val="20"/>
        </w:rPr>
        <w:t xml:space="preserve">DOI: </w:t>
      </w:r>
      <w:hyperlink r:id="rId22" w:tgtFrame="_blank" w:history="1">
        <w:r w:rsidR="005659BB" w:rsidRPr="005659BB">
          <w:rPr>
            <w:rStyle w:val="Hyperlink"/>
            <w:rFonts w:ascii="Arial" w:hAnsi="Arial" w:cs="Arial"/>
            <w:sz w:val="20"/>
            <w:szCs w:val="20"/>
          </w:rPr>
          <w:t>10.1046/j.1469-8137.</w:t>
        </w:r>
        <w:proofErr w:type="gramStart"/>
        <w:r w:rsidR="005659BB" w:rsidRPr="005659BB">
          <w:rPr>
            <w:rStyle w:val="Hyperlink"/>
            <w:rFonts w:ascii="Arial" w:hAnsi="Arial" w:cs="Arial"/>
            <w:sz w:val="20"/>
            <w:szCs w:val="20"/>
          </w:rPr>
          <w:t>1999.00542.x</w:t>
        </w:r>
        <w:proofErr w:type="gramEnd"/>
      </w:hyperlink>
    </w:p>
    <w:p w14:paraId="26A4D06F" w14:textId="77777777" w:rsidR="004C0A1A" w:rsidRDefault="00D858EC" w:rsidP="004C0A1A">
      <w:pPr>
        <w:spacing w:after="120"/>
        <w:ind w:left="720" w:hanging="720"/>
        <w:jc w:val="both"/>
        <w:rPr>
          <w:rFonts w:ascii="Arial" w:hAnsi="Arial" w:cs="Arial"/>
          <w:color w:val="000000" w:themeColor="text1"/>
          <w:sz w:val="20"/>
          <w:szCs w:val="20"/>
        </w:rPr>
      </w:pPr>
      <w:r w:rsidRPr="00D858EC">
        <w:rPr>
          <w:rFonts w:ascii="Arial" w:hAnsi="Arial" w:cs="Arial"/>
          <w:color w:val="000000" w:themeColor="text1"/>
          <w:sz w:val="20"/>
          <w:szCs w:val="20"/>
        </w:rPr>
        <w:t xml:space="preserve">Dyer, S., Weir, R., Cox, D., </w:t>
      </w:r>
      <w:proofErr w:type="spellStart"/>
      <w:r w:rsidRPr="00D858EC">
        <w:rPr>
          <w:rFonts w:ascii="Arial" w:hAnsi="Arial" w:cs="Arial"/>
          <w:color w:val="000000" w:themeColor="text1"/>
          <w:sz w:val="20"/>
          <w:szCs w:val="20"/>
        </w:rPr>
        <w:t>Cheseto</w:t>
      </w:r>
      <w:proofErr w:type="spellEnd"/>
      <w:r w:rsidRPr="00D858EC">
        <w:rPr>
          <w:rFonts w:ascii="Arial" w:hAnsi="Arial" w:cs="Arial"/>
          <w:color w:val="000000" w:themeColor="text1"/>
          <w:sz w:val="20"/>
          <w:szCs w:val="20"/>
        </w:rPr>
        <w:t xml:space="preserve">, X., Torto, B., &amp; Dalzell, J. J. (2019). Ethylene response factor (ERF) genes modulate plant root exudate composition and the attraction of plant parasitic nematodes. </w:t>
      </w:r>
      <w:r w:rsidRPr="00D858EC">
        <w:rPr>
          <w:rFonts w:ascii="Arial" w:hAnsi="Arial" w:cs="Arial"/>
          <w:i/>
          <w:iCs/>
          <w:color w:val="000000" w:themeColor="text1"/>
          <w:sz w:val="20"/>
          <w:szCs w:val="20"/>
        </w:rPr>
        <w:t>International Journal for Parasitology</w:t>
      </w:r>
      <w:r w:rsidRPr="00D858EC">
        <w:rPr>
          <w:rFonts w:ascii="Arial" w:hAnsi="Arial" w:cs="Arial"/>
          <w:color w:val="000000" w:themeColor="text1"/>
          <w:sz w:val="20"/>
          <w:szCs w:val="20"/>
        </w:rPr>
        <w:t xml:space="preserve">, </w:t>
      </w:r>
      <w:r w:rsidRPr="00D858EC">
        <w:rPr>
          <w:rFonts w:ascii="Arial" w:hAnsi="Arial" w:cs="Arial"/>
          <w:i/>
          <w:iCs/>
          <w:color w:val="000000" w:themeColor="text1"/>
          <w:sz w:val="20"/>
          <w:szCs w:val="20"/>
        </w:rPr>
        <w:t>49</w:t>
      </w:r>
      <w:r w:rsidRPr="00D858EC">
        <w:rPr>
          <w:rFonts w:ascii="Arial" w:hAnsi="Arial" w:cs="Arial"/>
          <w:color w:val="000000" w:themeColor="text1"/>
          <w:sz w:val="20"/>
          <w:szCs w:val="20"/>
        </w:rPr>
        <w:t>(13–14), 999–1003.</w:t>
      </w:r>
      <w:r w:rsidR="003A220F" w:rsidRPr="003A220F">
        <w:rPr>
          <w:rFonts w:ascii="Arial" w:hAnsi="Arial" w:cs="Arial"/>
          <w:color w:val="000000" w:themeColor="text1"/>
          <w:sz w:val="20"/>
          <w:szCs w:val="20"/>
        </w:rPr>
        <w:t xml:space="preserve">doi: </w:t>
      </w:r>
      <w:hyperlink r:id="rId23" w:tgtFrame="_blank" w:history="1">
        <w:r w:rsidR="003A220F" w:rsidRPr="003A220F">
          <w:rPr>
            <w:rStyle w:val="Hyperlink"/>
            <w:rFonts w:ascii="Arial" w:hAnsi="Arial" w:cs="Arial"/>
            <w:sz w:val="20"/>
            <w:szCs w:val="20"/>
          </w:rPr>
          <w:t>10.1016/j.ijpara.2019.09.00</w:t>
        </w:r>
      </w:hyperlink>
    </w:p>
    <w:p w14:paraId="7FEA9C9F" w14:textId="62C7D0DE" w:rsidR="004C0A1A" w:rsidRPr="004C0A1A" w:rsidRDefault="0027469B" w:rsidP="004C0A1A">
      <w:pPr>
        <w:spacing w:after="120"/>
        <w:ind w:left="720" w:hanging="720"/>
        <w:jc w:val="both"/>
        <w:rPr>
          <w:rFonts w:ascii="Arial" w:hAnsi="Arial" w:cs="Arial"/>
          <w:color w:val="000000" w:themeColor="text1"/>
          <w:sz w:val="20"/>
          <w:szCs w:val="20"/>
        </w:rPr>
      </w:pPr>
      <w:proofErr w:type="spellStart"/>
      <w:r w:rsidRPr="0027469B">
        <w:rPr>
          <w:rFonts w:ascii="Arial" w:hAnsi="Arial" w:cs="Arial"/>
          <w:color w:val="000000" w:themeColor="text1"/>
          <w:sz w:val="20"/>
          <w:szCs w:val="20"/>
        </w:rPr>
        <w:t>Egamberdieva</w:t>
      </w:r>
      <w:proofErr w:type="spellEnd"/>
      <w:r w:rsidRPr="0027469B">
        <w:rPr>
          <w:rFonts w:ascii="Arial" w:hAnsi="Arial" w:cs="Arial"/>
          <w:color w:val="000000" w:themeColor="text1"/>
          <w:sz w:val="20"/>
          <w:szCs w:val="20"/>
        </w:rPr>
        <w:t xml:space="preserve">, D., Kamilova, F., Validov, S., </w:t>
      </w:r>
      <w:proofErr w:type="spellStart"/>
      <w:r w:rsidRPr="0027469B">
        <w:rPr>
          <w:rFonts w:ascii="Arial" w:hAnsi="Arial" w:cs="Arial"/>
          <w:color w:val="000000" w:themeColor="text1"/>
          <w:sz w:val="20"/>
          <w:szCs w:val="20"/>
        </w:rPr>
        <w:t>Gafurova</w:t>
      </w:r>
      <w:proofErr w:type="spellEnd"/>
      <w:r w:rsidRPr="0027469B">
        <w:rPr>
          <w:rFonts w:ascii="Arial" w:hAnsi="Arial" w:cs="Arial"/>
          <w:color w:val="000000" w:themeColor="text1"/>
          <w:sz w:val="20"/>
          <w:szCs w:val="20"/>
        </w:rPr>
        <w:t xml:space="preserve">, L., </w:t>
      </w:r>
      <w:proofErr w:type="spellStart"/>
      <w:r w:rsidRPr="0027469B">
        <w:rPr>
          <w:rFonts w:ascii="Arial" w:hAnsi="Arial" w:cs="Arial"/>
          <w:color w:val="000000" w:themeColor="text1"/>
          <w:sz w:val="20"/>
          <w:szCs w:val="20"/>
        </w:rPr>
        <w:t>Kucharova</w:t>
      </w:r>
      <w:proofErr w:type="spellEnd"/>
      <w:r w:rsidRPr="0027469B">
        <w:rPr>
          <w:rFonts w:ascii="Arial" w:hAnsi="Arial" w:cs="Arial"/>
          <w:color w:val="000000" w:themeColor="text1"/>
          <w:sz w:val="20"/>
          <w:szCs w:val="20"/>
        </w:rPr>
        <w:t xml:space="preserve">, Z., &amp; </w:t>
      </w:r>
      <w:proofErr w:type="spellStart"/>
      <w:r w:rsidRPr="0027469B">
        <w:rPr>
          <w:rFonts w:ascii="Arial" w:hAnsi="Arial" w:cs="Arial"/>
          <w:color w:val="000000" w:themeColor="text1"/>
          <w:sz w:val="20"/>
          <w:szCs w:val="20"/>
        </w:rPr>
        <w:t>Lugtenberg</w:t>
      </w:r>
      <w:proofErr w:type="spellEnd"/>
      <w:r w:rsidRPr="0027469B">
        <w:rPr>
          <w:rFonts w:ascii="Arial" w:hAnsi="Arial" w:cs="Arial"/>
          <w:color w:val="000000" w:themeColor="text1"/>
          <w:sz w:val="20"/>
          <w:szCs w:val="20"/>
        </w:rPr>
        <w:t xml:space="preserve">, B. (2008). High incidence of plant growth-stimulating bacteria associated with the rhizosphere of wheat grown on </w:t>
      </w:r>
      <w:proofErr w:type="spellStart"/>
      <w:r w:rsidRPr="0027469B">
        <w:rPr>
          <w:rFonts w:ascii="Arial" w:hAnsi="Arial" w:cs="Arial"/>
          <w:color w:val="000000" w:themeColor="text1"/>
          <w:sz w:val="20"/>
          <w:szCs w:val="20"/>
        </w:rPr>
        <w:t>salinated</w:t>
      </w:r>
      <w:proofErr w:type="spellEnd"/>
      <w:r w:rsidRPr="0027469B">
        <w:rPr>
          <w:rFonts w:ascii="Arial" w:hAnsi="Arial" w:cs="Arial"/>
          <w:color w:val="000000" w:themeColor="text1"/>
          <w:sz w:val="20"/>
          <w:szCs w:val="20"/>
        </w:rPr>
        <w:t xml:space="preserve"> soil in Uzbekistan. </w:t>
      </w:r>
      <w:r w:rsidRPr="0027469B">
        <w:rPr>
          <w:rFonts w:ascii="Arial" w:hAnsi="Arial" w:cs="Arial"/>
          <w:i/>
          <w:iCs/>
          <w:color w:val="000000" w:themeColor="text1"/>
          <w:sz w:val="20"/>
          <w:szCs w:val="20"/>
        </w:rPr>
        <w:t>Environmental Microbiology</w:t>
      </w:r>
      <w:r w:rsidRPr="0027469B">
        <w:rPr>
          <w:rFonts w:ascii="Arial" w:hAnsi="Arial" w:cs="Arial"/>
          <w:color w:val="000000" w:themeColor="text1"/>
          <w:sz w:val="20"/>
          <w:szCs w:val="20"/>
        </w:rPr>
        <w:t xml:space="preserve">, </w:t>
      </w:r>
      <w:r w:rsidRPr="0027469B">
        <w:rPr>
          <w:rFonts w:ascii="Arial" w:hAnsi="Arial" w:cs="Arial"/>
          <w:i/>
          <w:iCs/>
          <w:color w:val="000000" w:themeColor="text1"/>
          <w:sz w:val="20"/>
          <w:szCs w:val="20"/>
        </w:rPr>
        <w:t>10</w:t>
      </w:r>
      <w:r w:rsidRPr="0027469B">
        <w:rPr>
          <w:rFonts w:ascii="Arial" w:hAnsi="Arial" w:cs="Arial"/>
          <w:color w:val="000000" w:themeColor="text1"/>
          <w:sz w:val="20"/>
          <w:szCs w:val="20"/>
        </w:rPr>
        <w:t xml:space="preserve">(1), 1–9. </w:t>
      </w:r>
      <w:r w:rsidR="004C0A1A" w:rsidRPr="004C0A1A">
        <w:rPr>
          <w:rFonts w:ascii="Arial" w:hAnsi="Arial" w:cs="Arial"/>
          <w:color w:val="000000" w:themeColor="text1"/>
          <w:sz w:val="20"/>
          <w:szCs w:val="20"/>
        </w:rPr>
        <w:t xml:space="preserve">DOI: </w:t>
      </w:r>
      <w:hyperlink r:id="rId24" w:tgtFrame="_blank" w:history="1">
        <w:r w:rsidR="004C0A1A" w:rsidRPr="004C0A1A">
          <w:rPr>
            <w:rStyle w:val="Hyperlink"/>
            <w:rFonts w:ascii="Arial" w:hAnsi="Arial" w:cs="Arial"/>
            <w:sz w:val="20"/>
            <w:szCs w:val="20"/>
          </w:rPr>
          <w:t>10.1111/j.1462-2920.</w:t>
        </w:r>
        <w:proofErr w:type="gramStart"/>
        <w:r w:rsidR="004C0A1A" w:rsidRPr="004C0A1A">
          <w:rPr>
            <w:rStyle w:val="Hyperlink"/>
            <w:rFonts w:ascii="Arial" w:hAnsi="Arial" w:cs="Arial"/>
            <w:sz w:val="20"/>
            <w:szCs w:val="20"/>
          </w:rPr>
          <w:t>2007.01424.x</w:t>
        </w:r>
        <w:proofErr w:type="gramEnd"/>
      </w:hyperlink>
    </w:p>
    <w:p w14:paraId="3649DDFE" w14:textId="5A406C30" w:rsidR="00DB2BF4" w:rsidRDefault="00E779AF" w:rsidP="008D190D">
      <w:pPr>
        <w:spacing w:after="120"/>
        <w:ind w:left="720" w:hanging="720"/>
        <w:jc w:val="both"/>
        <w:rPr>
          <w:rFonts w:ascii="Arial" w:hAnsi="Arial" w:cs="Arial"/>
          <w:color w:val="000000" w:themeColor="text1"/>
          <w:sz w:val="20"/>
          <w:szCs w:val="20"/>
        </w:rPr>
      </w:pPr>
      <w:r w:rsidRPr="00E779AF">
        <w:rPr>
          <w:rFonts w:ascii="Arial" w:hAnsi="Arial" w:cs="Arial"/>
          <w:color w:val="000000" w:themeColor="text1"/>
          <w:sz w:val="20"/>
          <w:szCs w:val="20"/>
        </w:rPr>
        <w:t xml:space="preserve">Emmenegger, B., Massoni, J., Pestalozzi, C. M., &amp; et al. (2023). Identifying microbiota community patterns important for plant protection using synthetic communities and machine learning. </w:t>
      </w:r>
      <w:r w:rsidRPr="00E779AF">
        <w:rPr>
          <w:rFonts w:ascii="Arial" w:hAnsi="Arial" w:cs="Arial"/>
          <w:i/>
          <w:iCs/>
          <w:color w:val="000000" w:themeColor="text1"/>
          <w:sz w:val="20"/>
          <w:szCs w:val="20"/>
        </w:rPr>
        <w:t>Nature Communications</w:t>
      </w:r>
      <w:r w:rsidRPr="00E779AF">
        <w:rPr>
          <w:rFonts w:ascii="Arial" w:hAnsi="Arial" w:cs="Arial"/>
          <w:color w:val="000000" w:themeColor="text1"/>
          <w:sz w:val="20"/>
          <w:szCs w:val="20"/>
        </w:rPr>
        <w:t xml:space="preserve">, </w:t>
      </w:r>
      <w:r w:rsidRPr="00E779AF">
        <w:rPr>
          <w:rFonts w:ascii="Arial" w:hAnsi="Arial" w:cs="Arial"/>
          <w:i/>
          <w:iCs/>
          <w:color w:val="000000" w:themeColor="text1"/>
          <w:sz w:val="20"/>
          <w:szCs w:val="20"/>
        </w:rPr>
        <w:t>14</w:t>
      </w:r>
      <w:r w:rsidRPr="00E779AF">
        <w:rPr>
          <w:rFonts w:ascii="Arial" w:hAnsi="Arial" w:cs="Arial"/>
          <w:color w:val="000000" w:themeColor="text1"/>
          <w:sz w:val="20"/>
          <w:szCs w:val="20"/>
        </w:rPr>
        <w:t>(1), Article 7983</w:t>
      </w:r>
      <w:r w:rsidR="00A36359">
        <w:rPr>
          <w:rFonts w:ascii="Arial" w:hAnsi="Arial" w:cs="Arial"/>
          <w:color w:val="000000" w:themeColor="text1"/>
          <w:sz w:val="20"/>
          <w:szCs w:val="20"/>
        </w:rPr>
        <w:t>.</w:t>
      </w:r>
      <w:r w:rsidR="00CC7053">
        <w:rPr>
          <w:rFonts w:ascii="Arial" w:hAnsi="Arial" w:cs="Arial"/>
          <w:color w:val="000000" w:themeColor="text1"/>
          <w:sz w:val="20"/>
          <w:szCs w:val="20"/>
        </w:rPr>
        <w:t xml:space="preserve"> </w:t>
      </w:r>
      <w:r w:rsidR="00CC7053" w:rsidRPr="00CC7053">
        <w:rPr>
          <w:rFonts w:ascii="Arial" w:hAnsi="Arial" w:cs="Arial"/>
          <w:color w:val="000000" w:themeColor="text1"/>
          <w:sz w:val="20"/>
          <w:szCs w:val="20"/>
        </w:rPr>
        <w:t>https://doi.org/10.1038/s41467-023-43793-z</w:t>
      </w:r>
    </w:p>
    <w:p w14:paraId="15A52A7A" w14:textId="77777777" w:rsidR="009A20C8" w:rsidRDefault="00707454" w:rsidP="009A20C8">
      <w:pPr>
        <w:spacing w:after="120"/>
        <w:ind w:left="720" w:hanging="720"/>
        <w:jc w:val="both"/>
        <w:rPr>
          <w:rFonts w:ascii="Arial" w:hAnsi="Arial" w:cs="Arial"/>
          <w:color w:val="000000" w:themeColor="text1"/>
          <w:sz w:val="20"/>
          <w:szCs w:val="20"/>
        </w:rPr>
      </w:pPr>
      <w:r w:rsidRPr="00707454">
        <w:rPr>
          <w:rFonts w:ascii="Arial" w:hAnsi="Arial" w:cs="Arial"/>
          <w:color w:val="000000" w:themeColor="text1"/>
          <w:sz w:val="20"/>
          <w:szCs w:val="20"/>
        </w:rPr>
        <w:t>Fu, R., Feng, H., Dini-</w:t>
      </w:r>
      <w:proofErr w:type="spellStart"/>
      <w:r w:rsidRPr="00707454">
        <w:rPr>
          <w:rFonts w:ascii="Arial" w:hAnsi="Arial" w:cs="Arial"/>
          <w:color w:val="000000" w:themeColor="text1"/>
          <w:sz w:val="20"/>
          <w:szCs w:val="20"/>
        </w:rPr>
        <w:t>Andreote</w:t>
      </w:r>
      <w:proofErr w:type="spellEnd"/>
      <w:r w:rsidRPr="00707454">
        <w:rPr>
          <w:rFonts w:ascii="Arial" w:hAnsi="Arial" w:cs="Arial"/>
          <w:color w:val="000000" w:themeColor="text1"/>
          <w:sz w:val="20"/>
          <w:szCs w:val="20"/>
        </w:rPr>
        <w:t xml:space="preserve">, F., Wang, Z., Bo, C., Cao, W., Yang, K., Liu, M., Yang, T., Shen, Q., Xu, Y., &amp; Wei, Z. (2021). Modulation of the tomato rhizosphere microbiome via changes in root exudation mediated by the </w:t>
      </w:r>
      <w:r w:rsidRPr="000F36DD">
        <w:rPr>
          <w:rFonts w:ascii="Arial" w:hAnsi="Arial" w:cs="Arial"/>
          <w:color w:val="000000" w:themeColor="text1"/>
          <w:sz w:val="20"/>
          <w:szCs w:val="20"/>
        </w:rPr>
        <w:t xml:space="preserve">ethylene receptor NR. </w:t>
      </w:r>
      <w:r w:rsidRPr="000F36DD">
        <w:rPr>
          <w:rFonts w:ascii="Arial" w:hAnsi="Arial" w:cs="Arial"/>
          <w:i/>
          <w:iCs/>
          <w:color w:val="000000" w:themeColor="text1"/>
          <w:sz w:val="20"/>
          <w:szCs w:val="20"/>
        </w:rPr>
        <w:t>Microorganisms</w:t>
      </w:r>
      <w:r w:rsidRPr="000F36DD">
        <w:rPr>
          <w:rFonts w:ascii="Arial" w:hAnsi="Arial" w:cs="Arial"/>
          <w:color w:val="000000" w:themeColor="text1"/>
          <w:sz w:val="20"/>
          <w:szCs w:val="20"/>
        </w:rPr>
        <w:t xml:space="preserve">, </w:t>
      </w:r>
      <w:r w:rsidRPr="000F36DD">
        <w:rPr>
          <w:rFonts w:ascii="Arial" w:hAnsi="Arial" w:cs="Arial"/>
          <w:i/>
          <w:iCs/>
          <w:color w:val="000000" w:themeColor="text1"/>
          <w:sz w:val="20"/>
          <w:szCs w:val="20"/>
        </w:rPr>
        <w:t>9</w:t>
      </w:r>
      <w:r w:rsidRPr="000F36DD">
        <w:rPr>
          <w:rFonts w:ascii="Arial" w:hAnsi="Arial" w:cs="Arial"/>
          <w:color w:val="000000" w:themeColor="text1"/>
          <w:sz w:val="20"/>
          <w:szCs w:val="20"/>
        </w:rPr>
        <w:t>(12), Article 2456.</w:t>
      </w:r>
      <w:hyperlink r:id="rId25" w:history="1">
        <w:r w:rsidR="000F36DD" w:rsidRPr="000F36DD">
          <w:rPr>
            <w:rStyle w:val="Hyperlink"/>
            <w:rFonts w:ascii="Arial" w:hAnsi="Arial" w:cs="Arial"/>
            <w:sz w:val="20"/>
            <w:szCs w:val="20"/>
          </w:rPr>
          <w:t>https://doi.org/10.3390/microorganisms9122456</w:t>
        </w:r>
      </w:hyperlink>
    </w:p>
    <w:p w14:paraId="4CEA045F" w14:textId="206D215A" w:rsidR="009A20C8" w:rsidRPr="009A20C8" w:rsidRDefault="00CB1A35" w:rsidP="009A20C8">
      <w:pPr>
        <w:spacing w:after="120"/>
        <w:ind w:left="720" w:hanging="720"/>
        <w:jc w:val="both"/>
        <w:rPr>
          <w:rFonts w:ascii="Arial" w:hAnsi="Arial" w:cs="Arial"/>
          <w:color w:val="000000" w:themeColor="text1"/>
          <w:sz w:val="20"/>
          <w:szCs w:val="20"/>
        </w:rPr>
      </w:pPr>
      <w:r w:rsidRPr="00CB1A35">
        <w:rPr>
          <w:rFonts w:ascii="Arial" w:hAnsi="Arial" w:cs="Arial"/>
          <w:color w:val="000000" w:themeColor="text1"/>
          <w:sz w:val="20"/>
          <w:szCs w:val="20"/>
        </w:rPr>
        <w:t xml:space="preserve">Folorunso, T. R., </w:t>
      </w:r>
      <w:proofErr w:type="spellStart"/>
      <w:r w:rsidRPr="00CB1A35">
        <w:rPr>
          <w:rFonts w:ascii="Arial" w:hAnsi="Arial" w:cs="Arial"/>
          <w:color w:val="000000" w:themeColor="text1"/>
          <w:sz w:val="20"/>
          <w:szCs w:val="20"/>
        </w:rPr>
        <w:t>Akwabeng</w:t>
      </w:r>
      <w:proofErr w:type="spellEnd"/>
      <w:r w:rsidRPr="00CB1A35">
        <w:rPr>
          <w:rFonts w:ascii="Arial" w:hAnsi="Arial" w:cs="Arial"/>
          <w:color w:val="000000" w:themeColor="text1"/>
          <w:sz w:val="20"/>
          <w:szCs w:val="20"/>
        </w:rPr>
        <w:t xml:space="preserve">, P. M., Rowaiye, A. B., </w:t>
      </w:r>
      <w:proofErr w:type="spellStart"/>
      <w:r w:rsidRPr="00CB1A35">
        <w:rPr>
          <w:rFonts w:ascii="Arial" w:hAnsi="Arial" w:cs="Arial"/>
          <w:color w:val="000000" w:themeColor="text1"/>
          <w:sz w:val="20"/>
          <w:szCs w:val="20"/>
        </w:rPr>
        <w:t>Iduu</w:t>
      </w:r>
      <w:proofErr w:type="spellEnd"/>
      <w:r w:rsidRPr="00CB1A35">
        <w:rPr>
          <w:rFonts w:ascii="Arial" w:hAnsi="Arial" w:cs="Arial"/>
          <w:color w:val="000000" w:themeColor="text1"/>
          <w:sz w:val="20"/>
          <w:szCs w:val="20"/>
        </w:rPr>
        <w:t xml:space="preserve">, N. V., &amp; Bur, D. (2026). High-throughput design of defined microbial consortia for crop protection. </w:t>
      </w:r>
      <w:r w:rsidRPr="00CB1A35">
        <w:rPr>
          <w:rFonts w:ascii="Arial" w:hAnsi="Arial" w:cs="Arial"/>
          <w:i/>
          <w:iCs/>
          <w:color w:val="000000" w:themeColor="text1"/>
          <w:sz w:val="20"/>
          <w:szCs w:val="20"/>
        </w:rPr>
        <w:t>Annals of Botany</w:t>
      </w:r>
      <w:r w:rsidRPr="00CB1A35">
        <w:rPr>
          <w:rFonts w:ascii="Arial" w:hAnsi="Arial" w:cs="Arial"/>
          <w:color w:val="000000" w:themeColor="text1"/>
          <w:sz w:val="20"/>
          <w:szCs w:val="20"/>
        </w:rPr>
        <w:t xml:space="preserve">, </w:t>
      </w:r>
      <w:r w:rsidRPr="00CB1A35">
        <w:rPr>
          <w:rFonts w:ascii="Arial" w:hAnsi="Arial" w:cs="Arial"/>
          <w:i/>
          <w:iCs/>
          <w:color w:val="000000" w:themeColor="text1"/>
          <w:sz w:val="20"/>
          <w:szCs w:val="20"/>
        </w:rPr>
        <w:t>137</w:t>
      </w:r>
      <w:r w:rsidRPr="00CB1A35">
        <w:rPr>
          <w:rFonts w:ascii="Arial" w:hAnsi="Arial" w:cs="Arial"/>
          <w:color w:val="000000" w:themeColor="text1"/>
          <w:sz w:val="20"/>
          <w:szCs w:val="20"/>
        </w:rPr>
        <w:t xml:space="preserve">(5), 1141–1155. </w:t>
      </w:r>
      <w:r w:rsidR="009A20C8" w:rsidRPr="009A20C8">
        <w:rPr>
          <w:rFonts w:ascii="Arial" w:hAnsi="Arial" w:cs="Arial"/>
          <w:color w:val="000000" w:themeColor="text1"/>
          <w:sz w:val="20"/>
          <w:szCs w:val="20"/>
        </w:rPr>
        <w:t xml:space="preserve">DOI: </w:t>
      </w:r>
      <w:hyperlink r:id="rId26" w:tgtFrame="_blank" w:history="1">
        <w:r w:rsidR="009A20C8" w:rsidRPr="009A20C8">
          <w:rPr>
            <w:rStyle w:val="Hyperlink"/>
            <w:rFonts w:ascii="Arial" w:hAnsi="Arial" w:cs="Arial"/>
            <w:sz w:val="20"/>
            <w:szCs w:val="20"/>
          </w:rPr>
          <w:t>10.1093/</w:t>
        </w:r>
        <w:proofErr w:type="spellStart"/>
        <w:r w:rsidR="009A20C8" w:rsidRPr="009A20C8">
          <w:rPr>
            <w:rStyle w:val="Hyperlink"/>
            <w:rFonts w:ascii="Arial" w:hAnsi="Arial" w:cs="Arial"/>
            <w:sz w:val="20"/>
            <w:szCs w:val="20"/>
          </w:rPr>
          <w:t>aob</w:t>
        </w:r>
        <w:proofErr w:type="spellEnd"/>
        <w:r w:rsidR="009A20C8" w:rsidRPr="009A20C8">
          <w:rPr>
            <w:rStyle w:val="Hyperlink"/>
            <w:rFonts w:ascii="Arial" w:hAnsi="Arial" w:cs="Arial"/>
            <w:sz w:val="20"/>
            <w:szCs w:val="20"/>
          </w:rPr>
          <w:t>/mcag002</w:t>
        </w:r>
      </w:hyperlink>
    </w:p>
    <w:p w14:paraId="0E6C2F33" w14:textId="77777777" w:rsidR="00D92919" w:rsidRDefault="007B204F" w:rsidP="00D92919">
      <w:pPr>
        <w:spacing w:after="120"/>
        <w:rPr>
          <w:rFonts w:ascii="Arial" w:hAnsi="Arial" w:cs="Arial"/>
          <w:color w:val="000000" w:themeColor="text1"/>
          <w:sz w:val="20"/>
          <w:szCs w:val="20"/>
        </w:rPr>
      </w:pPr>
      <w:proofErr w:type="spellStart"/>
      <w:r w:rsidRPr="007B204F">
        <w:rPr>
          <w:rFonts w:ascii="Arial" w:hAnsi="Arial" w:cs="Arial"/>
          <w:color w:val="000000" w:themeColor="text1"/>
          <w:sz w:val="20"/>
          <w:szCs w:val="20"/>
        </w:rPr>
        <w:t>Goberna</w:t>
      </w:r>
      <w:proofErr w:type="spellEnd"/>
      <w:r w:rsidRPr="007B204F">
        <w:rPr>
          <w:rFonts w:ascii="Arial" w:hAnsi="Arial" w:cs="Arial"/>
          <w:color w:val="000000" w:themeColor="text1"/>
          <w:sz w:val="20"/>
          <w:szCs w:val="20"/>
        </w:rPr>
        <w:t xml:space="preserve">, M., &amp; Verdú, M. (2022). Cautionary notes on the use of co-occurrence networks in soil ecology. </w:t>
      </w:r>
      <w:r w:rsidRPr="007B204F">
        <w:rPr>
          <w:rFonts w:ascii="Arial" w:hAnsi="Arial" w:cs="Arial"/>
          <w:i/>
          <w:iCs/>
          <w:color w:val="000000" w:themeColor="text1"/>
          <w:sz w:val="20"/>
          <w:szCs w:val="20"/>
        </w:rPr>
        <w:t>Soil Biology and Biochemistry</w:t>
      </w:r>
      <w:r w:rsidRPr="007B204F">
        <w:rPr>
          <w:rFonts w:ascii="Arial" w:hAnsi="Arial" w:cs="Arial"/>
          <w:color w:val="000000" w:themeColor="text1"/>
          <w:sz w:val="20"/>
          <w:szCs w:val="20"/>
        </w:rPr>
        <w:t xml:space="preserve">, </w:t>
      </w:r>
      <w:r w:rsidRPr="007B204F">
        <w:rPr>
          <w:rFonts w:ascii="Arial" w:hAnsi="Arial" w:cs="Arial"/>
          <w:i/>
          <w:iCs/>
          <w:color w:val="000000" w:themeColor="text1"/>
          <w:sz w:val="20"/>
          <w:szCs w:val="20"/>
        </w:rPr>
        <w:t>166</w:t>
      </w:r>
      <w:r w:rsidRPr="007B204F">
        <w:rPr>
          <w:rFonts w:ascii="Arial" w:hAnsi="Arial" w:cs="Arial"/>
          <w:color w:val="000000" w:themeColor="text1"/>
          <w:sz w:val="20"/>
          <w:szCs w:val="20"/>
        </w:rPr>
        <w:t>, Article 108534.</w:t>
      </w:r>
      <w:r w:rsidR="00FB0B55">
        <w:rPr>
          <w:rFonts w:ascii="Arial" w:hAnsi="Arial" w:cs="Arial"/>
          <w:color w:val="000000" w:themeColor="text1"/>
          <w:sz w:val="20"/>
          <w:szCs w:val="20"/>
        </w:rPr>
        <w:t xml:space="preserve"> </w:t>
      </w:r>
      <w:hyperlink r:id="rId27" w:tgtFrame="_blank" w:history="1">
        <w:r w:rsidR="00D92919" w:rsidRPr="00D92919">
          <w:rPr>
            <w:rStyle w:val="Hyperlink"/>
            <w:rFonts w:ascii="Arial" w:hAnsi="Arial" w:cs="Arial"/>
            <w:sz w:val="20"/>
            <w:szCs w:val="20"/>
          </w:rPr>
          <w:t>10.1016/j.soilbio.2021.108534</w:t>
        </w:r>
      </w:hyperlink>
    </w:p>
    <w:p w14:paraId="27BD5A5C" w14:textId="77777777" w:rsidR="00C30621" w:rsidRDefault="00C30621" w:rsidP="008D190D">
      <w:pPr>
        <w:spacing w:after="120"/>
        <w:ind w:left="720" w:hanging="720"/>
        <w:jc w:val="both"/>
        <w:rPr>
          <w:rFonts w:ascii="Arial" w:hAnsi="Arial" w:cs="Arial"/>
          <w:color w:val="000000" w:themeColor="text1"/>
          <w:sz w:val="20"/>
          <w:szCs w:val="20"/>
        </w:rPr>
      </w:pPr>
      <w:proofErr w:type="spellStart"/>
      <w:r w:rsidRPr="00C30621">
        <w:rPr>
          <w:rFonts w:ascii="Arial" w:hAnsi="Arial" w:cs="Arial"/>
          <w:color w:val="000000" w:themeColor="text1"/>
          <w:sz w:val="20"/>
          <w:szCs w:val="20"/>
        </w:rPr>
        <w:t>Getzke</w:t>
      </w:r>
      <w:proofErr w:type="spellEnd"/>
      <w:r w:rsidRPr="00C30621">
        <w:rPr>
          <w:rFonts w:ascii="Arial" w:hAnsi="Arial" w:cs="Arial"/>
          <w:color w:val="000000" w:themeColor="text1"/>
          <w:sz w:val="20"/>
          <w:szCs w:val="20"/>
        </w:rPr>
        <w:t xml:space="preserve">, F., Hassani, M. A., </w:t>
      </w:r>
      <w:proofErr w:type="spellStart"/>
      <w:r w:rsidRPr="00C30621">
        <w:rPr>
          <w:rFonts w:ascii="Arial" w:hAnsi="Arial" w:cs="Arial"/>
          <w:color w:val="000000" w:themeColor="text1"/>
          <w:sz w:val="20"/>
          <w:szCs w:val="20"/>
        </w:rPr>
        <w:t>Crüsemann</w:t>
      </w:r>
      <w:proofErr w:type="spellEnd"/>
      <w:r w:rsidRPr="00C30621">
        <w:rPr>
          <w:rFonts w:ascii="Arial" w:hAnsi="Arial" w:cs="Arial"/>
          <w:color w:val="000000" w:themeColor="text1"/>
          <w:sz w:val="20"/>
          <w:szCs w:val="20"/>
        </w:rPr>
        <w:t xml:space="preserve">, M., </w:t>
      </w:r>
      <w:proofErr w:type="spellStart"/>
      <w:r w:rsidRPr="00C30621">
        <w:rPr>
          <w:rFonts w:ascii="Arial" w:hAnsi="Arial" w:cs="Arial"/>
          <w:color w:val="000000" w:themeColor="text1"/>
          <w:sz w:val="20"/>
          <w:szCs w:val="20"/>
        </w:rPr>
        <w:t>Malisic</w:t>
      </w:r>
      <w:proofErr w:type="spellEnd"/>
      <w:r w:rsidRPr="00C30621">
        <w:rPr>
          <w:rFonts w:ascii="Arial" w:hAnsi="Arial" w:cs="Arial"/>
          <w:color w:val="000000" w:themeColor="text1"/>
          <w:sz w:val="20"/>
          <w:szCs w:val="20"/>
        </w:rPr>
        <w:t xml:space="preserve">, M., Zhang, P., Ishigaki, Y., et al. (2023). </w:t>
      </w:r>
      <w:proofErr w:type="spellStart"/>
      <w:r w:rsidRPr="00C30621">
        <w:rPr>
          <w:rFonts w:ascii="Arial" w:hAnsi="Arial" w:cs="Arial"/>
          <w:color w:val="000000" w:themeColor="text1"/>
          <w:sz w:val="20"/>
          <w:szCs w:val="20"/>
        </w:rPr>
        <w:t>Cofunctioning</w:t>
      </w:r>
      <w:proofErr w:type="spellEnd"/>
      <w:r w:rsidRPr="00C30621">
        <w:rPr>
          <w:rFonts w:ascii="Arial" w:hAnsi="Arial" w:cs="Arial"/>
          <w:color w:val="000000" w:themeColor="text1"/>
          <w:sz w:val="20"/>
          <w:szCs w:val="20"/>
        </w:rPr>
        <w:t xml:space="preserve"> of bacterial </w:t>
      </w:r>
      <w:proofErr w:type="spellStart"/>
      <w:r w:rsidRPr="00C30621">
        <w:rPr>
          <w:rFonts w:ascii="Arial" w:hAnsi="Arial" w:cs="Arial"/>
          <w:color w:val="000000" w:themeColor="text1"/>
          <w:sz w:val="20"/>
          <w:szCs w:val="20"/>
        </w:rPr>
        <w:t>exometabolites</w:t>
      </w:r>
      <w:proofErr w:type="spellEnd"/>
      <w:r w:rsidRPr="00C30621">
        <w:rPr>
          <w:rFonts w:ascii="Arial" w:hAnsi="Arial" w:cs="Arial"/>
          <w:color w:val="000000" w:themeColor="text1"/>
          <w:sz w:val="20"/>
          <w:szCs w:val="20"/>
        </w:rPr>
        <w:t xml:space="preserve"> drives root microbiota establishment. </w:t>
      </w:r>
      <w:r w:rsidRPr="00C30621">
        <w:rPr>
          <w:rFonts w:ascii="Arial" w:hAnsi="Arial" w:cs="Arial"/>
          <w:i/>
          <w:iCs/>
          <w:color w:val="000000" w:themeColor="text1"/>
          <w:sz w:val="20"/>
          <w:szCs w:val="20"/>
        </w:rPr>
        <w:t>Proceedings of the National Academy of Sciences</w:t>
      </w:r>
      <w:r w:rsidRPr="00C30621">
        <w:rPr>
          <w:rFonts w:ascii="Arial" w:hAnsi="Arial" w:cs="Arial"/>
          <w:color w:val="000000" w:themeColor="text1"/>
          <w:sz w:val="20"/>
          <w:szCs w:val="20"/>
        </w:rPr>
        <w:t xml:space="preserve">, </w:t>
      </w:r>
      <w:r w:rsidRPr="00C30621">
        <w:rPr>
          <w:rFonts w:ascii="Arial" w:hAnsi="Arial" w:cs="Arial"/>
          <w:i/>
          <w:iCs/>
          <w:color w:val="000000" w:themeColor="text1"/>
          <w:sz w:val="20"/>
          <w:szCs w:val="20"/>
        </w:rPr>
        <w:t>120</w:t>
      </w:r>
      <w:r w:rsidRPr="00C30621">
        <w:rPr>
          <w:rFonts w:ascii="Arial" w:hAnsi="Arial" w:cs="Arial"/>
          <w:color w:val="000000" w:themeColor="text1"/>
          <w:sz w:val="20"/>
          <w:szCs w:val="20"/>
        </w:rPr>
        <w:t xml:space="preserve">(15), e2221508120. </w:t>
      </w:r>
      <w:hyperlink r:id="rId28" w:history="1">
        <w:r w:rsidRPr="00C30621">
          <w:rPr>
            <w:rStyle w:val="Hyperlink"/>
            <w:rFonts w:ascii="Arial" w:hAnsi="Arial" w:cs="Arial"/>
            <w:sz w:val="20"/>
            <w:szCs w:val="20"/>
          </w:rPr>
          <w:t>https://doi.org/10.1073/pnas.2221508120</w:t>
        </w:r>
      </w:hyperlink>
    </w:p>
    <w:p w14:paraId="4FAA184B" w14:textId="77777777" w:rsidR="00690F36" w:rsidRDefault="00690F36" w:rsidP="008D190D">
      <w:pPr>
        <w:spacing w:after="120"/>
        <w:ind w:left="720" w:hanging="720"/>
        <w:jc w:val="both"/>
        <w:rPr>
          <w:rFonts w:ascii="Arial" w:hAnsi="Arial" w:cs="Arial"/>
          <w:color w:val="000000" w:themeColor="text1"/>
          <w:sz w:val="20"/>
          <w:szCs w:val="20"/>
        </w:rPr>
      </w:pPr>
      <w:r w:rsidRPr="00690F36">
        <w:rPr>
          <w:rFonts w:ascii="Arial" w:hAnsi="Arial" w:cs="Arial"/>
          <w:color w:val="000000" w:themeColor="text1"/>
          <w:sz w:val="20"/>
          <w:szCs w:val="20"/>
        </w:rPr>
        <w:t xml:space="preserve">Goossens, P., </w:t>
      </w:r>
      <w:proofErr w:type="spellStart"/>
      <w:r w:rsidRPr="00690F36">
        <w:rPr>
          <w:rFonts w:ascii="Arial" w:hAnsi="Arial" w:cs="Arial"/>
          <w:color w:val="000000" w:themeColor="text1"/>
          <w:sz w:val="20"/>
          <w:szCs w:val="20"/>
        </w:rPr>
        <w:t>Spooren</w:t>
      </w:r>
      <w:proofErr w:type="spellEnd"/>
      <w:r w:rsidRPr="00690F36">
        <w:rPr>
          <w:rFonts w:ascii="Arial" w:hAnsi="Arial" w:cs="Arial"/>
          <w:color w:val="000000" w:themeColor="text1"/>
          <w:sz w:val="20"/>
          <w:szCs w:val="20"/>
        </w:rPr>
        <w:t xml:space="preserve">, J., Baremans, K. C. M., Andel, A., Lapin, D., </w:t>
      </w:r>
      <w:proofErr w:type="spellStart"/>
      <w:r w:rsidRPr="00690F36">
        <w:rPr>
          <w:rFonts w:ascii="Arial" w:hAnsi="Arial" w:cs="Arial"/>
          <w:color w:val="000000" w:themeColor="text1"/>
          <w:sz w:val="20"/>
          <w:szCs w:val="20"/>
        </w:rPr>
        <w:t>Echobardo</w:t>
      </w:r>
      <w:proofErr w:type="spellEnd"/>
      <w:r w:rsidRPr="00690F36">
        <w:rPr>
          <w:rFonts w:ascii="Arial" w:hAnsi="Arial" w:cs="Arial"/>
          <w:color w:val="000000" w:themeColor="text1"/>
          <w:sz w:val="20"/>
          <w:szCs w:val="20"/>
        </w:rPr>
        <w:t xml:space="preserve">, N., et al. (2023). Obligate biotroph downy mildew consistently induces near-identical protective microbiomes in </w:t>
      </w:r>
      <w:r w:rsidRPr="00690F36">
        <w:rPr>
          <w:rFonts w:ascii="Arial" w:hAnsi="Arial" w:cs="Arial"/>
          <w:i/>
          <w:iCs/>
          <w:color w:val="000000" w:themeColor="text1"/>
          <w:sz w:val="20"/>
          <w:szCs w:val="20"/>
        </w:rPr>
        <w:t>Arabidopsis thaliana</w:t>
      </w:r>
      <w:r w:rsidRPr="00690F36">
        <w:rPr>
          <w:rFonts w:ascii="Arial" w:hAnsi="Arial" w:cs="Arial"/>
          <w:color w:val="000000" w:themeColor="text1"/>
          <w:sz w:val="20"/>
          <w:szCs w:val="20"/>
        </w:rPr>
        <w:t xml:space="preserve">. </w:t>
      </w:r>
      <w:r w:rsidRPr="00690F36">
        <w:rPr>
          <w:rFonts w:ascii="Arial" w:hAnsi="Arial" w:cs="Arial"/>
          <w:i/>
          <w:iCs/>
          <w:color w:val="000000" w:themeColor="text1"/>
          <w:sz w:val="20"/>
          <w:szCs w:val="20"/>
        </w:rPr>
        <w:t>Nature Microbiology</w:t>
      </w:r>
      <w:r w:rsidRPr="00690F36">
        <w:rPr>
          <w:rFonts w:ascii="Arial" w:hAnsi="Arial" w:cs="Arial"/>
          <w:color w:val="000000" w:themeColor="text1"/>
          <w:sz w:val="20"/>
          <w:szCs w:val="20"/>
        </w:rPr>
        <w:t xml:space="preserve">, </w:t>
      </w:r>
      <w:r w:rsidRPr="00690F36">
        <w:rPr>
          <w:rFonts w:ascii="Arial" w:hAnsi="Arial" w:cs="Arial"/>
          <w:i/>
          <w:iCs/>
          <w:color w:val="000000" w:themeColor="text1"/>
          <w:sz w:val="20"/>
          <w:szCs w:val="20"/>
        </w:rPr>
        <w:t>8</w:t>
      </w:r>
      <w:r w:rsidRPr="00690F36">
        <w:rPr>
          <w:rFonts w:ascii="Arial" w:hAnsi="Arial" w:cs="Arial"/>
          <w:color w:val="000000" w:themeColor="text1"/>
          <w:sz w:val="20"/>
          <w:szCs w:val="20"/>
        </w:rPr>
        <w:t xml:space="preserve">(12), 2349–2364. </w:t>
      </w:r>
      <w:hyperlink r:id="rId29" w:history="1">
        <w:r w:rsidRPr="00690F36">
          <w:rPr>
            <w:rStyle w:val="Hyperlink"/>
            <w:rFonts w:ascii="Arial" w:hAnsi="Arial" w:cs="Arial"/>
            <w:sz w:val="20"/>
            <w:szCs w:val="20"/>
          </w:rPr>
          <w:t>https://doi.org/10.1038/s41564-023-01502-y</w:t>
        </w:r>
      </w:hyperlink>
    </w:p>
    <w:p w14:paraId="0D7F0A62" w14:textId="77777777" w:rsidR="00933BEC" w:rsidRDefault="00933BEC" w:rsidP="008D190D">
      <w:pPr>
        <w:spacing w:after="120"/>
        <w:ind w:left="720" w:hanging="720"/>
        <w:jc w:val="both"/>
        <w:rPr>
          <w:rFonts w:ascii="Arial" w:hAnsi="Arial" w:cs="Arial"/>
          <w:color w:val="000000" w:themeColor="text1"/>
          <w:sz w:val="20"/>
          <w:szCs w:val="20"/>
        </w:rPr>
      </w:pPr>
      <w:proofErr w:type="spellStart"/>
      <w:r w:rsidRPr="00933BEC">
        <w:rPr>
          <w:rFonts w:ascii="Arial" w:hAnsi="Arial" w:cs="Arial"/>
          <w:color w:val="000000" w:themeColor="text1"/>
          <w:sz w:val="20"/>
          <w:szCs w:val="20"/>
        </w:rPr>
        <w:t>Hardoim</w:t>
      </w:r>
      <w:proofErr w:type="spellEnd"/>
      <w:r w:rsidRPr="00933BEC">
        <w:rPr>
          <w:rFonts w:ascii="Arial" w:hAnsi="Arial" w:cs="Arial"/>
          <w:color w:val="000000" w:themeColor="text1"/>
          <w:sz w:val="20"/>
          <w:szCs w:val="20"/>
        </w:rPr>
        <w:t xml:space="preserve">, P. R., van Overbeek, L. S., Berg, G., </w:t>
      </w:r>
      <w:proofErr w:type="spellStart"/>
      <w:r w:rsidRPr="00933BEC">
        <w:rPr>
          <w:rFonts w:ascii="Arial" w:hAnsi="Arial" w:cs="Arial"/>
          <w:color w:val="000000" w:themeColor="text1"/>
          <w:sz w:val="20"/>
          <w:szCs w:val="20"/>
        </w:rPr>
        <w:t>Pirttilä</w:t>
      </w:r>
      <w:proofErr w:type="spellEnd"/>
      <w:r w:rsidRPr="00933BEC">
        <w:rPr>
          <w:rFonts w:ascii="Arial" w:hAnsi="Arial" w:cs="Arial"/>
          <w:color w:val="000000" w:themeColor="text1"/>
          <w:sz w:val="20"/>
          <w:szCs w:val="20"/>
        </w:rPr>
        <w:t xml:space="preserve">, A. M., </w:t>
      </w:r>
      <w:proofErr w:type="spellStart"/>
      <w:r w:rsidRPr="00933BEC">
        <w:rPr>
          <w:rFonts w:ascii="Arial" w:hAnsi="Arial" w:cs="Arial"/>
          <w:color w:val="000000" w:themeColor="text1"/>
          <w:sz w:val="20"/>
          <w:szCs w:val="20"/>
        </w:rPr>
        <w:t>Compant</w:t>
      </w:r>
      <w:proofErr w:type="spellEnd"/>
      <w:r w:rsidRPr="00933BEC">
        <w:rPr>
          <w:rFonts w:ascii="Arial" w:hAnsi="Arial" w:cs="Arial"/>
          <w:color w:val="000000" w:themeColor="text1"/>
          <w:sz w:val="20"/>
          <w:szCs w:val="20"/>
        </w:rPr>
        <w:t xml:space="preserve">, S., Campisano, A., et al. (2015). The hidden world within plants: Ecological and evolutionary considerations for defining functioning of microbial endophytes. </w:t>
      </w:r>
      <w:r w:rsidRPr="00933BEC">
        <w:rPr>
          <w:rFonts w:ascii="Arial" w:hAnsi="Arial" w:cs="Arial"/>
          <w:i/>
          <w:iCs/>
          <w:color w:val="000000" w:themeColor="text1"/>
          <w:sz w:val="20"/>
          <w:szCs w:val="20"/>
        </w:rPr>
        <w:t>Microbiology and Molecular Biology Reviews</w:t>
      </w:r>
      <w:r w:rsidRPr="00933BEC">
        <w:rPr>
          <w:rFonts w:ascii="Arial" w:hAnsi="Arial" w:cs="Arial"/>
          <w:color w:val="000000" w:themeColor="text1"/>
          <w:sz w:val="20"/>
          <w:szCs w:val="20"/>
        </w:rPr>
        <w:t xml:space="preserve">, </w:t>
      </w:r>
      <w:r w:rsidRPr="00933BEC">
        <w:rPr>
          <w:rFonts w:ascii="Arial" w:hAnsi="Arial" w:cs="Arial"/>
          <w:i/>
          <w:iCs/>
          <w:color w:val="000000" w:themeColor="text1"/>
          <w:sz w:val="20"/>
          <w:szCs w:val="20"/>
        </w:rPr>
        <w:t>79</w:t>
      </w:r>
      <w:r w:rsidRPr="00933BEC">
        <w:rPr>
          <w:rFonts w:ascii="Arial" w:hAnsi="Arial" w:cs="Arial"/>
          <w:color w:val="000000" w:themeColor="text1"/>
          <w:sz w:val="20"/>
          <w:szCs w:val="20"/>
        </w:rPr>
        <w:t xml:space="preserve">(3), 293–320. </w:t>
      </w:r>
      <w:hyperlink r:id="rId30" w:history="1">
        <w:r w:rsidRPr="00933BEC">
          <w:rPr>
            <w:rStyle w:val="Hyperlink"/>
            <w:rFonts w:ascii="Arial" w:hAnsi="Arial" w:cs="Arial"/>
            <w:sz w:val="20"/>
            <w:szCs w:val="20"/>
          </w:rPr>
          <w:t>https://doi.org/10.1128/MMBR.00050-14</w:t>
        </w:r>
      </w:hyperlink>
    </w:p>
    <w:p w14:paraId="43920DB1" w14:textId="097532B6" w:rsidR="009A0045" w:rsidRDefault="009A0045" w:rsidP="008D190D">
      <w:pPr>
        <w:spacing w:after="120"/>
        <w:ind w:left="720" w:hanging="720"/>
        <w:jc w:val="both"/>
        <w:rPr>
          <w:rFonts w:ascii="Arial" w:hAnsi="Arial" w:cs="Arial"/>
          <w:color w:val="000000" w:themeColor="text1"/>
          <w:sz w:val="20"/>
          <w:szCs w:val="20"/>
        </w:rPr>
      </w:pPr>
      <w:r w:rsidRPr="009A0045">
        <w:rPr>
          <w:rFonts w:ascii="Arial" w:hAnsi="Arial" w:cs="Arial"/>
          <w:color w:val="000000" w:themeColor="text1"/>
          <w:sz w:val="20"/>
          <w:szCs w:val="20"/>
        </w:rPr>
        <w:t xml:space="preserve">Hu, L., Robert, C. A. M., Cadot, S., Zhang, X., Ye, M., Li, B., et al. (2018). Root exudate metabolites drive plant-soil </w:t>
      </w:r>
      <w:r w:rsidR="008220F0" w:rsidRPr="009A0045">
        <w:rPr>
          <w:rFonts w:ascii="Arial" w:hAnsi="Arial" w:cs="Arial"/>
          <w:color w:val="000000" w:themeColor="text1"/>
          <w:sz w:val="20"/>
          <w:szCs w:val="20"/>
        </w:rPr>
        <w:t>feedback</w:t>
      </w:r>
      <w:r w:rsidRPr="009A0045">
        <w:rPr>
          <w:rFonts w:ascii="Arial" w:hAnsi="Arial" w:cs="Arial"/>
          <w:color w:val="000000" w:themeColor="text1"/>
          <w:sz w:val="20"/>
          <w:szCs w:val="20"/>
        </w:rPr>
        <w:t xml:space="preserve"> on growth and </w:t>
      </w:r>
      <w:proofErr w:type="spellStart"/>
      <w:r w:rsidRPr="009A0045">
        <w:rPr>
          <w:rFonts w:ascii="Arial" w:hAnsi="Arial" w:cs="Arial"/>
          <w:color w:val="000000" w:themeColor="text1"/>
          <w:sz w:val="20"/>
          <w:szCs w:val="20"/>
        </w:rPr>
        <w:t>defense</w:t>
      </w:r>
      <w:proofErr w:type="spellEnd"/>
      <w:r w:rsidRPr="009A0045">
        <w:rPr>
          <w:rFonts w:ascii="Arial" w:hAnsi="Arial" w:cs="Arial"/>
          <w:color w:val="000000" w:themeColor="text1"/>
          <w:sz w:val="20"/>
          <w:szCs w:val="20"/>
        </w:rPr>
        <w:t xml:space="preserve"> by shaping the rhizosphere microbiota. </w:t>
      </w:r>
      <w:r w:rsidRPr="009A0045">
        <w:rPr>
          <w:rFonts w:ascii="Arial" w:hAnsi="Arial" w:cs="Arial"/>
          <w:i/>
          <w:iCs/>
          <w:color w:val="000000" w:themeColor="text1"/>
          <w:sz w:val="20"/>
          <w:szCs w:val="20"/>
        </w:rPr>
        <w:t>Nature Communications</w:t>
      </w:r>
      <w:r w:rsidRPr="009A0045">
        <w:rPr>
          <w:rFonts w:ascii="Arial" w:hAnsi="Arial" w:cs="Arial"/>
          <w:color w:val="000000" w:themeColor="text1"/>
          <w:sz w:val="20"/>
          <w:szCs w:val="20"/>
        </w:rPr>
        <w:t xml:space="preserve">, </w:t>
      </w:r>
      <w:r w:rsidRPr="009A0045">
        <w:rPr>
          <w:rFonts w:ascii="Arial" w:hAnsi="Arial" w:cs="Arial"/>
          <w:i/>
          <w:iCs/>
          <w:color w:val="000000" w:themeColor="text1"/>
          <w:sz w:val="20"/>
          <w:szCs w:val="20"/>
        </w:rPr>
        <w:t>9</w:t>
      </w:r>
      <w:r w:rsidRPr="009A0045">
        <w:rPr>
          <w:rFonts w:ascii="Arial" w:hAnsi="Arial" w:cs="Arial"/>
          <w:color w:val="000000" w:themeColor="text1"/>
          <w:sz w:val="20"/>
          <w:szCs w:val="20"/>
        </w:rPr>
        <w:t xml:space="preserve">(1), 2738. </w:t>
      </w:r>
      <w:hyperlink r:id="rId31" w:history="1">
        <w:r w:rsidRPr="009A0045">
          <w:rPr>
            <w:rStyle w:val="Hyperlink"/>
            <w:rFonts w:ascii="Arial" w:hAnsi="Arial" w:cs="Arial"/>
            <w:sz w:val="20"/>
            <w:szCs w:val="20"/>
          </w:rPr>
          <w:t>https://doi.org/10.1038/s41467-018-05122-7</w:t>
        </w:r>
      </w:hyperlink>
    </w:p>
    <w:p w14:paraId="69C664F3" w14:textId="77777777" w:rsidR="00E86F9B" w:rsidRDefault="00E86F9B" w:rsidP="00992520">
      <w:pPr>
        <w:spacing w:after="120"/>
        <w:ind w:left="720" w:hanging="720"/>
        <w:rPr>
          <w:rFonts w:ascii="Arial" w:hAnsi="Arial" w:cs="Arial"/>
          <w:color w:val="000000" w:themeColor="text1"/>
          <w:sz w:val="20"/>
          <w:szCs w:val="20"/>
        </w:rPr>
      </w:pPr>
      <w:r w:rsidRPr="00E86F9B">
        <w:rPr>
          <w:rFonts w:ascii="Arial" w:hAnsi="Arial" w:cs="Arial"/>
          <w:color w:val="000000" w:themeColor="text1"/>
          <w:sz w:val="20"/>
          <w:szCs w:val="20"/>
        </w:rPr>
        <w:t xml:space="preserve">Kwak, M. J., Kong, H. G., Choi, K., Kwon, S. K., Song, J. Y., Lee, J., et al. (2018). Rhizosphere microbiome structure alters to enable wilt resistance in tomato. </w:t>
      </w:r>
      <w:r w:rsidRPr="00E86F9B">
        <w:rPr>
          <w:rFonts w:ascii="Arial" w:hAnsi="Arial" w:cs="Arial"/>
          <w:i/>
          <w:iCs/>
          <w:color w:val="000000" w:themeColor="text1"/>
          <w:sz w:val="20"/>
          <w:szCs w:val="20"/>
        </w:rPr>
        <w:t>Nature Biotechnology</w:t>
      </w:r>
      <w:r w:rsidRPr="00E86F9B">
        <w:rPr>
          <w:rFonts w:ascii="Arial" w:hAnsi="Arial" w:cs="Arial"/>
          <w:color w:val="000000" w:themeColor="text1"/>
          <w:sz w:val="20"/>
          <w:szCs w:val="20"/>
        </w:rPr>
        <w:t xml:space="preserve">. Advance online publication. </w:t>
      </w:r>
      <w:hyperlink r:id="rId32" w:history="1">
        <w:r w:rsidRPr="00E86F9B">
          <w:rPr>
            <w:rStyle w:val="Hyperlink"/>
            <w:rFonts w:ascii="Arial" w:hAnsi="Arial" w:cs="Arial"/>
            <w:sz w:val="20"/>
            <w:szCs w:val="20"/>
          </w:rPr>
          <w:t>https://doi.org/10.1038/nbt.4232</w:t>
        </w:r>
      </w:hyperlink>
    </w:p>
    <w:p w14:paraId="767AB43F" w14:textId="77777777" w:rsidR="001C48B2" w:rsidRDefault="005D5283" w:rsidP="001C48B2">
      <w:pPr>
        <w:spacing w:after="120"/>
        <w:ind w:left="720" w:hanging="720"/>
        <w:jc w:val="both"/>
        <w:rPr>
          <w:rFonts w:ascii="Arial" w:hAnsi="Arial" w:cs="Arial"/>
          <w:color w:val="000000" w:themeColor="text1"/>
          <w:sz w:val="20"/>
          <w:szCs w:val="20"/>
        </w:rPr>
      </w:pPr>
      <w:proofErr w:type="spellStart"/>
      <w:r w:rsidRPr="005D5283">
        <w:rPr>
          <w:rFonts w:ascii="Arial" w:hAnsi="Arial" w:cs="Arial"/>
          <w:color w:val="000000" w:themeColor="text1"/>
          <w:sz w:val="20"/>
          <w:szCs w:val="20"/>
        </w:rPr>
        <w:t>Legein</w:t>
      </w:r>
      <w:proofErr w:type="spellEnd"/>
      <w:r w:rsidRPr="005D5283">
        <w:rPr>
          <w:rFonts w:ascii="Arial" w:hAnsi="Arial" w:cs="Arial"/>
          <w:color w:val="000000" w:themeColor="text1"/>
          <w:sz w:val="20"/>
          <w:szCs w:val="20"/>
        </w:rPr>
        <w:t xml:space="preserve">, M., Smets, W., </w:t>
      </w:r>
      <w:proofErr w:type="spellStart"/>
      <w:r w:rsidRPr="005D5283">
        <w:rPr>
          <w:rFonts w:ascii="Arial" w:hAnsi="Arial" w:cs="Arial"/>
          <w:color w:val="000000" w:themeColor="text1"/>
          <w:sz w:val="20"/>
          <w:szCs w:val="20"/>
        </w:rPr>
        <w:t>Vandenheuvel</w:t>
      </w:r>
      <w:proofErr w:type="spellEnd"/>
      <w:r w:rsidRPr="005D5283">
        <w:rPr>
          <w:rFonts w:ascii="Arial" w:hAnsi="Arial" w:cs="Arial"/>
          <w:color w:val="000000" w:themeColor="text1"/>
          <w:sz w:val="20"/>
          <w:szCs w:val="20"/>
        </w:rPr>
        <w:t xml:space="preserve">, D., Eilers, T., Muyshondt, B., Prinsen, E., et al. (2020). Modes of action of microbial biocontrol in the </w:t>
      </w:r>
      <w:proofErr w:type="spellStart"/>
      <w:r w:rsidRPr="005D5283">
        <w:rPr>
          <w:rFonts w:ascii="Arial" w:hAnsi="Arial" w:cs="Arial"/>
          <w:color w:val="000000" w:themeColor="text1"/>
          <w:sz w:val="20"/>
          <w:szCs w:val="20"/>
        </w:rPr>
        <w:t>phyllosphere</w:t>
      </w:r>
      <w:proofErr w:type="spellEnd"/>
      <w:r w:rsidRPr="005D5283">
        <w:rPr>
          <w:rFonts w:ascii="Arial" w:hAnsi="Arial" w:cs="Arial"/>
          <w:color w:val="000000" w:themeColor="text1"/>
          <w:sz w:val="20"/>
          <w:szCs w:val="20"/>
        </w:rPr>
        <w:t xml:space="preserve">. </w:t>
      </w:r>
      <w:r w:rsidRPr="005D5283">
        <w:rPr>
          <w:rFonts w:ascii="Arial" w:hAnsi="Arial" w:cs="Arial"/>
          <w:i/>
          <w:iCs/>
          <w:color w:val="000000" w:themeColor="text1"/>
          <w:sz w:val="20"/>
          <w:szCs w:val="20"/>
        </w:rPr>
        <w:t>Frontiers in Microbiology</w:t>
      </w:r>
      <w:r w:rsidRPr="005D5283">
        <w:rPr>
          <w:rFonts w:ascii="Arial" w:hAnsi="Arial" w:cs="Arial"/>
          <w:color w:val="000000" w:themeColor="text1"/>
          <w:sz w:val="20"/>
          <w:szCs w:val="20"/>
        </w:rPr>
        <w:t xml:space="preserve">, </w:t>
      </w:r>
      <w:r w:rsidRPr="005D5283">
        <w:rPr>
          <w:rFonts w:ascii="Arial" w:hAnsi="Arial" w:cs="Arial"/>
          <w:i/>
          <w:iCs/>
          <w:color w:val="000000" w:themeColor="text1"/>
          <w:sz w:val="20"/>
          <w:szCs w:val="20"/>
        </w:rPr>
        <w:t>11</w:t>
      </w:r>
      <w:r w:rsidRPr="005D5283">
        <w:rPr>
          <w:rFonts w:ascii="Arial" w:hAnsi="Arial" w:cs="Arial"/>
          <w:color w:val="000000" w:themeColor="text1"/>
          <w:sz w:val="20"/>
          <w:szCs w:val="20"/>
        </w:rPr>
        <w:t xml:space="preserve">, 1619. </w:t>
      </w:r>
      <w:hyperlink r:id="rId33" w:history="1">
        <w:r w:rsidRPr="005D5283">
          <w:rPr>
            <w:rStyle w:val="Hyperlink"/>
            <w:rFonts w:ascii="Arial" w:hAnsi="Arial" w:cs="Arial"/>
            <w:sz w:val="20"/>
            <w:szCs w:val="20"/>
          </w:rPr>
          <w:t>https://doi.org/10.3389/fmicb.2020.01619</w:t>
        </w:r>
      </w:hyperlink>
    </w:p>
    <w:p w14:paraId="51F4C881" w14:textId="042ABBFE" w:rsidR="008D190D" w:rsidRPr="001C48B2" w:rsidRDefault="00F938F1" w:rsidP="001C48B2">
      <w:pPr>
        <w:spacing w:after="120"/>
        <w:ind w:left="720" w:hanging="720"/>
        <w:jc w:val="both"/>
        <w:rPr>
          <w:rFonts w:ascii="Arial" w:hAnsi="Arial" w:cs="Arial"/>
          <w:color w:val="000000" w:themeColor="text1"/>
          <w:sz w:val="20"/>
          <w:szCs w:val="20"/>
        </w:rPr>
      </w:pPr>
      <w:r w:rsidRPr="00F938F1">
        <w:rPr>
          <w:rFonts w:ascii="Arial" w:hAnsi="Arial" w:cs="Arial"/>
          <w:color w:val="000000" w:themeColor="text1"/>
          <w:sz w:val="20"/>
          <w:szCs w:val="20"/>
        </w:rPr>
        <w:t xml:space="preserve">Li, M., Pommier, T., Yin, Y., Wang, J., Gu, S., </w:t>
      </w:r>
      <w:proofErr w:type="spellStart"/>
      <w:r w:rsidRPr="00F938F1">
        <w:rPr>
          <w:rFonts w:ascii="Arial" w:hAnsi="Arial" w:cs="Arial"/>
          <w:color w:val="000000" w:themeColor="text1"/>
          <w:sz w:val="20"/>
          <w:szCs w:val="20"/>
        </w:rPr>
        <w:t>Jousset</w:t>
      </w:r>
      <w:proofErr w:type="spellEnd"/>
      <w:r w:rsidRPr="00F938F1">
        <w:rPr>
          <w:rFonts w:ascii="Arial" w:hAnsi="Arial" w:cs="Arial"/>
          <w:color w:val="000000" w:themeColor="text1"/>
          <w:sz w:val="20"/>
          <w:szCs w:val="20"/>
        </w:rPr>
        <w:t xml:space="preserve">, A., et al. (2022). Indirect reduction of </w:t>
      </w:r>
      <w:proofErr w:type="spellStart"/>
      <w:r w:rsidRPr="00F938F1">
        <w:rPr>
          <w:rFonts w:ascii="Arial" w:hAnsi="Arial" w:cs="Arial"/>
          <w:i/>
          <w:iCs/>
          <w:color w:val="000000" w:themeColor="text1"/>
          <w:sz w:val="20"/>
          <w:szCs w:val="20"/>
        </w:rPr>
        <w:t>Ralstonia</w:t>
      </w:r>
      <w:proofErr w:type="spellEnd"/>
      <w:r w:rsidRPr="00F938F1">
        <w:rPr>
          <w:rFonts w:ascii="Arial" w:hAnsi="Arial" w:cs="Arial"/>
          <w:i/>
          <w:iCs/>
          <w:color w:val="000000" w:themeColor="text1"/>
          <w:sz w:val="20"/>
          <w:szCs w:val="20"/>
        </w:rPr>
        <w:t xml:space="preserve"> solanacearum</w:t>
      </w:r>
      <w:r w:rsidRPr="00F938F1">
        <w:rPr>
          <w:rFonts w:ascii="Arial" w:hAnsi="Arial" w:cs="Arial"/>
          <w:color w:val="000000" w:themeColor="text1"/>
          <w:sz w:val="20"/>
          <w:szCs w:val="20"/>
        </w:rPr>
        <w:t xml:space="preserve"> via pathogen helper inhibition. </w:t>
      </w:r>
      <w:r w:rsidRPr="00F938F1">
        <w:rPr>
          <w:rFonts w:ascii="Arial" w:hAnsi="Arial" w:cs="Arial"/>
          <w:i/>
          <w:iCs/>
          <w:color w:val="000000" w:themeColor="text1"/>
          <w:sz w:val="20"/>
          <w:szCs w:val="20"/>
        </w:rPr>
        <w:t>The ISME Journal</w:t>
      </w:r>
      <w:r w:rsidRPr="00F938F1">
        <w:rPr>
          <w:rFonts w:ascii="Arial" w:hAnsi="Arial" w:cs="Arial"/>
          <w:color w:val="000000" w:themeColor="text1"/>
          <w:sz w:val="20"/>
          <w:szCs w:val="20"/>
        </w:rPr>
        <w:t xml:space="preserve">, </w:t>
      </w:r>
      <w:r w:rsidRPr="00F938F1">
        <w:rPr>
          <w:rFonts w:ascii="Arial" w:hAnsi="Arial" w:cs="Arial"/>
          <w:i/>
          <w:iCs/>
          <w:color w:val="000000" w:themeColor="text1"/>
          <w:sz w:val="20"/>
          <w:szCs w:val="20"/>
        </w:rPr>
        <w:t>16</w:t>
      </w:r>
      <w:r w:rsidRPr="00F938F1">
        <w:rPr>
          <w:rFonts w:ascii="Arial" w:hAnsi="Arial" w:cs="Arial"/>
          <w:color w:val="000000" w:themeColor="text1"/>
          <w:sz w:val="20"/>
          <w:szCs w:val="20"/>
        </w:rPr>
        <w:t>(3), 868–875.</w:t>
      </w:r>
      <w:r w:rsidR="001C48B2" w:rsidRPr="001C48B2">
        <w:rPr>
          <w:rFonts w:ascii="Arial" w:hAnsi="Arial" w:cs="Arial"/>
          <w:color w:val="000000" w:themeColor="text1"/>
          <w:sz w:val="20"/>
          <w:szCs w:val="20"/>
        </w:rPr>
        <w:t xml:space="preserve">DOI: </w:t>
      </w:r>
      <w:hyperlink r:id="rId34" w:tgtFrame="_blank" w:history="1">
        <w:r w:rsidR="001C48B2" w:rsidRPr="001C48B2">
          <w:rPr>
            <w:rStyle w:val="Hyperlink"/>
            <w:rFonts w:ascii="Arial" w:hAnsi="Arial" w:cs="Arial"/>
            <w:sz w:val="20"/>
            <w:szCs w:val="20"/>
          </w:rPr>
          <w:t>10.1038/s41396-021-01126-2</w:t>
        </w:r>
      </w:hyperlink>
    </w:p>
    <w:p w14:paraId="1C5F3641" w14:textId="79D3033E" w:rsidR="00B61B51" w:rsidRPr="00B61B51" w:rsidRDefault="00B61B51" w:rsidP="00B61B51">
      <w:pPr>
        <w:spacing w:after="120"/>
        <w:ind w:left="720" w:hanging="720"/>
        <w:jc w:val="both"/>
        <w:rPr>
          <w:rFonts w:ascii="Arial" w:hAnsi="Arial" w:cs="Arial"/>
          <w:color w:val="000000" w:themeColor="text1"/>
          <w:sz w:val="20"/>
          <w:szCs w:val="20"/>
        </w:rPr>
      </w:pPr>
      <w:r w:rsidRPr="00B61B51">
        <w:rPr>
          <w:rFonts w:ascii="Arial" w:hAnsi="Arial" w:cs="Arial"/>
          <w:color w:val="000000" w:themeColor="text1"/>
          <w:sz w:val="20"/>
          <w:szCs w:val="20"/>
        </w:rPr>
        <w:t xml:space="preserve">Loria, R., </w:t>
      </w:r>
      <w:proofErr w:type="spellStart"/>
      <w:r w:rsidRPr="00B61B51">
        <w:rPr>
          <w:rFonts w:ascii="Arial" w:hAnsi="Arial" w:cs="Arial"/>
          <w:color w:val="000000" w:themeColor="text1"/>
          <w:sz w:val="20"/>
          <w:szCs w:val="20"/>
        </w:rPr>
        <w:t>Bukhalid</w:t>
      </w:r>
      <w:proofErr w:type="spellEnd"/>
      <w:r w:rsidRPr="00B61B51">
        <w:rPr>
          <w:rFonts w:ascii="Arial" w:hAnsi="Arial" w:cs="Arial"/>
          <w:color w:val="000000" w:themeColor="text1"/>
          <w:sz w:val="20"/>
          <w:szCs w:val="20"/>
        </w:rPr>
        <w:t xml:space="preserve">, R. A., Fry, B. A., &amp; King, R. R. (1997). Plant pathogenicity in the genus </w:t>
      </w:r>
      <w:r w:rsidRPr="00B61B51">
        <w:rPr>
          <w:rFonts w:ascii="Arial" w:hAnsi="Arial" w:cs="Arial"/>
          <w:i/>
          <w:iCs/>
          <w:color w:val="000000" w:themeColor="text1"/>
          <w:sz w:val="20"/>
          <w:szCs w:val="20"/>
        </w:rPr>
        <w:t>Streptomyces</w:t>
      </w:r>
      <w:r w:rsidRPr="00B61B51">
        <w:rPr>
          <w:rFonts w:ascii="Arial" w:hAnsi="Arial" w:cs="Arial"/>
          <w:color w:val="000000" w:themeColor="text1"/>
          <w:sz w:val="20"/>
          <w:szCs w:val="20"/>
        </w:rPr>
        <w:t xml:space="preserve">. </w:t>
      </w:r>
      <w:r w:rsidRPr="00B61B51">
        <w:rPr>
          <w:rFonts w:ascii="Arial" w:hAnsi="Arial" w:cs="Arial"/>
          <w:i/>
          <w:iCs/>
          <w:color w:val="000000" w:themeColor="text1"/>
          <w:sz w:val="20"/>
          <w:szCs w:val="20"/>
        </w:rPr>
        <w:t>Plant Disease</w:t>
      </w:r>
      <w:r w:rsidRPr="00B61B51">
        <w:rPr>
          <w:rFonts w:ascii="Arial" w:hAnsi="Arial" w:cs="Arial"/>
          <w:color w:val="000000" w:themeColor="text1"/>
          <w:sz w:val="20"/>
          <w:szCs w:val="20"/>
        </w:rPr>
        <w:t xml:space="preserve">, </w:t>
      </w:r>
      <w:r w:rsidRPr="00B61B51">
        <w:rPr>
          <w:rFonts w:ascii="Arial" w:hAnsi="Arial" w:cs="Arial"/>
          <w:i/>
          <w:iCs/>
          <w:color w:val="000000" w:themeColor="text1"/>
          <w:sz w:val="20"/>
          <w:szCs w:val="20"/>
        </w:rPr>
        <w:t>81</w:t>
      </w:r>
      <w:r w:rsidRPr="00B61B51">
        <w:rPr>
          <w:rFonts w:ascii="Arial" w:hAnsi="Arial" w:cs="Arial"/>
          <w:color w:val="000000" w:themeColor="text1"/>
          <w:sz w:val="20"/>
          <w:szCs w:val="20"/>
        </w:rPr>
        <w:t xml:space="preserve">(8), 836–846. </w:t>
      </w:r>
      <w:hyperlink r:id="rId35" w:history="1">
        <w:r w:rsidR="00020EFA" w:rsidRPr="00020EFA">
          <w:rPr>
            <w:rStyle w:val="Hyperlink"/>
            <w:rFonts w:ascii="Arial" w:hAnsi="Arial" w:cs="Arial"/>
            <w:sz w:val="20"/>
            <w:szCs w:val="20"/>
          </w:rPr>
          <w:t>https://doi.org/10.1094/PDIS.1997.81.8.836</w:t>
        </w:r>
      </w:hyperlink>
    </w:p>
    <w:p w14:paraId="4069E063" w14:textId="77777777" w:rsidR="00E24477" w:rsidRDefault="00396CD6" w:rsidP="00E24477">
      <w:pPr>
        <w:spacing w:after="120"/>
        <w:ind w:left="720" w:hanging="720"/>
        <w:jc w:val="both"/>
        <w:rPr>
          <w:rFonts w:ascii="Arial" w:hAnsi="Arial" w:cs="Arial"/>
          <w:color w:val="000000" w:themeColor="text1"/>
          <w:sz w:val="20"/>
          <w:szCs w:val="20"/>
        </w:rPr>
      </w:pPr>
      <w:r w:rsidRPr="00396CD6">
        <w:rPr>
          <w:rFonts w:ascii="Arial" w:hAnsi="Arial" w:cs="Arial"/>
          <w:color w:val="000000" w:themeColor="text1"/>
          <w:sz w:val="20"/>
          <w:szCs w:val="20"/>
        </w:rPr>
        <w:t xml:space="preserve">Liu, Y., Chen, L., Wu, G., Feng, H., Zhang, G., Shen, Q., &amp; Zhang, R. (2017). Identification of root-secreted compounds involved in the communication between cucumber, the beneficial </w:t>
      </w:r>
      <w:r w:rsidRPr="00396CD6">
        <w:rPr>
          <w:rFonts w:ascii="Arial" w:hAnsi="Arial" w:cs="Arial"/>
          <w:i/>
          <w:iCs/>
          <w:color w:val="000000" w:themeColor="text1"/>
          <w:sz w:val="20"/>
          <w:szCs w:val="20"/>
        </w:rPr>
        <w:t xml:space="preserve">Bacillus </w:t>
      </w:r>
      <w:proofErr w:type="spellStart"/>
      <w:r w:rsidRPr="00396CD6">
        <w:rPr>
          <w:rFonts w:ascii="Arial" w:hAnsi="Arial" w:cs="Arial"/>
          <w:i/>
          <w:iCs/>
          <w:color w:val="000000" w:themeColor="text1"/>
          <w:sz w:val="20"/>
          <w:szCs w:val="20"/>
        </w:rPr>
        <w:t>amyloliquefaciens</w:t>
      </w:r>
      <w:proofErr w:type="spellEnd"/>
      <w:r w:rsidRPr="00396CD6">
        <w:rPr>
          <w:rFonts w:ascii="Arial" w:hAnsi="Arial" w:cs="Arial"/>
          <w:color w:val="000000" w:themeColor="text1"/>
          <w:sz w:val="20"/>
          <w:szCs w:val="20"/>
        </w:rPr>
        <w:t xml:space="preserve">, and the soil-borne pathogen </w:t>
      </w:r>
      <w:r w:rsidRPr="00396CD6">
        <w:rPr>
          <w:rFonts w:ascii="Arial" w:hAnsi="Arial" w:cs="Arial"/>
          <w:i/>
          <w:iCs/>
          <w:color w:val="000000" w:themeColor="text1"/>
          <w:sz w:val="20"/>
          <w:szCs w:val="20"/>
        </w:rPr>
        <w:t xml:space="preserve">Fusarium </w:t>
      </w:r>
      <w:proofErr w:type="spellStart"/>
      <w:r w:rsidRPr="00396CD6">
        <w:rPr>
          <w:rFonts w:ascii="Arial" w:hAnsi="Arial" w:cs="Arial"/>
          <w:i/>
          <w:iCs/>
          <w:color w:val="000000" w:themeColor="text1"/>
          <w:sz w:val="20"/>
          <w:szCs w:val="20"/>
        </w:rPr>
        <w:t>oxysporum</w:t>
      </w:r>
      <w:proofErr w:type="spellEnd"/>
      <w:r w:rsidRPr="00396CD6">
        <w:rPr>
          <w:rFonts w:ascii="Arial" w:hAnsi="Arial" w:cs="Arial"/>
          <w:color w:val="000000" w:themeColor="text1"/>
          <w:sz w:val="20"/>
          <w:szCs w:val="20"/>
        </w:rPr>
        <w:t xml:space="preserve">. </w:t>
      </w:r>
      <w:r w:rsidRPr="00396CD6">
        <w:rPr>
          <w:rFonts w:ascii="Arial" w:hAnsi="Arial" w:cs="Arial"/>
          <w:i/>
          <w:iCs/>
          <w:color w:val="000000" w:themeColor="text1"/>
          <w:sz w:val="20"/>
          <w:szCs w:val="20"/>
        </w:rPr>
        <w:t>Molecular Plant-Microbe Interactions</w:t>
      </w:r>
      <w:r w:rsidRPr="00396CD6">
        <w:rPr>
          <w:rFonts w:ascii="Arial" w:hAnsi="Arial" w:cs="Arial"/>
          <w:color w:val="000000" w:themeColor="text1"/>
          <w:sz w:val="20"/>
          <w:szCs w:val="20"/>
        </w:rPr>
        <w:t xml:space="preserve">, </w:t>
      </w:r>
      <w:r w:rsidRPr="00396CD6">
        <w:rPr>
          <w:rFonts w:ascii="Arial" w:hAnsi="Arial" w:cs="Arial"/>
          <w:i/>
          <w:iCs/>
          <w:color w:val="000000" w:themeColor="text1"/>
          <w:sz w:val="20"/>
          <w:szCs w:val="20"/>
        </w:rPr>
        <w:t>30</w:t>
      </w:r>
      <w:r w:rsidRPr="00396CD6">
        <w:rPr>
          <w:rFonts w:ascii="Arial" w:hAnsi="Arial" w:cs="Arial"/>
          <w:color w:val="000000" w:themeColor="text1"/>
          <w:sz w:val="20"/>
          <w:szCs w:val="20"/>
        </w:rPr>
        <w:t>(1), 53–62</w:t>
      </w:r>
      <w:r>
        <w:rPr>
          <w:rFonts w:ascii="Arial" w:hAnsi="Arial" w:cs="Arial"/>
          <w:color w:val="000000" w:themeColor="text1"/>
          <w:sz w:val="20"/>
          <w:szCs w:val="20"/>
        </w:rPr>
        <w:t>.</w:t>
      </w:r>
      <w:hyperlink r:id="rId36" w:history="1">
        <w:r w:rsidR="002E33FE" w:rsidRPr="002E33FE">
          <w:rPr>
            <w:rStyle w:val="Hyperlink"/>
            <w:rFonts w:ascii="Arial" w:hAnsi="Arial" w:cs="Arial"/>
            <w:sz w:val="20"/>
            <w:szCs w:val="20"/>
          </w:rPr>
          <w:t>https://doi.org/10.1094/MPMI-07-16-0131-R</w:t>
        </w:r>
      </w:hyperlink>
    </w:p>
    <w:p w14:paraId="0B39C159" w14:textId="08B5C597" w:rsidR="00DB52D1" w:rsidRPr="00E24477" w:rsidRDefault="00DB52D1" w:rsidP="00E24477">
      <w:pPr>
        <w:spacing w:after="120"/>
        <w:ind w:left="720" w:hanging="720"/>
        <w:jc w:val="both"/>
        <w:rPr>
          <w:rFonts w:ascii="Arial" w:hAnsi="Arial" w:cs="Arial"/>
          <w:color w:val="000000" w:themeColor="text1"/>
          <w:sz w:val="20"/>
          <w:szCs w:val="20"/>
        </w:rPr>
      </w:pPr>
      <w:r w:rsidRPr="00DB52D1">
        <w:rPr>
          <w:rFonts w:ascii="Arial" w:hAnsi="Arial" w:cs="Arial"/>
          <w:color w:val="000000" w:themeColor="text1"/>
          <w:sz w:val="20"/>
          <w:szCs w:val="20"/>
        </w:rPr>
        <w:lastRenderedPageBreak/>
        <w:t xml:space="preserve">Liu, Y., Feng, X., Gao, P., Li, Y., Christensen, M. J., &amp; Duan, T. (2018). Arbuscular mycorrhiza fungi increased the susceptibility of </w:t>
      </w:r>
      <w:r w:rsidRPr="00DB52D1">
        <w:rPr>
          <w:rFonts w:ascii="Arial" w:hAnsi="Arial" w:cs="Arial"/>
          <w:i/>
          <w:iCs/>
          <w:color w:val="000000" w:themeColor="text1"/>
          <w:sz w:val="20"/>
          <w:szCs w:val="20"/>
        </w:rPr>
        <w:t xml:space="preserve">Astragalus </w:t>
      </w:r>
      <w:proofErr w:type="spellStart"/>
      <w:r w:rsidRPr="00DB52D1">
        <w:rPr>
          <w:rFonts w:ascii="Arial" w:hAnsi="Arial" w:cs="Arial"/>
          <w:i/>
          <w:iCs/>
          <w:color w:val="000000" w:themeColor="text1"/>
          <w:sz w:val="20"/>
          <w:szCs w:val="20"/>
        </w:rPr>
        <w:t>adsurgens</w:t>
      </w:r>
      <w:proofErr w:type="spellEnd"/>
      <w:r w:rsidRPr="00DB52D1">
        <w:rPr>
          <w:rFonts w:ascii="Arial" w:hAnsi="Arial" w:cs="Arial"/>
          <w:color w:val="000000" w:themeColor="text1"/>
          <w:sz w:val="20"/>
          <w:szCs w:val="20"/>
        </w:rPr>
        <w:t xml:space="preserve"> to powdery mildew caused by </w:t>
      </w:r>
      <w:r w:rsidRPr="00DB52D1">
        <w:rPr>
          <w:rFonts w:ascii="Arial" w:hAnsi="Arial" w:cs="Arial"/>
          <w:i/>
          <w:iCs/>
          <w:color w:val="000000" w:themeColor="text1"/>
          <w:sz w:val="20"/>
          <w:szCs w:val="20"/>
        </w:rPr>
        <w:t xml:space="preserve">Erysiphe </w:t>
      </w:r>
      <w:proofErr w:type="spellStart"/>
      <w:r w:rsidRPr="00DB52D1">
        <w:rPr>
          <w:rFonts w:ascii="Arial" w:hAnsi="Arial" w:cs="Arial"/>
          <w:i/>
          <w:iCs/>
          <w:color w:val="000000" w:themeColor="text1"/>
          <w:sz w:val="20"/>
          <w:szCs w:val="20"/>
        </w:rPr>
        <w:t>pisi</w:t>
      </w:r>
      <w:proofErr w:type="spellEnd"/>
      <w:r w:rsidRPr="00DB52D1">
        <w:rPr>
          <w:rFonts w:ascii="Arial" w:hAnsi="Arial" w:cs="Arial"/>
          <w:color w:val="000000" w:themeColor="text1"/>
          <w:sz w:val="20"/>
          <w:szCs w:val="20"/>
        </w:rPr>
        <w:t xml:space="preserve">. </w:t>
      </w:r>
      <w:r w:rsidRPr="00DB52D1">
        <w:rPr>
          <w:rFonts w:ascii="Arial" w:hAnsi="Arial" w:cs="Arial"/>
          <w:i/>
          <w:iCs/>
          <w:color w:val="000000" w:themeColor="text1"/>
          <w:sz w:val="20"/>
          <w:szCs w:val="20"/>
        </w:rPr>
        <w:t>Mycology</w:t>
      </w:r>
      <w:r w:rsidRPr="00DB52D1">
        <w:rPr>
          <w:rFonts w:ascii="Arial" w:hAnsi="Arial" w:cs="Arial"/>
          <w:color w:val="000000" w:themeColor="text1"/>
          <w:sz w:val="20"/>
          <w:szCs w:val="20"/>
        </w:rPr>
        <w:t xml:space="preserve">, </w:t>
      </w:r>
      <w:r w:rsidRPr="00DB52D1">
        <w:rPr>
          <w:rFonts w:ascii="Arial" w:hAnsi="Arial" w:cs="Arial"/>
          <w:i/>
          <w:iCs/>
          <w:color w:val="000000" w:themeColor="text1"/>
          <w:sz w:val="20"/>
          <w:szCs w:val="20"/>
        </w:rPr>
        <w:t>9</w:t>
      </w:r>
      <w:r w:rsidRPr="00DB52D1">
        <w:rPr>
          <w:rFonts w:ascii="Arial" w:hAnsi="Arial" w:cs="Arial"/>
          <w:color w:val="000000" w:themeColor="text1"/>
          <w:sz w:val="20"/>
          <w:szCs w:val="20"/>
        </w:rPr>
        <w:t>(3), 223–232.</w:t>
      </w:r>
      <w:r w:rsidR="00E24477" w:rsidRPr="00E24477">
        <w:rPr>
          <w:rFonts w:ascii="Arial" w:hAnsi="Arial" w:cs="Arial"/>
          <w:color w:val="000000" w:themeColor="text1"/>
          <w:sz w:val="20"/>
          <w:szCs w:val="20"/>
        </w:rPr>
        <w:t xml:space="preserve">DOI: </w:t>
      </w:r>
      <w:hyperlink r:id="rId37" w:tgtFrame="_blank" w:history="1">
        <w:r w:rsidR="00E24477" w:rsidRPr="00E24477">
          <w:rPr>
            <w:rStyle w:val="Hyperlink"/>
            <w:rFonts w:ascii="Arial" w:hAnsi="Arial" w:cs="Arial"/>
            <w:sz w:val="20"/>
            <w:szCs w:val="20"/>
          </w:rPr>
          <w:t>10.1080/21501203.2018.1477849</w:t>
        </w:r>
      </w:hyperlink>
      <w:r w:rsidRPr="00E24477">
        <w:rPr>
          <w:rFonts w:ascii="Arial" w:hAnsi="Arial" w:cs="Arial"/>
          <w:color w:val="000000" w:themeColor="text1"/>
          <w:sz w:val="20"/>
          <w:szCs w:val="20"/>
        </w:rPr>
        <w:t xml:space="preserve"> </w:t>
      </w:r>
    </w:p>
    <w:p w14:paraId="6B90E481" w14:textId="176B7BE0" w:rsidR="00C115C8" w:rsidRPr="00C115C8" w:rsidRDefault="0071225F" w:rsidP="00C115C8">
      <w:pPr>
        <w:spacing w:after="120"/>
        <w:ind w:left="720" w:hanging="720"/>
        <w:jc w:val="both"/>
        <w:rPr>
          <w:rFonts w:ascii="Arial" w:hAnsi="Arial" w:cs="Arial"/>
          <w:color w:val="000000" w:themeColor="text1"/>
          <w:sz w:val="20"/>
          <w:szCs w:val="20"/>
        </w:rPr>
      </w:pPr>
      <w:r w:rsidRPr="0071225F">
        <w:rPr>
          <w:rFonts w:ascii="Arial" w:hAnsi="Arial" w:cs="Arial"/>
          <w:color w:val="000000" w:themeColor="text1"/>
          <w:sz w:val="20"/>
          <w:szCs w:val="20"/>
        </w:rPr>
        <w:t xml:space="preserve">Liu, Y., Zhang, N., Qiu, M., Feng, H., Vivanco, J. M., Shen, Q., &amp; Zhang, R. (2014). Enhanced rhizosphere colonization of beneficial </w:t>
      </w:r>
      <w:r w:rsidRPr="0071225F">
        <w:rPr>
          <w:rFonts w:ascii="Arial" w:hAnsi="Arial" w:cs="Arial"/>
          <w:i/>
          <w:iCs/>
          <w:color w:val="000000" w:themeColor="text1"/>
          <w:sz w:val="20"/>
          <w:szCs w:val="20"/>
        </w:rPr>
        <w:t xml:space="preserve">Bacillus </w:t>
      </w:r>
      <w:proofErr w:type="spellStart"/>
      <w:r w:rsidRPr="0071225F">
        <w:rPr>
          <w:rFonts w:ascii="Arial" w:hAnsi="Arial" w:cs="Arial"/>
          <w:i/>
          <w:iCs/>
          <w:color w:val="000000" w:themeColor="text1"/>
          <w:sz w:val="20"/>
          <w:szCs w:val="20"/>
        </w:rPr>
        <w:t>amyloliquefaciens</w:t>
      </w:r>
      <w:proofErr w:type="spellEnd"/>
      <w:r w:rsidRPr="0071225F">
        <w:rPr>
          <w:rFonts w:ascii="Arial" w:hAnsi="Arial" w:cs="Arial"/>
          <w:color w:val="000000" w:themeColor="text1"/>
          <w:sz w:val="20"/>
          <w:szCs w:val="20"/>
        </w:rPr>
        <w:t xml:space="preserve"> SQR9 by pathogen infection. </w:t>
      </w:r>
      <w:r w:rsidRPr="0071225F">
        <w:rPr>
          <w:rFonts w:ascii="Arial" w:hAnsi="Arial" w:cs="Arial"/>
          <w:i/>
          <w:iCs/>
          <w:color w:val="000000" w:themeColor="text1"/>
          <w:sz w:val="20"/>
          <w:szCs w:val="20"/>
        </w:rPr>
        <w:t>FEMS Microbiology Letters</w:t>
      </w:r>
      <w:r w:rsidRPr="0071225F">
        <w:rPr>
          <w:rFonts w:ascii="Arial" w:hAnsi="Arial" w:cs="Arial"/>
          <w:color w:val="000000" w:themeColor="text1"/>
          <w:sz w:val="20"/>
          <w:szCs w:val="20"/>
        </w:rPr>
        <w:t xml:space="preserve">, </w:t>
      </w:r>
      <w:r w:rsidRPr="0071225F">
        <w:rPr>
          <w:rFonts w:ascii="Arial" w:hAnsi="Arial" w:cs="Arial"/>
          <w:i/>
          <w:iCs/>
          <w:color w:val="000000" w:themeColor="text1"/>
          <w:sz w:val="20"/>
          <w:szCs w:val="20"/>
        </w:rPr>
        <w:t>353</w:t>
      </w:r>
      <w:r w:rsidRPr="0071225F">
        <w:rPr>
          <w:rFonts w:ascii="Arial" w:hAnsi="Arial" w:cs="Arial"/>
          <w:color w:val="000000" w:themeColor="text1"/>
          <w:sz w:val="20"/>
          <w:szCs w:val="20"/>
        </w:rPr>
        <w:t>(1), 49–56.</w:t>
      </w:r>
      <w:r w:rsidR="00C115C8" w:rsidRPr="00C115C8">
        <w:rPr>
          <w:rFonts w:ascii="Arial" w:hAnsi="Arial" w:cs="Arial"/>
          <w:color w:val="000000" w:themeColor="text1"/>
          <w:sz w:val="20"/>
          <w:szCs w:val="20"/>
        </w:rPr>
        <w:t xml:space="preserve"> DOI: </w:t>
      </w:r>
      <w:hyperlink r:id="rId38" w:tgtFrame="_blank" w:history="1">
        <w:r w:rsidR="00C115C8" w:rsidRPr="00C115C8">
          <w:rPr>
            <w:rStyle w:val="Hyperlink"/>
            <w:rFonts w:ascii="Arial" w:hAnsi="Arial" w:cs="Arial"/>
            <w:sz w:val="20"/>
            <w:szCs w:val="20"/>
          </w:rPr>
          <w:t>10.1111/1574-6968.12406</w:t>
        </w:r>
      </w:hyperlink>
    </w:p>
    <w:p w14:paraId="6204DF7B" w14:textId="71A9FA78" w:rsidR="002F416F" w:rsidRDefault="002F416F" w:rsidP="008D190D">
      <w:pPr>
        <w:spacing w:after="120"/>
        <w:ind w:left="720" w:hanging="720"/>
        <w:jc w:val="both"/>
        <w:rPr>
          <w:rFonts w:ascii="Arial" w:hAnsi="Arial" w:cs="Arial"/>
          <w:color w:val="000000" w:themeColor="text1"/>
          <w:sz w:val="20"/>
          <w:szCs w:val="20"/>
        </w:rPr>
      </w:pPr>
      <w:r w:rsidRPr="002F416F">
        <w:rPr>
          <w:rFonts w:ascii="Arial" w:hAnsi="Arial" w:cs="Arial"/>
          <w:color w:val="000000" w:themeColor="text1"/>
          <w:sz w:val="20"/>
          <w:szCs w:val="20"/>
        </w:rPr>
        <w:t xml:space="preserve">Mendes, L., Raaijmakers, J., de Hollander, M., &amp; et al. (2018). Influence of resistance breeding in common bean on rhizosphere microbiome composition and function. </w:t>
      </w:r>
      <w:r w:rsidRPr="002F416F">
        <w:rPr>
          <w:rFonts w:ascii="Arial" w:hAnsi="Arial" w:cs="Arial"/>
          <w:i/>
          <w:iCs/>
          <w:color w:val="000000" w:themeColor="text1"/>
          <w:sz w:val="20"/>
          <w:szCs w:val="20"/>
        </w:rPr>
        <w:t>The ISME Journal</w:t>
      </w:r>
      <w:r w:rsidRPr="002F416F">
        <w:rPr>
          <w:rFonts w:ascii="Arial" w:hAnsi="Arial" w:cs="Arial"/>
          <w:color w:val="000000" w:themeColor="text1"/>
          <w:sz w:val="20"/>
          <w:szCs w:val="20"/>
        </w:rPr>
        <w:t xml:space="preserve">, </w:t>
      </w:r>
      <w:r w:rsidRPr="002F416F">
        <w:rPr>
          <w:rFonts w:ascii="Arial" w:hAnsi="Arial" w:cs="Arial"/>
          <w:i/>
          <w:iCs/>
          <w:color w:val="000000" w:themeColor="text1"/>
          <w:sz w:val="20"/>
          <w:szCs w:val="20"/>
        </w:rPr>
        <w:t>12</w:t>
      </w:r>
      <w:r w:rsidRPr="002F416F">
        <w:rPr>
          <w:rFonts w:ascii="Arial" w:hAnsi="Arial" w:cs="Arial"/>
          <w:color w:val="000000" w:themeColor="text1"/>
          <w:sz w:val="20"/>
          <w:szCs w:val="20"/>
        </w:rPr>
        <w:t xml:space="preserve">(1), 212–224. </w:t>
      </w:r>
      <w:hyperlink r:id="rId39" w:history="1">
        <w:r w:rsidR="00422AA7" w:rsidRPr="00422AA7">
          <w:rPr>
            <w:rStyle w:val="Hyperlink"/>
            <w:rFonts w:ascii="Arial" w:hAnsi="Arial" w:cs="Arial"/>
            <w:sz w:val="20"/>
            <w:szCs w:val="20"/>
          </w:rPr>
          <w:t>https://doi.org/10.1038/ismej.2017.158</w:t>
        </w:r>
      </w:hyperlink>
    </w:p>
    <w:p w14:paraId="0C344FC3" w14:textId="77777777" w:rsidR="00745B41" w:rsidRDefault="00745B41" w:rsidP="008D190D">
      <w:pPr>
        <w:spacing w:after="120"/>
        <w:ind w:left="720" w:hanging="720"/>
        <w:jc w:val="both"/>
        <w:rPr>
          <w:rFonts w:ascii="Arial" w:hAnsi="Arial" w:cs="Arial"/>
          <w:color w:val="000000" w:themeColor="text1"/>
          <w:sz w:val="20"/>
          <w:szCs w:val="20"/>
        </w:rPr>
      </w:pPr>
      <w:r w:rsidRPr="00745B41">
        <w:rPr>
          <w:rFonts w:ascii="Arial" w:hAnsi="Arial" w:cs="Arial"/>
          <w:color w:val="000000" w:themeColor="text1"/>
          <w:sz w:val="20"/>
          <w:szCs w:val="20"/>
        </w:rPr>
        <w:t xml:space="preserve">Mendes, R., </w:t>
      </w:r>
      <w:proofErr w:type="spellStart"/>
      <w:r w:rsidRPr="00745B41">
        <w:rPr>
          <w:rFonts w:ascii="Arial" w:hAnsi="Arial" w:cs="Arial"/>
          <w:color w:val="000000" w:themeColor="text1"/>
          <w:sz w:val="20"/>
          <w:szCs w:val="20"/>
        </w:rPr>
        <w:t>Kruijt</w:t>
      </w:r>
      <w:proofErr w:type="spellEnd"/>
      <w:r w:rsidRPr="00745B41">
        <w:rPr>
          <w:rFonts w:ascii="Arial" w:hAnsi="Arial" w:cs="Arial"/>
          <w:color w:val="000000" w:themeColor="text1"/>
          <w:sz w:val="20"/>
          <w:szCs w:val="20"/>
        </w:rPr>
        <w:t xml:space="preserve">, M., de Bruijn, I., Dekkers, E., van der Voort, M., Schneider, J. H., et al. (2011). Deciphering the rhizosphere microbiome for disease-suppressive bacteria. </w:t>
      </w:r>
      <w:r w:rsidRPr="00745B41">
        <w:rPr>
          <w:rFonts w:ascii="Arial" w:hAnsi="Arial" w:cs="Arial"/>
          <w:i/>
          <w:iCs/>
          <w:color w:val="000000" w:themeColor="text1"/>
          <w:sz w:val="20"/>
          <w:szCs w:val="20"/>
        </w:rPr>
        <w:t>Science</w:t>
      </w:r>
      <w:r w:rsidRPr="00745B41">
        <w:rPr>
          <w:rFonts w:ascii="Arial" w:hAnsi="Arial" w:cs="Arial"/>
          <w:color w:val="000000" w:themeColor="text1"/>
          <w:sz w:val="20"/>
          <w:szCs w:val="20"/>
        </w:rPr>
        <w:t xml:space="preserve">, </w:t>
      </w:r>
      <w:r w:rsidRPr="00745B41">
        <w:rPr>
          <w:rFonts w:ascii="Arial" w:hAnsi="Arial" w:cs="Arial"/>
          <w:i/>
          <w:iCs/>
          <w:color w:val="000000" w:themeColor="text1"/>
          <w:sz w:val="20"/>
          <w:szCs w:val="20"/>
        </w:rPr>
        <w:t>332</w:t>
      </w:r>
      <w:r w:rsidRPr="00745B41">
        <w:rPr>
          <w:rFonts w:ascii="Arial" w:hAnsi="Arial" w:cs="Arial"/>
          <w:color w:val="000000" w:themeColor="text1"/>
          <w:sz w:val="20"/>
          <w:szCs w:val="20"/>
        </w:rPr>
        <w:t xml:space="preserve">(6033), 1097–1100. </w:t>
      </w:r>
      <w:hyperlink r:id="rId40" w:tgtFrame="_blank" w:history="1">
        <w:r w:rsidRPr="00745B41">
          <w:rPr>
            <w:rStyle w:val="Hyperlink"/>
            <w:rFonts w:ascii="Arial" w:hAnsi="Arial" w:cs="Arial"/>
            <w:sz w:val="20"/>
            <w:szCs w:val="20"/>
          </w:rPr>
          <w:t>https://doi.org/10.1126/science.1203980</w:t>
        </w:r>
      </w:hyperlink>
    </w:p>
    <w:p w14:paraId="4FC27C52" w14:textId="77777777" w:rsidR="00602B00" w:rsidRDefault="00EC7D5B" w:rsidP="00602B00">
      <w:pPr>
        <w:spacing w:after="120"/>
        <w:ind w:left="720" w:hanging="720"/>
        <w:jc w:val="both"/>
        <w:rPr>
          <w:rFonts w:ascii="Arial" w:hAnsi="Arial" w:cs="Arial"/>
          <w:color w:val="000000" w:themeColor="text1"/>
          <w:sz w:val="20"/>
          <w:szCs w:val="20"/>
        </w:rPr>
      </w:pPr>
      <w:r w:rsidRPr="00EC7D5B">
        <w:rPr>
          <w:rFonts w:ascii="Arial" w:hAnsi="Arial" w:cs="Arial"/>
          <w:color w:val="000000" w:themeColor="text1"/>
          <w:sz w:val="20"/>
          <w:szCs w:val="20"/>
        </w:rPr>
        <w:t xml:space="preserve">Minchev, Z., Kostenko, O., Soler, R., &amp; Pozo, M. J. (2021). Microbial consortia for effective biocontrol of root and foliar diseases in tomato. </w:t>
      </w:r>
      <w:r w:rsidRPr="00EC7D5B">
        <w:rPr>
          <w:rFonts w:ascii="Arial" w:hAnsi="Arial" w:cs="Arial"/>
          <w:i/>
          <w:iCs/>
          <w:color w:val="000000" w:themeColor="text1"/>
          <w:sz w:val="20"/>
          <w:szCs w:val="20"/>
        </w:rPr>
        <w:t>Frontiers in Plant Science</w:t>
      </w:r>
      <w:r w:rsidRPr="00EC7D5B">
        <w:rPr>
          <w:rFonts w:ascii="Arial" w:hAnsi="Arial" w:cs="Arial"/>
          <w:color w:val="000000" w:themeColor="text1"/>
          <w:sz w:val="20"/>
          <w:szCs w:val="20"/>
        </w:rPr>
        <w:t xml:space="preserve">, </w:t>
      </w:r>
      <w:r w:rsidRPr="00EC7D5B">
        <w:rPr>
          <w:rFonts w:ascii="Arial" w:hAnsi="Arial" w:cs="Arial"/>
          <w:i/>
          <w:iCs/>
          <w:color w:val="000000" w:themeColor="text1"/>
          <w:sz w:val="20"/>
          <w:szCs w:val="20"/>
        </w:rPr>
        <w:t>12</w:t>
      </w:r>
      <w:r w:rsidRPr="00EC7D5B">
        <w:rPr>
          <w:rFonts w:ascii="Arial" w:hAnsi="Arial" w:cs="Arial"/>
          <w:color w:val="000000" w:themeColor="text1"/>
          <w:sz w:val="20"/>
          <w:szCs w:val="20"/>
        </w:rPr>
        <w:t xml:space="preserve">, Article 756368. </w:t>
      </w:r>
      <w:hyperlink r:id="rId41" w:history="1">
        <w:r w:rsidR="00000A77" w:rsidRPr="00000A77">
          <w:rPr>
            <w:rStyle w:val="Hyperlink"/>
            <w:rFonts w:ascii="Arial" w:hAnsi="Arial" w:cs="Arial"/>
            <w:sz w:val="20"/>
            <w:szCs w:val="20"/>
          </w:rPr>
          <w:t>https://doi.org/10.3389/fpls.2021.756368</w:t>
        </w:r>
      </w:hyperlink>
    </w:p>
    <w:p w14:paraId="1F78108E" w14:textId="1F4907F1" w:rsidR="00E326E5" w:rsidRPr="00602B00" w:rsidRDefault="00E326E5" w:rsidP="00602B00">
      <w:pPr>
        <w:spacing w:after="120"/>
        <w:ind w:left="720" w:hanging="720"/>
        <w:jc w:val="both"/>
        <w:rPr>
          <w:rFonts w:ascii="Arial" w:hAnsi="Arial" w:cs="Arial"/>
          <w:color w:val="000000" w:themeColor="text1"/>
          <w:sz w:val="20"/>
          <w:szCs w:val="20"/>
        </w:rPr>
      </w:pPr>
      <w:r w:rsidRPr="00E326E5">
        <w:rPr>
          <w:rFonts w:ascii="Arial" w:hAnsi="Arial" w:cs="Arial"/>
          <w:color w:val="000000" w:themeColor="text1"/>
          <w:sz w:val="20"/>
          <w:szCs w:val="20"/>
        </w:rPr>
        <w:t xml:space="preserve">Neal, A. L., Ahmad, S., Gordon-Weeks, R., &amp; Ton, J. (2012). Benzoxazinoids in root exudates of maize attract </w:t>
      </w:r>
      <w:r w:rsidRPr="00E326E5">
        <w:rPr>
          <w:rFonts w:ascii="Arial" w:hAnsi="Arial" w:cs="Arial"/>
          <w:i/>
          <w:iCs/>
          <w:color w:val="000000" w:themeColor="text1"/>
          <w:sz w:val="20"/>
          <w:szCs w:val="20"/>
        </w:rPr>
        <w:t>Pseudomonas putida</w:t>
      </w:r>
      <w:r w:rsidRPr="00E326E5">
        <w:rPr>
          <w:rFonts w:ascii="Arial" w:hAnsi="Arial" w:cs="Arial"/>
          <w:color w:val="000000" w:themeColor="text1"/>
          <w:sz w:val="20"/>
          <w:szCs w:val="20"/>
        </w:rPr>
        <w:t xml:space="preserve"> to the rhizosphere. </w:t>
      </w:r>
      <w:proofErr w:type="spellStart"/>
      <w:r w:rsidRPr="00E326E5">
        <w:rPr>
          <w:rFonts w:ascii="Arial" w:hAnsi="Arial" w:cs="Arial"/>
          <w:i/>
          <w:iCs/>
          <w:color w:val="000000" w:themeColor="text1"/>
          <w:sz w:val="20"/>
          <w:szCs w:val="20"/>
        </w:rPr>
        <w:t>PLoS</w:t>
      </w:r>
      <w:proofErr w:type="spellEnd"/>
      <w:r w:rsidRPr="00E326E5">
        <w:rPr>
          <w:rFonts w:ascii="Arial" w:hAnsi="Arial" w:cs="Arial"/>
          <w:i/>
          <w:iCs/>
          <w:color w:val="000000" w:themeColor="text1"/>
          <w:sz w:val="20"/>
          <w:szCs w:val="20"/>
        </w:rPr>
        <w:t xml:space="preserve"> ONE</w:t>
      </w:r>
      <w:r w:rsidRPr="00E326E5">
        <w:rPr>
          <w:rFonts w:ascii="Arial" w:hAnsi="Arial" w:cs="Arial"/>
          <w:color w:val="000000" w:themeColor="text1"/>
          <w:sz w:val="20"/>
          <w:szCs w:val="20"/>
        </w:rPr>
        <w:t xml:space="preserve">, </w:t>
      </w:r>
      <w:r w:rsidRPr="00E326E5">
        <w:rPr>
          <w:rFonts w:ascii="Arial" w:hAnsi="Arial" w:cs="Arial"/>
          <w:i/>
          <w:iCs/>
          <w:color w:val="000000" w:themeColor="text1"/>
          <w:sz w:val="20"/>
          <w:szCs w:val="20"/>
        </w:rPr>
        <w:t>7</w:t>
      </w:r>
      <w:r w:rsidRPr="00E326E5">
        <w:rPr>
          <w:rFonts w:ascii="Arial" w:hAnsi="Arial" w:cs="Arial"/>
          <w:color w:val="000000" w:themeColor="text1"/>
          <w:sz w:val="20"/>
          <w:szCs w:val="20"/>
        </w:rPr>
        <w:t xml:space="preserve">(4), Article e35498. </w:t>
      </w:r>
      <w:hyperlink r:id="rId42" w:history="1">
        <w:r w:rsidR="00602B00" w:rsidRPr="00602B00">
          <w:rPr>
            <w:rStyle w:val="Hyperlink"/>
            <w:rFonts w:ascii="Arial" w:hAnsi="Arial" w:cs="Arial"/>
            <w:sz w:val="20"/>
            <w:szCs w:val="20"/>
          </w:rPr>
          <w:t>https://doi.org/10.1371/journal.pone.0035498</w:t>
        </w:r>
      </w:hyperlink>
    </w:p>
    <w:p w14:paraId="5FF3EA38" w14:textId="77777777" w:rsidR="00DF0403" w:rsidRDefault="00DF0403" w:rsidP="008D190D">
      <w:pPr>
        <w:spacing w:after="120"/>
        <w:ind w:left="720" w:hanging="720"/>
        <w:jc w:val="both"/>
        <w:rPr>
          <w:rFonts w:ascii="Arial" w:hAnsi="Arial" w:cs="Arial"/>
          <w:color w:val="000000" w:themeColor="text1"/>
          <w:sz w:val="20"/>
          <w:szCs w:val="20"/>
        </w:rPr>
      </w:pPr>
      <w:proofErr w:type="spellStart"/>
      <w:r w:rsidRPr="00DF0403">
        <w:rPr>
          <w:rFonts w:ascii="Arial" w:hAnsi="Arial" w:cs="Arial"/>
          <w:color w:val="000000" w:themeColor="text1"/>
          <w:sz w:val="20"/>
          <w:szCs w:val="20"/>
        </w:rPr>
        <w:t>Ngomle</w:t>
      </w:r>
      <w:proofErr w:type="spellEnd"/>
      <w:r w:rsidRPr="00DF0403">
        <w:rPr>
          <w:rFonts w:ascii="Arial" w:hAnsi="Arial" w:cs="Arial"/>
          <w:color w:val="000000" w:themeColor="text1"/>
          <w:sz w:val="20"/>
          <w:szCs w:val="20"/>
        </w:rPr>
        <w:t xml:space="preserve">, S., Haokip, S. W., Singh, Y. D., Sheikh, K. A., Singh, S. R., &amp; </w:t>
      </w:r>
      <w:proofErr w:type="spellStart"/>
      <w:r w:rsidRPr="00DF0403">
        <w:rPr>
          <w:rFonts w:ascii="Arial" w:hAnsi="Arial" w:cs="Arial"/>
          <w:color w:val="000000" w:themeColor="text1"/>
          <w:sz w:val="20"/>
          <w:szCs w:val="20"/>
        </w:rPr>
        <w:t>Katare</w:t>
      </w:r>
      <w:proofErr w:type="spellEnd"/>
      <w:r w:rsidRPr="00DF0403">
        <w:rPr>
          <w:rFonts w:ascii="Arial" w:hAnsi="Arial" w:cs="Arial"/>
          <w:color w:val="000000" w:themeColor="text1"/>
          <w:sz w:val="20"/>
          <w:szCs w:val="20"/>
        </w:rPr>
        <w:t xml:space="preserve">, M. B. (2025). Omics approaches in plant disease management: An insightful review. </w:t>
      </w:r>
      <w:r w:rsidRPr="00DF0403">
        <w:rPr>
          <w:rFonts w:ascii="Arial" w:hAnsi="Arial" w:cs="Arial"/>
          <w:i/>
          <w:iCs/>
          <w:color w:val="000000" w:themeColor="text1"/>
          <w:sz w:val="20"/>
          <w:szCs w:val="20"/>
        </w:rPr>
        <w:t>Physiological and Molecular Plant Pathology</w:t>
      </w:r>
      <w:r w:rsidRPr="00DF0403">
        <w:rPr>
          <w:rFonts w:ascii="Arial" w:hAnsi="Arial" w:cs="Arial"/>
          <w:color w:val="000000" w:themeColor="text1"/>
          <w:sz w:val="20"/>
          <w:szCs w:val="20"/>
        </w:rPr>
        <w:t xml:space="preserve">, </w:t>
      </w:r>
      <w:r w:rsidRPr="00DF0403">
        <w:rPr>
          <w:rFonts w:ascii="Arial" w:hAnsi="Arial" w:cs="Arial"/>
          <w:i/>
          <w:iCs/>
          <w:color w:val="000000" w:themeColor="text1"/>
          <w:sz w:val="20"/>
          <w:szCs w:val="20"/>
        </w:rPr>
        <w:t>140</w:t>
      </w:r>
      <w:r w:rsidRPr="00DF0403">
        <w:rPr>
          <w:rFonts w:ascii="Arial" w:hAnsi="Arial" w:cs="Arial"/>
          <w:color w:val="000000" w:themeColor="text1"/>
          <w:sz w:val="20"/>
          <w:szCs w:val="20"/>
        </w:rPr>
        <w:t xml:space="preserve">, Article 102916. </w:t>
      </w:r>
      <w:hyperlink r:id="rId43" w:tgtFrame="_blank" w:history="1">
        <w:r w:rsidRPr="00DF0403">
          <w:rPr>
            <w:rStyle w:val="Hyperlink"/>
            <w:rFonts w:ascii="Arial" w:hAnsi="Arial" w:cs="Arial"/>
            <w:sz w:val="20"/>
            <w:szCs w:val="20"/>
          </w:rPr>
          <w:t>https://doi.org/10.1016/j.pmpp.2025.102916</w:t>
        </w:r>
      </w:hyperlink>
    </w:p>
    <w:p w14:paraId="5CF10016" w14:textId="692A4F1C" w:rsidR="006F5430" w:rsidRDefault="006F5430" w:rsidP="008D190D">
      <w:pPr>
        <w:spacing w:after="120"/>
        <w:ind w:left="720" w:hanging="720"/>
        <w:jc w:val="both"/>
        <w:rPr>
          <w:rFonts w:ascii="Arial" w:hAnsi="Arial" w:cs="Arial"/>
          <w:color w:val="000000" w:themeColor="text1"/>
          <w:sz w:val="20"/>
          <w:szCs w:val="20"/>
        </w:rPr>
      </w:pPr>
      <w:r w:rsidRPr="006F5430">
        <w:rPr>
          <w:rFonts w:ascii="Arial" w:hAnsi="Arial" w:cs="Arial"/>
          <w:color w:val="000000" w:themeColor="text1"/>
          <w:sz w:val="20"/>
          <w:szCs w:val="20"/>
        </w:rPr>
        <w:t xml:space="preserve">Niehus, R., Picot, A., Oliveira, N. M., Mitri, S., &amp; Foster, K. R. (2017). The evolution of siderophore production as a competitive trait. </w:t>
      </w:r>
      <w:r w:rsidRPr="006F5430">
        <w:rPr>
          <w:rFonts w:ascii="Arial" w:hAnsi="Arial" w:cs="Arial"/>
          <w:i/>
          <w:iCs/>
          <w:color w:val="000000" w:themeColor="text1"/>
          <w:sz w:val="20"/>
          <w:szCs w:val="20"/>
        </w:rPr>
        <w:t>Evolution</w:t>
      </w:r>
      <w:r w:rsidRPr="006F5430">
        <w:rPr>
          <w:rFonts w:ascii="Arial" w:hAnsi="Arial" w:cs="Arial"/>
          <w:color w:val="000000" w:themeColor="text1"/>
          <w:sz w:val="20"/>
          <w:szCs w:val="20"/>
        </w:rPr>
        <w:t xml:space="preserve">, </w:t>
      </w:r>
      <w:r w:rsidRPr="006F5430">
        <w:rPr>
          <w:rFonts w:ascii="Arial" w:hAnsi="Arial" w:cs="Arial"/>
          <w:i/>
          <w:iCs/>
          <w:color w:val="000000" w:themeColor="text1"/>
          <w:sz w:val="20"/>
          <w:szCs w:val="20"/>
        </w:rPr>
        <w:t>71</w:t>
      </w:r>
      <w:r w:rsidRPr="006F5430">
        <w:rPr>
          <w:rFonts w:ascii="Arial" w:hAnsi="Arial" w:cs="Arial"/>
          <w:color w:val="000000" w:themeColor="text1"/>
          <w:sz w:val="20"/>
          <w:szCs w:val="20"/>
        </w:rPr>
        <w:t>(6), 1443–1455.</w:t>
      </w:r>
      <w:hyperlink r:id="rId44" w:tgtFrame="_blank" w:tooltip="Link to external resource" w:history="1">
        <w:r w:rsidR="002E6878" w:rsidRPr="002E6878">
          <w:rPr>
            <w:rStyle w:val="Hyperlink"/>
            <w:rFonts w:ascii="Arial" w:hAnsi="Arial" w:cs="Arial"/>
            <w:sz w:val="20"/>
            <w:szCs w:val="20"/>
          </w:rPr>
          <w:t>https://doi.org/10.1111/evo.13263</w:t>
        </w:r>
      </w:hyperlink>
      <w:r w:rsidR="002E6878" w:rsidRPr="002E6878">
        <w:rPr>
          <w:rFonts w:ascii="Arial" w:hAnsi="Arial" w:cs="Arial"/>
          <w:color w:val="000000" w:themeColor="text1"/>
          <w:sz w:val="20"/>
          <w:szCs w:val="20"/>
        </w:rPr>
        <w:t>.</w:t>
      </w:r>
    </w:p>
    <w:p w14:paraId="3B6157B9" w14:textId="77777777" w:rsidR="00FA39BC" w:rsidRPr="00FA39BC" w:rsidRDefault="00FA39BC" w:rsidP="00FA39BC">
      <w:pPr>
        <w:spacing w:after="120"/>
        <w:ind w:left="720" w:hanging="720"/>
        <w:jc w:val="both"/>
        <w:rPr>
          <w:rFonts w:ascii="Arial" w:hAnsi="Arial" w:cs="Arial"/>
          <w:color w:val="000000" w:themeColor="text1"/>
          <w:sz w:val="20"/>
          <w:szCs w:val="20"/>
        </w:rPr>
      </w:pPr>
      <w:proofErr w:type="spellStart"/>
      <w:r w:rsidRPr="00FA39BC">
        <w:rPr>
          <w:rFonts w:ascii="Arial" w:hAnsi="Arial" w:cs="Arial"/>
          <w:color w:val="000000" w:themeColor="text1"/>
          <w:sz w:val="20"/>
          <w:szCs w:val="20"/>
        </w:rPr>
        <w:t>Nobori</w:t>
      </w:r>
      <w:proofErr w:type="spellEnd"/>
      <w:r w:rsidRPr="00FA39BC">
        <w:rPr>
          <w:rFonts w:ascii="Arial" w:hAnsi="Arial" w:cs="Arial"/>
          <w:color w:val="000000" w:themeColor="text1"/>
          <w:sz w:val="20"/>
          <w:szCs w:val="20"/>
        </w:rPr>
        <w:t xml:space="preserve">, T., Cao, Y., </w:t>
      </w:r>
      <w:proofErr w:type="spellStart"/>
      <w:r w:rsidRPr="00FA39BC">
        <w:rPr>
          <w:rFonts w:ascii="Arial" w:hAnsi="Arial" w:cs="Arial"/>
          <w:color w:val="000000" w:themeColor="text1"/>
          <w:sz w:val="20"/>
          <w:szCs w:val="20"/>
        </w:rPr>
        <w:t>Entila</w:t>
      </w:r>
      <w:proofErr w:type="spellEnd"/>
      <w:r w:rsidRPr="00FA39BC">
        <w:rPr>
          <w:rFonts w:ascii="Arial" w:hAnsi="Arial" w:cs="Arial"/>
          <w:color w:val="000000" w:themeColor="text1"/>
          <w:sz w:val="20"/>
          <w:szCs w:val="20"/>
        </w:rPr>
        <w:t xml:space="preserve">, F., &amp; Tsuda, K. (2022). Dissecting the </w:t>
      </w:r>
      <w:proofErr w:type="spellStart"/>
      <w:r w:rsidRPr="00FA39BC">
        <w:rPr>
          <w:rFonts w:ascii="Arial" w:hAnsi="Arial" w:cs="Arial"/>
          <w:color w:val="000000" w:themeColor="text1"/>
          <w:sz w:val="20"/>
          <w:szCs w:val="20"/>
        </w:rPr>
        <w:t>cotranscriptome</w:t>
      </w:r>
      <w:proofErr w:type="spellEnd"/>
      <w:r w:rsidRPr="00FA39BC">
        <w:rPr>
          <w:rFonts w:ascii="Arial" w:hAnsi="Arial" w:cs="Arial"/>
          <w:color w:val="000000" w:themeColor="text1"/>
          <w:sz w:val="20"/>
          <w:szCs w:val="20"/>
        </w:rPr>
        <w:t xml:space="preserve"> landscape of plants and their microbiota. </w:t>
      </w:r>
      <w:r w:rsidRPr="00FA39BC">
        <w:rPr>
          <w:rFonts w:ascii="Arial" w:hAnsi="Arial" w:cs="Arial"/>
          <w:i/>
          <w:iCs/>
          <w:color w:val="000000" w:themeColor="text1"/>
          <w:sz w:val="20"/>
          <w:szCs w:val="20"/>
        </w:rPr>
        <w:t>EMBO Reports</w:t>
      </w:r>
      <w:r w:rsidRPr="00FA39BC">
        <w:rPr>
          <w:rFonts w:ascii="Arial" w:hAnsi="Arial" w:cs="Arial"/>
          <w:color w:val="000000" w:themeColor="text1"/>
          <w:sz w:val="20"/>
          <w:szCs w:val="20"/>
        </w:rPr>
        <w:t xml:space="preserve">, </w:t>
      </w:r>
      <w:r w:rsidRPr="00FA39BC">
        <w:rPr>
          <w:rFonts w:ascii="Arial" w:hAnsi="Arial" w:cs="Arial"/>
          <w:i/>
          <w:iCs/>
          <w:color w:val="000000" w:themeColor="text1"/>
          <w:sz w:val="20"/>
          <w:szCs w:val="20"/>
        </w:rPr>
        <w:t>23</w:t>
      </w:r>
      <w:r w:rsidRPr="00FA39BC">
        <w:rPr>
          <w:rFonts w:ascii="Arial" w:hAnsi="Arial" w:cs="Arial"/>
          <w:color w:val="000000" w:themeColor="text1"/>
          <w:sz w:val="20"/>
          <w:szCs w:val="20"/>
        </w:rPr>
        <w:t xml:space="preserve">(10), Article e55380. </w:t>
      </w:r>
      <w:hyperlink r:id="rId45" w:tgtFrame="_blank" w:history="1">
        <w:r w:rsidRPr="00FA39BC">
          <w:rPr>
            <w:rStyle w:val="Hyperlink"/>
            <w:rFonts w:ascii="Arial" w:hAnsi="Arial" w:cs="Arial"/>
            <w:sz w:val="20"/>
            <w:szCs w:val="20"/>
          </w:rPr>
          <w:t>https://doi.org/10.15252/embr.202255380</w:t>
        </w:r>
      </w:hyperlink>
    </w:p>
    <w:p w14:paraId="63B8CBFA" w14:textId="77777777" w:rsidR="004B68A9" w:rsidRPr="004B68A9" w:rsidRDefault="004B68A9" w:rsidP="004B68A9">
      <w:pPr>
        <w:spacing w:after="120"/>
        <w:ind w:left="720" w:hanging="720"/>
        <w:jc w:val="both"/>
        <w:rPr>
          <w:rFonts w:ascii="Arial" w:hAnsi="Arial" w:cs="Arial"/>
          <w:color w:val="000000" w:themeColor="text1"/>
          <w:sz w:val="20"/>
          <w:szCs w:val="20"/>
        </w:rPr>
      </w:pPr>
      <w:r w:rsidRPr="004B68A9">
        <w:rPr>
          <w:rFonts w:ascii="Arial" w:hAnsi="Arial" w:cs="Arial"/>
          <w:color w:val="000000" w:themeColor="text1"/>
          <w:sz w:val="20"/>
          <w:szCs w:val="20"/>
        </w:rPr>
        <w:t xml:space="preserve">Noman, M., Ahmed, T., Ijaz, U., Shahid, M., Azizullah, Li, D., Manzoor, I., &amp; Song, F. (2021). Plant-microbiome crosstalk: Dawning from composition and assembly of microbial community to improvement of disease resilience in plants. </w:t>
      </w:r>
      <w:r w:rsidRPr="004B68A9">
        <w:rPr>
          <w:rFonts w:ascii="Arial" w:hAnsi="Arial" w:cs="Arial"/>
          <w:i/>
          <w:iCs/>
          <w:color w:val="000000" w:themeColor="text1"/>
          <w:sz w:val="20"/>
          <w:szCs w:val="20"/>
        </w:rPr>
        <w:t>International Journal of Molecular Sciences</w:t>
      </w:r>
      <w:r w:rsidRPr="004B68A9">
        <w:rPr>
          <w:rFonts w:ascii="Arial" w:hAnsi="Arial" w:cs="Arial"/>
          <w:color w:val="000000" w:themeColor="text1"/>
          <w:sz w:val="20"/>
          <w:szCs w:val="20"/>
        </w:rPr>
        <w:t xml:space="preserve">, </w:t>
      </w:r>
      <w:r w:rsidRPr="004B68A9">
        <w:rPr>
          <w:rFonts w:ascii="Arial" w:hAnsi="Arial" w:cs="Arial"/>
          <w:i/>
          <w:iCs/>
          <w:color w:val="000000" w:themeColor="text1"/>
          <w:sz w:val="20"/>
          <w:szCs w:val="20"/>
        </w:rPr>
        <w:t>22</w:t>
      </w:r>
      <w:r w:rsidRPr="004B68A9">
        <w:rPr>
          <w:rFonts w:ascii="Arial" w:hAnsi="Arial" w:cs="Arial"/>
          <w:color w:val="000000" w:themeColor="text1"/>
          <w:sz w:val="20"/>
          <w:szCs w:val="20"/>
        </w:rPr>
        <w:t xml:space="preserve">(13), Article 6852. </w:t>
      </w:r>
      <w:hyperlink r:id="rId46" w:tgtFrame="_blank" w:history="1">
        <w:r w:rsidRPr="004B68A9">
          <w:rPr>
            <w:rStyle w:val="Hyperlink"/>
            <w:rFonts w:ascii="Arial" w:hAnsi="Arial" w:cs="Arial"/>
            <w:sz w:val="20"/>
            <w:szCs w:val="20"/>
          </w:rPr>
          <w:t>https://doi.org/10.3390/ijms22136852</w:t>
        </w:r>
      </w:hyperlink>
    </w:p>
    <w:p w14:paraId="35187C3D" w14:textId="77777777" w:rsidR="000B02C1" w:rsidRPr="000B02C1" w:rsidRDefault="000B02C1" w:rsidP="000B02C1">
      <w:pPr>
        <w:spacing w:after="120"/>
        <w:ind w:left="720" w:hanging="720"/>
        <w:jc w:val="both"/>
        <w:rPr>
          <w:rFonts w:ascii="Arial" w:hAnsi="Arial" w:cs="Arial"/>
          <w:color w:val="000000" w:themeColor="text1"/>
          <w:sz w:val="20"/>
          <w:szCs w:val="20"/>
        </w:rPr>
      </w:pPr>
      <w:r w:rsidRPr="000B02C1">
        <w:rPr>
          <w:rFonts w:ascii="Arial" w:hAnsi="Arial" w:cs="Arial"/>
          <w:color w:val="000000" w:themeColor="text1"/>
          <w:sz w:val="20"/>
          <w:szCs w:val="20"/>
        </w:rPr>
        <w:t xml:space="preserve">Paasch, B. C., Sohrabi, R., Kremer, J. M., &amp; He, S. Y. (2023). A critical role of a </w:t>
      </w:r>
      <w:proofErr w:type="spellStart"/>
      <w:r w:rsidRPr="000B02C1">
        <w:rPr>
          <w:rFonts w:ascii="Arial" w:hAnsi="Arial" w:cs="Arial"/>
          <w:color w:val="000000" w:themeColor="text1"/>
          <w:sz w:val="20"/>
          <w:szCs w:val="20"/>
        </w:rPr>
        <w:t>eubiotic</w:t>
      </w:r>
      <w:proofErr w:type="spellEnd"/>
      <w:r w:rsidRPr="000B02C1">
        <w:rPr>
          <w:rFonts w:ascii="Arial" w:hAnsi="Arial" w:cs="Arial"/>
          <w:color w:val="000000" w:themeColor="text1"/>
          <w:sz w:val="20"/>
          <w:szCs w:val="20"/>
        </w:rPr>
        <w:t xml:space="preserve"> microbiota in gating proper immunocompetence in </w:t>
      </w:r>
      <w:r w:rsidRPr="000B02C1">
        <w:rPr>
          <w:rFonts w:ascii="Arial" w:hAnsi="Arial" w:cs="Arial"/>
          <w:i/>
          <w:iCs/>
          <w:color w:val="000000" w:themeColor="text1"/>
          <w:sz w:val="20"/>
          <w:szCs w:val="20"/>
        </w:rPr>
        <w:t>Arabidopsis</w:t>
      </w:r>
      <w:r w:rsidRPr="000B02C1">
        <w:rPr>
          <w:rFonts w:ascii="Arial" w:hAnsi="Arial" w:cs="Arial"/>
          <w:color w:val="000000" w:themeColor="text1"/>
          <w:sz w:val="20"/>
          <w:szCs w:val="20"/>
        </w:rPr>
        <w:t xml:space="preserve">. </w:t>
      </w:r>
      <w:r w:rsidRPr="000B02C1">
        <w:rPr>
          <w:rFonts w:ascii="Arial" w:hAnsi="Arial" w:cs="Arial"/>
          <w:i/>
          <w:iCs/>
          <w:color w:val="000000" w:themeColor="text1"/>
          <w:sz w:val="20"/>
          <w:szCs w:val="20"/>
        </w:rPr>
        <w:t>Nature Plants</w:t>
      </w:r>
      <w:r w:rsidRPr="000B02C1">
        <w:rPr>
          <w:rFonts w:ascii="Arial" w:hAnsi="Arial" w:cs="Arial"/>
          <w:color w:val="000000" w:themeColor="text1"/>
          <w:sz w:val="20"/>
          <w:szCs w:val="20"/>
        </w:rPr>
        <w:t xml:space="preserve">, </w:t>
      </w:r>
      <w:r w:rsidRPr="000B02C1">
        <w:rPr>
          <w:rFonts w:ascii="Arial" w:hAnsi="Arial" w:cs="Arial"/>
          <w:i/>
          <w:iCs/>
          <w:color w:val="000000" w:themeColor="text1"/>
          <w:sz w:val="20"/>
          <w:szCs w:val="20"/>
        </w:rPr>
        <w:t>9</w:t>
      </w:r>
      <w:r w:rsidRPr="000B02C1">
        <w:rPr>
          <w:rFonts w:ascii="Arial" w:hAnsi="Arial" w:cs="Arial"/>
          <w:color w:val="000000" w:themeColor="text1"/>
          <w:sz w:val="20"/>
          <w:szCs w:val="20"/>
        </w:rPr>
        <w:t xml:space="preserve">(9), 1468–1480. </w:t>
      </w:r>
      <w:hyperlink r:id="rId47" w:tgtFrame="_blank" w:history="1">
        <w:r w:rsidRPr="000B02C1">
          <w:rPr>
            <w:rStyle w:val="Hyperlink"/>
            <w:rFonts w:ascii="Arial" w:hAnsi="Arial" w:cs="Arial"/>
            <w:sz w:val="20"/>
            <w:szCs w:val="20"/>
          </w:rPr>
          <w:t>https://doi.org/10.1038/s41477-023-01501-1</w:t>
        </w:r>
      </w:hyperlink>
    </w:p>
    <w:p w14:paraId="01716E87" w14:textId="77777777" w:rsidR="0035381B" w:rsidRPr="0035381B" w:rsidRDefault="0035381B" w:rsidP="0035381B">
      <w:pPr>
        <w:spacing w:after="120"/>
        <w:ind w:left="720" w:hanging="720"/>
        <w:jc w:val="both"/>
        <w:rPr>
          <w:rFonts w:ascii="Arial" w:hAnsi="Arial" w:cs="Arial"/>
          <w:color w:val="000000" w:themeColor="text1"/>
          <w:sz w:val="20"/>
          <w:szCs w:val="20"/>
        </w:rPr>
      </w:pPr>
      <w:r w:rsidRPr="0035381B">
        <w:rPr>
          <w:rFonts w:ascii="Arial" w:hAnsi="Arial" w:cs="Arial"/>
          <w:color w:val="000000" w:themeColor="text1"/>
          <w:sz w:val="20"/>
          <w:szCs w:val="20"/>
        </w:rPr>
        <w:t xml:space="preserve">Pieterse, C. M., Zamioudis, C., Berendsen, R. L., Weller, D. M., Van Wees, S. C., &amp; Bakker, P. A. (2014). Induced systemic resistance by beneficial microbes. </w:t>
      </w:r>
      <w:r w:rsidRPr="0035381B">
        <w:rPr>
          <w:rFonts w:ascii="Arial" w:hAnsi="Arial" w:cs="Arial"/>
          <w:i/>
          <w:iCs/>
          <w:color w:val="000000" w:themeColor="text1"/>
          <w:sz w:val="20"/>
          <w:szCs w:val="20"/>
        </w:rPr>
        <w:t>Annual Review of Phytopathology</w:t>
      </w:r>
      <w:r w:rsidRPr="0035381B">
        <w:rPr>
          <w:rFonts w:ascii="Arial" w:hAnsi="Arial" w:cs="Arial"/>
          <w:color w:val="000000" w:themeColor="text1"/>
          <w:sz w:val="20"/>
          <w:szCs w:val="20"/>
        </w:rPr>
        <w:t xml:space="preserve">, </w:t>
      </w:r>
      <w:r w:rsidRPr="0035381B">
        <w:rPr>
          <w:rFonts w:ascii="Arial" w:hAnsi="Arial" w:cs="Arial"/>
          <w:i/>
          <w:iCs/>
          <w:color w:val="000000" w:themeColor="text1"/>
          <w:sz w:val="20"/>
          <w:szCs w:val="20"/>
        </w:rPr>
        <w:t>52</w:t>
      </w:r>
      <w:r w:rsidRPr="0035381B">
        <w:rPr>
          <w:rFonts w:ascii="Arial" w:hAnsi="Arial" w:cs="Arial"/>
          <w:color w:val="000000" w:themeColor="text1"/>
          <w:sz w:val="20"/>
          <w:szCs w:val="20"/>
        </w:rPr>
        <w:t xml:space="preserve">, 347–375. </w:t>
      </w:r>
      <w:hyperlink r:id="rId48" w:tgtFrame="_blank" w:history="1">
        <w:r w:rsidRPr="0035381B">
          <w:rPr>
            <w:rStyle w:val="Hyperlink"/>
            <w:rFonts w:ascii="Arial" w:hAnsi="Arial" w:cs="Arial"/>
            <w:sz w:val="20"/>
            <w:szCs w:val="20"/>
          </w:rPr>
          <w:t>https://doi.org/10.1146/annurev-phyto-082712-102340</w:t>
        </w:r>
      </w:hyperlink>
    </w:p>
    <w:p w14:paraId="40454D1A" w14:textId="77777777" w:rsidR="007F3F1A" w:rsidRPr="007F3F1A" w:rsidRDefault="007F3F1A" w:rsidP="007F3F1A">
      <w:pPr>
        <w:spacing w:after="120"/>
        <w:ind w:left="720" w:hanging="720"/>
        <w:jc w:val="both"/>
        <w:rPr>
          <w:rFonts w:ascii="Arial" w:hAnsi="Arial" w:cs="Arial"/>
          <w:color w:val="000000" w:themeColor="text1"/>
          <w:sz w:val="20"/>
          <w:szCs w:val="20"/>
        </w:rPr>
      </w:pPr>
      <w:r w:rsidRPr="007F3F1A">
        <w:rPr>
          <w:rFonts w:ascii="Arial" w:hAnsi="Arial" w:cs="Arial"/>
          <w:color w:val="000000" w:themeColor="text1"/>
          <w:sz w:val="20"/>
          <w:szCs w:val="20"/>
        </w:rPr>
        <w:t xml:space="preserve">Pradhan, S., Tyagi, R., &amp; Sharma, S. (2022). Combating biotic stresses in plants by synthetic microbial communities: Principles, applications and challenges. </w:t>
      </w:r>
      <w:r w:rsidRPr="007F3F1A">
        <w:rPr>
          <w:rFonts w:ascii="Arial" w:hAnsi="Arial" w:cs="Arial"/>
          <w:i/>
          <w:iCs/>
          <w:color w:val="000000" w:themeColor="text1"/>
          <w:sz w:val="20"/>
          <w:szCs w:val="20"/>
        </w:rPr>
        <w:t>Journal of Applied Microbiology</w:t>
      </w:r>
      <w:r w:rsidRPr="007F3F1A">
        <w:rPr>
          <w:rFonts w:ascii="Arial" w:hAnsi="Arial" w:cs="Arial"/>
          <w:color w:val="000000" w:themeColor="text1"/>
          <w:sz w:val="20"/>
          <w:szCs w:val="20"/>
        </w:rPr>
        <w:t xml:space="preserve">, </w:t>
      </w:r>
      <w:r w:rsidRPr="007F3F1A">
        <w:rPr>
          <w:rFonts w:ascii="Arial" w:hAnsi="Arial" w:cs="Arial"/>
          <w:i/>
          <w:iCs/>
          <w:color w:val="000000" w:themeColor="text1"/>
          <w:sz w:val="20"/>
          <w:szCs w:val="20"/>
        </w:rPr>
        <w:t>133</w:t>
      </w:r>
      <w:r w:rsidRPr="007F3F1A">
        <w:rPr>
          <w:rFonts w:ascii="Arial" w:hAnsi="Arial" w:cs="Arial"/>
          <w:color w:val="000000" w:themeColor="text1"/>
          <w:sz w:val="20"/>
          <w:szCs w:val="20"/>
        </w:rPr>
        <w:t xml:space="preserve">(5), 2742–2759. </w:t>
      </w:r>
      <w:hyperlink r:id="rId49" w:tgtFrame="_blank" w:history="1">
        <w:r w:rsidRPr="007F3F1A">
          <w:rPr>
            <w:rStyle w:val="Hyperlink"/>
            <w:rFonts w:ascii="Arial" w:hAnsi="Arial" w:cs="Arial"/>
            <w:sz w:val="20"/>
            <w:szCs w:val="20"/>
          </w:rPr>
          <w:t>https://doi.org/10.1111/jam.15799</w:t>
        </w:r>
      </w:hyperlink>
    </w:p>
    <w:p w14:paraId="7ACF2FAC" w14:textId="4922C980" w:rsidR="008D190D" w:rsidRPr="00C20429" w:rsidRDefault="0092412B" w:rsidP="008D190D">
      <w:pPr>
        <w:spacing w:after="120"/>
        <w:ind w:left="720" w:hanging="720"/>
        <w:jc w:val="both"/>
        <w:rPr>
          <w:rFonts w:ascii="Arial" w:hAnsi="Arial" w:cs="Arial"/>
          <w:color w:val="000000" w:themeColor="text1"/>
          <w:sz w:val="20"/>
          <w:szCs w:val="20"/>
        </w:rPr>
      </w:pPr>
      <w:proofErr w:type="spellStart"/>
      <w:r w:rsidRPr="0092412B">
        <w:rPr>
          <w:rFonts w:ascii="Arial" w:hAnsi="Arial" w:cs="Arial"/>
          <w:color w:val="000000" w:themeColor="text1"/>
          <w:sz w:val="20"/>
          <w:szCs w:val="20"/>
        </w:rPr>
        <w:t>Prigigallo</w:t>
      </w:r>
      <w:proofErr w:type="spellEnd"/>
      <w:r w:rsidRPr="0092412B">
        <w:rPr>
          <w:rFonts w:ascii="Arial" w:hAnsi="Arial" w:cs="Arial"/>
          <w:color w:val="000000" w:themeColor="text1"/>
          <w:sz w:val="20"/>
          <w:szCs w:val="20"/>
        </w:rPr>
        <w:t xml:space="preserve">, M. I., Gómez-Lama </w:t>
      </w:r>
      <w:proofErr w:type="spellStart"/>
      <w:r w:rsidRPr="0092412B">
        <w:rPr>
          <w:rFonts w:ascii="Arial" w:hAnsi="Arial" w:cs="Arial"/>
          <w:color w:val="000000" w:themeColor="text1"/>
          <w:sz w:val="20"/>
          <w:szCs w:val="20"/>
        </w:rPr>
        <w:t>Cabanás</w:t>
      </w:r>
      <w:proofErr w:type="spellEnd"/>
      <w:r w:rsidRPr="0092412B">
        <w:rPr>
          <w:rFonts w:ascii="Arial" w:hAnsi="Arial" w:cs="Arial"/>
          <w:color w:val="000000" w:themeColor="text1"/>
          <w:sz w:val="20"/>
          <w:szCs w:val="20"/>
        </w:rPr>
        <w:t xml:space="preserve">, C., Mercado-Blanco, J., &amp; </w:t>
      </w:r>
      <w:proofErr w:type="spellStart"/>
      <w:r w:rsidRPr="0092412B">
        <w:rPr>
          <w:rFonts w:ascii="Arial" w:hAnsi="Arial" w:cs="Arial"/>
          <w:color w:val="000000" w:themeColor="text1"/>
          <w:sz w:val="20"/>
          <w:szCs w:val="20"/>
        </w:rPr>
        <w:t>Bubici</w:t>
      </w:r>
      <w:proofErr w:type="spellEnd"/>
      <w:r w:rsidRPr="0092412B">
        <w:rPr>
          <w:rFonts w:ascii="Arial" w:hAnsi="Arial" w:cs="Arial"/>
          <w:color w:val="000000" w:themeColor="text1"/>
          <w:sz w:val="20"/>
          <w:szCs w:val="20"/>
        </w:rPr>
        <w:t xml:space="preserve">, G. (2022). Designing a synthetic microbial community devoted to biological control: The case study of Fusarium wilt of banana. </w:t>
      </w:r>
      <w:r w:rsidRPr="0092412B">
        <w:rPr>
          <w:rFonts w:ascii="Arial" w:hAnsi="Arial" w:cs="Arial"/>
          <w:i/>
          <w:iCs/>
          <w:color w:val="000000" w:themeColor="text1"/>
          <w:sz w:val="20"/>
          <w:szCs w:val="20"/>
        </w:rPr>
        <w:t>Frontiers in Microbiology</w:t>
      </w:r>
      <w:r w:rsidRPr="0092412B">
        <w:rPr>
          <w:rFonts w:ascii="Arial" w:hAnsi="Arial" w:cs="Arial"/>
          <w:color w:val="000000" w:themeColor="text1"/>
          <w:sz w:val="20"/>
          <w:szCs w:val="20"/>
        </w:rPr>
        <w:t xml:space="preserve">, </w:t>
      </w:r>
      <w:r w:rsidRPr="0092412B">
        <w:rPr>
          <w:rFonts w:ascii="Arial" w:hAnsi="Arial" w:cs="Arial"/>
          <w:i/>
          <w:iCs/>
          <w:color w:val="000000" w:themeColor="text1"/>
          <w:sz w:val="20"/>
          <w:szCs w:val="20"/>
        </w:rPr>
        <w:t>13</w:t>
      </w:r>
      <w:r w:rsidRPr="0092412B">
        <w:rPr>
          <w:rFonts w:ascii="Arial" w:hAnsi="Arial" w:cs="Arial"/>
          <w:color w:val="000000" w:themeColor="text1"/>
          <w:sz w:val="20"/>
          <w:szCs w:val="20"/>
        </w:rPr>
        <w:t xml:space="preserve">, Article 967885. </w:t>
      </w:r>
      <w:hyperlink r:id="rId50" w:tgtFrame="_blank" w:history="1">
        <w:r w:rsidRPr="0092412B">
          <w:rPr>
            <w:rStyle w:val="Hyperlink"/>
            <w:rFonts w:ascii="Arial" w:hAnsi="Arial" w:cs="Arial"/>
            <w:sz w:val="20"/>
            <w:szCs w:val="20"/>
          </w:rPr>
          <w:t>https://doi.org/10.3389/fmicb.2022.967885</w:t>
        </w:r>
      </w:hyperlink>
    </w:p>
    <w:p w14:paraId="5CD44B83" w14:textId="77777777" w:rsidR="00D7194E" w:rsidRPr="00D7194E" w:rsidRDefault="00D7194E" w:rsidP="00D7194E">
      <w:pPr>
        <w:spacing w:after="120"/>
        <w:ind w:left="720" w:hanging="720"/>
        <w:rPr>
          <w:rFonts w:ascii="Arial" w:hAnsi="Arial" w:cs="Arial"/>
          <w:color w:val="000000" w:themeColor="text1"/>
          <w:sz w:val="20"/>
          <w:szCs w:val="20"/>
        </w:rPr>
      </w:pPr>
      <w:r w:rsidRPr="00D7194E">
        <w:rPr>
          <w:rFonts w:ascii="Arial" w:hAnsi="Arial" w:cs="Arial"/>
          <w:color w:val="000000" w:themeColor="text1"/>
          <w:sz w:val="20"/>
          <w:szCs w:val="20"/>
        </w:rPr>
        <w:t xml:space="preserve">Rolfe, S. A., Griffiths, J., &amp; Ton, J. (2019). Crying out for help with root exudates: Adaptive mechanisms by which stressed plants assemble health-promoting soil microbiomes. </w:t>
      </w:r>
      <w:r w:rsidRPr="00D7194E">
        <w:rPr>
          <w:rFonts w:ascii="Arial" w:hAnsi="Arial" w:cs="Arial"/>
          <w:i/>
          <w:iCs/>
          <w:color w:val="000000" w:themeColor="text1"/>
          <w:sz w:val="20"/>
          <w:szCs w:val="20"/>
        </w:rPr>
        <w:t>Current Opinion in Microbiology</w:t>
      </w:r>
      <w:r w:rsidRPr="00D7194E">
        <w:rPr>
          <w:rFonts w:ascii="Arial" w:hAnsi="Arial" w:cs="Arial"/>
          <w:color w:val="000000" w:themeColor="text1"/>
          <w:sz w:val="20"/>
          <w:szCs w:val="20"/>
        </w:rPr>
        <w:t xml:space="preserve">, </w:t>
      </w:r>
      <w:r w:rsidRPr="00D7194E">
        <w:rPr>
          <w:rFonts w:ascii="Arial" w:hAnsi="Arial" w:cs="Arial"/>
          <w:i/>
          <w:iCs/>
          <w:color w:val="000000" w:themeColor="text1"/>
          <w:sz w:val="20"/>
          <w:szCs w:val="20"/>
        </w:rPr>
        <w:t>49</w:t>
      </w:r>
      <w:r w:rsidRPr="00D7194E">
        <w:rPr>
          <w:rFonts w:ascii="Arial" w:hAnsi="Arial" w:cs="Arial"/>
          <w:color w:val="000000" w:themeColor="text1"/>
          <w:sz w:val="20"/>
          <w:szCs w:val="20"/>
        </w:rPr>
        <w:t xml:space="preserve">, 73–82. </w:t>
      </w:r>
      <w:hyperlink r:id="rId51" w:tgtFrame="_blank" w:history="1">
        <w:r w:rsidRPr="00D7194E">
          <w:rPr>
            <w:rStyle w:val="Hyperlink"/>
            <w:rFonts w:ascii="Arial" w:hAnsi="Arial" w:cs="Arial"/>
            <w:sz w:val="20"/>
            <w:szCs w:val="20"/>
          </w:rPr>
          <w:t>https://doi.org/10.1016/j.mib.2019.10.003</w:t>
        </w:r>
      </w:hyperlink>
    </w:p>
    <w:p w14:paraId="510C13E2" w14:textId="77777777" w:rsidR="008968BF" w:rsidRPr="008968BF" w:rsidRDefault="008968BF" w:rsidP="008968BF">
      <w:pPr>
        <w:spacing w:after="120"/>
        <w:ind w:left="720" w:hanging="720"/>
        <w:jc w:val="both"/>
        <w:rPr>
          <w:rFonts w:ascii="Arial" w:hAnsi="Arial" w:cs="Arial"/>
          <w:color w:val="000000" w:themeColor="text1"/>
          <w:sz w:val="20"/>
          <w:szCs w:val="20"/>
        </w:rPr>
      </w:pPr>
      <w:proofErr w:type="spellStart"/>
      <w:r w:rsidRPr="008968BF">
        <w:rPr>
          <w:rFonts w:ascii="Arial" w:hAnsi="Arial" w:cs="Arial"/>
          <w:color w:val="000000" w:themeColor="text1"/>
          <w:sz w:val="20"/>
          <w:szCs w:val="20"/>
        </w:rPr>
        <w:t>Rudrappa</w:t>
      </w:r>
      <w:proofErr w:type="spellEnd"/>
      <w:r w:rsidRPr="008968BF">
        <w:rPr>
          <w:rFonts w:ascii="Arial" w:hAnsi="Arial" w:cs="Arial"/>
          <w:color w:val="000000" w:themeColor="text1"/>
          <w:sz w:val="20"/>
          <w:szCs w:val="20"/>
        </w:rPr>
        <w:t xml:space="preserve">, T., </w:t>
      </w:r>
      <w:proofErr w:type="spellStart"/>
      <w:r w:rsidRPr="008968BF">
        <w:rPr>
          <w:rFonts w:ascii="Arial" w:hAnsi="Arial" w:cs="Arial"/>
          <w:color w:val="000000" w:themeColor="text1"/>
          <w:sz w:val="20"/>
          <w:szCs w:val="20"/>
        </w:rPr>
        <w:t>Czymmek</w:t>
      </w:r>
      <w:proofErr w:type="spellEnd"/>
      <w:r w:rsidRPr="008968BF">
        <w:rPr>
          <w:rFonts w:ascii="Arial" w:hAnsi="Arial" w:cs="Arial"/>
          <w:color w:val="000000" w:themeColor="text1"/>
          <w:sz w:val="20"/>
          <w:szCs w:val="20"/>
        </w:rPr>
        <w:t xml:space="preserve">, K. J., Paré, P. W., &amp; Bais, H. P. (2008). Root-secreted malic acid recruits beneficial soil bacteria. </w:t>
      </w:r>
      <w:r w:rsidRPr="008968BF">
        <w:rPr>
          <w:rFonts w:ascii="Arial" w:hAnsi="Arial" w:cs="Arial"/>
          <w:i/>
          <w:iCs/>
          <w:color w:val="000000" w:themeColor="text1"/>
          <w:sz w:val="20"/>
          <w:szCs w:val="20"/>
        </w:rPr>
        <w:t>Plant Physiology</w:t>
      </w:r>
      <w:r w:rsidRPr="008968BF">
        <w:rPr>
          <w:rFonts w:ascii="Arial" w:hAnsi="Arial" w:cs="Arial"/>
          <w:color w:val="000000" w:themeColor="text1"/>
          <w:sz w:val="20"/>
          <w:szCs w:val="20"/>
        </w:rPr>
        <w:t xml:space="preserve">, </w:t>
      </w:r>
      <w:r w:rsidRPr="008968BF">
        <w:rPr>
          <w:rFonts w:ascii="Arial" w:hAnsi="Arial" w:cs="Arial"/>
          <w:i/>
          <w:iCs/>
          <w:color w:val="000000" w:themeColor="text1"/>
          <w:sz w:val="20"/>
          <w:szCs w:val="20"/>
        </w:rPr>
        <w:t>148</w:t>
      </w:r>
      <w:r w:rsidRPr="008968BF">
        <w:rPr>
          <w:rFonts w:ascii="Arial" w:hAnsi="Arial" w:cs="Arial"/>
          <w:color w:val="000000" w:themeColor="text1"/>
          <w:sz w:val="20"/>
          <w:szCs w:val="20"/>
        </w:rPr>
        <w:t xml:space="preserve">(3), 1547–1556. </w:t>
      </w:r>
      <w:hyperlink r:id="rId52" w:tgtFrame="_blank" w:history="1">
        <w:r w:rsidRPr="008968BF">
          <w:rPr>
            <w:rStyle w:val="Hyperlink"/>
            <w:rFonts w:ascii="Arial" w:hAnsi="Arial" w:cs="Arial"/>
            <w:sz w:val="20"/>
            <w:szCs w:val="20"/>
          </w:rPr>
          <w:t>https://doi.org/10.1104/pp.108.127613</w:t>
        </w:r>
      </w:hyperlink>
    </w:p>
    <w:p w14:paraId="5B6AD235" w14:textId="77777777" w:rsidR="00F83D5C" w:rsidRPr="00F83D5C" w:rsidRDefault="00F83D5C" w:rsidP="00F83D5C">
      <w:pPr>
        <w:spacing w:after="120"/>
        <w:ind w:left="720" w:hanging="720"/>
        <w:jc w:val="both"/>
        <w:rPr>
          <w:rFonts w:ascii="Arial" w:hAnsi="Arial" w:cs="Arial"/>
          <w:color w:val="000000" w:themeColor="text1"/>
          <w:sz w:val="20"/>
          <w:szCs w:val="20"/>
        </w:rPr>
      </w:pPr>
      <w:r w:rsidRPr="00F83D5C">
        <w:rPr>
          <w:rFonts w:ascii="Arial" w:hAnsi="Arial" w:cs="Arial"/>
          <w:color w:val="000000" w:themeColor="text1"/>
          <w:sz w:val="20"/>
          <w:szCs w:val="20"/>
        </w:rPr>
        <w:t xml:space="preserve">Sharma, A., &amp; Bora, P. (2025). Engineering synthetic microbial communities to restructure the </w:t>
      </w:r>
      <w:proofErr w:type="spellStart"/>
      <w:r w:rsidRPr="00F83D5C">
        <w:rPr>
          <w:rFonts w:ascii="Arial" w:hAnsi="Arial" w:cs="Arial"/>
          <w:color w:val="000000" w:themeColor="text1"/>
          <w:sz w:val="20"/>
          <w:szCs w:val="20"/>
        </w:rPr>
        <w:t>phytobiome</w:t>
      </w:r>
      <w:proofErr w:type="spellEnd"/>
      <w:r w:rsidRPr="00F83D5C">
        <w:rPr>
          <w:rFonts w:ascii="Arial" w:hAnsi="Arial" w:cs="Arial"/>
          <w:color w:val="000000" w:themeColor="text1"/>
          <w:sz w:val="20"/>
          <w:szCs w:val="20"/>
        </w:rPr>
        <w:t xml:space="preserve"> for plant health and productivity. </w:t>
      </w:r>
      <w:r w:rsidRPr="00F83D5C">
        <w:rPr>
          <w:rFonts w:ascii="Arial" w:hAnsi="Arial" w:cs="Arial"/>
          <w:i/>
          <w:iCs/>
          <w:color w:val="000000" w:themeColor="text1"/>
          <w:sz w:val="20"/>
          <w:szCs w:val="20"/>
        </w:rPr>
        <w:t>World Journal of Microbiology and Biotechnology</w:t>
      </w:r>
      <w:r w:rsidRPr="00F83D5C">
        <w:rPr>
          <w:rFonts w:ascii="Arial" w:hAnsi="Arial" w:cs="Arial"/>
          <w:color w:val="000000" w:themeColor="text1"/>
          <w:sz w:val="20"/>
          <w:szCs w:val="20"/>
        </w:rPr>
        <w:t xml:space="preserve">, </w:t>
      </w:r>
      <w:r w:rsidRPr="00F83D5C">
        <w:rPr>
          <w:rFonts w:ascii="Arial" w:hAnsi="Arial" w:cs="Arial"/>
          <w:i/>
          <w:iCs/>
          <w:color w:val="000000" w:themeColor="text1"/>
          <w:sz w:val="20"/>
          <w:szCs w:val="20"/>
        </w:rPr>
        <w:t>41</w:t>
      </w:r>
      <w:r w:rsidRPr="00F83D5C">
        <w:rPr>
          <w:rFonts w:ascii="Arial" w:hAnsi="Arial" w:cs="Arial"/>
          <w:color w:val="000000" w:themeColor="text1"/>
          <w:sz w:val="20"/>
          <w:szCs w:val="20"/>
        </w:rPr>
        <w:t xml:space="preserve">(7), Article 228. </w:t>
      </w:r>
      <w:hyperlink r:id="rId53" w:tgtFrame="_blank" w:history="1">
        <w:r w:rsidRPr="00F83D5C">
          <w:rPr>
            <w:rStyle w:val="Hyperlink"/>
            <w:rFonts w:ascii="Arial" w:hAnsi="Arial" w:cs="Arial"/>
            <w:sz w:val="20"/>
            <w:szCs w:val="20"/>
          </w:rPr>
          <w:t>https://doi.org/10.1007/s11274-025-04460-1</w:t>
        </w:r>
      </w:hyperlink>
    </w:p>
    <w:p w14:paraId="3D540035" w14:textId="77777777" w:rsidR="00DA0291" w:rsidRDefault="00DA0291" w:rsidP="008D190D">
      <w:pPr>
        <w:spacing w:after="120"/>
        <w:ind w:left="720" w:hanging="720"/>
        <w:jc w:val="both"/>
        <w:rPr>
          <w:rFonts w:ascii="Arial" w:hAnsi="Arial" w:cs="Arial"/>
          <w:color w:val="000000" w:themeColor="text1"/>
          <w:sz w:val="20"/>
          <w:szCs w:val="20"/>
        </w:rPr>
      </w:pPr>
      <w:r w:rsidRPr="00DA0291">
        <w:rPr>
          <w:rFonts w:ascii="Arial" w:hAnsi="Arial" w:cs="Arial"/>
          <w:color w:val="000000" w:themeColor="text1"/>
          <w:sz w:val="20"/>
          <w:szCs w:val="20"/>
        </w:rPr>
        <w:t xml:space="preserve">Samreen, T., Naveed, M., Nazir, M. Z., Asghar, H. N., Khan, M. I., Zahir, Z. A., et al. (2021). Seed associated bacterial and fungal endophytes: Diversity, life cycle, transmission, and application potential. </w:t>
      </w:r>
      <w:r w:rsidRPr="00DA0291">
        <w:rPr>
          <w:rFonts w:ascii="Arial" w:hAnsi="Arial" w:cs="Arial"/>
          <w:i/>
          <w:iCs/>
          <w:color w:val="000000" w:themeColor="text1"/>
          <w:sz w:val="20"/>
          <w:szCs w:val="20"/>
        </w:rPr>
        <w:t>Applied Soil Ecology</w:t>
      </w:r>
      <w:r w:rsidRPr="00DA0291">
        <w:rPr>
          <w:rFonts w:ascii="Arial" w:hAnsi="Arial" w:cs="Arial"/>
          <w:color w:val="000000" w:themeColor="text1"/>
          <w:sz w:val="20"/>
          <w:szCs w:val="20"/>
        </w:rPr>
        <w:t xml:space="preserve">, </w:t>
      </w:r>
      <w:r w:rsidRPr="00DA0291">
        <w:rPr>
          <w:rFonts w:ascii="Arial" w:hAnsi="Arial" w:cs="Arial"/>
          <w:i/>
          <w:iCs/>
          <w:color w:val="000000" w:themeColor="text1"/>
          <w:sz w:val="20"/>
          <w:szCs w:val="20"/>
        </w:rPr>
        <w:t>168</w:t>
      </w:r>
      <w:r w:rsidRPr="00DA0291">
        <w:rPr>
          <w:rFonts w:ascii="Arial" w:hAnsi="Arial" w:cs="Arial"/>
          <w:color w:val="000000" w:themeColor="text1"/>
          <w:sz w:val="20"/>
          <w:szCs w:val="20"/>
        </w:rPr>
        <w:t xml:space="preserve">, Article 104191. </w:t>
      </w:r>
      <w:hyperlink r:id="rId54" w:tgtFrame="_blank" w:history="1">
        <w:r w:rsidRPr="00DA0291">
          <w:rPr>
            <w:rStyle w:val="Hyperlink"/>
            <w:rFonts w:ascii="Arial" w:hAnsi="Arial" w:cs="Arial"/>
            <w:sz w:val="20"/>
            <w:szCs w:val="20"/>
          </w:rPr>
          <w:t>https://doi.org/10.1016/j.apsoil.2021.104191</w:t>
        </w:r>
      </w:hyperlink>
    </w:p>
    <w:p w14:paraId="120D0671" w14:textId="77777777" w:rsidR="00643FCE" w:rsidRDefault="00643FCE" w:rsidP="008D190D">
      <w:pPr>
        <w:spacing w:after="120"/>
        <w:ind w:left="720" w:hanging="720"/>
        <w:jc w:val="both"/>
        <w:rPr>
          <w:rFonts w:ascii="Arial" w:hAnsi="Arial" w:cs="Arial"/>
          <w:color w:val="000000" w:themeColor="text1"/>
          <w:sz w:val="20"/>
          <w:szCs w:val="20"/>
        </w:rPr>
      </w:pPr>
      <w:r w:rsidRPr="00643FCE">
        <w:rPr>
          <w:rFonts w:ascii="Arial" w:hAnsi="Arial" w:cs="Arial"/>
          <w:color w:val="000000" w:themeColor="text1"/>
          <w:sz w:val="20"/>
          <w:szCs w:val="20"/>
        </w:rPr>
        <w:t xml:space="preserve">Sasse, J., </w:t>
      </w:r>
      <w:proofErr w:type="spellStart"/>
      <w:r w:rsidRPr="00643FCE">
        <w:rPr>
          <w:rFonts w:ascii="Arial" w:hAnsi="Arial" w:cs="Arial"/>
          <w:color w:val="000000" w:themeColor="text1"/>
          <w:sz w:val="20"/>
          <w:szCs w:val="20"/>
        </w:rPr>
        <w:t>Martinoia</w:t>
      </w:r>
      <w:proofErr w:type="spellEnd"/>
      <w:r w:rsidRPr="00643FCE">
        <w:rPr>
          <w:rFonts w:ascii="Arial" w:hAnsi="Arial" w:cs="Arial"/>
          <w:color w:val="000000" w:themeColor="text1"/>
          <w:sz w:val="20"/>
          <w:szCs w:val="20"/>
        </w:rPr>
        <w:t xml:space="preserve">, E., &amp; Northen, T. (2018). Feed your friends: Do plant exudates shape the root microbiome? </w:t>
      </w:r>
      <w:r w:rsidRPr="00643FCE">
        <w:rPr>
          <w:rFonts w:ascii="Arial" w:hAnsi="Arial" w:cs="Arial"/>
          <w:i/>
          <w:iCs/>
          <w:color w:val="000000" w:themeColor="text1"/>
          <w:sz w:val="20"/>
          <w:szCs w:val="20"/>
        </w:rPr>
        <w:t>Trends in Plant Science</w:t>
      </w:r>
      <w:r w:rsidRPr="00643FCE">
        <w:rPr>
          <w:rFonts w:ascii="Arial" w:hAnsi="Arial" w:cs="Arial"/>
          <w:color w:val="000000" w:themeColor="text1"/>
          <w:sz w:val="20"/>
          <w:szCs w:val="20"/>
        </w:rPr>
        <w:t xml:space="preserve">, </w:t>
      </w:r>
      <w:r w:rsidRPr="00643FCE">
        <w:rPr>
          <w:rFonts w:ascii="Arial" w:hAnsi="Arial" w:cs="Arial"/>
          <w:i/>
          <w:iCs/>
          <w:color w:val="000000" w:themeColor="text1"/>
          <w:sz w:val="20"/>
          <w:szCs w:val="20"/>
        </w:rPr>
        <w:t>23</w:t>
      </w:r>
      <w:r w:rsidRPr="00643FCE">
        <w:rPr>
          <w:rFonts w:ascii="Arial" w:hAnsi="Arial" w:cs="Arial"/>
          <w:color w:val="000000" w:themeColor="text1"/>
          <w:sz w:val="20"/>
          <w:szCs w:val="20"/>
        </w:rPr>
        <w:t xml:space="preserve">(1), 25–41. </w:t>
      </w:r>
      <w:hyperlink r:id="rId55" w:tgtFrame="_blank" w:history="1">
        <w:r w:rsidRPr="00643FCE">
          <w:rPr>
            <w:rStyle w:val="Hyperlink"/>
            <w:rFonts w:ascii="Arial" w:hAnsi="Arial" w:cs="Arial"/>
            <w:sz w:val="20"/>
            <w:szCs w:val="20"/>
          </w:rPr>
          <w:t>https://doi.org/10.1016/j.tplants.2017.09.003</w:t>
        </w:r>
      </w:hyperlink>
    </w:p>
    <w:p w14:paraId="44DF4073" w14:textId="77777777" w:rsidR="003742F3" w:rsidRPr="003742F3" w:rsidRDefault="003742F3" w:rsidP="003742F3">
      <w:pPr>
        <w:spacing w:after="120"/>
        <w:ind w:left="720" w:hanging="720"/>
        <w:jc w:val="both"/>
        <w:rPr>
          <w:rFonts w:ascii="Arial" w:hAnsi="Arial" w:cs="Arial"/>
          <w:color w:val="000000" w:themeColor="text1"/>
          <w:sz w:val="20"/>
          <w:szCs w:val="20"/>
        </w:rPr>
      </w:pPr>
      <w:r w:rsidRPr="003742F3">
        <w:rPr>
          <w:rFonts w:ascii="Arial" w:hAnsi="Arial" w:cs="Arial"/>
          <w:color w:val="000000" w:themeColor="text1"/>
          <w:sz w:val="20"/>
          <w:szCs w:val="20"/>
        </w:rPr>
        <w:lastRenderedPageBreak/>
        <w:t xml:space="preserve">Schulz-Bohm, K., Gerards, S., Hundscheid, M., </w:t>
      </w:r>
      <w:proofErr w:type="spellStart"/>
      <w:r w:rsidRPr="003742F3">
        <w:rPr>
          <w:rFonts w:ascii="Arial" w:hAnsi="Arial" w:cs="Arial"/>
          <w:color w:val="000000" w:themeColor="text1"/>
          <w:sz w:val="20"/>
          <w:szCs w:val="20"/>
        </w:rPr>
        <w:t>Melenhorst</w:t>
      </w:r>
      <w:proofErr w:type="spellEnd"/>
      <w:r w:rsidRPr="003742F3">
        <w:rPr>
          <w:rFonts w:ascii="Arial" w:hAnsi="Arial" w:cs="Arial"/>
          <w:color w:val="000000" w:themeColor="text1"/>
          <w:sz w:val="20"/>
          <w:szCs w:val="20"/>
        </w:rPr>
        <w:t xml:space="preserve">, J., de Boer, W., &amp; </w:t>
      </w:r>
      <w:proofErr w:type="spellStart"/>
      <w:r w:rsidRPr="003742F3">
        <w:rPr>
          <w:rFonts w:ascii="Arial" w:hAnsi="Arial" w:cs="Arial"/>
          <w:color w:val="000000" w:themeColor="text1"/>
          <w:sz w:val="20"/>
          <w:szCs w:val="20"/>
        </w:rPr>
        <w:t>Garbeva</w:t>
      </w:r>
      <w:proofErr w:type="spellEnd"/>
      <w:r w:rsidRPr="003742F3">
        <w:rPr>
          <w:rFonts w:ascii="Arial" w:hAnsi="Arial" w:cs="Arial"/>
          <w:color w:val="000000" w:themeColor="text1"/>
          <w:sz w:val="20"/>
          <w:szCs w:val="20"/>
        </w:rPr>
        <w:t xml:space="preserve">, P. (2018). Calling from distance: Attraction of soil bacteria by plant root volatiles. </w:t>
      </w:r>
      <w:r w:rsidRPr="003742F3">
        <w:rPr>
          <w:rFonts w:ascii="Arial" w:hAnsi="Arial" w:cs="Arial"/>
          <w:i/>
          <w:iCs/>
          <w:color w:val="000000" w:themeColor="text1"/>
          <w:sz w:val="20"/>
          <w:szCs w:val="20"/>
        </w:rPr>
        <w:t>The ISME Journal</w:t>
      </w:r>
      <w:r w:rsidRPr="003742F3">
        <w:rPr>
          <w:rFonts w:ascii="Arial" w:hAnsi="Arial" w:cs="Arial"/>
          <w:color w:val="000000" w:themeColor="text1"/>
          <w:sz w:val="20"/>
          <w:szCs w:val="20"/>
        </w:rPr>
        <w:t xml:space="preserve">, </w:t>
      </w:r>
      <w:r w:rsidRPr="003742F3">
        <w:rPr>
          <w:rFonts w:ascii="Arial" w:hAnsi="Arial" w:cs="Arial"/>
          <w:i/>
          <w:iCs/>
          <w:color w:val="000000" w:themeColor="text1"/>
          <w:sz w:val="20"/>
          <w:szCs w:val="20"/>
        </w:rPr>
        <w:t>12</w:t>
      </w:r>
      <w:r w:rsidRPr="003742F3">
        <w:rPr>
          <w:rFonts w:ascii="Arial" w:hAnsi="Arial" w:cs="Arial"/>
          <w:color w:val="000000" w:themeColor="text1"/>
          <w:sz w:val="20"/>
          <w:szCs w:val="20"/>
        </w:rPr>
        <w:t xml:space="preserve">(5), 1252–1262. </w:t>
      </w:r>
      <w:hyperlink r:id="rId56" w:tgtFrame="_blank" w:history="1">
        <w:r w:rsidRPr="003742F3">
          <w:rPr>
            <w:rStyle w:val="Hyperlink"/>
            <w:rFonts w:ascii="Arial" w:hAnsi="Arial" w:cs="Arial"/>
            <w:sz w:val="20"/>
            <w:szCs w:val="20"/>
          </w:rPr>
          <w:t>https://doi.org/10.1038/s41396-017-0035-3</w:t>
        </w:r>
      </w:hyperlink>
    </w:p>
    <w:p w14:paraId="5EDAD6FC" w14:textId="77777777" w:rsidR="00BF1567" w:rsidRPr="00BF1567" w:rsidRDefault="00BF1567" w:rsidP="00BF1567">
      <w:pPr>
        <w:spacing w:after="120"/>
        <w:ind w:left="720" w:hanging="720"/>
        <w:jc w:val="both"/>
        <w:rPr>
          <w:rFonts w:ascii="Arial" w:hAnsi="Arial" w:cs="Arial"/>
          <w:color w:val="000000" w:themeColor="text1"/>
          <w:sz w:val="20"/>
          <w:szCs w:val="20"/>
        </w:rPr>
      </w:pPr>
      <w:r w:rsidRPr="00BF1567">
        <w:rPr>
          <w:rFonts w:ascii="Arial" w:hAnsi="Arial" w:cs="Arial"/>
          <w:color w:val="000000" w:themeColor="text1"/>
          <w:sz w:val="20"/>
          <w:szCs w:val="20"/>
        </w:rPr>
        <w:t xml:space="preserve">Shayanthan, A., Ordoñez, P. A. C., &amp; </w:t>
      </w:r>
      <w:proofErr w:type="spellStart"/>
      <w:r w:rsidRPr="00BF1567">
        <w:rPr>
          <w:rFonts w:ascii="Arial" w:hAnsi="Arial" w:cs="Arial"/>
          <w:color w:val="000000" w:themeColor="text1"/>
          <w:sz w:val="20"/>
          <w:szCs w:val="20"/>
        </w:rPr>
        <w:t>Oresnik</w:t>
      </w:r>
      <w:proofErr w:type="spellEnd"/>
      <w:r w:rsidRPr="00BF1567">
        <w:rPr>
          <w:rFonts w:ascii="Arial" w:hAnsi="Arial" w:cs="Arial"/>
          <w:color w:val="000000" w:themeColor="text1"/>
          <w:sz w:val="20"/>
          <w:szCs w:val="20"/>
        </w:rPr>
        <w:t>, I. J. (2022). The role of synthetic microbial communities (</w:t>
      </w:r>
      <w:proofErr w:type="spellStart"/>
      <w:r w:rsidRPr="00BF1567">
        <w:rPr>
          <w:rFonts w:ascii="Arial" w:hAnsi="Arial" w:cs="Arial"/>
          <w:color w:val="000000" w:themeColor="text1"/>
          <w:sz w:val="20"/>
          <w:szCs w:val="20"/>
        </w:rPr>
        <w:t>SynCom</w:t>
      </w:r>
      <w:proofErr w:type="spellEnd"/>
      <w:r w:rsidRPr="00BF1567">
        <w:rPr>
          <w:rFonts w:ascii="Arial" w:hAnsi="Arial" w:cs="Arial"/>
          <w:color w:val="000000" w:themeColor="text1"/>
          <w:sz w:val="20"/>
          <w:szCs w:val="20"/>
        </w:rPr>
        <w:t xml:space="preserve">) in sustainable agriculture. </w:t>
      </w:r>
      <w:r w:rsidRPr="00BF1567">
        <w:rPr>
          <w:rFonts w:ascii="Arial" w:hAnsi="Arial" w:cs="Arial"/>
          <w:i/>
          <w:iCs/>
          <w:color w:val="000000" w:themeColor="text1"/>
          <w:sz w:val="20"/>
          <w:szCs w:val="20"/>
        </w:rPr>
        <w:t>Frontiers in Agronomy</w:t>
      </w:r>
      <w:r w:rsidRPr="00BF1567">
        <w:rPr>
          <w:rFonts w:ascii="Arial" w:hAnsi="Arial" w:cs="Arial"/>
          <w:color w:val="000000" w:themeColor="text1"/>
          <w:sz w:val="20"/>
          <w:szCs w:val="20"/>
        </w:rPr>
        <w:t xml:space="preserve">, </w:t>
      </w:r>
      <w:r w:rsidRPr="00BF1567">
        <w:rPr>
          <w:rFonts w:ascii="Arial" w:hAnsi="Arial" w:cs="Arial"/>
          <w:i/>
          <w:iCs/>
          <w:color w:val="000000" w:themeColor="text1"/>
          <w:sz w:val="20"/>
          <w:szCs w:val="20"/>
        </w:rPr>
        <w:t>4</w:t>
      </w:r>
      <w:r w:rsidRPr="00BF1567">
        <w:rPr>
          <w:rFonts w:ascii="Arial" w:hAnsi="Arial" w:cs="Arial"/>
          <w:color w:val="000000" w:themeColor="text1"/>
          <w:sz w:val="20"/>
          <w:szCs w:val="20"/>
        </w:rPr>
        <w:t xml:space="preserve">, Article 896307. </w:t>
      </w:r>
      <w:hyperlink r:id="rId57" w:tgtFrame="_blank" w:history="1">
        <w:r w:rsidRPr="00BF1567">
          <w:rPr>
            <w:rStyle w:val="Hyperlink"/>
            <w:rFonts w:ascii="Arial" w:hAnsi="Arial" w:cs="Arial"/>
            <w:sz w:val="20"/>
            <w:szCs w:val="20"/>
          </w:rPr>
          <w:t>https://doi.org/10.3389/fagro.2022.896307</w:t>
        </w:r>
      </w:hyperlink>
    </w:p>
    <w:p w14:paraId="3DCF13C1" w14:textId="77777777" w:rsidR="006E558F" w:rsidRPr="006E558F" w:rsidRDefault="006E558F" w:rsidP="006E558F">
      <w:pPr>
        <w:spacing w:after="120"/>
        <w:ind w:left="720" w:hanging="720"/>
        <w:jc w:val="both"/>
        <w:rPr>
          <w:rFonts w:ascii="Arial" w:hAnsi="Arial" w:cs="Arial"/>
          <w:color w:val="000000" w:themeColor="text1"/>
          <w:sz w:val="20"/>
          <w:szCs w:val="20"/>
        </w:rPr>
      </w:pPr>
      <w:r w:rsidRPr="006E558F">
        <w:rPr>
          <w:rFonts w:ascii="Arial" w:hAnsi="Arial" w:cs="Arial"/>
          <w:color w:val="000000" w:themeColor="text1"/>
          <w:sz w:val="20"/>
          <w:szCs w:val="20"/>
        </w:rPr>
        <w:t xml:space="preserve">Song, C., Jin, K., &amp; Raaijmakers, J. M. (2021). Designing a home for beneficial plant microbiomes. </w:t>
      </w:r>
      <w:r w:rsidRPr="006E558F">
        <w:rPr>
          <w:rFonts w:ascii="Arial" w:hAnsi="Arial" w:cs="Arial"/>
          <w:i/>
          <w:iCs/>
          <w:color w:val="000000" w:themeColor="text1"/>
          <w:sz w:val="20"/>
          <w:szCs w:val="20"/>
        </w:rPr>
        <w:t>Current Opinion in Plant Biology</w:t>
      </w:r>
      <w:r w:rsidRPr="006E558F">
        <w:rPr>
          <w:rFonts w:ascii="Arial" w:hAnsi="Arial" w:cs="Arial"/>
          <w:color w:val="000000" w:themeColor="text1"/>
          <w:sz w:val="20"/>
          <w:szCs w:val="20"/>
        </w:rPr>
        <w:t xml:space="preserve">, </w:t>
      </w:r>
      <w:r w:rsidRPr="006E558F">
        <w:rPr>
          <w:rFonts w:ascii="Arial" w:hAnsi="Arial" w:cs="Arial"/>
          <w:i/>
          <w:iCs/>
          <w:color w:val="000000" w:themeColor="text1"/>
          <w:sz w:val="20"/>
          <w:szCs w:val="20"/>
        </w:rPr>
        <w:t>62</w:t>
      </w:r>
      <w:r w:rsidRPr="006E558F">
        <w:rPr>
          <w:rFonts w:ascii="Arial" w:hAnsi="Arial" w:cs="Arial"/>
          <w:color w:val="000000" w:themeColor="text1"/>
          <w:sz w:val="20"/>
          <w:szCs w:val="20"/>
        </w:rPr>
        <w:t xml:space="preserve">, Article 102025. </w:t>
      </w:r>
      <w:hyperlink r:id="rId58" w:tgtFrame="_blank" w:history="1">
        <w:r w:rsidRPr="006E558F">
          <w:rPr>
            <w:rStyle w:val="Hyperlink"/>
            <w:rFonts w:ascii="Arial" w:hAnsi="Arial" w:cs="Arial"/>
            <w:sz w:val="20"/>
            <w:szCs w:val="20"/>
          </w:rPr>
          <w:t>https://doi.org/10.1016/j.pbi.2021.102025</w:t>
        </w:r>
      </w:hyperlink>
    </w:p>
    <w:p w14:paraId="68C7113E" w14:textId="14AA4AA8" w:rsidR="008F7133" w:rsidRDefault="00250000" w:rsidP="00992520">
      <w:pPr>
        <w:spacing w:after="120"/>
        <w:ind w:left="720" w:hanging="720"/>
        <w:rPr>
          <w:rFonts w:ascii="Arial" w:hAnsi="Arial" w:cs="Arial"/>
          <w:color w:val="000000" w:themeColor="text1"/>
          <w:sz w:val="20"/>
          <w:szCs w:val="20"/>
        </w:rPr>
      </w:pPr>
      <w:r w:rsidRPr="00250000">
        <w:rPr>
          <w:rFonts w:ascii="Arial" w:hAnsi="Arial" w:cs="Arial"/>
          <w:color w:val="000000" w:themeColor="text1"/>
          <w:sz w:val="20"/>
          <w:szCs w:val="20"/>
        </w:rPr>
        <w:t xml:space="preserve">Neal, A. L., Ahmad, S., Gordon-Weeks, R., &amp; Ton, J. (2012). Benzoxazinoids in root exudates of maize attract </w:t>
      </w:r>
      <w:r w:rsidRPr="00250000">
        <w:rPr>
          <w:rFonts w:ascii="Arial" w:hAnsi="Arial" w:cs="Arial"/>
          <w:i/>
          <w:iCs/>
          <w:color w:val="000000" w:themeColor="text1"/>
          <w:sz w:val="20"/>
          <w:szCs w:val="20"/>
        </w:rPr>
        <w:t>Pseudomonas putida</w:t>
      </w:r>
      <w:r w:rsidRPr="00250000">
        <w:rPr>
          <w:rFonts w:ascii="Arial" w:hAnsi="Arial" w:cs="Arial"/>
          <w:color w:val="000000" w:themeColor="text1"/>
          <w:sz w:val="20"/>
          <w:szCs w:val="20"/>
        </w:rPr>
        <w:t xml:space="preserve"> to the rhizosphere. </w:t>
      </w:r>
      <w:proofErr w:type="spellStart"/>
      <w:r w:rsidRPr="00250000">
        <w:rPr>
          <w:rFonts w:ascii="Arial" w:hAnsi="Arial" w:cs="Arial"/>
          <w:i/>
          <w:iCs/>
          <w:color w:val="000000" w:themeColor="text1"/>
          <w:sz w:val="20"/>
          <w:szCs w:val="20"/>
        </w:rPr>
        <w:t>PLoS</w:t>
      </w:r>
      <w:proofErr w:type="spellEnd"/>
      <w:r w:rsidRPr="00250000">
        <w:rPr>
          <w:rFonts w:ascii="Arial" w:hAnsi="Arial" w:cs="Arial"/>
          <w:i/>
          <w:iCs/>
          <w:color w:val="000000" w:themeColor="text1"/>
          <w:sz w:val="20"/>
          <w:szCs w:val="20"/>
        </w:rPr>
        <w:t xml:space="preserve"> ONE</w:t>
      </w:r>
      <w:r w:rsidRPr="00250000">
        <w:rPr>
          <w:rFonts w:ascii="Arial" w:hAnsi="Arial" w:cs="Arial"/>
          <w:color w:val="000000" w:themeColor="text1"/>
          <w:sz w:val="20"/>
          <w:szCs w:val="20"/>
        </w:rPr>
        <w:t xml:space="preserve">, </w:t>
      </w:r>
      <w:r w:rsidRPr="00250000">
        <w:rPr>
          <w:rFonts w:ascii="Arial" w:hAnsi="Arial" w:cs="Arial"/>
          <w:i/>
          <w:iCs/>
          <w:color w:val="000000" w:themeColor="text1"/>
          <w:sz w:val="20"/>
          <w:szCs w:val="20"/>
        </w:rPr>
        <w:t>7</w:t>
      </w:r>
      <w:r w:rsidRPr="00250000">
        <w:rPr>
          <w:rFonts w:ascii="Arial" w:hAnsi="Arial" w:cs="Arial"/>
          <w:color w:val="000000" w:themeColor="text1"/>
          <w:sz w:val="20"/>
          <w:szCs w:val="20"/>
        </w:rPr>
        <w:t xml:space="preserve">(4), Artikel e35498. </w:t>
      </w:r>
      <w:hyperlink r:id="rId59" w:tgtFrame="_blank" w:history="1">
        <w:r w:rsidRPr="00250000">
          <w:rPr>
            <w:rStyle w:val="Hyperlink"/>
            <w:rFonts w:ascii="Arial" w:hAnsi="Arial" w:cs="Arial"/>
            <w:sz w:val="20"/>
            <w:szCs w:val="20"/>
          </w:rPr>
          <w:t>https://doi.org/10.1371/journal.pone.0035498</w:t>
        </w:r>
      </w:hyperlink>
    </w:p>
    <w:p w14:paraId="7CE7F6C4" w14:textId="77777777" w:rsidR="00FB75BC" w:rsidRDefault="00FB75BC" w:rsidP="008D190D">
      <w:pPr>
        <w:spacing w:after="120"/>
        <w:ind w:left="720" w:hanging="720"/>
        <w:jc w:val="both"/>
        <w:rPr>
          <w:rFonts w:ascii="Arial" w:hAnsi="Arial" w:cs="Arial"/>
          <w:color w:val="000000" w:themeColor="text1"/>
          <w:sz w:val="20"/>
          <w:szCs w:val="20"/>
        </w:rPr>
      </w:pPr>
      <w:r w:rsidRPr="00FB75BC">
        <w:rPr>
          <w:rFonts w:ascii="Arial" w:hAnsi="Arial" w:cs="Arial"/>
          <w:color w:val="000000" w:themeColor="text1"/>
          <w:sz w:val="20"/>
          <w:szCs w:val="20"/>
        </w:rPr>
        <w:t xml:space="preserve">Kimotho, R. N., &amp; Maina, S. (2024). </w:t>
      </w:r>
      <w:proofErr w:type="spellStart"/>
      <w:r w:rsidRPr="00FB75BC">
        <w:rPr>
          <w:rFonts w:ascii="Arial" w:hAnsi="Arial" w:cs="Arial"/>
          <w:color w:val="000000" w:themeColor="text1"/>
          <w:sz w:val="20"/>
          <w:szCs w:val="20"/>
        </w:rPr>
        <w:t>Unraveling</w:t>
      </w:r>
      <w:proofErr w:type="spellEnd"/>
      <w:r w:rsidRPr="00FB75BC">
        <w:rPr>
          <w:rFonts w:ascii="Arial" w:hAnsi="Arial" w:cs="Arial"/>
          <w:color w:val="000000" w:themeColor="text1"/>
          <w:sz w:val="20"/>
          <w:szCs w:val="20"/>
        </w:rPr>
        <w:t xml:space="preserve"> plant-microbe interactions: Can integrated omics approaches offer concrete answers? </w:t>
      </w:r>
      <w:r w:rsidRPr="00FB75BC">
        <w:rPr>
          <w:rFonts w:ascii="Arial" w:hAnsi="Arial" w:cs="Arial"/>
          <w:i/>
          <w:iCs/>
          <w:color w:val="000000" w:themeColor="text1"/>
          <w:sz w:val="20"/>
          <w:szCs w:val="20"/>
        </w:rPr>
        <w:t>Journal of Experimental Botany</w:t>
      </w:r>
      <w:r w:rsidRPr="00FB75BC">
        <w:rPr>
          <w:rFonts w:ascii="Arial" w:hAnsi="Arial" w:cs="Arial"/>
          <w:color w:val="000000" w:themeColor="text1"/>
          <w:sz w:val="20"/>
          <w:szCs w:val="20"/>
        </w:rPr>
        <w:t xml:space="preserve">, </w:t>
      </w:r>
      <w:r w:rsidRPr="00FB75BC">
        <w:rPr>
          <w:rFonts w:ascii="Arial" w:hAnsi="Arial" w:cs="Arial"/>
          <w:i/>
          <w:iCs/>
          <w:color w:val="000000" w:themeColor="text1"/>
          <w:sz w:val="20"/>
          <w:szCs w:val="20"/>
        </w:rPr>
        <w:t>75</w:t>
      </w:r>
      <w:r w:rsidRPr="00FB75BC">
        <w:rPr>
          <w:rFonts w:ascii="Arial" w:hAnsi="Arial" w:cs="Arial"/>
          <w:color w:val="000000" w:themeColor="text1"/>
          <w:sz w:val="20"/>
          <w:szCs w:val="20"/>
        </w:rPr>
        <w:t xml:space="preserve">(5), 1289–1313. </w:t>
      </w:r>
      <w:hyperlink r:id="rId60" w:tgtFrame="_blank" w:history="1">
        <w:r w:rsidRPr="00FB75BC">
          <w:rPr>
            <w:rStyle w:val="Hyperlink"/>
            <w:rFonts w:ascii="Arial" w:hAnsi="Arial" w:cs="Arial"/>
            <w:sz w:val="20"/>
            <w:szCs w:val="20"/>
          </w:rPr>
          <w:t>https://doi.org/10.1093/jxb/erad448</w:t>
        </w:r>
      </w:hyperlink>
    </w:p>
    <w:p w14:paraId="2F580FE0" w14:textId="3C6EB70A" w:rsidR="008D190D" w:rsidRPr="00C20429" w:rsidRDefault="003E4D50" w:rsidP="008D190D">
      <w:pPr>
        <w:spacing w:after="120"/>
        <w:ind w:left="720" w:hanging="720"/>
        <w:jc w:val="both"/>
        <w:rPr>
          <w:rFonts w:ascii="Arial" w:hAnsi="Arial" w:cs="Arial"/>
          <w:color w:val="000000" w:themeColor="text1"/>
          <w:sz w:val="20"/>
          <w:szCs w:val="20"/>
        </w:rPr>
      </w:pPr>
      <w:r w:rsidRPr="003E4D50">
        <w:rPr>
          <w:rFonts w:ascii="Arial" w:hAnsi="Arial" w:cs="Arial"/>
          <w:color w:val="000000" w:themeColor="text1"/>
          <w:sz w:val="20"/>
          <w:szCs w:val="20"/>
        </w:rPr>
        <w:t xml:space="preserve">Vives-Peris, V., de </w:t>
      </w:r>
      <w:proofErr w:type="spellStart"/>
      <w:r w:rsidRPr="003E4D50">
        <w:rPr>
          <w:rFonts w:ascii="Arial" w:hAnsi="Arial" w:cs="Arial"/>
          <w:color w:val="000000" w:themeColor="text1"/>
          <w:sz w:val="20"/>
          <w:szCs w:val="20"/>
        </w:rPr>
        <w:t>Ollas</w:t>
      </w:r>
      <w:proofErr w:type="spellEnd"/>
      <w:r w:rsidRPr="003E4D50">
        <w:rPr>
          <w:rFonts w:ascii="Arial" w:hAnsi="Arial" w:cs="Arial"/>
          <w:color w:val="000000" w:themeColor="text1"/>
          <w:sz w:val="20"/>
          <w:szCs w:val="20"/>
        </w:rPr>
        <w:t xml:space="preserve">, C., Gómez-Cadenas, A., &amp; Pérez-Clemente, R. M. (2020). Root exudates: From plant to rhizosphere and beyond. </w:t>
      </w:r>
      <w:r w:rsidRPr="003E4D50">
        <w:rPr>
          <w:rFonts w:ascii="Arial" w:hAnsi="Arial" w:cs="Arial"/>
          <w:i/>
          <w:iCs/>
          <w:color w:val="000000" w:themeColor="text1"/>
          <w:sz w:val="20"/>
          <w:szCs w:val="20"/>
        </w:rPr>
        <w:t>Plant Cell Reports</w:t>
      </w:r>
      <w:r w:rsidRPr="003E4D50">
        <w:rPr>
          <w:rFonts w:ascii="Arial" w:hAnsi="Arial" w:cs="Arial"/>
          <w:color w:val="000000" w:themeColor="text1"/>
          <w:sz w:val="20"/>
          <w:szCs w:val="20"/>
        </w:rPr>
        <w:t xml:space="preserve">, </w:t>
      </w:r>
      <w:r w:rsidRPr="003E4D50">
        <w:rPr>
          <w:rFonts w:ascii="Arial" w:hAnsi="Arial" w:cs="Arial"/>
          <w:i/>
          <w:iCs/>
          <w:color w:val="000000" w:themeColor="text1"/>
          <w:sz w:val="20"/>
          <w:szCs w:val="20"/>
        </w:rPr>
        <w:t>39</w:t>
      </w:r>
      <w:r w:rsidRPr="003E4D50">
        <w:rPr>
          <w:rFonts w:ascii="Arial" w:hAnsi="Arial" w:cs="Arial"/>
          <w:color w:val="000000" w:themeColor="text1"/>
          <w:sz w:val="20"/>
          <w:szCs w:val="20"/>
        </w:rPr>
        <w:t xml:space="preserve">(1), 3–17. </w:t>
      </w:r>
      <w:hyperlink r:id="rId61" w:tgtFrame="_blank" w:history="1">
        <w:r w:rsidRPr="003E4D50">
          <w:rPr>
            <w:rStyle w:val="Hyperlink"/>
            <w:rFonts w:ascii="Arial" w:hAnsi="Arial" w:cs="Arial"/>
            <w:sz w:val="20"/>
            <w:szCs w:val="20"/>
          </w:rPr>
          <w:t>https://doi.org/10.1007/s00299-019-02447-5</w:t>
        </w:r>
      </w:hyperlink>
    </w:p>
    <w:p w14:paraId="6065CA95" w14:textId="26DFF7F5" w:rsidR="008D190D" w:rsidRPr="00C20429" w:rsidRDefault="00BC5128" w:rsidP="008D190D">
      <w:pPr>
        <w:spacing w:after="120"/>
        <w:ind w:left="720" w:hanging="720"/>
        <w:jc w:val="both"/>
        <w:rPr>
          <w:rFonts w:ascii="Arial" w:hAnsi="Arial" w:cs="Arial"/>
          <w:color w:val="000000" w:themeColor="text1"/>
          <w:sz w:val="20"/>
          <w:szCs w:val="20"/>
        </w:rPr>
      </w:pPr>
      <w:r w:rsidRPr="00BC5128">
        <w:rPr>
          <w:rFonts w:ascii="Arial" w:hAnsi="Arial" w:cs="Arial"/>
          <w:color w:val="000000" w:themeColor="text1"/>
          <w:sz w:val="20"/>
          <w:szCs w:val="20"/>
        </w:rPr>
        <w:t xml:space="preserve">Vives-Peris, V., de </w:t>
      </w:r>
      <w:proofErr w:type="spellStart"/>
      <w:r w:rsidRPr="00BC5128">
        <w:rPr>
          <w:rFonts w:ascii="Arial" w:hAnsi="Arial" w:cs="Arial"/>
          <w:color w:val="000000" w:themeColor="text1"/>
          <w:sz w:val="20"/>
          <w:szCs w:val="20"/>
        </w:rPr>
        <w:t>Ollas</w:t>
      </w:r>
      <w:proofErr w:type="spellEnd"/>
      <w:r w:rsidRPr="00BC5128">
        <w:rPr>
          <w:rFonts w:ascii="Arial" w:hAnsi="Arial" w:cs="Arial"/>
          <w:color w:val="000000" w:themeColor="text1"/>
          <w:sz w:val="20"/>
          <w:szCs w:val="20"/>
        </w:rPr>
        <w:t xml:space="preserve">, C., Gómez-Cadenas, A., &amp; Pérez-Clemente, R. M. (2020). Root exudates: From plant to rhizosphere and beyond. </w:t>
      </w:r>
      <w:r w:rsidRPr="00BC5128">
        <w:rPr>
          <w:rFonts w:ascii="Arial" w:hAnsi="Arial" w:cs="Arial"/>
          <w:i/>
          <w:iCs/>
          <w:color w:val="000000" w:themeColor="text1"/>
          <w:sz w:val="20"/>
          <w:szCs w:val="20"/>
        </w:rPr>
        <w:t>Plant Cell Reports</w:t>
      </w:r>
      <w:r w:rsidRPr="00BC5128">
        <w:rPr>
          <w:rFonts w:ascii="Arial" w:hAnsi="Arial" w:cs="Arial"/>
          <w:color w:val="000000" w:themeColor="text1"/>
          <w:sz w:val="20"/>
          <w:szCs w:val="20"/>
        </w:rPr>
        <w:t xml:space="preserve">, </w:t>
      </w:r>
      <w:r w:rsidRPr="00BC5128">
        <w:rPr>
          <w:rFonts w:ascii="Arial" w:hAnsi="Arial" w:cs="Arial"/>
          <w:i/>
          <w:iCs/>
          <w:color w:val="000000" w:themeColor="text1"/>
          <w:sz w:val="20"/>
          <w:szCs w:val="20"/>
        </w:rPr>
        <w:t>39</w:t>
      </w:r>
      <w:r w:rsidRPr="00BC5128">
        <w:rPr>
          <w:rFonts w:ascii="Arial" w:hAnsi="Arial" w:cs="Arial"/>
          <w:color w:val="000000" w:themeColor="text1"/>
          <w:sz w:val="20"/>
          <w:szCs w:val="20"/>
        </w:rPr>
        <w:t xml:space="preserve">(1), 3–17. </w:t>
      </w:r>
      <w:hyperlink r:id="rId62" w:tgtFrame="_blank" w:history="1">
        <w:r w:rsidRPr="00BC5128">
          <w:rPr>
            <w:rStyle w:val="Hyperlink"/>
            <w:rFonts w:ascii="Arial" w:hAnsi="Arial" w:cs="Arial"/>
            <w:sz w:val="20"/>
            <w:szCs w:val="20"/>
          </w:rPr>
          <w:t>https://doi.org/10.1007/s00299-019-02447-5</w:t>
        </w:r>
      </w:hyperlink>
      <w:r w:rsidR="008D190D" w:rsidRPr="00C20429">
        <w:rPr>
          <w:rFonts w:ascii="Arial" w:hAnsi="Arial" w:cs="Arial"/>
          <w:color w:val="000000" w:themeColor="text1"/>
          <w:sz w:val="20"/>
          <w:szCs w:val="20"/>
        </w:rPr>
        <w:t>.</w:t>
      </w:r>
    </w:p>
    <w:p w14:paraId="0DDB8A9C" w14:textId="28618B8F" w:rsidR="00FE7DF1" w:rsidRDefault="008D190D" w:rsidP="008D190D">
      <w:pPr>
        <w:spacing w:after="120"/>
        <w:ind w:left="720" w:hanging="720"/>
        <w:jc w:val="both"/>
        <w:rPr>
          <w:rFonts w:ascii="Arial" w:hAnsi="Arial" w:cs="Arial"/>
          <w:color w:val="000000" w:themeColor="text1"/>
          <w:sz w:val="20"/>
          <w:szCs w:val="20"/>
        </w:rPr>
      </w:pPr>
      <w:proofErr w:type="spellStart"/>
      <w:r w:rsidRPr="00C20429">
        <w:rPr>
          <w:rFonts w:ascii="Arial" w:hAnsi="Arial" w:cs="Arial"/>
          <w:color w:val="000000" w:themeColor="text1"/>
          <w:sz w:val="20"/>
          <w:szCs w:val="20"/>
        </w:rPr>
        <w:t>War</w:t>
      </w:r>
      <w:r w:rsidR="00AB6F24" w:rsidRPr="00AB6F24">
        <w:rPr>
          <w:rFonts w:ascii="Arial" w:hAnsi="Arial" w:cs="Arial"/>
          <w:color w:val="000000" w:themeColor="text1"/>
          <w:sz w:val="20"/>
          <w:szCs w:val="20"/>
        </w:rPr>
        <w:t>Nock</w:t>
      </w:r>
      <w:proofErr w:type="spellEnd"/>
      <w:r w:rsidR="00AB6F24" w:rsidRPr="00AB6F24">
        <w:rPr>
          <w:rFonts w:ascii="Arial" w:hAnsi="Arial" w:cs="Arial"/>
          <w:color w:val="000000" w:themeColor="text1"/>
          <w:sz w:val="20"/>
          <w:szCs w:val="20"/>
        </w:rPr>
        <w:t xml:space="preserve">, N. D., Wilson, L., Patten, C., Fleming, C. C., Maule, A. G., &amp; Dalzell, J. J. (2021). Nematode neuropeptides as transgenic nematicides. </w:t>
      </w:r>
      <w:proofErr w:type="spellStart"/>
      <w:r w:rsidR="00AB6F24" w:rsidRPr="00AB6F24">
        <w:rPr>
          <w:rFonts w:ascii="Arial" w:hAnsi="Arial" w:cs="Arial"/>
          <w:i/>
          <w:iCs/>
          <w:color w:val="000000" w:themeColor="text1"/>
          <w:sz w:val="20"/>
          <w:szCs w:val="20"/>
        </w:rPr>
        <w:t>PLoS</w:t>
      </w:r>
      <w:proofErr w:type="spellEnd"/>
      <w:r w:rsidR="00AB6F24" w:rsidRPr="00AB6F24">
        <w:rPr>
          <w:rFonts w:ascii="Arial" w:hAnsi="Arial" w:cs="Arial"/>
          <w:i/>
          <w:iCs/>
          <w:color w:val="000000" w:themeColor="text1"/>
          <w:sz w:val="20"/>
          <w:szCs w:val="20"/>
        </w:rPr>
        <w:t xml:space="preserve"> Pathogens</w:t>
      </w:r>
      <w:r w:rsidR="00AB6F24" w:rsidRPr="00AB6F24">
        <w:rPr>
          <w:rFonts w:ascii="Arial" w:hAnsi="Arial" w:cs="Arial"/>
          <w:color w:val="000000" w:themeColor="text1"/>
          <w:sz w:val="20"/>
          <w:szCs w:val="20"/>
        </w:rPr>
        <w:t xml:space="preserve">, </w:t>
      </w:r>
      <w:r w:rsidR="00AB6F24" w:rsidRPr="00AB6F24">
        <w:rPr>
          <w:rFonts w:ascii="Arial" w:hAnsi="Arial" w:cs="Arial"/>
          <w:i/>
          <w:iCs/>
          <w:color w:val="000000" w:themeColor="text1"/>
          <w:sz w:val="20"/>
          <w:szCs w:val="20"/>
        </w:rPr>
        <w:t>17</w:t>
      </w:r>
      <w:r w:rsidR="00AB6F24" w:rsidRPr="00AB6F24">
        <w:rPr>
          <w:rFonts w:ascii="Arial" w:hAnsi="Arial" w:cs="Arial"/>
          <w:color w:val="000000" w:themeColor="text1"/>
          <w:sz w:val="20"/>
          <w:szCs w:val="20"/>
        </w:rPr>
        <w:t xml:space="preserve">(2), Article e1009301. </w:t>
      </w:r>
      <w:hyperlink r:id="rId63" w:tgtFrame="_blank" w:history="1">
        <w:r w:rsidR="00AB6F24" w:rsidRPr="00AB6F24">
          <w:rPr>
            <w:rStyle w:val="Hyperlink"/>
            <w:rFonts w:ascii="Arial" w:hAnsi="Arial" w:cs="Arial"/>
            <w:sz w:val="20"/>
            <w:szCs w:val="20"/>
          </w:rPr>
          <w:t>https://doi.org/10.1371/journal.ppat.1009301</w:t>
        </w:r>
      </w:hyperlink>
    </w:p>
    <w:p w14:paraId="388B505C" w14:textId="77777777" w:rsidR="000322BE" w:rsidRPr="000322BE" w:rsidRDefault="000322BE" w:rsidP="000322BE">
      <w:pPr>
        <w:spacing w:after="120"/>
        <w:ind w:left="720" w:hanging="720"/>
        <w:jc w:val="both"/>
        <w:rPr>
          <w:rFonts w:ascii="Arial" w:hAnsi="Arial" w:cs="Arial"/>
          <w:color w:val="000000" w:themeColor="text1"/>
          <w:sz w:val="20"/>
          <w:szCs w:val="20"/>
        </w:rPr>
      </w:pPr>
      <w:r w:rsidRPr="000322BE">
        <w:rPr>
          <w:rFonts w:ascii="Arial" w:hAnsi="Arial" w:cs="Arial"/>
          <w:color w:val="000000" w:themeColor="text1"/>
          <w:sz w:val="20"/>
          <w:szCs w:val="20"/>
        </w:rPr>
        <w:t xml:space="preserve">Wei, Z., Yang, T., Friman, V.-P., Xu, Y., Shen, Q., &amp; </w:t>
      </w:r>
      <w:proofErr w:type="spellStart"/>
      <w:r w:rsidRPr="000322BE">
        <w:rPr>
          <w:rFonts w:ascii="Arial" w:hAnsi="Arial" w:cs="Arial"/>
          <w:color w:val="000000" w:themeColor="text1"/>
          <w:sz w:val="20"/>
          <w:szCs w:val="20"/>
        </w:rPr>
        <w:t>Jousset</w:t>
      </w:r>
      <w:proofErr w:type="spellEnd"/>
      <w:r w:rsidRPr="000322BE">
        <w:rPr>
          <w:rFonts w:ascii="Arial" w:hAnsi="Arial" w:cs="Arial"/>
          <w:color w:val="000000" w:themeColor="text1"/>
          <w:sz w:val="20"/>
          <w:szCs w:val="20"/>
        </w:rPr>
        <w:t xml:space="preserve">, A. (2015). Trophic network architecture of root-associated bacterial communities determines pathogen invasion and plant health. </w:t>
      </w:r>
      <w:r w:rsidRPr="000322BE">
        <w:rPr>
          <w:rFonts w:ascii="Arial" w:hAnsi="Arial" w:cs="Arial"/>
          <w:i/>
          <w:iCs/>
          <w:color w:val="000000" w:themeColor="text1"/>
          <w:sz w:val="20"/>
          <w:szCs w:val="20"/>
        </w:rPr>
        <w:t>Nature Communications</w:t>
      </w:r>
      <w:r w:rsidRPr="000322BE">
        <w:rPr>
          <w:rFonts w:ascii="Arial" w:hAnsi="Arial" w:cs="Arial"/>
          <w:color w:val="000000" w:themeColor="text1"/>
          <w:sz w:val="20"/>
          <w:szCs w:val="20"/>
        </w:rPr>
        <w:t xml:space="preserve">, </w:t>
      </w:r>
      <w:r w:rsidRPr="000322BE">
        <w:rPr>
          <w:rFonts w:ascii="Arial" w:hAnsi="Arial" w:cs="Arial"/>
          <w:i/>
          <w:iCs/>
          <w:color w:val="000000" w:themeColor="text1"/>
          <w:sz w:val="20"/>
          <w:szCs w:val="20"/>
        </w:rPr>
        <w:t>6</w:t>
      </w:r>
      <w:r w:rsidRPr="000322BE">
        <w:rPr>
          <w:rFonts w:ascii="Arial" w:hAnsi="Arial" w:cs="Arial"/>
          <w:color w:val="000000" w:themeColor="text1"/>
          <w:sz w:val="20"/>
          <w:szCs w:val="20"/>
        </w:rPr>
        <w:t xml:space="preserve">, Article 8413. </w:t>
      </w:r>
      <w:hyperlink r:id="rId64" w:tgtFrame="_blank" w:history="1">
        <w:r w:rsidRPr="000322BE">
          <w:rPr>
            <w:rStyle w:val="Hyperlink"/>
            <w:rFonts w:ascii="Arial" w:hAnsi="Arial" w:cs="Arial"/>
            <w:sz w:val="20"/>
            <w:szCs w:val="20"/>
          </w:rPr>
          <w:t>https://doi.org/10.1038/ncomms9413</w:t>
        </w:r>
      </w:hyperlink>
    </w:p>
    <w:p w14:paraId="60049F33" w14:textId="77777777" w:rsidR="00F879B6" w:rsidRPr="00F879B6" w:rsidRDefault="00F879B6" w:rsidP="00F879B6">
      <w:pPr>
        <w:spacing w:after="120"/>
        <w:ind w:left="720" w:hanging="720"/>
        <w:jc w:val="both"/>
        <w:rPr>
          <w:rFonts w:ascii="Arial" w:hAnsi="Arial" w:cs="Arial"/>
          <w:color w:val="000000" w:themeColor="text1"/>
          <w:sz w:val="20"/>
          <w:szCs w:val="20"/>
        </w:rPr>
      </w:pPr>
      <w:r w:rsidRPr="00F879B6">
        <w:rPr>
          <w:rFonts w:ascii="Arial" w:hAnsi="Arial" w:cs="Arial"/>
          <w:color w:val="000000" w:themeColor="text1"/>
          <w:sz w:val="20"/>
          <w:szCs w:val="20"/>
        </w:rPr>
        <w:t xml:space="preserve">Wu, C.-D., Fan, Y.-B., Chen, X., Cao, J.-W., Ye, J.-Y., Feng, M.-L., Liu, X.-X., Sun, W.-J., Liu, R.-N., &amp; Wang, A.-Y. (2024). Analysis of endophytic bacterial diversity in seeds of different genotypes of cotton and the suppression of Verticillium wilt pathogen infection by a synthetic microbial community. </w:t>
      </w:r>
      <w:r w:rsidRPr="00F879B6">
        <w:rPr>
          <w:rFonts w:ascii="Arial" w:hAnsi="Arial" w:cs="Arial"/>
          <w:i/>
          <w:iCs/>
          <w:color w:val="000000" w:themeColor="text1"/>
          <w:sz w:val="20"/>
          <w:szCs w:val="20"/>
        </w:rPr>
        <w:t>BMC Plant Biology</w:t>
      </w:r>
      <w:r w:rsidRPr="00F879B6">
        <w:rPr>
          <w:rFonts w:ascii="Arial" w:hAnsi="Arial" w:cs="Arial"/>
          <w:color w:val="000000" w:themeColor="text1"/>
          <w:sz w:val="20"/>
          <w:szCs w:val="20"/>
        </w:rPr>
        <w:t xml:space="preserve">, </w:t>
      </w:r>
      <w:r w:rsidRPr="00F879B6">
        <w:rPr>
          <w:rFonts w:ascii="Arial" w:hAnsi="Arial" w:cs="Arial"/>
          <w:i/>
          <w:iCs/>
          <w:color w:val="000000" w:themeColor="text1"/>
          <w:sz w:val="20"/>
          <w:szCs w:val="20"/>
        </w:rPr>
        <w:t>24</w:t>
      </w:r>
      <w:r w:rsidRPr="00F879B6">
        <w:rPr>
          <w:rFonts w:ascii="Arial" w:hAnsi="Arial" w:cs="Arial"/>
          <w:color w:val="000000" w:themeColor="text1"/>
          <w:sz w:val="20"/>
          <w:szCs w:val="20"/>
        </w:rPr>
        <w:t xml:space="preserve">, Article 263. </w:t>
      </w:r>
      <w:hyperlink r:id="rId65" w:tgtFrame="_blank" w:history="1">
        <w:r w:rsidRPr="00F879B6">
          <w:rPr>
            <w:rStyle w:val="Hyperlink"/>
            <w:rFonts w:ascii="Arial" w:hAnsi="Arial" w:cs="Arial"/>
            <w:sz w:val="20"/>
            <w:szCs w:val="20"/>
          </w:rPr>
          <w:t>https://doi.org/10.1186/s12870-024-04982-1</w:t>
        </w:r>
      </w:hyperlink>
    </w:p>
    <w:p w14:paraId="3DADD439" w14:textId="2890B6AA" w:rsidR="00FC3260" w:rsidRPr="00FC3260" w:rsidRDefault="00F9016C" w:rsidP="00FC3260">
      <w:pPr>
        <w:spacing w:after="120"/>
        <w:ind w:left="720" w:hanging="720"/>
        <w:jc w:val="both"/>
        <w:rPr>
          <w:rFonts w:ascii="Arial" w:hAnsi="Arial" w:cs="Arial"/>
          <w:color w:val="000000" w:themeColor="text1"/>
          <w:sz w:val="20"/>
          <w:szCs w:val="20"/>
        </w:rPr>
      </w:pPr>
      <w:r w:rsidRPr="00F9016C">
        <w:rPr>
          <w:rFonts w:ascii="Arial" w:hAnsi="Arial" w:cs="Arial"/>
          <w:color w:val="000000" w:themeColor="text1"/>
          <w:sz w:val="20"/>
          <w:szCs w:val="20"/>
        </w:rPr>
        <w:t xml:space="preserve">Yang, K., Fu, R., Feng, H., Jiang, G., Finkel, O., Sun, T., et al. (2023). RIN enhances plant disease resistance via root exudate-mediated assembly of disease-suppressive rhizosphere microbiota. </w:t>
      </w:r>
      <w:r w:rsidRPr="00F9016C">
        <w:rPr>
          <w:rFonts w:ascii="Arial" w:hAnsi="Arial" w:cs="Arial"/>
          <w:i/>
          <w:iCs/>
          <w:color w:val="000000" w:themeColor="text1"/>
          <w:sz w:val="20"/>
          <w:szCs w:val="20"/>
        </w:rPr>
        <w:t>Molecular Plant</w:t>
      </w:r>
      <w:r w:rsidRPr="00F9016C">
        <w:rPr>
          <w:rFonts w:ascii="Arial" w:hAnsi="Arial" w:cs="Arial"/>
          <w:color w:val="000000" w:themeColor="text1"/>
          <w:sz w:val="20"/>
          <w:szCs w:val="20"/>
        </w:rPr>
        <w:t xml:space="preserve">, </w:t>
      </w:r>
      <w:r w:rsidRPr="00F9016C">
        <w:rPr>
          <w:rFonts w:ascii="Arial" w:hAnsi="Arial" w:cs="Arial"/>
          <w:i/>
          <w:iCs/>
          <w:color w:val="000000" w:themeColor="text1"/>
          <w:sz w:val="20"/>
          <w:szCs w:val="20"/>
        </w:rPr>
        <w:t>16</w:t>
      </w:r>
      <w:r w:rsidRPr="00F9016C">
        <w:rPr>
          <w:rFonts w:ascii="Arial" w:hAnsi="Arial" w:cs="Arial"/>
          <w:color w:val="000000" w:themeColor="text1"/>
          <w:sz w:val="20"/>
          <w:szCs w:val="20"/>
        </w:rPr>
        <w:t xml:space="preserve">(9), 1379–1395. </w:t>
      </w:r>
      <w:hyperlink r:id="rId66" w:tgtFrame="_blank" w:history="1">
        <w:r w:rsidRPr="00F9016C">
          <w:rPr>
            <w:rStyle w:val="Hyperlink"/>
            <w:rFonts w:ascii="Arial" w:hAnsi="Arial" w:cs="Arial"/>
            <w:sz w:val="20"/>
            <w:szCs w:val="20"/>
          </w:rPr>
          <w:t>https://doi.org/10.1016/j.molp.2023.08.004</w:t>
        </w:r>
      </w:hyperlink>
    </w:p>
    <w:p w14:paraId="5EDAE444" w14:textId="77777777" w:rsidR="00B01923" w:rsidRPr="00B01923" w:rsidRDefault="00B01923" w:rsidP="00B01923">
      <w:pPr>
        <w:spacing w:after="120"/>
        <w:ind w:left="720" w:hanging="720"/>
        <w:jc w:val="both"/>
        <w:rPr>
          <w:rFonts w:ascii="Arial" w:hAnsi="Arial" w:cs="Arial"/>
          <w:color w:val="000000" w:themeColor="text1"/>
          <w:sz w:val="20"/>
          <w:szCs w:val="20"/>
        </w:rPr>
      </w:pPr>
      <w:r w:rsidRPr="00B01923">
        <w:rPr>
          <w:rFonts w:ascii="Arial" w:hAnsi="Arial" w:cs="Arial"/>
          <w:color w:val="000000" w:themeColor="text1"/>
          <w:sz w:val="20"/>
          <w:szCs w:val="20"/>
        </w:rPr>
        <w:t xml:space="preserve">Yin, C., Hagerty, C. H., &amp; Paulitz, T. C. (2022). Synthetic microbial consortia derived from rhizosphere soil protect wheat against a soilborne fungal pathogen. </w:t>
      </w:r>
      <w:r w:rsidRPr="00B01923">
        <w:rPr>
          <w:rFonts w:ascii="Arial" w:hAnsi="Arial" w:cs="Arial"/>
          <w:i/>
          <w:iCs/>
          <w:color w:val="000000" w:themeColor="text1"/>
          <w:sz w:val="20"/>
          <w:szCs w:val="20"/>
        </w:rPr>
        <w:t>Frontiers in Microbiology</w:t>
      </w:r>
      <w:r w:rsidRPr="00B01923">
        <w:rPr>
          <w:rFonts w:ascii="Arial" w:hAnsi="Arial" w:cs="Arial"/>
          <w:color w:val="000000" w:themeColor="text1"/>
          <w:sz w:val="20"/>
          <w:szCs w:val="20"/>
        </w:rPr>
        <w:t xml:space="preserve">, </w:t>
      </w:r>
      <w:r w:rsidRPr="00B01923">
        <w:rPr>
          <w:rFonts w:ascii="Arial" w:hAnsi="Arial" w:cs="Arial"/>
          <w:i/>
          <w:iCs/>
          <w:color w:val="000000" w:themeColor="text1"/>
          <w:sz w:val="20"/>
          <w:szCs w:val="20"/>
        </w:rPr>
        <w:t>13</w:t>
      </w:r>
      <w:r w:rsidRPr="00B01923">
        <w:rPr>
          <w:rFonts w:ascii="Arial" w:hAnsi="Arial" w:cs="Arial"/>
          <w:color w:val="000000" w:themeColor="text1"/>
          <w:sz w:val="20"/>
          <w:szCs w:val="20"/>
        </w:rPr>
        <w:t xml:space="preserve">, Article 908981. </w:t>
      </w:r>
      <w:hyperlink r:id="rId67" w:tgtFrame="_blank" w:history="1">
        <w:r w:rsidRPr="00B01923">
          <w:rPr>
            <w:rStyle w:val="Hyperlink"/>
            <w:rFonts w:ascii="Arial" w:hAnsi="Arial" w:cs="Arial"/>
            <w:sz w:val="20"/>
            <w:szCs w:val="20"/>
          </w:rPr>
          <w:t>https://doi.org/10.3389/fmicb.2022.908981</w:t>
        </w:r>
      </w:hyperlink>
    </w:p>
    <w:p w14:paraId="54DB9520" w14:textId="77777777" w:rsidR="00566B14" w:rsidRPr="00566B14" w:rsidRDefault="00566B14" w:rsidP="00566B14">
      <w:pPr>
        <w:spacing w:after="120"/>
        <w:ind w:left="720" w:hanging="720"/>
        <w:jc w:val="both"/>
        <w:rPr>
          <w:rFonts w:ascii="Arial" w:hAnsi="Arial" w:cs="Arial"/>
          <w:color w:val="000000" w:themeColor="text1"/>
          <w:sz w:val="20"/>
          <w:szCs w:val="20"/>
        </w:rPr>
      </w:pPr>
      <w:r w:rsidRPr="00566B14">
        <w:rPr>
          <w:rFonts w:ascii="Arial" w:hAnsi="Arial" w:cs="Arial"/>
          <w:color w:val="000000" w:themeColor="text1"/>
          <w:sz w:val="20"/>
          <w:szCs w:val="20"/>
        </w:rPr>
        <w:t xml:space="preserve">Zahoor, A., Arshad, U., Niaz, Z., Shafique, M. S., Sarwar, N., &amp; Jabran, M. (2024). Reshaping the plant microbiomes for sustainable disease management. </w:t>
      </w:r>
      <w:r w:rsidRPr="00566B14">
        <w:rPr>
          <w:rFonts w:ascii="Arial" w:hAnsi="Arial" w:cs="Arial"/>
          <w:i/>
          <w:iCs/>
          <w:color w:val="000000" w:themeColor="text1"/>
          <w:sz w:val="20"/>
          <w:szCs w:val="20"/>
        </w:rPr>
        <w:t>Integrative Plant Biotechnology</w:t>
      </w:r>
      <w:r w:rsidRPr="00566B14">
        <w:rPr>
          <w:rFonts w:ascii="Arial" w:hAnsi="Arial" w:cs="Arial"/>
          <w:color w:val="000000" w:themeColor="text1"/>
          <w:sz w:val="20"/>
          <w:szCs w:val="20"/>
        </w:rPr>
        <w:t xml:space="preserve">, </w:t>
      </w:r>
      <w:r w:rsidRPr="00566B14">
        <w:rPr>
          <w:rFonts w:ascii="Arial" w:hAnsi="Arial" w:cs="Arial"/>
          <w:i/>
          <w:iCs/>
          <w:color w:val="000000" w:themeColor="text1"/>
          <w:sz w:val="20"/>
          <w:szCs w:val="20"/>
        </w:rPr>
        <w:t>2</w:t>
      </w:r>
      <w:r w:rsidRPr="00566B14">
        <w:rPr>
          <w:rFonts w:ascii="Arial" w:hAnsi="Arial" w:cs="Arial"/>
          <w:color w:val="000000" w:themeColor="text1"/>
          <w:sz w:val="20"/>
          <w:szCs w:val="20"/>
        </w:rPr>
        <w:t xml:space="preserve">(1), 63–76. </w:t>
      </w:r>
      <w:hyperlink r:id="rId68" w:tgtFrame="_blank" w:history="1">
        <w:r w:rsidRPr="00566B14">
          <w:rPr>
            <w:rStyle w:val="Hyperlink"/>
            <w:rFonts w:ascii="Arial" w:hAnsi="Arial" w:cs="Arial"/>
            <w:sz w:val="20"/>
            <w:szCs w:val="20"/>
          </w:rPr>
          <w:t>https://doi.org/10.55627/pbiotech.002.01.0786</w:t>
        </w:r>
      </w:hyperlink>
    </w:p>
    <w:p w14:paraId="6C52DA7B" w14:textId="1DE7501A" w:rsidR="00B2360D" w:rsidRPr="00B2360D" w:rsidRDefault="00B2360D" w:rsidP="00B2360D">
      <w:pPr>
        <w:spacing w:after="120"/>
        <w:ind w:left="720" w:hanging="720"/>
        <w:jc w:val="both"/>
        <w:rPr>
          <w:rFonts w:ascii="Arial" w:hAnsi="Arial" w:cs="Arial"/>
          <w:color w:val="000000" w:themeColor="text1"/>
          <w:sz w:val="20"/>
          <w:szCs w:val="20"/>
        </w:rPr>
      </w:pPr>
      <w:r w:rsidRPr="00B2360D">
        <w:rPr>
          <w:rFonts w:ascii="Arial" w:hAnsi="Arial" w:cs="Arial"/>
          <w:color w:val="000000" w:themeColor="text1"/>
          <w:sz w:val="20"/>
          <w:szCs w:val="20"/>
        </w:rPr>
        <w:t xml:space="preserve">Zhang, J., Liu, Y.-X., Guo, X., Qin, Y., Garrido-Oter, R., Schulze-Lefert, P., &amp; Bai, Y. (2021). High-throughput cultivation and identification of bacteria from the plant root microbiota. </w:t>
      </w:r>
      <w:r w:rsidRPr="00B2360D">
        <w:rPr>
          <w:rFonts w:ascii="Arial" w:hAnsi="Arial" w:cs="Arial"/>
          <w:i/>
          <w:iCs/>
          <w:color w:val="000000" w:themeColor="text1"/>
          <w:sz w:val="20"/>
          <w:szCs w:val="20"/>
        </w:rPr>
        <w:t>Nature Protocols</w:t>
      </w:r>
      <w:r w:rsidRPr="00B2360D">
        <w:rPr>
          <w:rFonts w:ascii="Arial" w:hAnsi="Arial" w:cs="Arial"/>
          <w:color w:val="000000" w:themeColor="text1"/>
          <w:sz w:val="20"/>
          <w:szCs w:val="20"/>
        </w:rPr>
        <w:t xml:space="preserve">, </w:t>
      </w:r>
      <w:r w:rsidRPr="00B2360D">
        <w:rPr>
          <w:rFonts w:ascii="Arial" w:hAnsi="Arial" w:cs="Arial"/>
          <w:i/>
          <w:iCs/>
          <w:color w:val="000000" w:themeColor="text1"/>
          <w:sz w:val="20"/>
          <w:szCs w:val="20"/>
        </w:rPr>
        <w:t>16</w:t>
      </w:r>
      <w:r w:rsidRPr="00B2360D">
        <w:rPr>
          <w:rFonts w:ascii="Arial" w:hAnsi="Arial" w:cs="Arial"/>
          <w:color w:val="000000" w:themeColor="text1"/>
          <w:sz w:val="20"/>
          <w:szCs w:val="20"/>
        </w:rPr>
        <w:t xml:space="preserve">(2), 988–1012. </w:t>
      </w:r>
      <w:hyperlink r:id="rId69" w:tgtFrame="_blank" w:history="1">
        <w:r w:rsidRPr="00B2360D">
          <w:rPr>
            <w:rStyle w:val="Hyperlink"/>
            <w:rFonts w:ascii="Arial" w:hAnsi="Arial" w:cs="Arial"/>
            <w:sz w:val="20"/>
            <w:szCs w:val="20"/>
          </w:rPr>
          <w:t>https://doi.org/10.1038/s41596-020-00444-7</w:t>
        </w:r>
      </w:hyperlink>
    </w:p>
    <w:p w14:paraId="48A2859F" w14:textId="5148E7E6" w:rsidR="00F70060" w:rsidRPr="002C04D3" w:rsidRDefault="002C04D3" w:rsidP="007634E8">
      <w:pPr>
        <w:spacing w:after="200" w:line="276" w:lineRule="auto"/>
        <w:jc w:val="both"/>
        <w:rPr>
          <w:rFonts w:ascii="Arial" w:hAnsi="Arial" w:cs="Arial"/>
          <w:color w:val="000000" w:themeColor="text1"/>
          <w:sz w:val="20"/>
          <w:szCs w:val="20"/>
        </w:rPr>
      </w:pPr>
      <w:r w:rsidRPr="002C04D3">
        <w:rPr>
          <w:rFonts w:ascii="Arial" w:hAnsi="Arial" w:cs="Arial"/>
          <w:color w:val="000000" w:themeColor="text1"/>
          <w:sz w:val="20"/>
          <w:szCs w:val="20"/>
        </w:rPr>
        <w:t xml:space="preserve">Zhou, X., Wang, J., Liu, F., Liang, J., Zhao, P., Tsui, C. K. M., &amp; Cai, L. (2022). Cross-kingdom synthetic microbiota supports tomato suppression of Fusarium wilt disease. </w:t>
      </w:r>
      <w:r w:rsidRPr="002C04D3">
        <w:rPr>
          <w:rFonts w:ascii="Arial" w:hAnsi="Arial" w:cs="Arial"/>
          <w:i/>
          <w:iCs/>
          <w:color w:val="000000" w:themeColor="text1"/>
          <w:sz w:val="20"/>
          <w:szCs w:val="20"/>
        </w:rPr>
        <w:t>Nature Communications</w:t>
      </w:r>
      <w:r w:rsidRPr="002C04D3">
        <w:rPr>
          <w:rFonts w:ascii="Arial" w:hAnsi="Arial" w:cs="Arial"/>
          <w:color w:val="000000" w:themeColor="text1"/>
          <w:sz w:val="20"/>
          <w:szCs w:val="20"/>
        </w:rPr>
        <w:t xml:space="preserve">, </w:t>
      </w:r>
      <w:r w:rsidRPr="002C04D3">
        <w:rPr>
          <w:rFonts w:ascii="Arial" w:hAnsi="Arial" w:cs="Arial"/>
          <w:i/>
          <w:iCs/>
          <w:color w:val="000000" w:themeColor="text1"/>
          <w:sz w:val="20"/>
          <w:szCs w:val="20"/>
        </w:rPr>
        <w:t>13</w:t>
      </w:r>
      <w:r w:rsidRPr="002C04D3">
        <w:rPr>
          <w:rFonts w:ascii="Arial" w:hAnsi="Arial" w:cs="Arial"/>
          <w:color w:val="000000" w:themeColor="text1"/>
          <w:sz w:val="20"/>
          <w:szCs w:val="20"/>
        </w:rPr>
        <w:t xml:space="preserve">(1), Article 7890. </w:t>
      </w:r>
      <w:hyperlink r:id="rId70" w:tgtFrame="_blank" w:history="1">
        <w:r w:rsidRPr="002C04D3">
          <w:rPr>
            <w:rStyle w:val="Hyperlink"/>
            <w:rFonts w:ascii="Arial" w:hAnsi="Arial" w:cs="Arial"/>
            <w:sz w:val="20"/>
            <w:szCs w:val="20"/>
          </w:rPr>
          <w:t>https://doi.org/10.1038/s41467-022-35452-6</w:t>
        </w:r>
      </w:hyperlink>
    </w:p>
    <w:p w14:paraId="0A841AEC" w14:textId="77777777" w:rsidR="00C74303" w:rsidRPr="003B42F7" w:rsidRDefault="00C74303" w:rsidP="009D16EF">
      <w:pPr>
        <w:spacing w:after="200" w:line="276" w:lineRule="auto"/>
        <w:jc w:val="both"/>
        <w:rPr>
          <w:rFonts w:ascii="Arial" w:hAnsi="Arial" w:cs="Arial"/>
          <w:b/>
          <w:bCs/>
          <w:sz w:val="24"/>
          <w:szCs w:val="24"/>
        </w:rPr>
      </w:pPr>
    </w:p>
    <w:p w14:paraId="49A37E2C" w14:textId="77777777" w:rsidR="00670DAA" w:rsidRPr="003B42F7" w:rsidRDefault="00670DAA" w:rsidP="004F0D91">
      <w:pPr>
        <w:spacing w:after="200" w:line="276" w:lineRule="auto"/>
        <w:jc w:val="both"/>
        <w:rPr>
          <w:rFonts w:ascii="Arial" w:hAnsi="Arial" w:cs="Arial"/>
          <w:b/>
          <w:bCs/>
          <w:sz w:val="24"/>
          <w:szCs w:val="24"/>
        </w:rPr>
      </w:pPr>
    </w:p>
    <w:p w14:paraId="39480FF7" w14:textId="77777777" w:rsidR="0033043A" w:rsidRPr="003B42F7" w:rsidRDefault="0033043A" w:rsidP="00B6389F">
      <w:pPr>
        <w:spacing w:after="200" w:line="276" w:lineRule="auto"/>
        <w:jc w:val="both"/>
        <w:rPr>
          <w:rFonts w:ascii="Arial" w:hAnsi="Arial" w:cs="Arial"/>
          <w:sz w:val="24"/>
          <w:szCs w:val="24"/>
        </w:rPr>
      </w:pPr>
    </w:p>
    <w:p w14:paraId="3A2E77D1" w14:textId="5A1758C7" w:rsidR="00CA620F" w:rsidRPr="003B42F7" w:rsidRDefault="00CA620F" w:rsidP="00CA620F">
      <w:pPr>
        <w:spacing w:after="200" w:line="276" w:lineRule="auto"/>
        <w:jc w:val="both"/>
        <w:rPr>
          <w:rFonts w:ascii="Arial" w:hAnsi="Arial" w:cs="Arial"/>
          <w:sz w:val="24"/>
          <w:szCs w:val="24"/>
        </w:rPr>
      </w:pPr>
    </w:p>
    <w:p w14:paraId="2BF4C1C2" w14:textId="77777777" w:rsidR="00810452" w:rsidRPr="003B42F7" w:rsidRDefault="00810452" w:rsidP="00481E26">
      <w:pPr>
        <w:spacing w:after="200" w:line="276" w:lineRule="auto"/>
        <w:jc w:val="both"/>
        <w:rPr>
          <w:rFonts w:ascii="Arial" w:hAnsi="Arial" w:cs="Arial"/>
          <w:szCs w:val="24"/>
        </w:rPr>
      </w:pPr>
    </w:p>
    <w:p w14:paraId="11B8A7FA" w14:textId="79C3D6A3" w:rsidR="00F624D5" w:rsidRPr="003B42F7" w:rsidRDefault="00F624D5" w:rsidP="00032614">
      <w:pPr>
        <w:spacing w:after="200" w:line="276" w:lineRule="auto"/>
        <w:jc w:val="both"/>
        <w:rPr>
          <w:rFonts w:ascii="Arial" w:hAnsi="Arial" w:cs="Arial"/>
          <w:sz w:val="24"/>
          <w:szCs w:val="24"/>
        </w:rPr>
      </w:pPr>
    </w:p>
    <w:p w14:paraId="5BFB0E04" w14:textId="77777777" w:rsidR="00C75034" w:rsidRPr="003B42F7" w:rsidRDefault="00C75034" w:rsidP="0051700F">
      <w:pPr>
        <w:spacing w:after="200" w:line="276" w:lineRule="auto"/>
        <w:jc w:val="both"/>
        <w:rPr>
          <w:rFonts w:ascii="Arial" w:hAnsi="Arial" w:cs="Arial"/>
          <w:sz w:val="24"/>
          <w:szCs w:val="24"/>
        </w:rPr>
      </w:pPr>
    </w:p>
    <w:p w14:paraId="47DDAD8D" w14:textId="77777777" w:rsidR="0051700F" w:rsidRPr="003B42F7" w:rsidRDefault="0051700F" w:rsidP="00CD3A06">
      <w:pPr>
        <w:spacing w:after="200" w:line="276" w:lineRule="auto"/>
        <w:jc w:val="both"/>
        <w:rPr>
          <w:rFonts w:ascii="Arial" w:hAnsi="Arial" w:cs="Arial"/>
          <w:sz w:val="24"/>
          <w:szCs w:val="24"/>
        </w:rPr>
      </w:pPr>
    </w:p>
    <w:p w14:paraId="38D5AF2A" w14:textId="7BF0A992" w:rsidR="008B250E" w:rsidRPr="003B42F7" w:rsidRDefault="008B250E" w:rsidP="008B250E">
      <w:pPr>
        <w:spacing w:after="200" w:line="276" w:lineRule="auto"/>
        <w:jc w:val="both"/>
        <w:rPr>
          <w:rFonts w:ascii="Arial" w:hAnsi="Arial" w:cs="Arial"/>
          <w:sz w:val="24"/>
          <w:szCs w:val="24"/>
        </w:rPr>
      </w:pPr>
    </w:p>
    <w:p w14:paraId="20591FCD" w14:textId="77777777" w:rsidR="00F764C3" w:rsidRPr="003B42F7" w:rsidRDefault="00F764C3" w:rsidP="008A0374">
      <w:pPr>
        <w:spacing w:after="200" w:line="276" w:lineRule="auto"/>
        <w:jc w:val="both"/>
        <w:rPr>
          <w:rFonts w:ascii="Arial" w:hAnsi="Arial" w:cs="Arial"/>
          <w:sz w:val="24"/>
          <w:szCs w:val="24"/>
        </w:rPr>
      </w:pPr>
    </w:p>
    <w:p w14:paraId="2CB7FEC2" w14:textId="77777777" w:rsidR="00F764C3" w:rsidRPr="003B42F7" w:rsidRDefault="00F764C3" w:rsidP="008A0374">
      <w:pPr>
        <w:spacing w:after="200" w:line="276" w:lineRule="auto"/>
        <w:jc w:val="both"/>
        <w:rPr>
          <w:rFonts w:ascii="Arial" w:hAnsi="Arial" w:cs="Arial"/>
          <w:sz w:val="24"/>
          <w:szCs w:val="24"/>
        </w:rPr>
      </w:pPr>
    </w:p>
    <w:p w14:paraId="25211472" w14:textId="77777777" w:rsidR="00F764C3" w:rsidRPr="003B42F7" w:rsidRDefault="00F764C3" w:rsidP="008A0374">
      <w:pPr>
        <w:spacing w:line="276" w:lineRule="auto"/>
        <w:jc w:val="both"/>
        <w:rPr>
          <w:rFonts w:ascii="Arial" w:hAnsi="Arial" w:cs="Arial"/>
          <w:sz w:val="32"/>
          <w:szCs w:val="32"/>
        </w:rPr>
      </w:pPr>
    </w:p>
    <w:sectPr w:rsidR="00F764C3" w:rsidRPr="003B42F7" w:rsidSect="00390D00">
      <w:headerReference w:type="even" r:id="rId71"/>
      <w:headerReference w:type="default" r:id="rId72"/>
      <w:footerReference w:type="even" r:id="rId73"/>
      <w:footerReference w:type="default" r:id="rId74"/>
      <w:headerReference w:type="first" r:id="rId75"/>
      <w:footerReference w:type="first" r:id="rId7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57717" w14:textId="77777777" w:rsidR="00B20CE5" w:rsidRDefault="00B20CE5" w:rsidP="0011506D">
      <w:r>
        <w:separator/>
      </w:r>
    </w:p>
  </w:endnote>
  <w:endnote w:type="continuationSeparator" w:id="0">
    <w:p w14:paraId="55BEFFBC" w14:textId="77777777" w:rsidR="00B20CE5" w:rsidRDefault="00B20CE5" w:rsidP="00115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67C9" w14:textId="77777777" w:rsidR="00EA3EC7" w:rsidRDefault="00EA3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614C" w14:textId="77777777" w:rsidR="00EA3EC7" w:rsidRDefault="00EA3E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3709" w14:textId="77777777" w:rsidR="00EA3EC7" w:rsidRDefault="00EA3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9703" w14:textId="77777777" w:rsidR="00B20CE5" w:rsidRDefault="00B20CE5" w:rsidP="0011506D">
      <w:r>
        <w:separator/>
      </w:r>
    </w:p>
  </w:footnote>
  <w:footnote w:type="continuationSeparator" w:id="0">
    <w:p w14:paraId="09CD96A8" w14:textId="77777777" w:rsidR="00B20CE5" w:rsidRDefault="00B20CE5" w:rsidP="00115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8906" w14:textId="6C4C54D3" w:rsidR="00EA3EC7" w:rsidRDefault="00EA3EC7">
    <w:pPr>
      <w:pStyle w:val="Header"/>
    </w:pPr>
    <w:r>
      <w:rPr>
        <w:noProof/>
      </w:rPr>
      <w:pict w14:anchorId="202FFE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146047" o:spid="_x0000_s1026" type="#_x0000_t136" style="position:absolute;margin-left:0;margin-top:0;width:621.2pt;height:116.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A47D" w14:textId="4094D320" w:rsidR="00EA3EC7" w:rsidRDefault="00EA3EC7">
    <w:pPr>
      <w:pStyle w:val="Header"/>
    </w:pPr>
    <w:r>
      <w:rPr>
        <w:noProof/>
      </w:rPr>
      <w:pict w14:anchorId="4C6E5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146048" o:spid="_x0000_s1027" type="#_x0000_t136" style="position:absolute;margin-left:0;margin-top:0;width:621.2pt;height:116.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DFF7" w14:textId="39A4015A" w:rsidR="00EA3EC7" w:rsidRDefault="00EA3EC7">
    <w:pPr>
      <w:pStyle w:val="Header"/>
    </w:pPr>
    <w:r>
      <w:rPr>
        <w:noProof/>
      </w:rPr>
      <w:pict w14:anchorId="0EF3CA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146046" o:spid="_x0000_s1025" type="#_x0000_t136" style="position:absolute;margin-left:0;margin-top:0;width:621.2pt;height:116.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0E9"/>
    <w:multiLevelType w:val="multilevel"/>
    <w:tmpl w:val="1714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B4ACA"/>
    <w:multiLevelType w:val="multilevel"/>
    <w:tmpl w:val="E466B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66EBD"/>
    <w:multiLevelType w:val="multilevel"/>
    <w:tmpl w:val="4084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E76FB"/>
    <w:multiLevelType w:val="multilevel"/>
    <w:tmpl w:val="B658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A49D1"/>
    <w:multiLevelType w:val="multilevel"/>
    <w:tmpl w:val="1E42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F2E79"/>
    <w:multiLevelType w:val="multilevel"/>
    <w:tmpl w:val="1C56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B211A"/>
    <w:multiLevelType w:val="multilevel"/>
    <w:tmpl w:val="0F20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31CF7"/>
    <w:multiLevelType w:val="multilevel"/>
    <w:tmpl w:val="CCAA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77680"/>
    <w:multiLevelType w:val="multilevel"/>
    <w:tmpl w:val="A946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D1290"/>
    <w:multiLevelType w:val="multilevel"/>
    <w:tmpl w:val="83D4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C343A1"/>
    <w:multiLevelType w:val="multilevel"/>
    <w:tmpl w:val="662A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722F45"/>
    <w:multiLevelType w:val="multilevel"/>
    <w:tmpl w:val="6B96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D659BB"/>
    <w:multiLevelType w:val="multilevel"/>
    <w:tmpl w:val="529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0A58F9"/>
    <w:multiLevelType w:val="hybridMultilevel"/>
    <w:tmpl w:val="0B308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CF06D1"/>
    <w:multiLevelType w:val="multilevel"/>
    <w:tmpl w:val="5BF0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439375">
    <w:abstractNumId w:val="14"/>
  </w:num>
  <w:num w:numId="2" w16cid:durableId="722560657">
    <w:abstractNumId w:val="8"/>
  </w:num>
  <w:num w:numId="3" w16cid:durableId="600407701">
    <w:abstractNumId w:val="9"/>
  </w:num>
  <w:num w:numId="4" w16cid:durableId="196358953">
    <w:abstractNumId w:val="2"/>
  </w:num>
  <w:num w:numId="5" w16cid:durableId="1160346672">
    <w:abstractNumId w:val="6"/>
  </w:num>
  <w:num w:numId="6" w16cid:durableId="1380477144">
    <w:abstractNumId w:val="0"/>
  </w:num>
  <w:num w:numId="7" w16cid:durableId="989597165">
    <w:abstractNumId w:val="10"/>
  </w:num>
  <w:num w:numId="8" w16cid:durableId="699354199">
    <w:abstractNumId w:val="1"/>
  </w:num>
  <w:num w:numId="9" w16cid:durableId="1757238679">
    <w:abstractNumId w:val="3"/>
  </w:num>
  <w:num w:numId="10" w16cid:durableId="1626958008">
    <w:abstractNumId w:val="5"/>
  </w:num>
  <w:num w:numId="11" w16cid:durableId="968248101">
    <w:abstractNumId w:val="11"/>
  </w:num>
  <w:num w:numId="12" w16cid:durableId="1455174637">
    <w:abstractNumId w:val="4"/>
  </w:num>
  <w:num w:numId="13" w16cid:durableId="400837049">
    <w:abstractNumId w:val="12"/>
  </w:num>
  <w:num w:numId="14" w16cid:durableId="1330909820">
    <w:abstractNumId w:val="7"/>
  </w:num>
  <w:num w:numId="15" w16cid:durableId="269093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BD"/>
    <w:rsid w:val="00000A77"/>
    <w:rsid w:val="000031D5"/>
    <w:rsid w:val="00010D9E"/>
    <w:rsid w:val="00011C35"/>
    <w:rsid w:val="00020EFA"/>
    <w:rsid w:val="0002446A"/>
    <w:rsid w:val="000259F6"/>
    <w:rsid w:val="00025BD4"/>
    <w:rsid w:val="000322BE"/>
    <w:rsid w:val="00032614"/>
    <w:rsid w:val="00032BEF"/>
    <w:rsid w:val="00041D22"/>
    <w:rsid w:val="00045C75"/>
    <w:rsid w:val="000461F6"/>
    <w:rsid w:val="00053A89"/>
    <w:rsid w:val="000561F7"/>
    <w:rsid w:val="000562B9"/>
    <w:rsid w:val="000774E2"/>
    <w:rsid w:val="0008007A"/>
    <w:rsid w:val="00082876"/>
    <w:rsid w:val="00094041"/>
    <w:rsid w:val="000A5066"/>
    <w:rsid w:val="000B02C1"/>
    <w:rsid w:val="000B0AD7"/>
    <w:rsid w:val="000B6DFD"/>
    <w:rsid w:val="000C16CB"/>
    <w:rsid w:val="000C304E"/>
    <w:rsid w:val="000C4A55"/>
    <w:rsid w:val="000C5FFA"/>
    <w:rsid w:val="000E0871"/>
    <w:rsid w:val="000E0CD8"/>
    <w:rsid w:val="000E15F2"/>
    <w:rsid w:val="000E5556"/>
    <w:rsid w:val="000F36DD"/>
    <w:rsid w:val="00100449"/>
    <w:rsid w:val="00104C60"/>
    <w:rsid w:val="00105991"/>
    <w:rsid w:val="0011506D"/>
    <w:rsid w:val="00120D5D"/>
    <w:rsid w:val="00127BD8"/>
    <w:rsid w:val="001327AB"/>
    <w:rsid w:val="0013453D"/>
    <w:rsid w:val="00143887"/>
    <w:rsid w:val="00143CED"/>
    <w:rsid w:val="0014415D"/>
    <w:rsid w:val="00144CD4"/>
    <w:rsid w:val="00151481"/>
    <w:rsid w:val="001548A9"/>
    <w:rsid w:val="00162C3B"/>
    <w:rsid w:val="001631D1"/>
    <w:rsid w:val="00164993"/>
    <w:rsid w:val="00172BE1"/>
    <w:rsid w:val="001953A5"/>
    <w:rsid w:val="001B036B"/>
    <w:rsid w:val="001B6D3F"/>
    <w:rsid w:val="001C165D"/>
    <w:rsid w:val="001C392F"/>
    <w:rsid w:val="001C4384"/>
    <w:rsid w:val="001C48B2"/>
    <w:rsid w:val="001F1525"/>
    <w:rsid w:val="001F2C15"/>
    <w:rsid w:val="001F341A"/>
    <w:rsid w:val="001F651E"/>
    <w:rsid w:val="0021577F"/>
    <w:rsid w:val="00227577"/>
    <w:rsid w:val="00234A84"/>
    <w:rsid w:val="002374DF"/>
    <w:rsid w:val="00243B95"/>
    <w:rsid w:val="00250000"/>
    <w:rsid w:val="002505C4"/>
    <w:rsid w:val="00266391"/>
    <w:rsid w:val="00271893"/>
    <w:rsid w:val="0027469B"/>
    <w:rsid w:val="00277E8D"/>
    <w:rsid w:val="0029325F"/>
    <w:rsid w:val="002A26A7"/>
    <w:rsid w:val="002A2F65"/>
    <w:rsid w:val="002B566C"/>
    <w:rsid w:val="002C04D3"/>
    <w:rsid w:val="002C5855"/>
    <w:rsid w:val="002D7177"/>
    <w:rsid w:val="002D734B"/>
    <w:rsid w:val="002E0128"/>
    <w:rsid w:val="002E1E2D"/>
    <w:rsid w:val="002E33FE"/>
    <w:rsid w:val="002E6878"/>
    <w:rsid w:val="002F416F"/>
    <w:rsid w:val="002F695E"/>
    <w:rsid w:val="00301B46"/>
    <w:rsid w:val="00305DEE"/>
    <w:rsid w:val="00310193"/>
    <w:rsid w:val="00313406"/>
    <w:rsid w:val="00321F0B"/>
    <w:rsid w:val="0033043A"/>
    <w:rsid w:val="003304D9"/>
    <w:rsid w:val="0033339D"/>
    <w:rsid w:val="0033767D"/>
    <w:rsid w:val="0034039E"/>
    <w:rsid w:val="00343A01"/>
    <w:rsid w:val="00344F45"/>
    <w:rsid w:val="0035381B"/>
    <w:rsid w:val="0036607F"/>
    <w:rsid w:val="003742F3"/>
    <w:rsid w:val="00377104"/>
    <w:rsid w:val="003855EA"/>
    <w:rsid w:val="00385680"/>
    <w:rsid w:val="00387AC6"/>
    <w:rsid w:val="00390D00"/>
    <w:rsid w:val="00396CD6"/>
    <w:rsid w:val="003A1EB3"/>
    <w:rsid w:val="003A220F"/>
    <w:rsid w:val="003B1D81"/>
    <w:rsid w:val="003B3046"/>
    <w:rsid w:val="003B42F7"/>
    <w:rsid w:val="003C0A9A"/>
    <w:rsid w:val="003C7B5F"/>
    <w:rsid w:val="003D26A2"/>
    <w:rsid w:val="003E3CDC"/>
    <w:rsid w:val="003E4D50"/>
    <w:rsid w:val="003F2B2D"/>
    <w:rsid w:val="003F734C"/>
    <w:rsid w:val="00404F43"/>
    <w:rsid w:val="0041346E"/>
    <w:rsid w:val="0041683D"/>
    <w:rsid w:val="00420CB6"/>
    <w:rsid w:val="00421FC2"/>
    <w:rsid w:val="0042297D"/>
    <w:rsid w:val="00422AA7"/>
    <w:rsid w:val="00423193"/>
    <w:rsid w:val="00425011"/>
    <w:rsid w:val="004272B1"/>
    <w:rsid w:val="00437C52"/>
    <w:rsid w:val="00462DD2"/>
    <w:rsid w:val="004665E7"/>
    <w:rsid w:val="00467AD8"/>
    <w:rsid w:val="004750C9"/>
    <w:rsid w:val="00481E26"/>
    <w:rsid w:val="00483B17"/>
    <w:rsid w:val="004B5CA0"/>
    <w:rsid w:val="004B68A9"/>
    <w:rsid w:val="004C0A1A"/>
    <w:rsid w:val="004C0B6F"/>
    <w:rsid w:val="004D20BD"/>
    <w:rsid w:val="004E39F1"/>
    <w:rsid w:val="004F0D91"/>
    <w:rsid w:val="00500FF1"/>
    <w:rsid w:val="005017F8"/>
    <w:rsid w:val="00513ABF"/>
    <w:rsid w:val="005159BD"/>
    <w:rsid w:val="0051700F"/>
    <w:rsid w:val="005241BC"/>
    <w:rsid w:val="0053180D"/>
    <w:rsid w:val="00532026"/>
    <w:rsid w:val="00544A7C"/>
    <w:rsid w:val="00561863"/>
    <w:rsid w:val="005625CF"/>
    <w:rsid w:val="005659BB"/>
    <w:rsid w:val="00566B14"/>
    <w:rsid w:val="00587082"/>
    <w:rsid w:val="005A102C"/>
    <w:rsid w:val="005A6736"/>
    <w:rsid w:val="005B6316"/>
    <w:rsid w:val="005B7F83"/>
    <w:rsid w:val="005C13AC"/>
    <w:rsid w:val="005D5283"/>
    <w:rsid w:val="005D7C6C"/>
    <w:rsid w:val="005F1B72"/>
    <w:rsid w:val="005F48FB"/>
    <w:rsid w:val="00600747"/>
    <w:rsid w:val="00602B00"/>
    <w:rsid w:val="00604E26"/>
    <w:rsid w:val="00615974"/>
    <w:rsid w:val="006174D2"/>
    <w:rsid w:val="00621C98"/>
    <w:rsid w:val="00627BB4"/>
    <w:rsid w:val="00630C6B"/>
    <w:rsid w:val="00643FCE"/>
    <w:rsid w:val="00656382"/>
    <w:rsid w:val="006613CA"/>
    <w:rsid w:val="00670522"/>
    <w:rsid w:val="00670DAA"/>
    <w:rsid w:val="00672323"/>
    <w:rsid w:val="006822CA"/>
    <w:rsid w:val="00690F36"/>
    <w:rsid w:val="006B0588"/>
    <w:rsid w:val="006B27F4"/>
    <w:rsid w:val="006C2253"/>
    <w:rsid w:val="006C3D36"/>
    <w:rsid w:val="006D146E"/>
    <w:rsid w:val="006D28FC"/>
    <w:rsid w:val="006D5E13"/>
    <w:rsid w:val="006D60DA"/>
    <w:rsid w:val="006D6626"/>
    <w:rsid w:val="006E0155"/>
    <w:rsid w:val="006E0B84"/>
    <w:rsid w:val="006E3474"/>
    <w:rsid w:val="006E4756"/>
    <w:rsid w:val="006E558F"/>
    <w:rsid w:val="006F0D16"/>
    <w:rsid w:val="006F5430"/>
    <w:rsid w:val="006F75E6"/>
    <w:rsid w:val="00700D84"/>
    <w:rsid w:val="0070346D"/>
    <w:rsid w:val="00707454"/>
    <w:rsid w:val="0071069A"/>
    <w:rsid w:val="0071225F"/>
    <w:rsid w:val="00712FE2"/>
    <w:rsid w:val="0071538E"/>
    <w:rsid w:val="00745B41"/>
    <w:rsid w:val="00746634"/>
    <w:rsid w:val="007478DD"/>
    <w:rsid w:val="007634E8"/>
    <w:rsid w:val="007743B3"/>
    <w:rsid w:val="00777AB5"/>
    <w:rsid w:val="00780116"/>
    <w:rsid w:val="00795CF6"/>
    <w:rsid w:val="00796139"/>
    <w:rsid w:val="007B204F"/>
    <w:rsid w:val="007D2169"/>
    <w:rsid w:val="007D2E79"/>
    <w:rsid w:val="007D786A"/>
    <w:rsid w:val="007E6B96"/>
    <w:rsid w:val="007F268A"/>
    <w:rsid w:val="007F3F1A"/>
    <w:rsid w:val="007F5FFC"/>
    <w:rsid w:val="00805122"/>
    <w:rsid w:val="00810452"/>
    <w:rsid w:val="008220F0"/>
    <w:rsid w:val="00827398"/>
    <w:rsid w:val="008315E4"/>
    <w:rsid w:val="008414F4"/>
    <w:rsid w:val="00861C11"/>
    <w:rsid w:val="0086419E"/>
    <w:rsid w:val="008704FF"/>
    <w:rsid w:val="00883DBB"/>
    <w:rsid w:val="0088481B"/>
    <w:rsid w:val="008968BF"/>
    <w:rsid w:val="00896CA9"/>
    <w:rsid w:val="008A0374"/>
    <w:rsid w:val="008B250E"/>
    <w:rsid w:val="008C4D42"/>
    <w:rsid w:val="008D190D"/>
    <w:rsid w:val="008D4D14"/>
    <w:rsid w:val="008E2FB9"/>
    <w:rsid w:val="008E3369"/>
    <w:rsid w:val="008E41AE"/>
    <w:rsid w:val="008F3B73"/>
    <w:rsid w:val="008F7133"/>
    <w:rsid w:val="00900458"/>
    <w:rsid w:val="00912289"/>
    <w:rsid w:val="009130D2"/>
    <w:rsid w:val="00917931"/>
    <w:rsid w:val="0092412B"/>
    <w:rsid w:val="00925CFA"/>
    <w:rsid w:val="00926083"/>
    <w:rsid w:val="009267E7"/>
    <w:rsid w:val="00933BEC"/>
    <w:rsid w:val="00960105"/>
    <w:rsid w:val="0096426E"/>
    <w:rsid w:val="00964AD5"/>
    <w:rsid w:val="00966E3F"/>
    <w:rsid w:val="00977311"/>
    <w:rsid w:val="00984A59"/>
    <w:rsid w:val="00992520"/>
    <w:rsid w:val="00994808"/>
    <w:rsid w:val="00997542"/>
    <w:rsid w:val="00997952"/>
    <w:rsid w:val="009A0045"/>
    <w:rsid w:val="009A20C8"/>
    <w:rsid w:val="009A3D81"/>
    <w:rsid w:val="009B2D8D"/>
    <w:rsid w:val="009B326B"/>
    <w:rsid w:val="009B387E"/>
    <w:rsid w:val="009B6F65"/>
    <w:rsid w:val="009C5063"/>
    <w:rsid w:val="009C5465"/>
    <w:rsid w:val="009D16EF"/>
    <w:rsid w:val="009D2A6C"/>
    <w:rsid w:val="009D44D8"/>
    <w:rsid w:val="009E5698"/>
    <w:rsid w:val="009E672F"/>
    <w:rsid w:val="009F4C2E"/>
    <w:rsid w:val="00A00548"/>
    <w:rsid w:val="00A03622"/>
    <w:rsid w:val="00A10B3A"/>
    <w:rsid w:val="00A133C5"/>
    <w:rsid w:val="00A20BD3"/>
    <w:rsid w:val="00A26AAD"/>
    <w:rsid w:val="00A3139E"/>
    <w:rsid w:val="00A36359"/>
    <w:rsid w:val="00A473A7"/>
    <w:rsid w:val="00A53925"/>
    <w:rsid w:val="00A575F5"/>
    <w:rsid w:val="00A60585"/>
    <w:rsid w:val="00A74223"/>
    <w:rsid w:val="00A7626F"/>
    <w:rsid w:val="00A811F6"/>
    <w:rsid w:val="00A84FAD"/>
    <w:rsid w:val="00A875F6"/>
    <w:rsid w:val="00AB6F24"/>
    <w:rsid w:val="00AC6AAD"/>
    <w:rsid w:val="00AC7293"/>
    <w:rsid w:val="00AD48D7"/>
    <w:rsid w:val="00AD6181"/>
    <w:rsid w:val="00AF1FA1"/>
    <w:rsid w:val="00AF3CD7"/>
    <w:rsid w:val="00B01923"/>
    <w:rsid w:val="00B10CB2"/>
    <w:rsid w:val="00B17B54"/>
    <w:rsid w:val="00B20CE5"/>
    <w:rsid w:val="00B21C68"/>
    <w:rsid w:val="00B2360D"/>
    <w:rsid w:val="00B42BFF"/>
    <w:rsid w:val="00B45274"/>
    <w:rsid w:val="00B61B51"/>
    <w:rsid w:val="00B6389F"/>
    <w:rsid w:val="00B64B3F"/>
    <w:rsid w:val="00B65D7D"/>
    <w:rsid w:val="00B702AC"/>
    <w:rsid w:val="00B935AA"/>
    <w:rsid w:val="00BA34A2"/>
    <w:rsid w:val="00BA6E51"/>
    <w:rsid w:val="00BB0D9C"/>
    <w:rsid w:val="00BB5E88"/>
    <w:rsid w:val="00BB66DD"/>
    <w:rsid w:val="00BB77EB"/>
    <w:rsid w:val="00BC251B"/>
    <w:rsid w:val="00BC5128"/>
    <w:rsid w:val="00BD40B6"/>
    <w:rsid w:val="00BD5D48"/>
    <w:rsid w:val="00BD660F"/>
    <w:rsid w:val="00BD7C51"/>
    <w:rsid w:val="00BF1567"/>
    <w:rsid w:val="00C115C8"/>
    <w:rsid w:val="00C20429"/>
    <w:rsid w:val="00C30621"/>
    <w:rsid w:val="00C3725F"/>
    <w:rsid w:val="00C42624"/>
    <w:rsid w:val="00C5051B"/>
    <w:rsid w:val="00C55642"/>
    <w:rsid w:val="00C62107"/>
    <w:rsid w:val="00C62BC0"/>
    <w:rsid w:val="00C62EDA"/>
    <w:rsid w:val="00C74303"/>
    <w:rsid w:val="00C75034"/>
    <w:rsid w:val="00C77D70"/>
    <w:rsid w:val="00C8480B"/>
    <w:rsid w:val="00C91EB0"/>
    <w:rsid w:val="00C96B07"/>
    <w:rsid w:val="00C9762B"/>
    <w:rsid w:val="00CA620F"/>
    <w:rsid w:val="00CB1A35"/>
    <w:rsid w:val="00CB5328"/>
    <w:rsid w:val="00CC1686"/>
    <w:rsid w:val="00CC7053"/>
    <w:rsid w:val="00CD3A06"/>
    <w:rsid w:val="00CD4872"/>
    <w:rsid w:val="00CE22B1"/>
    <w:rsid w:val="00D15086"/>
    <w:rsid w:val="00D213EF"/>
    <w:rsid w:val="00D26B6D"/>
    <w:rsid w:val="00D3612A"/>
    <w:rsid w:val="00D36270"/>
    <w:rsid w:val="00D5268E"/>
    <w:rsid w:val="00D53715"/>
    <w:rsid w:val="00D54FE7"/>
    <w:rsid w:val="00D65FCC"/>
    <w:rsid w:val="00D7194E"/>
    <w:rsid w:val="00D80823"/>
    <w:rsid w:val="00D858EC"/>
    <w:rsid w:val="00D92919"/>
    <w:rsid w:val="00D9298E"/>
    <w:rsid w:val="00DA0291"/>
    <w:rsid w:val="00DB2BF4"/>
    <w:rsid w:val="00DB52D1"/>
    <w:rsid w:val="00DB6EA8"/>
    <w:rsid w:val="00DC3D9C"/>
    <w:rsid w:val="00DD0A23"/>
    <w:rsid w:val="00DD2D53"/>
    <w:rsid w:val="00DE326B"/>
    <w:rsid w:val="00DF0403"/>
    <w:rsid w:val="00DF1820"/>
    <w:rsid w:val="00DF1AB5"/>
    <w:rsid w:val="00DF6245"/>
    <w:rsid w:val="00E15619"/>
    <w:rsid w:val="00E1668D"/>
    <w:rsid w:val="00E1714D"/>
    <w:rsid w:val="00E21E4C"/>
    <w:rsid w:val="00E23E86"/>
    <w:rsid w:val="00E24477"/>
    <w:rsid w:val="00E25739"/>
    <w:rsid w:val="00E26AAA"/>
    <w:rsid w:val="00E326E5"/>
    <w:rsid w:val="00E3357C"/>
    <w:rsid w:val="00E346ED"/>
    <w:rsid w:val="00E34927"/>
    <w:rsid w:val="00E34E93"/>
    <w:rsid w:val="00E41AD0"/>
    <w:rsid w:val="00E42EE0"/>
    <w:rsid w:val="00E478C3"/>
    <w:rsid w:val="00E574B0"/>
    <w:rsid w:val="00E57F61"/>
    <w:rsid w:val="00E67016"/>
    <w:rsid w:val="00E67E46"/>
    <w:rsid w:val="00E779AF"/>
    <w:rsid w:val="00E810F8"/>
    <w:rsid w:val="00E86F9B"/>
    <w:rsid w:val="00E878FB"/>
    <w:rsid w:val="00E978F2"/>
    <w:rsid w:val="00EA3EC7"/>
    <w:rsid w:val="00EA5E28"/>
    <w:rsid w:val="00EA7207"/>
    <w:rsid w:val="00EB0888"/>
    <w:rsid w:val="00EB10AB"/>
    <w:rsid w:val="00EB2426"/>
    <w:rsid w:val="00EB413E"/>
    <w:rsid w:val="00EB7059"/>
    <w:rsid w:val="00EC033C"/>
    <w:rsid w:val="00EC199B"/>
    <w:rsid w:val="00EC7D5B"/>
    <w:rsid w:val="00ED18A4"/>
    <w:rsid w:val="00ED32B4"/>
    <w:rsid w:val="00ED4096"/>
    <w:rsid w:val="00EF0A0A"/>
    <w:rsid w:val="00F02F92"/>
    <w:rsid w:val="00F13D81"/>
    <w:rsid w:val="00F25C85"/>
    <w:rsid w:val="00F25E1E"/>
    <w:rsid w:val="00F51B2E"/>
    <w:rsid w:val="00F51D9B"/>
    <w:rsid w:val="00F56C8B"/>
    <w:rsid w:val="00F624D5"/>
    <w:rsid w:val="00F673CE"/>
    <w:rsid w:val="00F70060"/>
    <w:rsid w:val="00F764C3"/>
    <w:rsid w:val="00F83D5C"/>
    <w:rsid w:val="00F879B6"/>
    <w:rsid w:val="00F9016C"/>
    <w:rsid w:val="00F938F1"/>
    <w:rsid w:val="00FA39BC"/>
    <w:rsid w:val="00FA66C4"/>
    <w:rsid w:val="00FA730F"/>
    <w:rsid w:val="00FB0B55"/>
    <w:rsid w:val="00FB4586"/>
    <w:rsid w:val="00FB75BC"/>
    <w:rsid w:val="00FB7679"/>
    <w:rsid w:val="00FC22AE"/>
    <w:rsid w:val="00FC3260"/>
    <w:rsid w:val="00FC3C9F"/>
    <w:rsid w:val="00FC76A4"/>
    <w:rsid w:val="00FD5D9A"/>
    <w:rsid w:val="00FE7DF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44368"/>
  <w15:chartTrackingRefBased/>
  <w15:docId w15:val="{E5FF12D4-6B1E-456C-A20A-82E20D0F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4C3"/>
    <w:pPr>
      <w:spacing w:after="0" w:line="240" w:lineRule="auto"/>
    </w:pPr>
    <w:rPr>
      <w:rFonts w:ascii="Calibri" w:eastAsia="Calibri" w:hAnsi="Calibri" w:cs="Calibri"/>
      <w:kern w:val="0"/>
      <w:lang w:eastAsia="en-IN" w:bidi="hi-IN"/>
      <w14:ligatures w14:val="none"/>
    </w:rPr>
  </w:style>
  <w:style w:type="paragraph" w:styleId="Heading1">
    <w:name w:val="heading 1"/>
    <w:basedOn w:val="Normal"/>
    <w:next w:val="Normal"/>
    <w:link w:val="Heading1Char"/>
    <w:uiPriority w:val="9"/>
    <w:qFormat/>
    <w:rsid w:val="005159B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5159B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5159B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5159BD"/>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bidi="ar-SA"/>
      <w14:ligatures w14:val="standardContextual"/>
    </w:rPr>
  </w:style>
  <w:style w:type="paragraph" w:styleId="Heading5">
    <w:name w:val="heading 5"/>
    <w:basedOn w:val="Normal"/>
    <w:next w:val="Normal"/>
    <w:link w:val="Heading5Char"/>
    <w:uiPriority w:val="9"/>
    <w:semiHidden/>
    <w:unhideWhenUsed/>
    <w:qFormat/>
    <w:rsid w:val="005159BD"/>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bidi="ar-SA"/>
      <w14:ligatures w14:val="standardContextual"/>
    </w:rPr>
  </w:style>
  <w:style w:type="paragraph" w:styleId="Heading6">
    <w:name w:val="heading 6"/>
    <w:basedOn w:val="Normal"/>
    <w:next w:val="Normal"/>
    <w:link w:val="Heading6Char"/>
    <w:uiPriority w:val="9"/>
    <w:semiHidden/>
    <w:unhideWhenUsed/>
    <w:qFormat/>
    <w:rsid w:val="005159BD"/>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Heading7">
    <w:name w:val="heading 7"/>
    <w:basedOn w:val="Normal"/>
    <w:next w:val="Normal"/>
    <w:link w:val="Heading7Char"/>
    <w:uiPriority w:val="9"/>
    <w:semiHidden/>
    <w:unhideWhenUsed/>
    <w:qFormat/>
    <w:rsid w:val="005159BD"/>
    <w:pPr>
      <w:keepNext/>
      <w:keepLines/>
      <w:spacing w:before="40" w:line="259"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Heading8">
    <w:name w:val="heading 8"/>
    <w:basedOn w:val="Normal"/>
    <w:next w:val="Normal"/>
    <w:link w:val="Heading8Char"/>
    <w:uiPriority w:val="9"/>
    <w:semiHidden/>
    <w:unhideWhenUsed/>
    <w:qFormat/>
    <w:rsid w:val="005159BD"/>
    <w:pPr>
      <w:keepNext/>
      <w:keepLines/>
      <w:spacing w:line="259"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Heading9">
    <w:name w:val="heading 9"/>
    <w:basedOn w:val="Normal"/>
    <w:next w:val="Normal"/>
    <w:link w:val="Heading9Char"/>
    <w:uiPriority w:val="9"/>
    <w:semiHidden/>
    <w:unhideWhenUsed/>
    <w:qFormat/>
    <w:rsid w:val="005159BD"/>
    <w:pPr>
      <w:keepNext/>
      <w:keepLines/>
      <w:spacing w:line="259"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9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59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59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59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59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5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9BD"/>
    <w:rPr>
      <w:rFonts w:eastAsiaTheme="majorEastAsia" w:cstheme="majorBidi"/>
      <w:color w:val="272727" w:themeColor="text1" w:themeTint="D8"/>
    </w:rPr>
  </w:style>
  <w:style w:type="paragraph" w:styleId="Title">
    <w:name w:val="Title"/>
    <w:basedOn w:val="Normal"/>
    <w:next w:val="Normal"/>
    <w:link w:val="TitleChar"/>
    <w:uiPriority w:val="10"/>
    <w:qFormat/>
    <w:rsid w:val="005159BD"/>
    <w:pPr>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515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9B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515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9BD"/>
    <w:pPr>
      <w:spacing w:before="160" w:after="160" w:line="259"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QuoteChar">
    <w:name w:val="Quote Char"/>
    <w:basedOn w:val="DefaultParagraphFont"/>
    <w:link w:val="Quote"/>
    <w:uiPriority w:val="29"/>
    <w:rsid w:val="005159BD"/>
    <w:rPr>
      <w:i/>
      <w:iCs/>
      <w:color w:val="404040" w:themeColor="text1" w:themeTint="BF"/>
    </w:rPr>
  </w:style>
  <w:style w:type="paragraph" w:styleId="ListParagraph">
    <w:name w:val="List Paragraph"/>
    <w:basedOn w:val="Normal"/>
    <w:uiPriority w:val="34"/>
    <w:qFormat/>
    <w:rsid w:val="005159BD"/>
    <w:pPr>
      <w:spacing w:after="160" w:line="259" w:lineRule="auto"/>
      <w:ind w:left="720"/>
      <w:contextualSpacing/>
    </w:pPr>
    <w:rPr>
      <w:rFonts w:asciiTheme="minorHAnsi" w:eastAsiaTheme="minorHAnsi" w:hAnsiTheme="minorHAnsi" w:cstheme="minorBidi"/>
      <w:kern w:val="2"/>
      <w:lang w:eastAsia="en-US" w:bidi="ar-SA"/>
      <w14:ligatures w14:val="standardContextual"/>
    </w:rPr>
  </w:style>
  <w:style w:type="character" w:styleId="IntenseEmphasis">
    <w:name w:val="Intense Emphasis"/>
    <w:basedOn w:val="DefaultParagraphFont"/>
    <w:uiPriority w:val="21"/>
    <w:qFormat/>
    <w:rsid w:val="005159BD"/>
    <w:rPr>
      <w:i/>
      <w:iCs/>
      <w:color w:val="2F5496" w:themeColor="accent1" w:themeShade="BF"/>
    </w:rPr>
  </w:style>
  <w:style w:type="paragraph" w:styleId="IntenseQuote">
    <w:name w:val="Intense Quote"/>
    <w:basedOn w:val="Normal"/>
    <w:next w:val="Normal"/>
    <w:link w:val="IntenseQuoteChar"/>
    <w:uiPriority w:val="30"/>
    <w:qFormat/>
    <w:rsid w:val="005159B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IntenseQuoteChar">
    <w:name w:val="Intense Quote Char"/>
    <w:basedOn w:val="DefaultParagraphFont"/>
    <w:link w:val="IntenseQuote"/>
    <w:uiPriority w:val="30"/>
    <w:rsid w:val="005159BD"/>
    <w:rPr>
      <w:i/>
      <w:iCs/>
      <w:color w:val="2F5496" w:themeColor="accent1" w:themeShade="BF"/>
    </w:rPr>
  </w:style>
  <w:style w:type="character" w:styleId="IntenseReference">
    <w:name w:val="Intense Reference"/>
    <w:basedOn w:val="DefaultParagraphFont"/>
    <w:uiPriority w:val="32"/>
    <w:qFormat/>
    <w:rsid w:val="005159BD"/>
    <w:rPr>
      <w:b/>
      <w:bCs/>
      <w:smallCaps/>
      <w:color w:val="2F5496" w:themeColor="accent1" w:themeShade="BF"/>
      <w:spacing w:val="5"/>
    </w:rPr>
  </w:style>
  <w:style w:type="table" w:styleId="TableGrid">
    <w:name w:val="Table Grid"/>
    <w:basedOn w:val="TableNormal"/>
    <w:uiPriority w:val="39"/>
    <w:rsid w:val="00BB6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478C3"/>
    <w:pPr>
      <w:spacing w:after="200"/>
    </w:pPr>
    <w:rPr>
      <w:rFonts w:cs="Mangal"/>
      <w:i/>
      <w:iCs/>
      <w:color w:val="44546A" w:themeColor="text2"/>
      <w:sz w:val="18"/>
      <w:szCs w:val="16"/>
    </w:rPr>
  </w:style>
  <w:style w:type="paragraph" w:styleId="NormalWeb">
    <w:name w:val="Normal (Web)"/>
    <w:basedOn w:val="Normal"/>
    <w:uiPriority w:val="99"/>
    <w:semiHidden/>
    <w:unhideWhenUsed/>
    <w:rsid w:val="00DF1820"/>
    <w:rPr>
      <w:rFonts w:ascii="Times New Roman" w:hAnsi="Times New Roman" w:cs="Mangal"/>
      <w:sz w:val="24"/>
      <w:szCs w:val="21"/>
    </w:rPr>
  </w:style>
  <w:style w:type="paragraph" w:styleId="Header">
    <w:name w:val="header"/>
    <w:basedOn w:val="Normal"/>
    <w:link w:val="HeaderChar"/>
    <w:uiPriority w:val="99"/>
    <w:unhideWhenUsed/>
    <w:rsid w:val="0011506D"/>
    <w:pPr>
      <w:tabs>
        <w:tab w:val="center" w:pos="4513"/>
        <w:tab w:val="right" w:pos="9026"/>
      </w:tabs>
    </w:pPr>
    <w:rPr>
      <w:rFonts w:cs="Mangal"/>
      <w:szCs w:val="20"/>
    </w:rPr>
  </w:style>
  <w:style w:type="character" w:customStyle="1" w:styleId="HeaderChar">
    <w:name w:val="Header Char"/>
    <w:basedOn w:val="DefaultParagraphFont"/>
    <w:link w:val="Header"/>
    <w:uiPriority w:val="99"/>
    <w:rsid w:val="0011506D"/>
    <w:rPr>
      <w:rFonts w:ascii="Calibri" w:eastAsia="Calibri" w:hAnsi="Calibri" w:cs="Mangal"/>
      <w:kern w:val="0"/>
      <w:szCs w:val="20"/>
      <w:lang w:eastAsia="en-IN" w:bidi="hi-IN"/>
      <w14:ligatures w14:val="none"/>
    </w:rPr>
  </w:style>
  <w:style w:type="paragraph" w:styleId="Footer">
    <w:name w:val="footer"/>
    <w:basedOn w:val="Normal"/>
    <w:link w:val="FooterChar"/>
    <w:uiPriority w:val="99"/>
    <w:unhideWhenUsed/>
    <w:rsid w:val="0011506D"/>
    <w:pPr>
      <w:tabs>
        <w:tab w:val="center" w:pos="4513"/>
        <w:tab w:val="right" w:pos="9026"/>
      </w:tabs>
    </w:pPr>
    <w:rPr>
      <w:rFonts w:cs="Mangal"/>
      <w:szCs w:val="20"/>
    </w:rPr>
  </w:style>
  <w:style w:type="character" w:customStyle="1" w:styleId="FooterChar">
    <w:name w:val="Footer Char"/>
    <w:basedOn w:val="DefaultParagraphFont"/>
    <w:link w:val="Footer"/>
    <w:uiPriority w:val="99"/>
    <w:rsid w:val="0011506D"/>
    <w:rPr>
      <w:rFonts w:ascii="Calibri" w:eastAsia="Calibri" w:hAnsi="Calibri" w:cs="Mangal"/>
      <w:kern w:val="0"/>
      <w:szCs w:val="20"/>
      <w:lang w:eastAsia="en-IN" w:bidi="hi-IN"/>
      <w14:ligatures w14:val="none"/>
    </w:rPr>
  </w:style>
  <w:style w:type="character" w:styleId="Hyperlink">
    <w:name w:val="Hyperlink"/>
    <w:basedOn w:val="DefaultParagraphFont"/>
    <w:uiPriority w:val="99"/>
    <w:unhideWhenUsed/>
    <w:rsid w:val="008E41AE"/>
    <w:rPr>
      <w:color w:val="0563C1" w:themeColor="hyperlink"/>
      <w:u w:val="single"/>
    </w:rPr>
  </w:style>
  <w:style w:type="character" w:styleId="UnresolvedMention">
    <w:name w:val="Unresolved Mention"/>
    <w:basedOn w:val="DefaultParagraphFont"/>
    <w:uiPriority w:val="99"/>
    <w:semiHidden/>
    <w:unhideWhenUsed/>
    <w:rsid w:val="008E41AE"/>
    <w:rPr>
      <w:color w:val="605E5C"/>
      <w:shd w:val="clear" w:color="auto" w:fill="E1DFDD"/>
    </w:rPr>
  </w:style>
  <w:style w:type="character" w:styleId="FollowedHyperlink">
    <w:name w:val="FollowedHyperlink"/>
    <w:basedOn w:val="DefaultParagraphFont"/>
    <w:uiPriority w:val="99"/>
    <w:semiHidden/>
    <w:unhideWhenUsed/>
    <w:rsid w:val="0042297D"/>
    <w:rPr>
      <w:color w:val="954F72" w:themeColor="followedHyperlink"/>
      <w:u w:val="single"/>
    </w:rPr>
  </w:style>
  <w:style w:type="paragraph" w:customStyle="1" w:styleId="Author">
    <w:name w:val="Author"/>
    <w:basedOn w:val="Normal"/>
    <w:rsid w:val="00F51D9B"/>
    <w:pPr>
      <w:spacing w:line="280" w:lineRule="exact"/>
      <w:jc w:val="right"/>
    </w:pPr>
    <w:rPr>
      <w:rFonts w:ascii="Helvetica" w:eastAsia="Times New Roman" w:hAnsi="Helvetica" w:cs="Times New Roman"/>
      <w:b/>
      <w:sz w:val="24"/>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3/aob/mcag002" TargetMode="External"/><Relationship Id="rId21" Type="http://schemas.openxmlformats.org/officeDocument/2006/relationships/hyperlink" Target="https://doi.org/10.1111/nph.70112Digital%20Object%20Identifier%20(DOI)" TargetMode="External"/><Relationship Id="rId42" Type="http://schemas.openxmlformats.org/officeDocument/2006/relationships/hyperlink" Target="https://doi.org/10.1371/journal.pone.0035498" TargetMode="External"/><Relationship Id="rId47" Type="http://schemas.openxmlformats.org/officeDocument/2006/relationships/hyperlink" Target="https://doi.org/10.1038/s41477-023-01501-1?utm_source=gemini" TargetMode="External"/><Relationship Id="rId63" Type="http://schemas.openxmlformats.org/officeDocument/2006/relationships/hyperlink" Target="https://www.google.com/search?q=https://doi.org/10.1371/journal.ppat.1009301&amp;utm_source=gemini" TargetMode="External"/><Relationship Id="rId68" Type="http://schemas.openxmlformats.org/officeDocument/2006/relationships/hyperlink" Target="https://doi.org/10.55627/pbiotech.002.01.0786?utm_source=gemini" TargetMode="External"/><Relationship Id="rId16" Type="http://schemas.openxmlformats.org/officeDocument/2006/relationships/hyperlink" Target="https://doi.org/10.1126/science.aaw9285" TargetMode="External"/><Relationship Id="rId11" Type="http://schemas.openxmlformats.org/officeDocument/2006/relationships/hyperlink" Target="https://doi.org/10.1016/j.cell.2018.02.024" TargetMode="External"/><Relationship Id="rId24" Type="http://schemas.openxmlformats.org/officeDocument/2006/relationships/hyperlink" Target="https://doi.org/10.1111/j.1462-2920.2007.01424.x" TargetMode="External"/><Relationship Id="rId32" Type="http://schemas.openxmlformats.org/officeDocument/2006/relationships/hyperlink" Target="https://doi.org/10.1038/nbt.4232" TargetMode="External"/><Relationship Id="rId37" Type="http://schemas.openxmlformats.org/officeDocument/2006/relationships/hyperlink" Target="https://doi.org/10.1080/21501203.2018.1477849" TargetMode="External"/><Relationship Id="rId40" Type="http://schemas.openxmlformats.org/officeDocument/2006/relationships/hyperlink" Target="https://www.google.com/search?q=https://doi.org/10.1126/science.1203980&amp;utm_source=gemini" TargetMode="External"/><Relationship Id="rId45" Type="http://schemas.openxmlformats.org/officeDocument/2006/relationships/hyperlink" Target="https://doi.org/10.15252/embr.202255380?utm_source=gemini" TargetMode="External"/><Relationship Id="rId53" Type="http://schemas.openxmlformats.org/officeDocument/2006/relationships/hyperlink" Target="https://www.google.com/search?q=https://doi.org/10.1007/s11274-025-04460-1&amp;utm_source=gemini" TargetMode="External"/><Relationship Id="rId58" Type="http://schemas.openxmlformats.org/officeDocument/2006/relationships/hyperlink" Target="https://doi.org/10.1016/j.pbi.2021.102025?utm_source=gemini" TargetMode="External"/><Relationship Id="rId66" Type="http://schemas.openxmlformats.org/officeDocument/2006/relationships/hyperlink" Target="https://doi.org/10.1016/j.molp.2023.08.004?utm_source=gemini"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google.com/search?q=https://doi.org/10.1007/s00299-019-02447-5&amp;utm_source=gemini" TargetMode="External"/><Relationship Id="rId19" Type="http://schemas.openxmlformats.org/officeDocument/2006/relationships/hyperlink" Target="https://doi.org/10.1007/bf02825358" TargetMode="External"/><Relationship Id="rId14" Type="http://schemas.openxmlformats.org/officeDocument/2006/relationships/hyperlink" Target="https://doi.org/10.12691/aees-9-10-3" TargetMode="External"/><Relationship Id="rId22" Type="http://schemas.openxmlformats.org/officeDocument/2006/relationships/hyperlink" Target="https://doi.org/10.1046/j.1469-8137.1999.00542.x" TargetMode="External"/><Relationship Id="rId27" Type="http://schemas.openxmlformats.org/officeDocument/2006/relationships/hyperlink" Target="https://doi.org/10.1016/j.soilbio.2021.108534" TargetMode="External"/><Relationship Id="rId30" Type="http://schemas.openxmlformats.org/officeDocument/2006/relationships/hyperlink" Target="https://doi.org/10.1128/MMBR.00050-14" TargetMode="External"/><Relationship Id="rId35" Type="http://schemas.openxmlformats.org/officeDocument/2006/relationships/hyperlink" Target="https://doi.org/10.1094/PDIS.1997.81.8.836" TargetMode="External"/><Relationship Id="rId43" Type="http://schemas.openxmlformats.org/officeDocument/2006/relationships/hyperlink" Target="https://doi.org/10.1016/j.pmpp.2025.102916?utm_source=gemini" TargetMode="External"/><Relationship Id="rId48" Type="http://schemas.openxmlformats.org/officeDocument/2006/relationships/hyperlink" Target="https://www.google.com/search?q=https://doi.org/10.1146/annurev-phyto-082712-102340&amp;utm_source=gemini" TargetMode="External"/><Relationship Id="rId56" Type="http://schemas.openxmlformats.org/officeDocument/2006/relationships/hyperlink" Target="https://www.google.com/search?q=https://doi.org/10.1038/s41396-017-0035-3&amp;utm_source=gemini" TargetMode="External"/><Relationship Id="rId64" Type="http://schemas.openxmlformats.org/officeDocument/2006/relationships/hyperlink" Target="https://www.google.com/search?q=https://doi.org/10.1038/ncomms9413&amp;utm_source=gemini" TargetMode="External"/><Relationship Id="rId69" Type="http://schemas.openxmlformats.org/officeDocument/2006/relationships/hyperlink" Target="https://doi.org/10.1038/s41596-020-00444-7?utm_source=gemini" TargetMode="External"/><Relationship Id="rId77" Type="http://schemas.openxmlformats.org/officeDocument/2006/relationships/fontTable" Target="fontTable.xml"/><Relationship Id="rId8" Type="http://schemas.openxmlformats.org/officeDocument/2006/relationships/hyperlink" Target="https://doi.org/10.3390/microorganisms11020392" TargetMode="External"/><Relationship Id="rId51" Type="http://schemas.openxmlformats.org/officeDocument/2006/relationships/hyperlink" Target="https://www.google.com/search?q=https://doi.org/10.1016/j.mib.2019.10.003&amp;utm_source=gemini"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doi.org/10.7554/eLife.73870" TargetMode="External"/><Relationship Id="rId17" Type="http://schemas.openxmlformats.org/officeDocument/2006/relationships/hyperlink" Target="https://doi.org/10.1038/ismej.2015.95" TargetMode="External"/><Relationship Id="rId25" Type="http://schemas.openxmlformats.org/officeDocument/2006/relationships/hyperlink" Target="https://doi.org/10.3390/microorganisms9122456" TargetMode="External"/><Relationship Id="rId33" Type="http://schemas.openxmlformats.org/officeDocument/2006/relationships/hyperlink" Target="https://doi.org/10.3389/fmicb.2020.01619" TargetMode="External"/><Relationship Id="rId38" Type="http://schemas.openxmlformats.org/officeDocument/2006/relationships/hyperlink" Target="https://doi.org/10.1111/1574-6968.12406" TargetMode="External"/><Relationship Id="rId46" Type="http://schemas.openxmlformats.org/officeDocument/2006/relationships/hyperlink" Target="https://www.google.com/search?q=https://doi.org/10.3390/ijms22136852&amp;utm_source=gemini" TargetMode="External"/><Relationship Id="rId59" Type="http://schemas.openxmlformats.org/officeDocument/2006/relationships/hyperlink" Target="https://www.google.com/search?q=https://doi.org/10.1371/journal.pone.0035498&amp;utm_source=gemini" TargetMode="External"/><Relationship Id="rId67" Type="http://schemas.openxmlformats.org/officeDocument/2006/relationships/hyperlink" Target="https://doi.org/10.3389/fmicb.2022.908981?utm_source=gemini" TargetMode="External"/><Relationship Id="rId20" Type="http://schemas.openxmlformats.org/officeDocument/2006/relationships/hyperlink" Target="https://doi.org/10.1103/PhysRevE.104.034416" TargetMode="External"/><Relationship Id="rId41" Type="http://schemas.openxmlformats.org/officeDocument/2006/relationships/hyperlink" Target="https://doi.org/10.3389/fpls.2021.756368" TargetMode="External"/><Relationship Id="rId54" Type="http://schemas.openxmlformats.org/officeDocument/2006/relationships/hyperlink" Target="https://doi.org/10.1016/j.apsoil.2021.104191?utm_source=gemini" TargetMode="External"/><Relationship Id="rId62" Type="http://schemas.openxmlformats.org/officeDocument/2006/relationships/hyperlink" Target="https://www.google.com/search?q=https://doi.org/10.1007/s00299-019-02447-5&amp;utm_source=gemini" TargetMode="External"/><Relationship Id="rId70" Type="http://schemas.openxmlformats.org/officeDocument/2006/relationships/hyperlink" Target="https://doi.org/10.1038/s41467-022-35452-6?utm_source=gemini"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89/fmicb.2014.00219" TargetMode="External"/><Relationship Id="rId23" Type="http://schemas.openxmlformats.org/officeDocument/2006/relationships/hyperlink" Target="http://dx.doi.org/10.1016/j.ijpara.2019.09.001" TargetMode="External"/><Relationship Id="rId28" Type="http://schemas.openxmlformats.org/officeDocument/2006/relationships/hyperlink" Target="https://doi.org/10.1073/pnas.2221508120" TargetMode="External"/><Relationship Id="rId36" Type="http://schemas.openxmlformats.org/officeDocument/2006/relationships/hyperlink" Target="https://doi.org/10.1094/MPMI-07-16-0131-R" TargetMode="External"/><Relationship Id="rId49" Type="http://schemas.openxmlformats.org/officeDocument/2006/relationships/hyperlink" Target="https://doi.org/10.1111/jam.15799?utm_source=gemini" TargetMode="External"/><Relationship Id="rId57" Type="http://schemas.openxmlformats.org/officeDocument/2006/relationships/hyperlink" Target="https://doi.org/10.3389/fagro.2022.896307?utm_source=gemini" TargetMode="External"/><Relationship Id="rId10" Type="http://schemas.openxmlformats.org/officeDocument/2006/relationships/hyperlink" Target="https://doi.org/10.1371/journal.pone.0046802" TargetMode="External"/><Relationship Id="rId31" Type="http://schemas.openxmlformats.org/officeDocument/2006/relationships/hyperlink" Target="https://doi.org/10.1038/s41467-018-05122-7" TargetMode="External"/><Relationship Id="rId44" Type="http://schemas.openxmlformats.org/officeDocument/2006/relationships/hyperlink" Target="https://doi.org/10.1111/evo.13263" TargetMode="External"/><Relationship Id="rId52" Type="http://schemas.openxmlformats.org/officeDocument/2006/relationships/hyperlink" Target="https://www.google.com/search?q=https://doi.org/10.1104/pp.108.127613&amp;utm_source=gemini" TargetMode="External"/><Relationship Id="rId60" Type="http://schemas.openxmlformats.org/officeDocument/2006/relationships/hyperlink" Target="https://www.google.com/search?q=https://doi.org/10.1093/jxb/erad448&amp;utm_source=gemini" TargetMode="External"/><Relationship Id="rId65" Type="http://schemas.openxmlformats.org/officeDocument/2006/relationships/hyperlink" Target="https://www.google.com/search?q=https://doi.org/10.1186/s12870-024-04982-1&amp;utm_source=gemini"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3389/fmicb.2022.879739" TargetMode="External"/><Relationship Id="rId13" Type="http://schemas.openxmlformats.org/officeDocument/2006/relationships/hyperlink" Target="https://doi.org/10.1038/s41396-018-0093-1" TargetMode="External"/><Relationship Id="rId18" Type="http://schemas.openxmlformats.org/officeDocument/2006/relationships/hyperlink" Target="https://doi.org/10.1038/ismej.2015.82" TargetMode="External"/><Relationship Id="rId39" Type="http://schemas.openxmlformats.org/officeDocument/2006/relationships/hyperlink" Target="https://doi.org/10.1038/ismej.2017.158" TargetMode="External"/><Relationship Id="rId34" Type="http://schemas.openxmlformats.org/officeDocument/2006/relationships/hyperlink" Target="https://doi.org/10.1038/s41396-021-01126-2" TargetMode="External"/><Relationship Id="rId50" Type="http://schemas.openxmlformats.org/officeDocument/2006/relationships/hyperlink" Target="https://www.google.com/search?q=https://doi.org/10.3389/fmicb.2022.967885&amp;utm_source=gemini" TargetMode="External"/><Relationship Id="rId55" Type="http://schemas.openxmlformats.org/officeDocument/2006/relationships/hyperlink" Target="https://www.google.com/search?q=https://doi.org/10.1016/j.tplants.2017.09.003&amp;utm_source=gemini"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doi.org/10.1038/s41564-023-01502-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962B8-390B-43C3-8EF3-8B7A1D7E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3511</TotalTime>
  <Pages>26</Pages>
  <Words>15044</Words>
  <Characters>85757</Characters>
  <Application>Microsoft Office Word</Application>
  <DocSecurity>0</DocSecurity>
  <Lines>714</Lines>
  <Paragraphs>201</Paragraphs>
  <ScaleCrop>false</ScaleCrop>
  <Company/>
  <LinksUpToDate>false</LinksUpToDate>
  <CharactersWithSpaces>100600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RABIRANJAN SETHI</dc:creator>
  <cp:keywords/>
  <dc:description/>
  <cp:lastModifiedBy>SDI 1084</cp:lastModifiedBy>
  <cp:revision>424</cp:revision>
  <dcterms:created xsi:type="dcterms:W3CDTF">2026-08-23T15:34:00Z</dcterms:created>
  <dcterms:modified xsi:type="dcterms:W3CDTF">2026-09-25T09:27:00Z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44089481-c83c-4e39-a968-83e8409abdee</vt:lpwstr>
  </property>
</Properties>
</file>