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7C70E" w14:textId="77777777" w:rsidR="00D0036C" w:rsidRPr="006D641C" w:rsidRDefault="00D0036C" w:rsidP="00D0036C">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08208C2C" w14:textId="77777777" w:rsidR="00F00104" w:rsidRDefault="00DA1A87" w:rsidP="00DA1A87">
      <w:pPr>
        <w:jc w:val="right"/>
        <w:rPr>
          <w:rFonts w:ascii="Arial" w:hAnsi="Arial" w:cs="Arial"/>
          <w:b/>
          <w:sz w:val="36"/>
          <w:szCs w:val="36"/>
        </w:rPr>
      </w:pPr>
      <w:r w:rsidRPr="00DA1A87">
        <w:rPr>
          <w:rFonts w:ascii="Arial" w:hAnsi="Arial" w:cs="Arial"/>
          <w:b/>
          <w:sz w:val="36"/>
          <w:szCs w:val="36"/>
        </w:rPr>
        <w:t xml:space="preserve">EFFECTS OF </w:t>
      </w:r>
      <w:r w:rsidRPr="00DA1A87">
        <w:rPr>
          <w:rFonts w:ascii="Arial" w:hAnsi="Arial" w:cs="Arial"/>
          <w:b/>
          <w:i/>
          <w:sz w:val="36"/>
          <w:szCs w:val="36"/>
        </w:rPr>
        <w:t>AMARANTHUS VIRIDIS</w:t>
      </w:r>
      <w:r w:rsidRPr="00DA1A87">
        <w:rPr>
          <w:rFonts w:ascii="Arial" w:hAnsi="Arial" w:cs="Arial"/>
          <w:b/>
          <w:sz w:val="36"/>
          <w:szCs w:val="36"/>
        </w:rPr>
        <w:t xml:space="preserve"> (</w:t>
      </w:r>
      <w:r w:rsidRPr="00DA1A87">
        <w:rPr>
          <w:rFonts w:ascii="Arial" w:hAnsi="Arial" w:cs="Arial"/>
          <w:b/>
          <w:i/>
          <w:sz w:val="36"/>
          <w:szCs w:val="36"/>
        </w:rPr>
        <w:t>ININE</w:t>
      </w:r>
      <w:r w:rsidRPr="00DA1A87">
        <w:rPr>
          <w:rFonts w:ascii="Arial" w:hAnsi="Arial" w:cs="Arial"/>
          <w:b/>
          <w:sz w:val="36"/>
          <w:szCs w:val="36"/>
        </w:rPr>
        <w:t>) ETHANOL LEAF EXTRACT ON RENAL FUNCTION AND TISSUE HOMOGENATE ANTIOXIDANT STATUS IN ALBINO RATS EXPOSED TO POTASSIUM BROMATE (KBRO</w:t>
      </w:r>
      <w:r w:rsidRPr="00DA1A87">
        <w:rPr>
          <w:rFonts w:ascii="Arial" w:hAnsi="Arial" w:cs="Arial"/>
          <w:b/>
          <w:sz w:val="36"/>
          <w:szCs w:val="36"/>
          <w:vertAlign w:val="subscript"/>
        </w:rPr>
        <w:t>3</w:t>
      </w:r>
      <w:r w:rsidRPr="00DA1A87">
        <w:rPr>
          <w:rFonts w:ascii="Arial" w:hAnsi="Arial" w:cs="Arial"/>
          <w:b/>
          <w:sz w:val="36"/>
          <w:szCs w:val="36"/>
        </w:rPr>
        <w:t>)</w:t>
      </w:r>
    </w:p>
    <w:p w14:paraId="52CA6A9A" w14:textId="77777777" w:rsidR="00A7460C" w:rsidRDefault="00A7460C" w:rsidP="002A5007">
      <w:pPr>
        <w:rPr>
          <w:rFonts w:ascii="Arial" w:hAnsi="Arial" w:cs="Arial"/>
          <w:b/>
          <w:szCs w:val="24"/>
        </w:rPr>
      </w:pPr>
    </w:p>
    <w:p w14:paraId="5219D4C3" w14:textId="77777777" w:rsidR="00A7460C" w:rsidRDefault="00A7460C" w:rsidP="002A5007">
      <w:pPr>
        <w:rPr>
          <w:rFonts w:ascii="Arial" w:hAnsi="Arial" w:cs="Arial"/>
          <w:b/>
          <w:szCs w:val="24"/>
        </w:rPr>
      </w:pPr>
    </w:p>
    <w:p w14:paraId="1DAACE8B" w14:textId="3A6865E5" w:rsidR="002A5007" w:rsidRPr="002A5007" w:rsidRDefault="002A5007" w:rsidP="002A5007">
      <w:pPr>
        <w:rPr>
          <w:rFonts w:ascii="Arial" w:hAnsi="Arial" w:cs="Arial"/>
          <w:b/>
          <w:szCs w:val="24"/>
        </w:rPr>
      </w:pPr>
      <w:r w:rsidRPr="002A5007">
        <w:rPr>
          <w:rFonts w:ascii="Arial" w:hAnsi="Arial" w:cs="Arial"/>
          <w:b/>
          <w:szCs w:val="24"/>
        </w:rPr>
        <w:t>ABSTRACT</w:t>
      </w:r>
    </w:p>
    <w:p w14:paraId="767C613C" w14:textId="77777777" w:rsidR="001A4554" w:rsidRPr="009D3590" w:rsidRDefault="001A4554" w:rsidP="001A4554">
      <w:pPr>
        <w:spacing w:before="100" w:beforeAutospacing="1" w:after="100" w:afterAutospacing="1" w:line="240" w:lineRule="auto"/>
        <w:rPr>
          <w:rFonts w:ascii="Times New Roman" w:eastAsia="Times New Roman" w:hAnsi="Times New Roman" w:cs="Times New Roman"/>
          <w:sz w:val="24"/>
          <w:szCs w:val="24"/>
          <w:lang w:eastAsia="en-GB"/>
        </w:rPr>
      </w:pPr>
      <w:r w:rsidRPr="009D3590">
        <w:rPr>
          <w:rFonts w:ascii="Times New Roman" w:eastAsia="Times New Roman" w:hAnsi="Times New Roman" w:cs="Times New Roman"/>
          <w:sz w:val="24"/>
          <w:szCs w:val="24"/>
          <w:lang w:eastAsia="en-GB"/>
        </w:rPr>
        <w:t>Potassium bromate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 is an oxidizing agent capable of inducing oxidative stress and renal dysfunction. This study evaluated the effects of an ethanol extract of </w:t>
      </w:r>
      <w:r w:rsidRPr="009D3590">
        <w:rPr>
          <w:rFonts w:ascii="Times New Roman" w:eastAsia="Times New Roman" w:hAnsi="Times New Roman" w:cs="Times New Roman"/>
          <w:i/>
          <w:iCs/>
          <w:sz w:val="24"/>
          <w:szCs w:val="24"/>
          <w:lang w:eastAsia="en-GB"/>
        </w:rPr>
        <w:t xml:space="preserve">Amaranthus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on renal biochemical indices and liver tissue antioxidant status in potassium bromate-exposed male Wistar rats. Thirty rats were assigned to six groups comprising a normal control, a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₃-treated group (50 mg/kg), three groups receiving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extract at 200, 400, or 800 mg/kg together with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 and a vitamin C group (100 mg/kg) together with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 Treatments were administered orally for 14 days. Renal function indices, including urea, creatinine, sodium, potassium, chloride, and bicarbonate, were assessed, while glutathione, glutathione peroxidase, superoxide dismutase, catalase, and malondialdehyde were determined in liver tissue homogenates. Potassium bromate exposure was associated with increased urea, creatinine, sodium, chloride, and malondialdehyde levels and reductions in antioxidant indices compared with the control. Administration of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extract was associated with improvements in several renal biochemical indices and antioxidant parameters, with the higher doses generally producing values closer to those of the control group. Vitamin C also showed protective effects. These findings indicate that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ethanol extract may attenuate biochemical alterations associated with potassium bromate-induced oxidative stress under the experimental conditions used. Further studies are required to characterize the active constituents and establish the mechanisms and wider relevance of these observations.</w:t>
      </w:r>
    </w:p>
    <w:p w14:paraId="09C0F26E" w14:textId="77777777" w:rsidR="002A5007" w:rsidRPr="002A5007" w:rsidRDefault="002A5007" w:rsidP="002A5007">
      <w:pPr>
        <w:rPr>
          <w:rFonts w:ascii="Arial" w:hAnsi="Arial" w:cs="Arial"/>
          <w:sz w:val="20"/>
          <w:szCs w:val="24"/>
        </w:rPr>
      </w:pPr>
      <w:r w:rsidRPr="002A5007">
        <w:rPr>
          <w:rFonts w:ascii="Arial" w:hAnsi="Arial" w:cs="Arial"/>
          <w:b/>
          <w:sz w:val="20"/>
          <w:szCs w:val="24"/>
        </w:rPr>
        <w:t>Keywords</w:t>
      </w:r>
      <w:r w:rsidRPr="002A5007">
        <w:rPr>
          <w:rFonts w:ascii="Arial" w:hAnsi="Arial" w:cs="Arial"/>
          <w:sz w:val="20"/>
          <w:szCs w:val="24"/>
        </w:rPr>
        <w:t xml:space="preserve">: </w:t>
      </w:r>
      <w:r w:rsidRPr="00B706E4">
        <w:rPr>
          <w:rFonts w:ascii="Arial" w:hAnsi="Arial" w:cs="Arial"/>
          <w:i/>
          <w:sz w:val="20"/>
          <w:szCs w:val="24"/>
        </w:rPr>
        <w:t xml:space="preserve">Amaranthus </w:t>
      </w:r>
      <w:proofErr w:type="spellStart"/>
      <w:r w:rsidRPr="00B706E4">
        <w:rPr>
          <w:rFonts w:ascii="Arial" w:hAnsi="Arial" w:cs="Arial"/>
          <w:i/>
          <w:sz w:val="20"/>
          <w:szCs w:val="24"/>
        </w:rPr>
        <w:t>viridis</w:t>
      </w:r>
      <w:proofErr w:type="spellEnd"/>
      <w:r w:rsidRPr="002A5007">
        <w:rPr>
          <w:rFonts w:ascii="Arial" w:hAnsi="Arial" w:cs="Arial"/>
          <w:sz w:val="20"/>
          <w:szCs w:val="24"/>
        </w:rPr>
        <w:t>, Potassium bromate (</w:t>
      </w:r>
      <w:proofErr w:type="spellStart"/>
      <w:r w:rsidRPr="002A5007">
        <w:rPr>
          <w:rFonts w:ascii="Arial" w:hAnsi="Arial" w:cs="Arial"/>
          <w:sz w:val="20"/>
          <w:szCs w:val="24"/>
        </w:rPr>
        <w:t>KBrO</w:t>
      </w:r>
      <w:proofErr w:type="spellEnd"/>
      <w:r w:rsidRPr="002A5007">
        <w:rPr>
          <w:rFonts w:ascii="Cambria Math" w:hAnsi="Cambria Math" w:cs="Cambria Math"/>
          <w:sz w:val="20"/>
          <w:szCs w:val="24"/>
        </w:rPr>
        <w:t>₃</w:t>
      </w:r>
      <w:r w:rsidRPr="002A5007">
        <w:rPr>
          <w:rFonts w:ascii="Arial" w:hAnsi="Arial" w:cs="Arial"/>
          <w:sz w:val="20"/>
          <w:szCs w:val="24"/>
        </w:rPr>
        <w:t>), Rena</w:t>
      </w:r>
      <w:r w:rsidR="00B706E4">
        <w:rPr>
          <w:rFonts w:ascii="Arial" w:hAnsi="Arial" w:cs="Arial"/>
          <w:sz w:val="20"/>
          <w:szCs w:val="24"/>
        </w:rPr>
        <w:t xml:space="preserve">l function, Antioxidant status, </w:t>
      </w:r>
      <w:r w:rsidRPr="002A5007">
        <w:rPr>
          <w:rFonts w:ascii="Arial" w:hAnsi="Arial" w:cs="Arial"/>
          <w:sz w:val="20"/>
          <w:szCs w:val="24"/>
        </w:rPr>
        <w:t>Nephrotoxicity, Therapeutic potential.</w:t>
      </w:r>
    </w:p>
    <w:p w14:paraId="4A212B7E" w14:textId="77777777" w:rsidR="002A5007" w:rsidRDefault="002A5007" w:rsidP="002A5007">
      <w:pPr>
        <w:rPr>
          <w:rFonts w:ascii="Arial" w:hAnsi="Arial" w:cs="Arial"/>
          <w:sz w:val="24"/>
          <w:szCs w:val="24"/>
        </w:rPr>
      </w:pPr>
    </w:p>
    <w:p w14:paraId="758E7030" w14:textId="77777777" w:rsidR="00B706E4" w:rsidRDefault="00B706E4" w:rsidP="002A5007">
      <w:pPr>
        <w:rPr>
          <w:rFonts w:ascii="Arial" w:hAnsi="Arial" w:cs="Arial"/>
          <w:sz w:val="24"/>
          <w:szCs w:val="24"/>
        </w:rPr>
      </w:pPr>
    </w:p>
    <w:p w14:paraId="7472E575" w14:textId="77777777" w:rsidR="00B706E4" w:rsidRDefault="00B706E4" w:rsidP="002A5007">
      <w:pPr>
        <w:rPr>
          <w:rFonts w:ascii="Arial" w:hAnsi="Arial" w:cs="Arial"/>
          <w:sz w:val="24"/>
          <w:szCs w:val="24"/>
        </w:rPr>
      </w:pPr>
    </w:p>
    <w:p w14:paraId="76D9BBCD" w14:textId="77777777" w:rsidR="00B706E4" w:rsidRDefault="00B706E4" w:rsidP="002A5007">
      <w:pPr>
        <w:rPr>
          <w:rFonts w:ascii="Arial" w:hAnsi="Arial" w:cs="Arial"/>
          <w:sz w:val="24"/>
          <w:szCs w:val="24"/>
        </w:rPr>
      </w:pPr>
    </w:p>
    <w:p w14:paraId="1A06A2E2" w14:textId="77777777" w:rsidR="00B706E4" w:rsidRDefault="00B706E4" w:rsidP="002A5007">
      <w:pPr>
        <w:rPr>
          <w:rFonts w:ascii="Arial" w:hAnsi="Arial" w:cs="Arial"/>
          <w:sz w:val="24"/>
          <w:szCs w:val="24"/>
        </w:rPr>
      </w:pPr>
    </w:p>
    <w:p w14:paraId="0BA371E0" w14:textId="77777777" w:rsidR="00B706E4" w:rsidRDefault="00B706E4" w:rsidP="002A5007">
      <w:pPr>
        <w:rPr>
          <w:rFonts w:ascii="Arial" w:hAnsi="Arial" w:cs="Arial"/>
          <w:sz w:val="24"/>
          <w:szCs w:val="24"/>
        </w:rPr>
      </w:pPr>
    </w:p>
    <w:p w14:paraId="18545394" w14:textId="77777777" w:rsidR="002A5007" w:rsidRPr="002A5007" w:rsidRDefault="00B706E4" w:rsidP="002A5007">
      <w:pPr>
        <w:rPr>
          <w:rFonts w:ascii="Arial" w:hAnsi="Arial" w:cs="Arial"/>
          <w:b/>
          <w:szCs w:val="24"/>
        </w:rPr>
      </w:pPr>
      <w:r>
        <w:rPr>
          <w:rFonts w:ascii="Arial" w:hAnsi="Arial" w:cs="Arial"/>
          <w:b/>
          <w:szCs w:val="24"/>
        </w:rPr>
        <w:lastRenderedPageBreak/>
        <w:t xml:space="preserve">1. </w:t>
      </w:r>
      <w:r w:rsidR="002A5007" w:rsidRPr="002A5007">
        <w:rPr>
          <w:rFonts w:ascii="Arial" w:hAnsi="Arial" w:cs="Arial"/>
          <w:b/>
          <w:szCs w:val="24"/>
        </w:rPr>
        <w:t>INTRODUCTION</w:t>
      </w:r>
    </w:p>
    <w:p w14:paraId="761706E4" w14:textId="77777777" w:rsidR="002A5007" w:rsidRPr="002A5007" w:rsidRDefault="002A5007" w:rsidP="002A5007">
      <w:pPr>
        <w:jc w:val="both"/>
        <w:rPr>
          <w:rFonts w:ascii="Arial" w:hAnsi="Arial" w:cs="Arial"/>
          <w:sz w:val="20"/>
          <w:szCs w:val="24"/>
        </w:rPr>
      </w:pPr>
      <w:r w:rsidRPr="002A5007">
        <w:rPr>
          <w:rFonts w:ascii="Arial" w:hAnsi="Arial" w:cs="Arial"/>
          <w:sz w:val="20"/>
          <w:szCs w:val="24"/>
        </w:rPr>
        <w:t>Potassium bromate (</w:t>
      </w:r>
      <w:proofErr w:type="spellStart"/>
      <w:r w:rsidRPr="002A5007">
        <w:rPr>
          <w:rFonts w:ascii="Arial" w:hAnsi="Arial" w:cs="Arial"/>
          <w:sz w:val="20"/>
          <w:szCs w:val="24"/>
        </w:rPr>
        <w:t>KBrO</w:t>
      </w:r>
      <w:proofErr w:type="spellEnd"/>
      <w:r w:rsidRPr="002A5007">
        <w:rPr>
          <w:rFonts w:ascii="Cambria Math" w:hAnsi="Cambria Math" w:cs="Cambria Math"/>
          <w:sz w:val="20"/>
          <w:szCs w:val="24"/>
        </w:rPr>
        <w:t>₃</w:t>
      </w:r>
      <w:r w:rsidRPr="002A5007">
        <w:rPr>
          <w:rFonts w:ascii="Arial" w:hAnsi="Arial" w:cs="Arial"/>
          <w:sz w:val="20"/>
          <w:szCs w:val="24"/>
        </w:rPr>
        <w:t xml:space="preserve">) is a potent oxidizing agent commonly used as a flour improver in the baking industry, but it has been associated with significant health risks due to its nephrotoxic and carcinogenic effects (Abali et al., 2023). </w:t>
      </w:r>
      <w:r w:rsidR="00B706E4" w:rsidRPr="00B706E4">
        <w:rPr>
          <w:rFonts w:ascii="Arial" w:hAnsi="Arial" w:cs="Arial"/>
          <w:sz w:val="20"/>
          <w:szCs w:val="24"/>
        </w:rPr>
        <w:t xml:space="preserve">Exposure to </w:t>
      </w:r>
      <w:proofErr w:type="spellStart"/>
      <w:r w:rsidR="00B706E4" w:rsidRPr="00B706E4">
        <w:rPr>
          <w:rFonts w:ascii="Arial" w:hAnsi="Arial" w:cs="Arial"/>
          <w:sz w:val="20"/>
          <w:szCs w:val="24"/>
        </w:rPr>
        <w:t>KBrO</w:t>
      </w:r>
      <w:proofErr w:type="spellEnd"/>
      <w:r w:rsidR="00B706E4" w:rsidRPr="00B706E4">
        <w:rPr>
          <w:rFonts w:ascii="Cambria Math" w:hAnsi="Cambria Math" w:cs="Cambria Math"/>
          <w:sz w:val="20"/>
          <w:szCs w:val="24"/>
        </w:rPr>
        <w:t>₃</w:t>
      </w:r>
      <w:r w:rsidR="00B706E4" w:rsidRPr="00B706E4">
        <w:rPr>
          <w:rFonts w:ascii="Arial" w:hAnsi="Arial" w:cs="Arial"/>
          <w:sz w:val="20"/>
          <w:szCs w:val="24"/>
        </w:rPr>
        <w:t xml:space="preserve"> has been shown to induce </w:t>
      </w:r>
      <w:proofErr w:type="spellStart"/>
      <w:r w:rsidR="00B706E4" w:rsidRPr="00B706E4">
        <w:rPr>
          <w:rFonts w:ascii="Arial" w:hAnsi="Arial" w:cs="Arial"/>
          <w:sz w:val="20"/>
          <w:szCs w:val="24"/>
        </w:rPr>
        <w:t>haematoxicity</w:t>
      </w:r>
      <w:proofErr w:type="spellEnd"/>
      <w:r w:rsidR="00B706E4" w:rsidRPr="00B706E4">
        <w:rPr>
          <w:rFonts w:ascii="Arial" w:hAnsi="Arial" w:cs="Arial"/>
          <w:sz w:val="20"/>
          <w:szCs w:val="24"/>
        </w:rPr>
        <w:t xml:space="preserve"> and oxidative stress, primarily targeting the kidneys and liver, where it causes cellular damage through the generation of reactive oxygen species (ROS) (Ujah et al., 2025).</w:t>
      </w:r>
      <w:r w:rsidRPr="002A5007">
        <w:rPr>
          <w:rFonts w:ascii="Arial" w:hAnsi="Arial" w:cs="Arial"/>
          <w:sz w:val="20"/>
          <w:szCs w:val="24"/>
        </w:rPr>
        <w:t>This oxidative imbalance impairs normal physiological function, leading to altered renal parameters and potential hepatic toxicity (Al-</w:t>
      </w:r>
      <w:proofErr w:type="spellStart"/>
      <w:r w:rsidRPr="002A5007">
        <w:rPr>
          <w:rFonts w:ascii="Arial" w:hAnsi="Arial" w:cs="Arial"/>
          <w:sz w:val="20"/>
          <w:szCs w:val="24"/>
        </w:rPr>
        <w:t>Mareed</w:t>
      </w:r>
      <w:proofErr w:type="spellEnd"/>
      <w:r w:rsidRPr="002A5007">
        <w:rPr>
          <w:rFonts w:ascii="Arial" w:hAnsi="Arial" w:cs="Arial"/>
          <w:sz w:val="20"/>
          <w:szCs w:val="24"/>
        </w:rPr>
        <w:t xml:space="preserve"> et al., 2022). Given the rising concerns over </w:t>
      </w:r>
      <w:proofErr w:type="spellStart"/>
      <w:r w:rsidRPr="002A5007">
        <w:rPr>
          <w:rFonts w:ascii="Arial" w:hAnsi="Arial" w:cs="Arial"/>
          <w:sz w:val="20"/>
          <w:szCs w:val="24"/>
        </w:rPr>
        <w:t>KBrO</w:t>
      </w:r>
      <w:proofErr w:type="spellEnd"/>
      <w:r w:rsidRPr="002A5007">
        <w:rPr>
          <w:rFonts w:ascii="Cambria Math" w:hAnsi="Cambria Math" w:cs="Cambria Math"/>
          <w:sz w:val="20"/>
          <w:szCs w:val="24"/>
        </w:rPr>
        <w:t>₃</w:t>
      </w:r>
      <w:r w:rsidRPr="002A5007">
        <w:rPr>
          <w:rFonts w:ascii="Arial" w:hAnsi="Arial" w:cs="Arial"/>
          <w:sz w:val="20"/>
          <w:szCs w:val="24"/>
        </w:rPr>
        <w:t xml:space="preserve">'s health implications, there is a growing interest in exploring natural substances with antioxidant properties to counteract its adverse effects. Medicinal plants with strong antioxidant profiles are increasingly recognized as potential therapeutic agents against chemically induced organ damage (Attah et al., 2021). </w:t>
      </w:r>
      <w:r w:rsidR="00B706E4">
        <w:rPr>
          <w:rFonts w:ascii="Arial" w:hAnsi="Arial" w:cs="Arial"/>
          <w:sz w:val="20"/>
          <w:szCs w:val="24"/>
        </w:rPr>
        <w:t xml:space="preserve">Among these, </w:t>
      </w:r>
      <w:r w:rsidR="00B706E4" w:rsidRPr="00B706E4">
        <w:rPr>
          <w:rFonts w:ascii="Arial" w:hAnsi="Arial" w:cs="Arial"/>
          <w:i/>
          <w:sz w:val="20"/>
          <w:szCs w:val="24"/>
        </w:rPr>
        <w:t xml:space="preserve">Amaranthus </w:t>
      </w:r>
      <w:proofErr w:type="spellStart"/>
      <w:r w:rsidR="00B706E4" w:rsidRPr="00B706E4">
        <w:rPr>
          <w:rFonts w:ascii="Arial" w:hAnsi="Arial" w:cs="Arial"/>
          <w:i/>
          <w:sz w:val="20"/>
          <w:szCs w:val="24"/>
        </w:rPr>
        <w:t>viridis</w:t>
      </w:r>
      <w:proofErr w:type="spellEnd"/>
      <w:r w:rsidR="00B706E4">
        <w:rPr>
          <w:rFonts w:ascii="Arial" w:hAnsi="Arial" w:cs="Arial"/>
          <w:sz w:val="20"/>
          <w:szCs w:val="24"/>
        </w:rPr>
        <w:t xml:space="preserve"> locally known as "Inine" </w:t>
      </w:r>
      <w:r w:rsidRPr="002A5007">
        <w:rPr>
          <w:rFonts w:ascii="Arial" w:hAnsi="Arial" w:cs="Arial"/>
          <w:sz w:val="20"/>
          <w:szCs w:val="24"/>
        </w:rPr>
        <w:t>is a leafy green vegetable rich in phytochemicals, including flavonoids, phenolic acids, and vitamins, which contribute to its antioxidant and anti-inflammatory activities (Sahoo et al., 2015). The plant has been traditionally used for a variety of medicinal purposes, such as wound healing, anti-diabetic treatment, and immune support, and recent studies suggest that its bioactive compounds may confer protection against oxidative stress-related tissue damage (</w:t>
      </w:r>
      <w:proofErr w:type="spellStart"/>
      <w:r w:rsidRPr="002A5007">
        <w:rPr>
          <w:rFonts w:ascii="Arial" w:hAnsi="Arial" w:cs="Arial"/>
          <w:sz w:val="20"/>
          <w:szCs w:val="24"/>
        </w:rPr>
        <w:t>Ogwu</w:t>
      </w:r>
      <w:proofErr w:type="spellEnd"/>
      <w:r w:rsidRPr="002A5007">
        <w:rPr>
          <w:rFonts w:ascii="Arial" w:hAnsi="Arial" w:cs="Arial"/>
          <w:sz w:val="20"/>
          <w:szCs w:val="24"/>
        </w:rPr>
        <w:t xml:space="preserve"> et al., </w:t>
      </w:r>
      <w:proofErr w:type="gramStart"/>
      <w:r w:rsidRPr="002A5007">
        <w:rPr>
          <w:rFonts w:ascii="Arial" w:hAnsi="Arial" w:cs="Arial"/>
          <w:sz w:val="20"/>
          <w:szCs w:val="24"/>
        </w:rPr>
        <w:t>2024;,</w:t>
      </w:r>
      <w:proofErr w:type="gramEnd"/>
      <w:r w:rsidRPr="002A5007">
        <w:rPr>
          <w:rFonts w:ascii="Arial" w:hAnsi="Arial" w:cs="Arial"/>
          <w:sz w:val="20"/>
          <w:szCs w:val="24"/>
        </w:rPr>
        <w:t xml:space="preserve"> Ratliff et al., 2016). These properties make </w:t>
      </w:r>
      <w:r w:rsidRPr="00B706E4">
        <w:rPr>
          <w:rFonts w:ascii="Arial" w:hAnsi="Arial" w:cs="Arial"/>
          <w:i/>
          <w:sz w:val="20"/>
          <w:szCs w:val="24"/>
        </w:rPr>
        <w:t xml:space="preserve">Amaranthus </w:t>
      </w:r>
      <w:proofErr w:type="spellStart"/>
      <w:r w:rsidRPr="00B706E4">
        <w:rPr>
          <w:rFonts w:ascii="Arial" w:hAnsi="Arial" w:cs="Arial"/>
          <w:i/>
          <w:sz w:val="20"/>
          <w:szCs w:val="24"/>
        </w:rPr>
        <w:t>viridis</w:t>
      </w:r>
      <w:proofErr w:type="spellEnd"/>
      <w:r w:rsidRPr="002A5007">
        <w:rPr>
          <w:rFonts w:ascii="Arial" w:hAnsi="Arial" w:cs="Arial"/>
          <w:sz w:val="20"/>
          <w:szCs w:val="24"/>
        </w:rPr>
        <w:t xml:space="preserve"> a promising candidate for mitigating the harmful effects of environmental and chemical toxins like potassium bromate (Bello et al., 2018). The renal system, being highly susceptible to oxidative damage due to its extensive blood supply and role in filtering toxins, is often impaired by toxic agents such as </w:t>
      </w:r>
      <w:proofErr w:type="spellStart"/>
      <w:r w:rsidRPr="002A5007">
        <w:rPr>
          <w:rFonts w:ascii="Arial" w:hAnsi="Arial" w:cs="Arial"/>
          <w:sz w:val="20"/>
          <w:szCs w:val="24"/>
        </w:rPr>
        <w:t>KBrO</w:t>
      </w:r>
      <w:proofErr w:type="spellEnd"/>
      <w:r w:rsidRPr="002A5007">
        <w:rPr>
          <w:rFonts w:ascii="Cambria Math" w:hAnsi="Cambria Math" w:cs="Cambria Math"/>
          <w:sz w:val="20"/>
          <w:szCs w:val="24"/>
        </w:rPr>
        <w:t>₃</w:t>
      </w:r>
      <w:r w:rsidRPr="002A5007">
        <w:rPr>
          <w:rFonts w:ascii="Arial" w:hAnsi="Arial" w:cs="Arial"/>
          <w:sz w:val="20"/>
          <w:szCs w:val="24"/>
        </w:rPr>
        <w:t xml:space="preserve"> (Fouad et al., 2024;, Das &amp; Das, 2016). This can lead to altered renal biomarkers, including elevated levels of urea and creatinine, as well as disturbances in electrolyte balance (</w:t>
      </w:r>
      <w:proofErr w:type="spellStart"/>
      <w:r w:rsidRPr="002A5007">
        <w:rPr>
          <w:rFonts w:ascii="Arial" w:hAnsi="Arial" w:cs="Arial"/>
          <w:sz w:val="20"/>
          <w:szCs w:val="24"/>
        </w:rPr>
        <w:t>Vairetti</w:t>
      </w:r>
      <w:proofErr w:type="spellEnd"/>
      <w:r w:rsidRPr="002A5007">
        <w:rPr>
          <w:rFonts w:ascii="Arial" w:hAnsi="Arial" w:cs="Arial"/>
          <w:sz w:val="20"/>
          <w:szCs w:val="24"/>
        </w:rPr>
        <w:t xml:space="preserve"> et al., 2021). Similarly, oxidative damage in the liver disrupts cellular functions and compromises key antioxidant defenses, notably glutathione (GSH), catalase (CAT), superoxide dismutase (SOD), and glutathione peroxidase (</w:t>
      </w:r>
      <w:proofErr w:type="spellStart"/>
      <w:r w:rsidRPr="002A5007">
        <w:rPr>
          <w:rFonts w:ascii="Arial" w:hAnsi="Arial" w:cs="Arial"/>
          <w:sz w:val="20"/>
          <w:szCs w:val="24"/>
        </w:rPr>
        <w:t>GPx</w:t>
      </w:r>
      <w:proofErr w:type="spellEnd"/>
      <w:r w:rsidRPr="002A5007">
        <w:rPr>
          <w:rFonts w:ascii="Arial" w:hAnsi="Arial" w:cs="Arial"/>
          <w:sz w:val="20"/>
          <w:szCs w:val="24"/>
        </w:rPr>
        <w:t>) (</w:t>
      </w:r>
      <w:proofErr w:type="spellStart"/>
      <w:r w:rsidRPr="002A5007">
        <w:rPr>
          <w:rFonts w:ascii="Arial" w:hAnsi="Arial" w:cs="Arial"/>
          <w:sz w:val="20"/>
          <w:szCs w:val="24"/>
        </w:rPr>
        <w:t>Famurewa</w:t>
      </w:r>
      <w:proofErr w:type="spellEnd"/>
      <w:r w:rsidRPr="002A5007">
        <w:rPr>
          <w:rFonts w:ascii="Arial" w:hAnsi="Arial" w:cs="Arial"/>
          <w:sz w:val="20"/>
          <w:szCs w:val="24"/>
        </w:rPr>
        <w:t xml:space="preserve"> et al., 2021). Liver lipid peroxidation, as indicated by increased malondialdehyde (MDA) levels, is a key marker of oxidative injury and can reflect the extent of cellular membrane damage (Dey &amp; Lakshmanan, 2013). There is the lack of comprehensive understanding of the protective effects of </w:t>
      </w:r>
      <w:r w:rsidRPr="00B706E4">
        <w:rPr>
          <w:rFonts w:ascii="Arial" w:hAnsi="Arial" w:cs="Arial"/>
          <w:i/>
          <w:sz w:val="20"/>
          <w:szCs w:val="24"/>
        </w:rPr>
        <w:t xml:space="preserve">Amaranthus </w:t>
      </w:r>
      <w:proofErr w:type="spellStart"/>
      <w:r w:rsidRPr="00B706E4">
        <w:rPr>
          <w:rFonts w:ascii="Arial" w:hAnsi="Arial" w:cs="Arial"/>
          <w:i/>
          <w:sz w:val="20"/>
          <w:szCs w:val="24"/>
        </w:rPr>
        <w:t>viridis</w:t>
      </w:r>
      <w:proofErr w:type="spellEnd"/>
      <w:r w:rsidRPr="002A5007">
        <w:rPr>
          <w:rFonts w:ascii="Arial" w:hAnsi="Arial" w:cs="Arial"/>
          <w:sz w:val="20"/>
          <w:szCs w:val="24"/>
        </w:rPr>
        <w:t xml:space="preserve"> against potassium bromate (</w:t>
      </w:r>
      <w:proofErr w:type="spellStart"/>
      <w:r w:rsidRPr="002A5007">
        <w:rPr>
          <w:rFonts w:ascii="Arial" w:hAnsi="Arial" w:cs="Arial"/>
          <w:sz w:val="20"/>
          <w:szCs w:val="24"/>
        </w:rPr>
        <w:t>KBrO</w:t>
      </w:r>
      <w:proofErr w:type="spellEnd"/>
      <w:r w:rsidRPr="002A5007">
        <w:rPr>
          <w:rFonts w:ascii="Cambria Math" w:hAnsi="Cambria Math" w:cs="Cambria Math"/>
          <w:sz w:val="20"/>
          <w:szCs w:val="24"/>
        </w:rPr>
        <w:t>₃</w:t>
      </w:r>
      <w:r w:rsidRPr="002A5007">
        <w:rPr>
          <w:rFonts w:ascii="Arial" w:hAnsi="Arial" w:cs="Arial"/>
          <w:sz w:val="20"/>
          <w:szCs w:val="24"/>
        </w:rPr>
        <w:t xml:space="preserve">)-induced nephrotoxicity and oxidative stress in the liver. Thus, this study aims to evaluate the protective effects of ethanol leaf extract of </w:t>
      </w:r>
      <w:r w:rsidRPr="00B706E4">
        <w:rPr>
          <w:rFonts w:ascii="Arial" w:hAnsi="Arial" w:cs="Arial"/>
          <w:i/>
          <w:sz w:val="20"/>
          <w:szCs w:val="24"/>
        </w:rPr>
        <w:t xml:space="preserve">Amaranthus </w:t>
      </w:r>
      <w:proofErr w:type="spellStart"/>
      <w:r w:rsidRPr="00B706E4">
        <w:rPr>
          <w:rFonts w:ascii="Arial" w:hAnsi="Arial" w:cs="Arial"/>
          <w:i/>
          <w:sz w:val="20"/>
          <w:szCs w:val="24"/>
        </w:rPr>
        <w:t>viridis</w:t>
      </w:r>
      <w:proofErr w:type="spellEnd"/>
      <w:r w:rsidRPr="002A5007">
        <w:rPr>
          <w:rFonts w:ascii="Arial" w:hAnsi="Arial" w:cs="Arial"/>
          <w:sz w:val="20"/>
          <w:szCs w:val="24"/>
        </w:rPr>
        <w:t xml:space="preserve"> on renal function and liver tissue antioxidant status in </w:t>
      </w:r>
      <w:proofErr w:type="spellStart"/>
      <w:r w:rsidRPr="002A5007">
        <w:rPr>
          <w:rFonts w:ascii="Arial" w:hAnsi="Arial" w:cs="Arial"/>
          <w:sz w:val="20"/>
          <w:szCs w:val="24"/>
        </w:rPr>
        <w:t>KBrO</w:t>
      </w:r>
      <w:proofErr w:type="spellEnd"/>
      <w:r w:rsidRPr="002A5007">
        <w:rPr>
          <w:rFonts w:ascii="Cambria Math" w:hAnsi="Cambria Math" w:cs="Cambria Math"/>
          <w:sz w:val="20"/>
          <w:szCs w:val="24"/>
        </w:rPr>
        <w:t>₃</w:t>
      </w:r>
      <w:r w:rsidRPr="002A5007">
        <w:rPr>
          <w:rFonts w:ascii="Arial" w:hAnsi="Arial" w:cs="Arial"/>
          <w:sz w:val="20"/>
          <w:szCs w:val="24"/>
        </w:rPr>
        <w:t xml:space="preserve">-intoxicated albino rats. By investigating renal parameters and liver antioxidant enzyme activities, this research seeks to determine whether </w:t>
      </w:r>
      <w:r w:rsidRPr="00B706E4">
        <w:rPr>
          <w:rFonts w:ascii="Arial" w:hAnsi="Arial" w:cs="Arial"/>
          <w:i/>
          <w:sz w:val="20"/>
          <w:szCs w:val="24"/>
        </w:rPr>
        <w:t xml:space="preserve">Amaranthus </w:t>
      </w:r>
      <w:proofErr w:type="spellStart"/>
      <w:r w:rsidRPr="00B706E4">
        <w:rPr>
          <w:rFonts w:ascii="Arial" w:hAnsi="Arial" w:cs="Arial"/>
          <w:i/>
          <w:sz w:val="20"/>
          <w:szCs w:val="24"/>
        </w:rPr>
        <w:t>viridis</w:t>
      </w:r>
      <w:proofErr w:type="spellEnd"/>
      <w:r w:rsidRPr="002A5007">
        <w:rPr>
          <w:rFonts w:ascii="Arial" w:hAnsi="Arial" w:cs="Arial"/>
          <w:sz w:val="20"/>
          <w:szCs w:val="24"/>
        </w:rPr>
        <w:t xml:space="preserve"> can attenuate the oxidative stress and nephrotoxicity induced by potassium bromate. The findings of this study could provide valuable insights into the therapeutic applications of </w:t>
      </w:r>
      <w:r w:rsidRPr="00B706E4">
        <w:rPr>
          <w:rFonts w:ascii="Arial" w:hAnsi="Arial" w:cs="Arial"/>
          <w:i/>
          <w:sz w:val="20"/>
          <w:szCs w:val="24"/>
        </w:rPr>
        <w:t xml:space="preserve">Amaranthus </w:t>
      </w:r>
      <w:proofErr w:type="spellStart"/>
      <w:r w:rsidRPr="00B706E4">
        <w:rPr>
          <w:rFonts w:ascii="Arial" w:hAnsi="Arial" w:cs="Arial"/>
          <w:i/>
          <w:sz w:val="20"/>
          <w:szCs w:val="24"/>
        </w:rPr>
        <w:t>viridis</w:t>
      </w:r>
      <w:proofErr w:type="spellEnd"/>
      <w:r w:rsidRPr="002A5007">
        <w:rPr>
          <w:rFonts w:ascii="Arial" w:hAnsi="Arial" w:cs="Arial"/>
          <w:sz w:val="20"/>
          <w:szCs w:val="24"/>
        </w:rPr>
        <w:t xml:space="preserve"> in combating oxidative stress and organ damage caused by toxic agents.</w:t>
      </w:r>
    </w:p>
    <w:p w14:paraId="6C704685" w14:textId="77777777" w:rsidR="002A5007" w:rsidRPr="00C949B0" w:rsidRDefault="00B706E4" w:rsidP="002A5007">
      <w:pPr>
        <w:rPr>
          <w:rFonts w:ascii="Arial" w:hAnsi="Arial" w:cs="Arial"/>
          <w:b/>
          <w:szCs w:val="24"/>
        </w:rPr>
      </w:pPr>
      <w:r w:rsidRPr="00C949B0">
        <w:rPr>
          <w:rFonts w:ascii="Arial" w:hAnsi="Arial" w:cs="Arial"/>
          <w:b/>
          <w:szCs w:val="24"/>
        </w:rPr>
        <w:t xml:space="preserve">2. </w:t>
      </w:r>
      <w:r w:rsidR="00C949B0" w:rsidRPr="00C949B0">
        <w:rPr>
          <w:rFonts w:ascii="Arial" w:hAnsi="Arial" w:cs="Arial"/>
          <w:b/>
          <w:szCs w:val="24"/>
        </w:rPr>
        <w:t xml:space="preserve">MATERIALS AND </w:t>
      </w:r>
      <w:r w:rsidRPr="00C949B0">
        <w:rPr>
          <w:rFonts w:ascii="Arial" w:hAnsi="Arial" w:cs="Arial"/>
          <w:b/>
          <w:szCs w:val="24"/>
        </w:rPr>
        <w:t>METHODS</w:t>
      </w:r>
    </w:p>
    <w:p w14:paraId="2A4E5986" w14:textId="77777777" w:rsidR="00C949B0" w:rsidRPr="00C949B0" w:rsidRDefault="00C949B0" w:rsidP="00C949B0">
      <w:pPr>
        <w:rPr>
          <w:rFonts w:ascii="Arial" w:hAnsi="Arial" w:cs="Arial"/>
          <w:b/>
          <w:sz w:val="20"/>
          <w:szCs w:val="24"/>
        </w:rPr>
      </w:pPr>
      <w:r>
        <w:rPr>
          <w:rFonts w:ascii="Arial" w:hAnsi="Arial" w:cs="Arial"/>
          <w:b/>
          <w:sz w:val="20"/>
          <w:szCs w:val="24"/>
        </w:rPr>
        <w:t xml:space="preserve">2.1 </w:t>
      </w:r>
      <w:r w:rsidRPr="00C949B0">
        <w:rPr>
          <w:rFonts w:ascii="Arial" w:hAnsi="Arial" w:cs="Arial"/>
          <w:b/>
          <w:sz w:val="20"/>
          <w:szCs w:val="24"/>
        </w:rPr>
        <w:t>Sample collection and preparation of plant material</w:t>
      </w:r>
    </w:p>
    <w:p w14:paraId="1ACD313D"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 xml:space="preserve">Fresh stems of </w:t>
      </w:r>
      <w:r w:rsidRPr="00C949B0">
        <w:rPr>
          <w:rFonts w:ascii="Arial" w:hAnsi="Arial" w:cs="Arial"/>
          <w:i/>
          <w:sz w:val="20"/>
          <w:szCs w:val="24"/>
        </w:rPr>
        <w:t xml:space="preserve">Amaranthus </w:t>
      </w:r>
      <w:proofErr w:type="spellStart"/>
      <w:r w:rsidRPr="00C949B0">
        <w:rPr>
          <w:rFonts w:ascii="Arial" w:hAnsi="Arial" w:cs="Arial"/>
          <w:i/>
          <w:sz w:val="20"/>
          <w:szCs w:val="24"/>
        </w:rPr>
        <w:t>viridis</w:t>
      </w:r>
      <w:proofErr w:type="spellEnd"/>
      <w:r w:rsidRPr="00C949B0">
        <w:rPr>
          <w:rFonts w:ascii="Arial" w:hAnsi="Arial" w:cs="Arial"/>
          <w:sz w:val="20"/>
          <w:szCs w:val="24"/>
        </w:rPr>
        <w:t xml:space="preserve"> (green leaf) were collected from </w:t>
      </w:r>
      <w:proofErr w:type="spellStart"/>
      <w:r w:rsidRPr="00C949B0">
        <w:rPr>
          <w:rFonts w:ascii="Arial" w:hAnsi="Arial" w:cs="Arial"/>
          <w:sz w:val="20"/>
          <w:szCs w:val="24"/>
        </w:rPr>
        <w:t>Umudike</w:t>
      </w:r>
      <w:proofErr w:type="spellEnd"/>
      <w:r w:rsidRPr="00C949B0">
        <w:rPr>
          <w:rFonts w:ascii="Arial" w:hAnsi="Arial" w:cs="Arial"/>
          <w:sz w:val="20"/>
          <w:szCs w:val="24"/>
        </w:rPr>
        <w:t xml:space="preserve"> environment in </w:t>
      </w:r>
      <w:proofErr w:type="spellStart"/>
      <w:r w:rsidRPr="00C949B0">
        <w:rPr>
          <w:rFonts w:ascii="Arial" w:hAnsi="Arial" w:cs="Arial"/>
          <w:sz w:val="20"/>
          <w:szCs w:val="24"/>
        </w:rPr>
        <w:t>Ikwuano</w:t>
      </w:r>
      <w:proofErr w:type="spellEnd"/>
      <w:r w:rsidRPr="00C949B0">
        <w:rPr>
          <w:rFonts w:ascii="Arial" w:hAnsi="Arial" w:cs="Arial"/>
          <w:sz w:val="20"/>
          <w:szCs w:val="24"/>
        </w:rPr>
        <w:t xml:space="preserve"> Local Government Area of Abia State and were authenticated at the Department of Forestry, College of Natural Resources and Environmental Management, Michael Okpara University of Agriculture, </w:t>
      </w:r>
      <w:proofErr w:type="spellStart"/>
      <w:r w:rsidRPr="00C949B0">
        <w:rPr>
          <w:rFonts w:ascii="Arial" w:hAnsi="Arial" w:cs="Arial"/>
          <w:sz w:val="20"/>
          <w:szCs w:val="24"/>
        </w:rPr>
        <w:t>Umudike</w:t>
      </w:r>
      <w:proofErr w:type="spellEnd"/>
      <w:r w:rsidRPr="00C949B0">
        <w:rPr>
          <w:rFonts w:ascii="Arial" w:hAnsi="Arial" w:cs="Arial"/>
          <w:sz w:val="20"/>
          <w:szCs w:val="24"/>
        </w:rPr>
        <w:t xml:space="preserve">. The collected stems were chopped into smaller particles and air dried under shade on a laboratory bench over 48 days before being pulverized into powder using a locally made motor blender. The crude extract was prepared from the powdered material. The cold maceration technique was adopted in the preparation of plant extract. A quantity, 500 g of the powdered material was macerated in 2 </w:t>
      </w:r>
      <w:proofErr w:type="spellStart"/>
      <w:r w:rsidRPr="00C949B0">
        <w:rPr>
          <w:rFonts w:ascii="Arial" w:hAnsi="Arial" w:cs="Arial"/>
          <w:sz w:val="20"/>
          <w:szCs w:val="24"/>
        </w:rPr>
        <w:t>litres</w:t>
      </w:r>
      <w:proofErr w:type="spellEnd"/>
      <w:r w:rsidRPr="00C949B0">
        <w:rPr>
          <w:rFonts w:ascii="Arial" w:hAnsi="Arial" w:cs="Arial"/>
          <w:sz w:val="20"/>
          <w:szCs w:val="24"/>
        </w:rPr>
        <w:t xml:space="preserve"> of ethanol for 48 hours, thereafter then double filtered with a Whatman filter paper. The filtrate was then concentrated to dryness in the laboratory</w:t>
      </w:r>
      <w:r>
        <w:rPr>
          <w:rFonts w:ascii="Arial" w:hAnsi="Arial" w:cs="Arial"/>
          <w:sz w:val="20"/>
          <w:szCs w:val="24"/>
        </w:rPr>
        <w:t xml:space="preserve"> oven at a low temperature (40</w:t>
      </w:r>
      <w:r w:rsidRPr="00C949B0">
        <w:rPr>
          <w:rFonts w:ascii="Arial" w:hAnsi="Arial" w:cs="Arial"/>
          <w:sz w:val="20"/>
          <w:szCs w:val="24"/>
          <w:vertAlign w:val="superscript"/>
        </w:rPr>
        <w:t>0</w:t>
      </w:r>
      <w:r w:rsidRPr="00C949B0">
        <w:rPr>
          <w:rFonts w:ascii="Arial" w:hAnsi="Arial" w:cs="Arial"/>
          <w:sz w:val="20"/>
          <w:szCs w:val="24"/>
        </w:rPr>
        <w:t xml:space="preserve">C) to obtain a dark green pasty extract which weighed 26.89 g and represented a 5.38 % extract yield. The process was repeated until a sufficient extract for the entire study was obtained. </w:t>
      </w:r>
    </w:p>
    <w:p w14:paraId="4CE6B68B"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 xml:space="preserve">Percentage yields in both cases were calculated using the formula: </w:t>
      </w:r>
    </w:p>
    <w:p w14:paraId="49F5D3FA" w14:textId="77777777" w:rsidR="00C949B0" w:rsidRPr="0018015F" w:rsidRDefault="00C949B0" w:rsidP="00C949B0">
      <w:pPr>
        <w:spacing w:after="0" w:line="360" w:lineRule="auto"/>
        <w:jc w:val="both"/>
        <w:rPr>
          <w:rFonts w:ascii="Times New Roman" w:eastAsia="Calibri" w:hAnsi="Times New Roman" w:cs="Times New Roman"/>
          <w:color w:val="000000"/>
          <w:sz w:val="24"/>
          <w:szCs w:val="24"/>
        </w:rPr>
      </w:pPr>
      <w:r w:rsidRPr="0018015F">
        <w:rPr>
          <w:rFonts w:ascii="Times New Roman" w:eastAsia="Calibri" w:hAnsi="Times New Roman" w:cs="Times New Roman"/>
          <w:color w:val="000000"/>
          <w:sz w:val="24"/>
          <w:szCs w:val="24"/>
        </w:rPr>
        <w:lastRenderedPageBreak/>
        <w:t xml:space="preserve">% yield = </w:t>
      </w:r>
      <w:r w:rsidRPr="0018015F">
        <w:rPr>
          <w:rFonts w:ascii="Times New Roman" w:eastAsia="Calibri" w:hAnsi="Times New Roman" w:cs="Times New Roman"/>
          <w:color w:val="000000"/>
          <w:sz w:val="24"/>
          <w:szCs w:val="24"/>
          <w:u w:val="single"/>
        </w:rPr>
        <w:t>Q</w:t>
      </w:r>
      <w:r w:rsidRPr="0018015F">
        <w:rPr>
          <w:rFonts w:ascii="Times New Roman" w:eastAsia="Calibri" w:hAnsi="Times New Roman" w:cs="Times New Roman"/>
          <w:color w:val="000000"/>
          <w:sz w:val="24"/>
          <w:szCs w:val="24"/>
        </w:rPr>
        <w:t xml:space="preserve">   x </w:t>
      </w:r>
      <w:r w:rsidRPr="0018015F">
        <w:rPr>
          <w:rFonts w:ascii="Times New Roman" w:eastAsia="Calibri" w:hAnsi="Times New Roman" w:cs="Times New Roman"/>
          <w:color w:val="000000"/>
          <w:sz w:val="24"/>
          <w:szCs w:val="24"/>
          <w:u w:val="single"/>
        </w:rPr>
        <w:t>100</w:t>
      </w:r>
    </w:p>
    <w:p w14:paraId="76D203B8" w14:textId="77777777" w:rsidR="00C949B0" w:rsidRPr="00C949B0" w:rsidRDefault="00C949B0" w:rsidP="00C949B0">
      <w:pPr>
        <w:spacing w:after="0" w:line="360" w:lineRule="auto"/>
        <w:jc w:val="both"/>
        <w:rPr>
          <w:rFonts w:ascii="Times New Roman" w:eastAsia="Calibri" w:hAnsi="Times New Roman" w:cs="Times New Roman"/>
          <w:color w:val="000000"/>
          <w:sz w:val="24"/>
          <w:szCs w:val="24"/>
        </w:rPr>
      </w:pPr>
      <w:r w:rsidRPr="0018015F">
        <w:rPr>
          <w:rFonts w:ascii="Times New Roman" w:eastAsia="Calibri" w:hAnsi="Times New Roman" w:cs="Times New Roman"/>
          <w:color w:val="000000"/>
          <w:sz w:val="24"/>
          <w:szCs w:val="24"/>
        </w:rPr>
        <w:t xml:space="preserve">                 W       1</w:t>
      </w:r>
    </w:p>
    <w:p w14:paraId="71E5AB3E" w14:textId="77777777" w:rsidR="00C949B0" w:rsidRPr="00C949B0" w:rsidRDefault="00C949B0" w:rsidP="00C949B0">
      <w:pPr>
        <w:rPr>
          <w:rFonts w:ascii="Arial" w:hAnsi="Arial" w:cs="Arial"/>
          <w:sz w:val="20"/>
          <w:szCs w:val="24"/>
        </w:rPr>
      </w:pPr>
      <w:r w:rsidRPr="00C949B0">
        <w:rPr>
          <w:rFonts w:ascii="Arial" w:hAnsi="Arial" w:cs="Arial"/>
          <w:sz w:val="20"/>
          <w:szCs w:val="24"/>
        </w:rPr>
        <w:t xml:space="preserve">Where Q is weight of extract obtained after extraction and W is weight of pulverized plant material macerated in methanol. The extract was preserved in the refrigerator </w:t>
      </w:r>
      <w:r>
        <w:rPr>
          <w:rFonts w:ascii="Arial" w:hAnsi="Arial" w:cs="Arial"/>
          <w:sz w:val="20"/>
          <w:szCs w:val="24"/>
        </w:rPr>
        <w:t>at a low temperature until use.</w:t>
      </w:r>
    </w:p>
    <w:p w14:paraId="12E75E0A" w14:textId="77777777" w:rsidR="00C949B0" w:rsidRPr="00C949B0" w:rsidRDefault="00C949B0" w:rsidP="00C949B0">
      <w:pPr>
        <w:rPr>
          <w:rFonts w:ascii="Arial" w:hAnsi="Arial" w:cs="Arial"/>
          <w:b/>
          <w:sz w:val="20"/>
          <w:szCs w:val="24"/>
        </w:rPr>
      </w:pPr>
      <w:r>
        <w:rPr>
          <w:rFonts w:ascii="Arial" w:hAnsi="Arial" w:cs="Arial"/>
          <w:b/>
          <w:sz w:val="20"/>
          <w:szCs w:val="24"/>
        </w:rPr>
        <w:t xml:space="preserve">2.2 </w:t>
      </w:r>
      <w:r w:rsidRPr="00C949B0">
        <w:rPr>
          <w:rFonts w:ascii="Arial" w:hAnsi="Arial" w:cs="Arial"/>
          <w:b/>
          <w:sz w:val="20"/>
          <w:szCs w:val="24"/>
        </w:rPr>
        <w:t xml:space="preserve">Experimental Design for </w:t>
      </w:r>
      <w:r>
        <w:rPr>
          <w:rFonts w:ascii="Arial" w:hAnsi="Arial" w:cs="Arial"/>
          <w:b/>
          <w:sz w:val="20"/>
          <w:szCs w:val="24"/>
        </w:rPr>
        <w:t>the Evaluation of the Effect of t</w:t>
      </w:r>
      <w:r w:rsidRPr="00C949B0">
        <w:rPr>
          <w:rFonts w:ascii="Arial" w:hAnsi="Arial" w:cs="Arial"/>
          <w:b/>
          <w:sz w:val="20"/>
          <w:szCs w:val="24"/>
        </w:rPr>
        <w:t>he Crude Extract</w:t>
      </w:r>
      <w:r>
        <w:rPr>
          <w:rFonts w:ascii="Arial" w:hAnsi="Arial" w:cs="Arial"/>
          <w:b/>
          <w:sz w:val="20"/>
          <w:szCs w:val="24"/>
        </w:rPr>
        <w:t xml:space="preserve"> of Green Leaf o</w:t>
      </w:r>
      <w:r w:rsidRPr="00C949B0">
        <w:rPr>
          <w:rFonts w:ascii="Arial" w:hAnsi="Arial" w:cs="Arial"/>
          <w:b/>
          <w:sz w:val="20"/>
          <w:szCs w:val="24"/>
        </w:rPr>
        <w:t>n Pota</w:t>
      </w:r>
      <w:r>
        <w:rPr>
          <w:rFonts w:ascii="Arial" w:hAnsi="Arial" w:cs="Arial"/>
          <w:b/>
          <w:sz w:val="20"/>
          <w:szCs w:val="24"/>
        </w:rPr>
        <w:t>ssium Bromate Induced Toxicity i</w:t>
      </w:r>
      <w:r w:rsidRPr="00C949B0">
        <w:rPr>
          <w:rFonts w:ascii="Arial" w:hAnsi="Arial" w:cs="Arial"/>
          <w:b/>
          <w:sz w:val="20"/>
          <w:szCs w:val="24"/>
        </w:rPr>
        <w:t>n Rats</w:t>
      </w:r>
    </w:p>
    <w:p w14:paraId="510F6A7E"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 xml:space="preserve">Thirty (30) adult male </w:t>
      </w:r>
      <w:proofErr w:type="spellStart"/>
      <w:r w:rsidRPr="00C949B0">
        <w:rPr>
          <w:rFonts w:ascii="Arial" w:hAnsi="Arial" w:cs="Arial"/>
          <w:sz w:val="20"/>
          <w:szCs w:val="24"/>
        </w:rPr>
        <w:t>wistar</w:t>
      </w:r>
      <w:proofErr w:type="spellEnd"/>
      <w:r w:rsidRPr="00C949B0">
        <w:rPr>
          <w:rFonts w:ascii="Arial" w:hAnsi="Arial" w:cs="Arial"/>
          <w:sz w:val="20"/>
          <w:szCs w:val="24"/>
        </w:rPr>
        <w:t xml:space="preserve"> rats assigned to 6 groups of 5 rats each were treated according to the order below:</w:t>
      </w:r>
    </w:p>
    <w:p w14:paraId="57753AD7"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1:</w:t>
      </w:r>
      <w:r w:rsidRPr="00C949B0">
        <w:rPr>
          <w:rFonts w:ascii="Arial" w:hAnsi="Arial" w:cs="Arial"/>
          <w:sz w:val="20"/>
          <w:szCs w:val="24"/>
        </w:rPr>
        <w:tab/>
        <w:t xml:space="preserve">Normal control </w:t>
      </w:r>
    </w:p>
    <w:p w14:paraId="475F267E"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2:</w:t>
      </w:r>
      <w:r w:rsidRPr="00C949B0">
        <w:rPr>
          <w:rFonts w:ascii="Arial" w:hAnsi="Arial" w:cs="Arial"/>
          <w:sz w:val="20"/>
          <w:szCs w:val="24"/>
        </w:rPr>
        <w:tab/>
        <w:t>Negative control (50 mg/kg of KBrO3 only)</w:t>
      </w:r>
    </w:p>
    <w:p w14:paraId="28548831"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3:</w:t>
      </w:r>
      <w:r w:rsidRPr="00C949B0">
        <w:rPr>
          <w:rFonts w:ascii="Arial" w:hAnsi="Arial" w:cs="Arial"/>
          <w:sz w:val="20"/>
          <w:szCs w:val="24"/>
        </w:rPr>
        <w:tab/>
        <w:t>Green leaf extract (200 mg/kg) + 50 mg/kg of KBrO3</w:t>
      </w:r>
    </w:p>
    <w:p w14:paraId="4DF9802A"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4:</w:t>
      </w:r>
      <w:r w:rsidRPr="00C949B0">
        <w:rPr>
          <w:rFonts w:ascii="Arial" w:hAnsi="Arial" w:cs="Arial"/>
          <w:sz w:val="20"/>
          <w:szCs w:val="24"/>
        </w:rPr>
        <w:tab/>
        <w:t>Green leaf extract (400 mg/kg) + 50 mg/kg of KBrO3</w:t>
      </w:r>
    </w:p>
    <w:p w14:paraId="77B6A638"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5:</w:t>
      </w:r>
      <w:r w:rsidRPr="00C949B0">
        <w:rPr>
          <w:rFonts w:ascii="Arial" w:hAnsi="Arial" w:cs="Arial"/>
          <w:sz w:val="20"/>
          <w:szCs w:val="24"/>
        </w:rPr>
        <w:tab/>
        <w:t>Green leaf extract (800 mg/kg) + 50 mg/kg of KBrO3</w:t>
      </w:r>
    </w:p>
    <w:p w14:paraId="35139FD1"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6:</w:t>
      </w:r>
      <w:r w:rsidRPr="00C949B0">
        <w:rPr>
          <w:rFonts w:ascii="Arial" w:hAnsi="Arial" w:cs="Arial"/>
          <w:sz w:val="20"/>
          <w:szCs w:val="24"/>
        </w:rPr>
        <w:tab/>
        <w:t>Vitamin C (100 mg/kg) + 50 mg/kg of KBrO3</w:t>
      </w:r>
    </w:p>
    <w:p w14:paraId="4CE6D6F0"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 xml:space="preserve">All treatments were via the oral route and lasted for 14 days. Body weights were taken at the beginning and at the end of the treatment (i.e., days 1 and 14) using an electronic balance (DJ-A1000, China). At the end of the period, animals were sacrificed and blood and tissue samples were collected for the various analyses carried out.  </w:t>
      </w:r>
    </w:p>
    <w:p w14:paraId="4ED09000" w14:textId="77777777" w:rsidR="00C949B0" w:rsidRPr="00C949B0" w:rsidRDefault="00C949B0" w:rsidP="00C949B0">
      <w:pPr>
        <w:rPr>
          <w:rFonts w:ascii="Arial" w:hAnsi="Arial" w:cs="Arial"/>
          <w:b/>
          <w:sz w:val="20"/>
          <w:szCs w:val="24"/>
        </w:rPr>
      </w:pPr>
      <w:r>
        <w:rPr>
          <w:rFonts w:ascii="Arial" w:hAnsi="Arial" w:cs="Arial"/>
          <w:b/>
          <w:sz w:val="20"/>
          <w:szCs w:val="24"/>
        </w:rPr>
        <w:t>2.3 Determination o</w:t>
      </w:r>
      <w:r w:rsidRPr="00C949B0">
        <w:rPr>
          <w:rFonts w:ascii="Arial" w:hAnsi="Arial" w:cs="Arial"/>
          <w:b/>
          <w:sz w:val="20"/>
          <w:szCs w:val="24"/>
        </w:rPr>
        <w:t>f Renal Function Parameters</w:t>
      </w:r>
    </w:p>
    <w:p w14:paraId="32312F89" w14:textId="77777777" w:rsidR="00C949B0" w:rsidRPr="00C949B0" w:rsidRDefault="00C949B0" w:rsidP="00C949B0">
      <w:pPr>
        <w:rPr>
          <w:rFonts w:ascii="Arial" w:hAnsi="Arial" w:cs="Arial"/>
          <w:sz w:val="20"/>
          <w:szCs w:val="24"/>
        </w:rPr>
      </w:pPr>
      <w:r w:rsidRPr="00C949B0">
        <w:rPr>
          <w:rFonts w:ascii="Arial" w:hAnsi="Arial" w:cs="Arial"/>
          <w:sz w:val="20"/>
          <w:szCs w:val="24"/>
        </w:rPr>
        <w:t xml:space="preserve">Renal function parameters including urea, creatinine, sodium, chloride, potassium, bicarbonate, were determined according to the methods described by </w:t>
      </w:r>
      <w:proofErr w:type="spellStart"/>
      <w:r w:rsidRPr="00C949B0">
        <w:rPr>
          <w:rFonts w:ascii="Arial" w:hAnsi="Arial" w:cs="Arial"/>
          <w:sz w:val="20"/>
          <w:szCs w:val="24"/>
        </w:rPr>
        <w:t>Nwalutu</w:t>
      </w:r>
      <w:proofErr w:type="spellEnd"/>
      <w:r w:rsidRPr="00C949B0">
        <w:rPr>
          <w:rFonts w:ascii="Arial" w:hAnsi="Arial" w:cs="Arial"/>
          <w:sz w:val="20"/>
          <w:szCs w:val="24"/>
        </w:rPr>
        <w:t xml:space="preserve">, (2011) were adopted  </w:t>
      </w:r>
    </w:p>
    <w:p w14:paraId="23F964F3" w14:textId="77777777" w:rsidR="00C949B0" w:rsidRPr="00C949B0" w:rsidRDefault="00C949B0" w:rsidP="00C949B0">
      <w:pPr>
        <w:rPr>
          <w:rFonts w:ascii="Arial" w:hAnsi="Arial" w:cs="Arial"/>
          <w:b/>
          <w:sz w:val="20"/>
          <w:szCs w:val="24"/>
        </w:rPr>
      </w:pPr>
      <w:r>
        <w:rPr>
          <w:rFonts w:ascii="Arial" w:hAnsi="Arial" w:cs="Arial"/>
          <w:b/>
          <w:sz w:val="20"/>
          <w:szCs w:val="24"/>
        </w:rPr>
        <w:t xml:space="preserve">2.4 </w:t>
      </w:r>
      <w:r w:rsidRPr="00C949B0">
        <w:rPr>
          <w:rFonts w:ascii="Arial" w:hAnsi="Arial" w:cs="Arial"/>
          <w:b/>
          <w:sz w:val="20"/>
          <w:szCs w:val="24"/>
        </w:rPr>
        <w:t>Determination of antioxidant parameters in liver tissues</w:t>
      </w:r>
    </w:p>
    <w:p w14:paraId="31A29160" w14:textId="77777777" w:rsidR="00C949B0" w:rsidRPr="00C949B0" w:rsidRDefault="00C949B0" w:rsidP="00C949B0">
      <w:pPr>
        <w:rPr>
          <w:rFonts w:ascii="Arial" w:hAnsi="Arial" w:cs="Arial"/>
          <w:sz w:val="20"/>
          <w:szCs w:val="24"/>
        </w:rPr>
      </w:pPr>
      <w:r w:rsidRPr="00C949B0">
        <w:rPr>
          <w:rFonts w:ascii="Arial" w:hAnsi="Arial" w:cs="Arial"/>
          <w:sz w:val="20"/>
          <w:szCs w:val="24"/>
        </w:rPr>
        <w:t>Antioxidant parameters including glutathione (GSH), catalase, superoxide dismutase (SOD), glutathione peroxidase and malondialdehyde (MDA) were determined on liver tissue homogenate prepared by homogenizing 1g of liver tissue in 5ml phosphate buffer solution. The methods used by Kanu et al. (2016) were adopted.</w:t>
      </w:r>
    </w:p>
    <w:p w14:paraId="44AFD436" w14:textId="77777777" w:rsidR="00C949B0" w:rsidRPr="00C949B0" w:rsidRDefault="00C949B0" w:rsidP="00C949B0">
      <w:pPr>
        <w:rPr>
          <w:rFonts w:ascii="Arial" w:hAnsi="Arial" w:cs="Arial"/>
          <w:b/>
          <w:sz w:val="20"/>
          <w:szCs w:val="24"/>
        </w:rPr>
      </w:pPr>
      <w:r>
        <w:rPr>
          <w:rFonts w:ascii="Arial" w:hAnsi="Arial" w:cs="Arial"/>
          <w:b/>
          <w:sz w:val="20"/>
          <w:szCs w:val="24"/>
        </w:rPr>
        <w:t xml:space="preserve">2.5 </w:t>
      </w:r>
      <w:r w:rsidRPr="00C949B0">
        <w:rPr>
          <w:rFonts w:ascii="Arial" w:hAnsi="Arial" w:cs="Arial"/>
          <w:b/>
          <w:sz w:val="20"/>
          <w:szCs w:val="24"/>
        </w:rPr>
        <w:t>Statistical analysis</w:t>
      </w:r>
    </w:p>
    <w:p w14:paraId="286CE845" w14:textId="77777777" w:rsidR="00C949B0" w:rsidRDefault="00C949B0" w:rsidP="00C949B0">
      <w:pPr>
        <w:rPr>
          <w:rFonts w:ascii="Arial" w:hAnsi="Arial" w:cs="Arial"/>
          <w:sz w:val="20"/>
          <w:szCs w:val="24"/>
        </w:rPr>
      </w:pPr>
      <w:r w:rsidRPr="00C949B0">
        <w:rPr>
          <w:rFonts w:ascii="Arial" w:hAnsi="Arial" w:cs="Arial"/>
          <w:sz w:val="20"/>
          <w:szCs w:val="24"/>
        </w:rPr>
        <w:t>Data obtained from the experiments were analyzed and the results were expressed as mean ± standard deviation (S.D). The result was analyzed using One Way Analysis of Variance (ANOVA) using Statistical Package for Scientific Solution (SPSS, Version 20.0, IBM SPSS Inc, Chicago, IL). Data were analyzed using the Duncan Multiple Range Test, which was supplemented by the student t-test for post-hoc comparisons of the means of the various dosages and fractions. P-values less than 0.05 were considered statistically significantly different between the test and control groups as well as among test groups for measured value.</w:t>
      </w:r>
    </w:p>
    <w:p w14:paraId="751771EF" w14:textId="77777777" w:rsidR="00C949B0" w:rsidRDefault="00C949B0" w:rsidP="00C949B0">
      <w:pPr>
        <w:rPr>
          <w:rFonts w:ascii="Arial" w:hAnsi="Arial" w:cs="Arial"/>
          <w:sz w:val="20"/>
          <w:szCs w:val="24"/>
        </w:rPr>
      </w:pPr>
    </w:p>
    <w:p w14:paraId="1F7AD9FC" w14:textId="77777777" w:rsidR="0031203E" w:rsidRDefault="0031203E" w:rsidP="00C949B0">
      <w:pPr>
        <w:rPr>
          <w:rFonts w:ascii="Arial" w:hAnsi="Arial" w:cs="Arial"/>
          <w:sz w:val="20"/>
          <w:szCs w:val="24"/>
        </w:rPr>
      </w:pPr>
    </w:p>
    <w:p w14:paraId="47094B46" w14:textId="77777777" w:rsidR="0031203E" w:rsidRDefault="0031203E" w:rsidP="00C949B0">
      <w:pPr>
        <w:rPr>
          <w:rFonts w:ascii="Arial" w:hAnsi="Arial" w:cs="Arial"/>
          <w:sz w:val="20"/>
          <w:szCs w:val="24"/>
        </w:rPr>
      </w:pPr>
    </w:p>
    <w:p w14:paraId="4A999525" w14:textId="77777777" w:rsidR="0031203E" w:rsidRDefault="0031203E" w:rsidP="00C949B0">
      <w:pPr>
        <w:rPr>
          <w:rFonts w:ascii="Arial" w:hAnsi="Arial" w:cs="Arial"/>
          <w:sz w:val="20"/>
          <w:szCs w:val="24"/>
        </w:rPr>
      </w:pPr>
    </w:p>
    <w:p w14:paraId="00FB88AF" w14:textId="77777777" w:rsidR="0031203E" w:rsidRDefault="0031203E" w:rsidP="0031203E">
      <w:pPr>
        <w:spacing w:line="360" w:lineRule="auto"/>
        <w:jc w:val="both"/>
        <w:rPr>
          <w:rFonts w:ascii="Arial" w:hAnsi="Arial" w:cs="Arial"/>
          <w:b/>
          <w:bCs/>
          <w:szCs w:val="24"/>
        </w:rPr>
      </w:pPr>
      <w:r w:rsidRPr="0031203E">
        <w:rPr>
          <w:rFonts w:ascii="Arial" w:hAnsi="Arial" w:cs="Arial"/>
          <w:b/>
          <w:bCs/>
          <w:szCs w:val="24"/>
        </w:rPr>
        <w:lastRenderedPageBreak/>
        <w:t>3. RESULTS</w:t>
      </w:r>
    </w:p>
    <w:p w14:paraId="4CB745B0" w14:textId="77777777" w:rsidR="0031203E" w:rsidRPr="0031203E" w:rsidRDefault="0031203E" w:rsidP="0031203E">
      <w:pPr>
        <w:spacing w:line="360" w:lineRule="auto"/>
        <w:jc w:val="both"/>
        <w:rPr>
          <w:rFonts w:ascii="Arial" w:hAnsi="Arial" w:cs="Arial"/>
          <w:b/>
          <w:bCs/>
          <w:szCs w:val="24"/>
        </w:rPr>
      </w:pPr>
      <w:r>
        <w:rPr>
          <w:rFonts w:ascii="Arial" w:hAnsi="Arial" w:cs="Arial"/>
          <w:b/>
          <w:bCs/>
          <w:szCs w:val="24"/>
        </w:rPr>
        <w:t xml:space="preserve">3.1 </w:t>
      </w:r>
      <w:r w:rsidRPr="0031203E">
        <w:rPr>
          <w:rFonts w:ascii="Arial" w:hAnsi="Arial" w:cs="Arial"/>
          <w:b/>
        </w:rPr>
        <w:t>EFFECTS OF THE EXTRACT ON RENAL FUNCTION PARAMETERS IN POTASSIUM BROMATE TREATED RATS</w:t>
      </w:r>
    </w:p>
    <w:p w14:paraId="2DF95FE9" w14:textId="77777777" w:rsidR="0031203E" w:rsidRDefault="0031203E" w:rsidP="0031203E">
      <w:pPr>
        <w:spacing w:line="360" w:lineRule="auto"/>
        <w:jc w:val="both"/>
        <w:rPr>
          <w:rFonts w:ascii="Arial" w:hAnsi="Arial" w:cs="Arial"/>
          <w:sz w:val="20"/>
          <w:szCs w:val="24"/>
        </w:rPr>
      </w:pPr>
      <w:r w:rsidRPr="0031203E">
        <w:rPr>
          <w:rFonts w:ascii="Arial" w:hAnsi="Arial" w:cs="Arial"/>
          <w:sz w:val="20"/>
          <w:szCs w:val="24"/>
        </w:rPr>
        <w:t xml:space="preserve">The findings in Table 1 displays the effects of an </w:t>
      </w:r>
      <w:r w:rsidRPr="0031203E">
        <w:rPr>
          <w:rFonts w:ascii="Arial" w:hAnsi="Arial" w:cs="Arial"/>
          <w:i/>
          <w:iCs/>
          <w:sz w:val="20"/>
          <w:szCs w:val="24"/>
        </w:rPr>
        <w:t>Amaranthus V</w:t>
      </w:r>
      <w:r w:rsidRPr="0031203E">
        <w:rPr>
          <w:rFonts w:ascii="Arial" w:hAnsi="Arial" w:cs="Arial"/>
          <w:sz w:val="20"/>
          <w:szCs w:val="24"/>
        </w:rPr>
        <w:t>. leaf extract on renal function in rats treated with potassium bromate (KBrO</w:t>
      </w:r>
      <w:r w:rsidRPr="0031203E">
        <w:rPr>
          <w:rFonts w:ascii="Arial" w:hAnsi="Arial" w:cs="Arial"/>
          <w:sz w:val="20"/>
          <w:szCs w:val="24"/>
          <w:vertAlign w:val="subscript"/>
        </w:rPr>
        <w:t>3</w:t>
      </w:r>
      <w:r w:rsidRPr="0031203E">
        <w:rPr>
          <w:rFonts w:ascii="Arial" w:hAnsi="Arial" w:cs="Arial"/>
          <w:sz w:val="20"/>
          <w:szCs w:val="24"/>
        </w:rPr>
        <w:t>). KBrO</w:t>
      </w:r>
      <w:r w:rsidRPr="0031203E">
        <w:rPr>
          <w:rFonts w:ascii="Arial" w:hAnsi="Arial" w:cs="Arial"/>
          <w:sz w:val="20"/>
          <w:szCs w:val="24"/>
          <w:vertAlign w:val="subscript"/>
        </w:rPr>
        <w:t>3</w:t>
      </w:r>
      <w:r w:rsidRPr="0031203E">
        <w:rPr>
          <w:rFonts w:ascii="Arial" w:hAnsi="Arial" w:cs="Arial"/>
          <w:sz w:val="20"/>
          <w:szCs w:val="24"/>
        </w:rPr>
        <w:t xml:space="preserve"> significantly elevated urea and creatinine levels, indicating kidney damage, and altered electrolyte balance. Treatment with Vitamin C or various doses of the </w:t>
      </w:r>
      <w:r w:rsidRPr="0031203E">
        <w:rPr>
          <w:rFonts w:ascii="Arial" w:hAnsi="Arial" w:cs="Arial"/>
          <w:i/>
          <w:iCs/>
          <w:sz w:val="20"/>
          <w:szCs w:val="24"/>
        </w:rPr>
        <w:t>Amaranthus V</w:t>
      </w:r>
      <w:r w:rsidRPr="0031203E">
        <w:rPr>
          <w:rFonts w:ascii="Arial" w:hAnsi="Arial" w:cs="Arial"/>
          <w:sz w:val="20"/>
          <w:szCs w:val="24"/>
        </w:rPr>
        <w:t>. leaf extract, particularly at higher concentrations (400 mg/kg and 800 mg/kg), showed a mitigating effect, bringing these parameters closer to control levels.</w:t>
      </w:r>
    </w:p>
    <w:p w14:paraId="52E12CF5" w14:textId="77777777" w:rsidR="0031203E" w:rsidRPr="0031203E" w:rsidRDefault="0031203E" w:rsidP="0031203E">
      <w:pPr>
        <w:spacing w:line="360" w:lineRule="auto"/>
        <w:jc w:val="both"/>
        <w:rPr>
          <w:rFonts w:ascii="Arial" w:hAnsi="Arial" w:cs="Arial"/>
          <w:b/>
          <w:szCs w:val="24"/>
        </w:rPr>
      </w:pPr>
      <w:r w:rsidRPr="0031203E">
        <w:rPr>
          <w:rFonts w:ascii="Arial" w:hAnsi="Arial" w:cs="Arial"/>
          <w:b/>
          <w:szCs w:val="24"/>
        </w:rPr>
        <w:t>3.2</w:t>
      </w:r>
      <w:r w:rsidR="009A4DFD">
        <w:rPr>
          <w:rFonts w:ascii="Arial" w:hAnsi="Arial" w:cs="Arial"/>
          <w:b/>
          <w:szCs w:val="24"/>
        </w:rPr>
        <w:t xml:space="preserve"> </w:t>
      </w:r>
      <w:r w:rsidR="009A4DFD" w:rsidRPr="009A4DFD">
        <w:rPr>
          <w:rFonts w:ascii="Arial" w:hAnsi="Arial" w:cs="Arial"/>
          <w:b/>
          <w:szCs w:val="24"/>
        </w:rPr>
        <w:t>EFFECTS OF THE EXTRACT ON LIVER TISSUE HOMOGENATE ANTIOXIDANT STATUS IN POTASSIUM BROMATE TREATED RATS</w:t>
      </w:r>
    </w:p>
    <w:p w14:paraId="23869F81" w14:textId="77777777" w:rsidR="0031203E" w:rsidRDefault="0031203E" w:rsidP="0031203E">
      <w:pPr>
        <w:spacing w:line="360" w:lineRule="auto"/>
        <w:jc w:val="both"/>
        <w:rPr>
          <w:rFonts w:ascii="Arial" w:hAnsi="Arial" w:cs="Arial"/>
          <w:sz w:val="20"/>
          <w:szCs w:val="24"/>
        </w:rPr>
      </w:pPr>
      <w:r w:rsidRPr="0031203E">
        <w:rPr>
          <w:rFonts w:ascii="Arial" w:hAnsi="Arial" w:cs="Arial"/>
          <w:sz w:val="20"/>
          <w:szCs w:val="24"/>
        </w:rPr>
        <w:t xml:space="preserve">Table 2 presents the impact of an </w:t>
      </w:r>
      <w:r w:rsidRPr="009A4DFD">
        <w:rPr>
          <w:rFonts w:ascii="Arial" w:hAnsi="Arial" w:cs="Arial"/>
          <w:i/>
          <w:sz w:val="20"/>
          <w:szCs w:val="24"/>
        </w:rPr>
        <w:t>Amaranthus V</w:t>
      </w:r>
      <w:r w:rsidRPr="0031203E">
        <w:rPr>
          <w:rFonts w:ascii="Arial" w:hAnsi="Arial" w:cs="Arial"/>
          <w:sz w:val="20"/>
          <w:szCs w:val="24"/>
        </w:rPr>
        <w:t xml:space="preserve">. leaf extract on liver tissue antioxidant status in rats exposed to potassium bromate (KBrO3). KBrO33 treatment significantly reduced key antioxidant enzymes like GSH, </w:t>
      </w:r>
      <w:proofErr w:type="spellStart"/>
      <w:r w:rsidRPr="0031203E">
        <w:rPr>
          <w:rFonts w:ascii="Arial" w:hAnsi="Arial" w:cs="Arial"/>
          <w:sz w:val="20"/>
          <w:szCs w:val="24"/>
        </w:rPr>
        <w:t>GPx</w:t>
      </w:r>
      <w:proofErr w:type="spellEnd"/>
      <w:r w:rsidRPr="0031203E">
        <w:rPr>
          <w:rFonts w:ascii="Arial" w:hAnsi="Arial" w:cs="Arial"/>
          <w:sz w:val="20"/>
          <w:szCs w:val="24"/>
        </w:rPr>
        <w:t xml:space="preserve">, SOD, and CAT, while markedly increasing MDA. Conversely, administration of Vitamin C or the </w:t>
      </w:r>
      <w:r w:rsidRPr="009A4DFD">
        <w:rPr>
          <w:rFonts w:ascii="Arial" w:hAnsi="Arial" w:cs="Arial"/>
          <w:i/>
          <w:sz w:val="20"/>
          <w:szCs w:val="24"/>
        </w:rPr>
        <w:t>Amaranthus V</w:t>
      </w:r>
      <w:r w:rsidRPr="0031203E">
        <w:rPr>
          <w:rFonts w:ascii="Arial" w:hAnsi="Arial" w:cs="Arial"/>
          <w:sz w:val="20"/>
          <w:szCs w:val="24"/>
        </w:rPr>
        <w:t>. leaf extract, especially at higher doses, helped to restore these antioxidant levels and reduce MDA towards those observed in the control group.</w:t>
      </w:r>
    </w:p>
    <w:p w14:paraId="7EA1CBEF" w14:textId="77777777" w:rsidR="009A4DFD" w:rsidRDefault="009A4DFD" w:rsidP="0031203E">
      <w:pPr>
        <w:spacing w:line="360" w:lineRule="auto"/>
        <w:jc w:val="both"/>
        <w:rPr>
          <w:rFonts w:ascii="Arial" w:hAnsi="Arial" w:cs="Arial"/>
          <w:sz w:val="20"/>
          <w:szCs w:val="24"/>
        </w:rPr>
      </w:pPr>
    </w:p>
    <w:p w14:paraId="2019993F" w14:textId="77777777" w:rsidR="009A4DFD" w:rsidRDefault="009A4DFD" w:rsidP="0031203E">
      <w:pPr>
        <w:spacing w:line="360" w:lineRule="auto"/>
        <w:jc w:val="both"/>
        <w:rPr>
          <w:rFonts w:ascii="Arial" w:hAnsi="Arial" w:cs="Arial"/>
          <w:sz w:val="20"/>
          <w:szCs w:val="24"/>
        </w:rPr>
      </w:pPr>
    </w:p>
    <w:p w14:paraId="1118BE76" w14:textId="77777777" w:rsidR="009A4DFD" w:rsidRDefault="009A4DFD" w:rsidP="0031203E">
      <w:pPr>
        <w:spacing w:line="360" w:lineRule="auto"/>
        <w:jc w:val="both"/>
        <w:rPr>
          <w:rFonts w:ascii="Arial" w:hAnsi="Arial" w:cs="Arial"/>
          <w:sz w:val="20"/>
          <w:szCs w:val="24"/>
        </w:rPr>
      </w:pPr>
    </w:p>
    <w:p w14:paraId="7D4F6DA9" w14:textId="77777777" w:rsidR="009A4DFD" w:rsidRDefault="009A4DFD" w:rsidP="0031203E">
      <w:pPr>
        <w:spacing w:line="360" w:lineRule="auto"/>
        <w:jc w:val="both"/>
        <w:rPr>
          <w:rFonts w:ascii="Arial" w:hAnsi="Arial" w:cs="Arial"/>
          <w:sz w:val="20"/>
          <w:szCs w:val="24"/>
        </w:rPr>
      </w:pPr>
    </w:p>
    <w:p w14:paraId="6B2EE075" w14:textId="77777777" w:rsidR="009A4DFD" w:rsidRDefault="009A4DFD" w:rsidP="0031203E">
      <w:pPr>
        <w:spacing w:line="360" w:lineRule="auto"/>
        <w:jc w:val="both"/>
        <w:rPr>
          <w:rFonts w:ascii="Arial" w:hAnsi="Arial" w:cs="Arial"/>
          <w:sz w:val="20"/>
          <w:szCs w:val="24"/>
        </w:rPr>
      </w:pPr>
    </w:p>
    <w:p w14:paraId="0065D049" w14:textId="77777777" w:rsidR="009A4DFD" w:rsidRDefault="009A4DFD" w:rsidP="0031203E">
      <w:pPr>
        <w:spacing w:line="360" w:lineRule="auto"/>
        <w:jc w:val="both"/>
        <w:rPr>
          <w:rFonts w:ascii="Arial" w:hAnsi="Arial" w:cs="Arial"/>
          <w:sz w:val="20"/>
          <w:szCs w:val="24"/>
        </w:rPr>
      </w:pPr>
    </w:p>
    <w:p w14:paraId="5CF423A9" w14:textId="77777777" w:rsidR="009A4DFD" w:rsidRDefault="009A4DFD" w:rsidP="0031203E">
      <w:pPr>
        <w:spacing w:line="360" w:lineRule="auto"/>
        <w:jc w:val="both"/>
        <w:rPr>
          <w:rFonts w:ascii="Arial" w:hAnsi="Arial" w:cs="Arial"/>
          <w:sz w:val="20"/>
          <w:szCs w:val="24"/>
        </w:rPr>
      </w:pPr>
    </w:p>
    <w:p w14:paraId="1D08EB81" w14:textId="77777777" w:rsidR="009A4DFD" w:rsidRDefault="009A4DFD" w:rsidP="0031203E">
      <w:pPr>
        <w:spacing w:line="360" w:lineRule="auto"/>
        <w:jc w:val="both"/>
        <w:rPr>
          <w:rFonts w:ascii="Arial" w:hAnsi="Arial" w:cs="Arial"/>
          <w:sz w:val="20"/>
          <w:szCs w:val="24"/>
        </w:rPr>
      </w:pPr>
    </w:p>
    <w:p w14:paraId="7A3F854F" w14:textId="77777777" w:rsidR="009A4DFD" w:rsidRDefault="009A4DFD" w:rsidP="0031203E">
      <w:pPr>
        <w:spacing w:line="360" w:lineRule="auto"/>
        <w:jc w:val="both"/>
        <w:rPr>
          <w:rFonts w:ascii="Arial" w:hAnsi="Arial" w:cs="Arial"/>
          <w:sz w:val="20"/>
          <w:szCs w:val="24"/>
        </w:rPr>
      </w:pPr>
    </w:p>
    <w:p w14:paraId="71EA128B" w14:textId="77777777" w:rsidR="009A4DFD" w:rsidRDefault="009A4DFD" w:rsidP="0031203E">
      <w:pPr>
        <w:spacing w:line="360" w:lineRule="auto"/>
        <w:jc w:val="both"/>
        <w:rPr>
          <w:rFonts w:ascii="Arial" w:hAnsi="Arial" w:cs="Arial"/>
          <w:sz w:val="20"/>
          <w:szCs w:val="24"/>
        </w:rPr>
      </w:pPr>
    </w:p>
    <w:p w14:paraId="3BD65F99" w14:textId="77777777" w:rsidR="009A4DFD" w:rsidRDefault="009A4DFD" w:rsidP="0031203E">
      <w:pPr>
        <w:spacing w:line="360" w:lineRule="auto"/>
        <w:jc w:val="both"/>
        <w:rPr>
          <w:rFonts w:ascii="Arial" w:hAnsi="Arial" w:cs="Arial"/>
          <w:sz w:val="20"/>
          <w:szCs w:val="24"/>
        </w:rPr>
      </w:pPr>
    </w:p>
    <w:p w14:paraId="2A1E4939" w14:textId="77777777" w:rsidR="009A4DFD" w:rsidRDefault="009A4DFD" w:rsidP="0031203E">
      <w:pPr>
        <w:spacing w:line="360" w:lineRule="auto"/>
        <w:jc w:val="both"/>
        <w:rPr>
          <w:rFonts w:ascii="Arial" w:hAnsi="Arial" w:cs="Arial"/>
          <w:sz w:val="20"/>
          <w:szCs w:val="24"/>
        </w:rPr>
      </w:pPr>
    </w:p>
    <w:p w14:paraId="66EBE4F9" w14:textId="77777777" w:rsidR="009A4DFD" w:rsidRPr="0031203E" w:rsidRDefault="009A4DFD" w:rsidP="0031203E">
      <w:pPr>
        <w:spacing w:line="360" w:lineRule="auto"/>
        <w:jc w:val="both"/>
        <w:rPr>
          <w:rFonts w:ascii="Arial" w:hAnsi="Arial" w:cs="Arial"/>
          <w:sz w:val="20"/>
          <w:szCs w:val="24"/>
        </w:rPr>
      </w:pPr>
    </w:p>
    <w:p w14:paraId="02BC196D" w14:textId="77777777" w:rsidR="0031203E" w:rsidRPr="009A4DFD" w:rsidRDefault="0031203E" w:rsidP="0031203E">
      <w:pPr>
        <w:pStyle w:val="NoSpacing"/>
        <w:jc w:val="both"/>
        <w:rPr>
          <w:rFonts w:ascii="Arial" w:hAnsi="Arial" w:cs="Arial"/>
          <w:b/>
          <w:sz w:val="20"/>
          <w:szCs w:val="20"/>
        </w:rPr>
      </w:pPr>
      <w:r w:rsidRPr="009A4DFD">
        <w:rPr>
          <w:rFonts w:ascii="Arial" w:hAnsi="Arial" w:cs="Arial"/>
          <w:b/>
          <w:sz w:val="20"/>
          <w:szCs w:val="20"/>
        </w:rPr>
        <w:lastRenderedPageBreak/>
        <w:t>TABLE 1: EFFECTS OF THE EXTRACT ON RENAL FUNCTION PARAMETERS IN POTASSIUM BROMATE TREATED RATS</w:t>
      </w:r>
    </w:p>
    <w:tbl>
      <w:tblPr>
        <w:tblStyle w:val="ListTable6Colorful1"/>
        <w:tblW w:w="5000" w:type="pct"/>
        <w:tblLook w:val="04A0" w:firstRow="1" w:lastRow="0" w:firstColumn="1" w:lastColumn="0" w:noHBand="0" w:noVBand="1"/>
      </w:tblPr>
      <w:tblGrid>
        <w:gridCol w:w="1364"/>
        <w:gridCol w:w="1271"/>
        <w:gridCol w:w="1226"/>
        <w:gridCol w:w="1452"/>
        <w:gridCol w:w="1233"/>
        <w:gridCol w:w="1407"/>
        <w:gridCol w:w="1407"/>
      </w:tblGrid>
      <w:tr w:rsidR="0031203E" w:rsidRPr="009A4DFD" w14:paraId="6258BF8E" w14:textId="77777777" w:rsidTr="001A4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pct"/>
          </w:tcPr>
          <w:p w14:paraId="05280C78" w14:textId="77777777" w:rsidR="0031203E" w:rsidRPr="009A4DFD" w:rsidRDefault="0031203E" w:rsidP="00EC6787">
            <w:pPr>
              <w:pStyle w:val="NoSpacing"/>
              <w:jc w:val="both"/>
              <w:rPr>
                <w:rFonts w:ascii="Arial" w:hAnsi="Arial" w:cs="Arial"/>
              </w:rPr>
            </w:pPr>
            <w:r w:rsidRPr="009A4DFD">
              <w:rPr>
                <w:rFonts w:ascii="Arial" w:hAnsi="Arial" w:cs="Arial"/>
              </w:rPr>
              <w:t>Treatment</w:t>
            </w:r>
          </w:p>
        </w:tc>
        <w:tc>
          <w:tcPr>
            <w:tcW w:w="631" w:type="pct"/>
          </w:tcPr>
          <w:p w14:paraId="6C730EF7"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Urea (mg/dl)</w:t>
            </w:r>
          </w:p>
        </w:tc>
        <w:tc>
          <w:tcPr>
            <w:tcW w:w="589" w:type="pct"/>
          </w:tcPr>
          <w:p w14:paraId="1512137C"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Creatinine (mg/dl)</w:t>
            </w:r>
          </w:p>
        </w:tc>
        <w:tc>
          <w:tcPr>
            <w:tcW w:w="631" w:type="pct"/>
          </w:tcPr>
          <w:p w14:paraId="718226AE"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Na</w:t>
            </w:r>
            <w:r w:rsidRPr="009A4DFD">
              <w:rPr>
                <w:rFonts w:ascii="Arial" w:hAnsi="Arial" w:cs="Arial"/>
                <w:vertAlign w:val="superscript"/>
              </w:rPr>
              <w:t>+</w:t>
            </w:r>
            <w:r w:rsidRPr="009A4DFD">
              <w:rPr>
                <w:rFonts w:ascii="Arial" w:hAnsi="Arial" w:cs="Arial"/>
              </w:rPr>
              <w:t xml:space="preserve"> (</w:t>
            </w:r>
            <w:proofErr w:type="spellStart"/>
            <w:r w:rsidRPr="009A4DFD">
              <w:rPr>
                <w:rFonts w:ascii="Arial" w:hAnsi="Arial" w:cs="Arial"/>
              </w:rPr>
              <w:t>mEq</w:t>
            </w:r>
            <w:proofErr w:type="spellEnd"/>
            <w:r w:rsidRPr="009A4DFD">
              <w:rPr>
                <w:rFonts w:ascii="Arial" w:hAnsi="Arial" w:cs="Arial"/>
              </w:rPr>
              <w:t>/L)</w:t>
            </w:r>
          </w:p>
        </w:tc>
        <w:tc>
          <w:tcPr>
            <w:tcW w:w="631" w:type="pct"/>
          </w:tcPr>
          <w:p w14:paraId="2912C89D"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K</w:t>
            </w:r>
            <w:r w:rsidRPr="009A4DFD">
              <w:rPr>
                <w:rFonts w:ascii="Arial" w:hAnsi="Arial" w:cs="Arial"/>
                <w:vertAlign w:val="superscript"/>
              </w:rPr>
              <w:t>+</w:t>
            </w:r>
            <w:r w:rsidRPr="009A4DFD">
              <w:rPr>
                <w:rFonts w:ascii="Arial" w:hAnsi="Arial" w:cs="Arial"/>
              </w:rPr>
              <w:t xml:space="preserve"> (</w:t>
            </w:r>
            <w:proofErr w:type="spellStart"/>
            <w:r w:rsidRPr="009A4DFD">
              <w:rPr>
                <w:rFonts w:ascii="Arial" w:hAnsi="Arial" w:cs="Arial"/>
              </w:rPr>
              <w:t>mEq</w:t>
            </w:r>
            <w:proofErr w:type="spellEnd"/>
            <w:r w:rsidRPr="009A4DFD">
              <w:rPr>
                <w:rFonts w:ascii="Arial" w:hAnsi="Arial" w:cs="Arial"/>
              </w:rPr>
              <w:t>/L)</w:t>
            </w:r>
          </w:p>
        </w:tc>
        <w:tc>
          <w:tcPr>
            <w:tcW w:w="631" w:type="pct"/>
          </w:tcPr>
          <w:p w14:paraId="50A6FBFC"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Cl</w:t>
            </w:r>
            <w:r w:rsidRPr="009A4DFD">
              <w:rPr>
                <w:rFonts w:ascii="Arial" w:hAnsi="Arial" w:cs="Arial"/>
                <w:vertAlign w:val="superscript"/>
              </w:rPr>
              <w:t>-</w:t>
            </w:r>
            <w:r w:rsidRPr="009A4DFD">
              <w:rPr>
                <w:rFonts w:ascii="Arial" w:hAnsi="Arial" w:cs="Arial"/>
              </w:rPr>
              <w:t xml:space="preserve"> (</w:t>
            </w:r>
            <w:proofErr w:type="spellStart"/>
            <w:r w:rsidRPr="009A4DFD">
              <w:rPr>
                <w:rFonts w:ascii="Arial" w:hAnsi="Arial" w:cs="Arial"/>
              </w:rPr>
              <w:t>mEq</w:t>
            </w:r>
            <w:proofErr w:type="spellEnd"/>
            <w:r w:rsidRPr="009A4DFD">
              <w:rPr>
                <w:rFonts w:ascii="Arial" w:hAnsi="Arial" w:cs="Arial"/>
              </w:rPr>
              <w:t>/L)</w:t>
            </w:r>
          </w:p>
        </w:tc>
        <w:tc>
          <w:tcPr>
            <w:tcW w:w="749" w:type="pct"/>
          </w:tcPr>
          <w:p w14:paraId="311DE14B"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HCO</w:t>
            </w:r>
            <w:r w:rsidRPr="009A4DFD">
              <w:rPr>
                <w:rFonts w:ascii="Arial" w:hAnsi="Arial" w:cs="Arial"/>
                <w:vertAlign w:val="subscript"/>
              </w:rPr>
              <w:t>3</w:t>
            </w:r>
            <w:r w:rsidRPr="009A4DFD">
              <w:rPr>
                <w:rFonts w:ascii="Arial" w:hAnsi="Arial" w:cs="Arial"/>
                <w:vertAlign w:val="superscript"/>
              </w:rPr>
              <w:t>-</w:t>
            </w:r>
            <w:r w:rsidRPr="009A4DFD">
              <w:rPr>
                <w:rFonts w:ascii="Arial" w:hAnsi="Arial" w:cs="Arial"/>
              </w:rPr>
              <w:t>(mmol/L)</w:t>
            </w:r>
          </w:p>
        </w:tc>
      </w:tr>
      <w:tr w:rsidR="0031203E" w:rsidRPr="009A4DFD" w14:paraId="7FF507EF" w14:textId="77777777" w:rsidTr="001A4554">
        <w:trPr>
          <w:trHeight w:val="332"/>
        </w:trPr>
        <w:tc>
          <w:tcPr>
            <w:cnfStyle w:val="001000000000" w:firstRow="0" w:lastRow="0" w:firstColumn="1" w:lastColumn="0" w:oddVBand="0" w:evenVBand="0" w:oddHBand="0" w:evenHBand="0" w:firstRowFirstColumn="0" w:firstRowLastColumn="0" w:lastRowFirstColumn="0" w:lastRowLastColumn="0"/>
            <w:tcW w:w="1136" w:type="pct"/>
          </w:tcPr>
          <w:p w14:paraId="01B9851A" w14:textId="77777777" w:rsidR="0031203E" w:rsidRPr="009A4DFD" w:rsidRDefault="0031203E" w:rsidP="00EC6787">
            <w:pPr>
              <w:pStyle w:val="NoSpacing"/>
              <w:jc w:val="both"/>
              <w:rPr>
                <w:rFonts w:ascii="Arial" w:hAnsi="Arial" w:cs="Arial"/>
              </w:rPr>
            </w:pPr>
            <w:r w:rsidRPr="009A4DFD">
              <w:rPr>
                <w:rFonts w:ascii="Arial" w:hAnsi="Arial" w:cs="Arial"/>
              </w:rPr>
              <w:t>Control</w:t>
            </w:r>
          </w:p>
        </w:tc>
        <w:tc>
          <w:tcPr>
            <w:tcW w:w="631" w:type="pct"/>
          </w:tcPr>
          <w:p w14:paraId="4533FA1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19.73±0.25</w:t>
            </w:r>
            <w:r w:rsidRPr="009A4DFD">
              <w:rPr>
                <w:rFonts w:ascii="Arial" w:hAnsi="Arial" w:cs="Arial"/>
                <w:color w:val="000000"/>
                <w:vertAlign w:val="superscript"/>
              </w:rPr>
              <w:t>a</w:t>
            </w:r>
          </w:p>
        </w:tc>
        <w:tc>
          <w:tcPr>
            <w:tcW w:w="589" w:type="pct"/>
          </w:tcPr>
          <w:p w14:paraId="760EB879" w14:textId="77777777" w:rsidR="0031203E" w:rsidRPr="009A4DFD" w:rsidRDefault="0031203E" w:rsidP="00EC67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0.65±0.05</w:t>
            </w:r>
            <w:r w:rsidRPr="009A4DFD">
              <w:rPr>
                <w:rFonts w:ascii="Arial" w:hAnsi="Arial" w:cs="Arial"/>
                <w:color w:val="000000"/>
                <w:vertAlign w:val="superscript"/>
              </w:rPr>
              <w:t>a</w:t>
            </w:r>
          </w:p>
        </w:tc>
        <w:tc>
          <w:tcPr>
            <w:tcW w:w="631" w:type="pct"/>
          </w:tcPr>
          <w:p w14:paraId="2DC7E28F"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132.07</w:t>
            </w:r>
            <w:r w:rsidRPr="009A4DFD">
              <w:rPr>
                <w:rFonts w:ascii="Arial" w:hAnsi="Arial" w:cs="Arial"/>
                <w:color w:val="000000"/>
              </w:rPr>
              <w:t>±1.02</w:t>
            </w:r>
            <w:r w:rsidRPr="009A4DFD">
              <w:rPr>
                <w:rFonts w:ascii="Arial" w:hAnsi="Arial" w:cs="Arial"/>
                <w:color w:val="000000"/>
                <w:vertAlign w:val="superscript"/>
              </w:rPr>
              <w:t>a</w:t>
            </w:r>
          </w:p>
        </w:tc>
        <w:tc>
          <w:tcPr>
            <w:tcW w:w="631" w:type="pct"/>
          </w:tcPr>
          <w:p w14:paraId="684B514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4.24±0.12</w:t>
            </w:r>
            <w:r w:rsidRPr="009A4DFD">
              <w:rPr>
                <w:rFonts w:ascii="Arial" w:hAnsi="Arial" w:cs="Arial"/>
                <w:color w:val="000000"/>
                <w:vertAlign w:val="superscript"/>
              </w:rPr>
              <w:t>a</w:t>
            </w:r>
          </w:p>
        </w:tc>
        <w:tc>
          <w:tcPr>
            <w:tcW w:w="631" w:type="pct"/>
          </w:tcPr>
          <w:p w14:paraId="2C7AF082"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88.90±1.13</w:t>
            </w:r>
            <w:r w:rsidRPr="009A4DFD">
              <w:rPr>
                <w:rFonts w:ascii="Arial" w:hAnsi="Arial" w:cs="Arial"/>
                <w:color w:val="000000"/>
                <w:vertAlign w:val="superscript"/>
              </w:rPr>
              <w:t>a</w:t>
            </w:r>
          </w:p>
        </w:tc>
        <w:tc>
          <w:tcPr>
            <w:tcW w:w="749" w:type="pct"/>
          </w:tcPr>
          <w:p w14:paraId="0369768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19.27</w:t>
            </w:r>
            <w:r w:rsidRPr="009A4DFD">
              <w:rPr>
                <w:rFonts w:ascii="Arial" w:hAnsi="Arial" w:cs="Arial"/>
                <w:color w:val="000000"/>
              </w:rPr>
              <w:t>±0.25</w:t>
            </w:r>
            <w:r w:rsidRPr="009A4DFD">
              <w:rPr>
                <w:rFonts w:ascii="Arial" w:hAnsi="Arial" w:cs="Arial"/>
                <w:color w:val="000000"/>
                <w:vertAlign w:val="superscript"/>
              </w:rPr>
              <w:t>a</w:t>
            </w:r>
          </w:p>
        </w:tc>
      </w:tr>
      <w:tr w:rsidR="0031203E" w:rsidRPr="009A4DFD" w14:paraId="640B74CE" w14:textId="77777777" w:rsidTr="001A4554">
        <w:trPr>
          <w:trHeight w:val="603"/>
        </w:trPr>
        <w:tc>
          <w:tcPr>
            <w:cnfStyle w:val="001000000000" w:firstRow="0" w:lastRow="0" w:firstColumn="1" w:lastColumn="0" w:oddVBand="0" w:evenVBand="0" w:oddHBand="0" w:evenHBand="0" w:firstRowFirstColumn="0" w:firstRowLastColumn="0" w:lastRowFirstColumn="0" w:lastRowLastColumn="0"/>
            <w:tcW w:w="1136" w:type="pct"/>
          </w:tcPr>
          <w:p w14:paraId="763E556E" w14:textId="77777777" w:rsidR="0031203E" w:rsidRPr="009A4DFD" w:rsidRDefault="0031203E" w:rsidP="00EC6787">
            <w:pPr>
              <w:pStyle w:val="NoSpacing"/>
              <w:jc w:val="both"/>
              <w:rPr>
                <w:rFonts w:ascii="Arial" w:hAnsi="Arial" w:cs="Arial"/>
              </w:rPr>
            </w:pPr>
            <w:r w:rsidRPr="009A4DFD">
              <w:rPr>
                <w:rFonts w:ascii="Arial" w:hAnsi="Arial" w:cs="Arial"/>
              </w:rPr>
              <w:t>KBrO</w:t>
            </w:r>
            <w:r w:rsidRPr="009A4DFD">
              <w:rPr>
                <w:rFonts w:ascii="Arial" w:hAnsi="Arial" w:cs="Arial"/>
                <w:vertAlign w:val="subscript"/>
              </w:rPr>
              <w:t>3</w:t>
            </w:r>
            <w:r w:rsidRPr="009A4DFD">
              <w:rPr>
                <w:rFonts w:ascii="Arial" w:hAnsi="Arial" w:cs="Arial"/>
              </w:rPr>
              <w:t xml:space="preserve"> (50 mg/kg)</w:t>
            </w:r>
          </w:p>
        </w:tc>
        <w:tc>
          <w:tcPr>
            <w:tcW w:w="631" w:type="pct"/>
          </w:tcPr>
          <w:p w14:paraId="506055A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43.00±1.85</w:t>
            </w:r>
            <w:r w:rsidRPr="009A4DFD">
              <w:rPr>
                <w:rFonts w:ascii="Arial" w:hAnsi="Arial" w:cs="Arial"/>
                <w:color w:val="000000"/>
                <w:vertAlign w:val="superscript"/>
              </w:rPr>
              <w:t>e</w:t>
            </w:r>
          </w:p>
        </w:tc>
        <w:tc>
          <w:tcPr>
            <w:tcW w:w="589" w:type="pct"/>
          </w:tcPr>
          <w:p w14:paraId="1AC372F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1.48±0.06</w:t>
            </w:r>
            <w:r w:rsidRPr="009A4DFD">
              <w:rPr>
                <w:rFonts w:ascii="Arial" w:hAnsi="Arial" w:cs="Arial"/>
                <w:color w:val="000000"/>
                <w:vertAlign w:val="superscript"/>
              </w:rPr>
              <w:t>e</w:t>
            </w:r>
          </w:p>
        </w:tc>
        <w:tc>
          <w:tcPr>
            <w:tcW w:w="631" w:type="pct"/>
          </w:tcPr>
          <w:p w14:paraId="571D37A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rPr>
              <w:t xml:space="preserve">   141.17</w:t>
            </w:r>
            <w:r w:rsidRPr="009A4DFD">
              <w:rPr>
                <w:rFonts w:ascii="Arial" w:hAnsi="Arial" w:cs="Arial"/>
                <w:color w:val="000000"/>
              </w:rPr>
              <w:t>±2.28</w:t>
            </w:r>
          </w:p>
        </w:tc>
        <w:tc>
          <w:tcPr>
            <w:tcW w:w="631" w:type="pct"/>
          </w:tcPr>
          <w:p w14:paraId="16ECF30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4.50±0.08</w:t>
            </w:r>
            <w:r w:rsidRPr="009A4DFD">
              <w:rPr>
                <w:rFonts w:ascii="Arial" w:hAnsi="Arial" w:cs="Arial"/>
                <w:color w:val="000000"/>
                <w:vertAlign w:val="superscript"/>
              </w:rPr>
              <w:t>b</w:t>
            </w:r>
          </w:p>
        </w:tc>
        <w:tc>
          <w:tcPr>
            <w:tcW w:w="631" w:type="pct"/>
          </w:tcPr>
          <w:p w14:paraId="1B34734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92.33±0.45</w:t>
            </w:r>
            <w:r w:rsidRPr="009A4DFD">
              <w:rPr>
                <w:rFonts w:ascii="Arial" w:hAnsi="Arial" w:cs="Arial"/>
                <w:color w:val="000000"/>
                <w:vertAlign w:val="superscript"/>
              </w:rPr>
              <w:t>d</w:t>
            </w:r>
          </w:p>
        </w:tc>
        <w:tc>
          <w:tcPr>
            <w:tcW w:w="749" w:type="pct"/>
          </w:tcPr>
          <w:p w14:paraId="4637C19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rPr>
              <w:t xml:space="preserve">  20.50</w:t>
            </w:r>
            <w:r w:rsidRPr="009A4DFD">
              <w:rPr>
                <w:rFonts w:ascii="Arial" w:hAnsi="Arial" w:cs="Arial"/>
                <w:color w:val="000000"/>
              </w:rPr>
              <w:t>±0.36</w:t>
            </w:r>
            <w:r w:rsidRPr="009A4DFD">
              <w:rPr>
                <w:rFonts w:ascii="Arial" w:hAnsi="Arial" w:cs="Arial"/>
                <w:color w:val="000000"/>
                <w:vertAlign w:val="superscript"/>
              </w:rPr>
              <w:t>c</w:t>
            </w:r>
          </w:p>
        </w:tc>
      </w:tr>
      <w:tr w:rsidR="0031203E" w:rsidRPr="009A4DFD" w14:paraId="5F505B35" w14:textId="77777777" w:rsidTr="001A4554">
        <w:trPr>
          <w:trHeight w:val="1170"/>
        </w:trPr>
        <w:tc>
          <w:tcPr>
            <w:cnfStyle w:val="001000000000" w:firstRow="0" w:lastRow="0" w:firstColumn="1" w:lastColumn="0" w:oddVBand="0" w:evenVBand="0" w:oddHBand="0" w:evenHBand="0" w:firstRowFirstColumn="0" w:firstRowLastColumn="0" w:lastRowFirstColumn="0" w:lastRowLastColumn="0"/>
            <w:tcW w:w="1136" w:type="pct"/>
          </w:tcPr>
          <w:p w14:paraId="268CFBB2" w14:textId="77777777" w:rsidR="0031203E" w:rsidRPr="009A4DFD" w:rsidRDefault="0031203E" w:rsidP="00EC6787">
            <w:pPr>
              <w:pStyle w:val="NoSpacing"/>
              <w:jc w:val="both"/>
              <w:rPr>
                <w:rFonts w:ascii="Arial" w:hAnsi="Arial" w:cs="Arial"/>
              </w:rPr>
            </w:pPr>
            <w:r w:rsidRPr="009A4DFD">
              <w:rPr>
                <w:rFonts w:ascii="Arial" w:hAnsi="Arial" w:cs="Arial"/>
              </w:rPr>
              <w:t>Vit. C (100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09A0B4F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35.20±1.40</w:t>
            </w:r>
            <w:r w:rsidRPr="009A4DFD">
              <w:rPr>
                <w:rFonts w:ascii="Arial" w:hAnsi="Arial" w:cs="Arial"/>
                <w:color w:val="000000"/>
                <w:vertAlign w:val="superscript"/>
              </w:rPr>
              <w:t>d</w:t>
            </w:r>
          </w:p>
        </w:tc>
        <w:tc>
          <w:tcPr>
            <w:tcW w:w="589" w:type="pct"/>
          </w:tcPr>
          <w:p w14:paraId="754BC87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1.00±0.06</w:t>
            </w:r>
            <w:r w:rsidRPr="009A4DFD">
              <w:rPr>
                <w:rFonts w:ascii="Arial" w:hAnsi="Arial" w:cs="Arial"/>
                <w:color w:val="000000"/>
                <w:vertAlign w:val="superscript"/>
              </w:rPr>
              <w:t>d</w:t>
            </w:r>
          </w:p>
        </w:tc>
        <w:tc>
          <w:tcPr>
            <w:tcW w:w="631" w:type="pct"/>
          </w:tcPr>
          <w:p w14:paraId="775566E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136.00</w:t>
            </w:r>
            <w:r w:rsidRPr="009A4DFD">
              <w:rPr>
                <w:rFonts w:ascii="Arial" w:hAnsi="Arial" w:cs="Arial"/>
                <w:color w:val="000000"/>
              </w:rPr>
              <w:t>±</w:t>
            </w:r>
            <w:r w:rsidRPr="009A4DFD">
              <w:rPr>
                <w:rFonts w:ascii="Arial" w:hAnsi="Arial" w:cs="Arial"/>
              </w:rPr>
              <w:t>0.36</w:t>
            </w:r>
            <w:r w:rsidRPr="009A4DFD">
              <w:rPr>
                <w:rFonts w:ascii="Arial" w:hAnsi="Arial" w:cs="Arial"/>
                <w:vertAlign w:val="superscript"/>
              </w:rPr>
              <w:t>b</w:t>
            </w:r>
          </w:p>
        </w:tc>
        <w:tc>
          <w:tcPr>
            <w:tcW w:w="631" w:type="pct"/>
          </w:tcPr>
          <w:p w14:paraId="225A5DD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4.30±0.08</w:t>
            </w:r>
            <w:r w:rsidRPr="009A4DFD">
              <w:rPr>
                <w:rFonts w:ascii="Arial" w:hAnsi="Arial" w:cs="Arial"/>
                <w:color w:val="000000"/>
                <w:vertAlign w:val="superscript"/>
              </w:rPr>
              <w:t>ab</w:t>
            </w:r>
          </w:p>
        </w:tc>
        <w:tc>
          <w:tcPr>
            <w:tcW w:w="631" w:type="pct"/>
          </w:tcPr>
          <w:p w14:paraId="7FCF403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91.23±0.70</w:t>
            </w:r>
            <w:r w:rsidRPr="009A4DFD">
              <w:rPr>
                <w:rFonts w:ascii="Arial" w:hAnsi="Arial" w:cs="Arial"/>
                <w:color w:val="000000"/>
                <w:vertAlign w:val="superscript"/>
              </w:rPr>
              <w:t>cd</w:t>
            </w:r>
          </w:p>
        </w:tc>
        <w:tc>
          <w:tcPr>
            <w:tcW w:w="749" w:type="pct"/>
          </w:tcPr>
          <w:p w14:paraId="4CE098B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20.30</w:t>
            </w:r>
            <w:r w:rsidRPr="009A4DFD">
              <w:rPr>
                <w:rFonts w:ascii="Arial" w:hAnsi="Arial" w:cs="Arial"/>
                <w:color w:val="000000"/>
              </w:rPr>
              <w:t>±0.46</w:t>
            </w:r>
            <w:r w:rsidRPr="009A4DFD">
              <w:rPr>
                <w:rFonts w:ascii="Arial" w:hAnsi="Arial" w:cs="Arial"/>
                <w:color w:val="000000"/>
                <w:vertAlign w:val="superscript"/>
              </w:rPr>
              <w:t>bc</w:t>
            </w:r>
          </w:p>
        </w:tc>
      </w:tr>
      <w:tr w:rsidR="0031203E" w:rsidRPr="009A4DFD" w14:paraId="57E6A9FE" w14:textId="77777777" w:rsidTr="001A4554">
        <w:trPr>
          <w:trHeight w:val="1440"/>
        </w:trPr>
        <w:tc>
          <w:tcPr>
            <w:cnfStyle w:val="001000000000" w:firstRow="0" w:lastRow="0" w:firstColumn="1" w:lastColumn="0" w:oddVBand="0" w:evenVBand="0" w:oddHBand="0" w:evenHBand="0" w:firstRowFirstColumn="0" w:firstRowLastColumn="0" w:lastRowFirstColumn="0" w:lastRowLastColumn="0"/>
            <w:tcW w:w="1136" w:type="pct"/>
          </w:tcPr>
          <w:p w14:paraId="28C7E436"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(200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178AAAEF"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27.47±0.90</w:t>
            </w:r>
            <w:r w:rsidRPr="009A4DFD">
              <w:rPr>
                <w:rFonts w:ascii="Arial" w:hAnsi="Arial" w:cs="Arial"/>
                <w:color w:val="000000"/>
                <w:vertAlign w:val="superscript"/>
              </w:rPr>
              <w:t>c</w:t>
            </w:r>
          </w:p>
        </w:tc>
        <w:tc>
          <w:tcPr>
            <w:tcW w:w="589" w:type="pct"/>
          </w:tcPr>
          <w:p w14:paraId="3DCC58F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0.98±0.04</w:t>
            </w:r>
            <w:r w:rsidRPr="009A4DFD">
              <w:rPr>
                <w:rFonts w:ascii="Arial" w:hAnsi="Arial" w:cs="Arial"/>
                <w:color w:val="000000"/>
                <w:vertAlign w:val="superscript"/>
              </w:rPr>
              <w:t>cd</w:t>
            </w:r>
          </w:p>
        </w:tc>
        <w:tc>
          <w:tcPr>
            <w:tcW w:w="631" w:type="pct"/>
          </w:tcPr>
          <w:p w14:paraId="637D897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135.40</w:t>
            </w:r>
            <w:r w:rsidRPr="009A4DFD">
              <w:rPr>
                <w:rFonts w:ascii="Arial" w:hAnsi="Arial" w:cs="Arial"/>
                <w:color w:val="000000"/>
              </w:rPr>
              <w:t>±</w:t>
            </w:r>
            <w:r w:rsidRPr="009A4DFD">
              <w:rPr>
                <w:rFonts w:ascii="Arial" w:hAnsi="Arial" w:cs="Arial"/>
              </w:rPr>
              <w:t>1.35</w:t>
            </w:r>
            <w:r w:rsidRPr="009A4DFD">
              <w:rPr>
                <w:rFonts w:ascii="Arial" w:hAnsi="Arial" w:cs="Arial"/>
                <w:vertAlign w:val="superscript"/>
              </w:rPr>
              <w:t>b</w:t>
            </w:r>
          </w:p>
        </w:tc>
        <w:tc>
          <w:tcPr>
            <w:tcW w:w="631" w:type="pct"/>
          </w:tcPr>
          <w:p w14:paraId="620E971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4.45±0.07</w:t>
            </w:r>
            <w:r w:rsidRPr="009A4DFD">
              <w:rPr>
                <w:rFonts w:ascii="Arial" w:hAnsi="Arial" w:cs="Arial"/>
                <w:color w:val="000000"/>
                <w:vertAlign w:val="superscript"/>
              </w:rPr>
              <w:t>ab</w:t>
            </w:r>
          </w:p>
        </w:tc>
        <w:tc>
          <w:tcPr>
            <w:tcW w:w="631" w:type="pct"/>
          </w:tcPr>
          <w:p w14:paraId="64C7C59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90.93±1.07</w:t>
            </w:r>
            <w:r w:rsidRPr="009A4DFD">
              <w:rPr>
                <w:rFonts w:ascii="Arial" w:hAnsi="Arial" w:cs="Arial"/>
                <w:color w:val="000000"/>
                <w:vertAlign w:val="superscript"/>
              </w:rPr>
              <w:t>bcd</w:t>
            </w:r>
          </w:p>
        </w:tc>
        <w:tc>
          <w:tcPr>
            <w:tcW w:w="749" w:type="pct"/>
          </w:tcPr>
          <w:p w14:paraId="5EF4297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rPr>
              <w:t xml:space="preserve">  19.87</w:t>
            </w:r>
            <w:r w:rsidRPr="009A4DFD">
              <w:rPr>
                <w:rFonts w:ascii="Arial" w:hAnsi="Arial" w:cs="Arial"/>
                <w:color w:val="000000"/>
              </w:rPr>
              <w:t>±0.31</w:t>
            </w:r>
            <w:r w:rsidRPr="009A4DFD">
              <w:rPr>
                <w:rFonts w:ascii="Arial" w:hAnsi="Arial" w:cs="Arial"/>
                <w:color w:val="000000"/>
                <w:vertAlign w:val="superscript"/>
              </w:rPr>
              <w:t>abc</w:t>
            </w:r>
          </w:p>
        </w:tc>
      </w:tr>
      <w:tr w:rsidR="0031203E" w:rsidRPr="009A4DFD" w14:paraId="763BD353" w14:textId="77777777" w:rsidTr="001A4554">
        <w:trPr>
          <w:trHeight w:val="1350"/>
        </w:trPr>
        <w:tc>
          <w:tcPr>
            <w:cnfStyle w:val="001000000000" w:firstRow="0" w:lastRow="0" w:firstColumn="1" w:lastColumn="0" w:oddVBand="0" w:evenVBand="0" w:oddHBand="0" w:evenHBand="0" w:firstRowFirstColumn="0" w:firstRowLastColumn="0" w:lastRowFirstColumn="0" w:lastRowLastColumn="0"/>
            <w:tcW w:w="1136" w:type="pct"/>
          </w:tcPr>
          <w:p w14:paraId="47145C3A"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(400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7322E692"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24.20±1.25</w:t>
            </w:r>
            <w:r w:rsidRPr="009A4DFD">
              <w:rPr>
                <w:rFonts w:ascii="Arial" w:hAnsi="Arial" w:cs="Arial"/>
                <w:color w:val="000000"/>
                <w:vertAlign w:val="superscript"/>
              </w:rPr>
              <w:t>b</w:t>
            </w:r>
          </w:p>
        </w:tc>
        <w:tc>
          <w:tcPr>
            <w:tcW w:w="589" w:type="pct"/>
          </w:tcPr>
          <w:p w14:paraId="1CF4768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0.90±0.04</w:t>
            </w:r>
            <w:r w:rsidRPr="009A4DFD">
              <w:rPr>
                <w:rFonts w:ascii="Arial" w:hAnsi="Arial" w:cs="Arial"/>
                <w:color w:val="000000"/>
                <w:vertAlign w:val="superscript"/>
              </w:rPr>
              <w:t>bc</w:t>
            </w:r>
          </w:p>
        </w:tc>
        <w:tc>
          <w:tcPr>
            <w:tcW w:w="631" w:type="pct"/>
          </w:tcPr>
          <w:p w14:paraId="697342A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133.70</w:t>
            </w:r>
            <w:r w:rsidRPr="009A4DFD">
              <w:rPr>
                <w:rFonts w:ascii="Arial" w:hAnsi="Arial" w:cs="Arial"/>
                <w:color w:val="000000"/>
              </w:rPr>
              <w:t>±0.95</w:t>
            </w:r>
            <w:r w:rsidRPr="009A4DFD">
              <w:rPr>
                <w:rFonts w:ascii="Arial" w:hAnsi="Arial" w:cs="Arial"/>
                <w:color w:val="000000"/>
                <w:vertAlign w:val="superscript"/>
              </w:rPr>
              <w:t>ab</w:t>
            </w:r>
          </w:p>
        </w:tc>
        <w:tc>
          <w:tcPr>
            <w:tcW w:w="631" w:type="pct"/>
          </w:tcPr>
          <w:p w14:paraId="05D0C9F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4.41±0.17</w:t>
            </w:r>
            <w:r w:rsidRPr="009A4DFD">
              <w:rPr>
                <w:rFonts w:ascii="Arial" w:hAnsi="Arial" w:cs="Arial"/>
                <w:color w:val="000000"/>
                <w:vertAlign w:val="superscript"/>
              </w:rPr>
              <w:t>ab</w:t>
            </w:r>
          </w:p>
        </w:tc>
        <w:tc>
          <w:tcPr>
            <w:tcW w:w="631" w:type="pct"/>
          </w:tcPr>
          <w:p w14:paraId="35E03B7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89.50±1.05</w:t>
            </w:r>
            <w:r w:rsidRPr="009A4DFD">
              <w:rPr>
                <w:rFonts w:ascii="Arial" w:hAnsi="Arial" w:cs="Arial"/>
                <w:color w:val="000000"/>
                <w:vertAlign w:val="superscript"/>
              </w:rPr>
              <w:t>ab</w:t>
            </w:r>
          </w:p>
        </w:tc>
        <w:tc>
          <w:tcPr>
            <w:tcW w:w="749" w:type="pct"/>
          </w:tcPr>
          <w:p w14:paraId="7656AD1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19.70</w:t>
            </w:r>
            <w:r w:rsidRPr="009A4DFD">
              <w:rPr>
                <w:rFonts w:ascii="Arial" w:hAnsi="Arial" w:cs="Arial"/>
                <w:color w:val="000000"/>
              </w:rPr>
              <w:t>±0.36</w:t>
            </w:r>
            <w:r w:rsidRPr="009A4DFD">
              <w:rPr>
                <w:rFonts w:ascii="Arial" w:hAnsi="Arial" w:cs="Arial"/>
                <w:color w:val="000000"/>
                <w:vertAlign w:val="superscript"/>
              </w:rPr>
              <w:t>ab</w:t>
            </w:r>
          </w:p>
        </w:tc>
      </w:tr>
      <w:tr w:rsidR="0031203E" w:rsidRPr="009A4DFD" w14:paraId="4E19249D" w14:textId="77777777" w:rsidTr="001A4554">
        <w:trPr>
          <w:trHeight w:val="1440"/>
        </w:trPr>
        <w:tc>
          <w:tcPr>
            <w:cnfStyle w:val="001000000000" w:firstRow="0" w:lastRow="0" w:firstColumn="1" w:lastColumn="0" w:oddVBand="0" w:evenVBand="0" w:oddHBand="0" w:evenHBand="0" w:firstRowFirstColumn="0" w:firstRowLastColumn="0" w:lastRowFirstColumn="0" w:lastRowLastColumn="0"/>
            <w:tcW w:w="1136" w:type="pct"/>
          </w:tcPr>
          <w:p w14:paraId="7027145B"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w:t>
            </w:r>
            <w:r w:rsidRPr="009A4DFD">
              <w:rPr>
                <w:rFonts w:ascii="Arial" w:hAnsi="Arial" w:cs="Arial"/>
                <w:i/>
              </w:rPr>
              <w:t xml:space="preserve"> </w:t>
            </w:r>
            <w:r w:rsidRPr="009A4DFD">
              <w:rPr>
                <w:rFonts w:ascii="Arial" w:hAnsi="Arial" w:cs="Arial"/>
              </w:rPr>
              <w:t>(800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2644D4F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23.90±0.92</w:t>
            </w:r>
            <w:r w:rsidRPr="009A4DFD">
              <w:rPr>
                <w:rFonts w:ascii="Arial" w:hAnsi="Arial" w:cs="Arial"/>
                <w:color w:val="000000"/>
                <w:vertAlign w:val="superscript"/>
              </w:rPr>
              <w:t>b</w:t>
            </w:r>
          </w:p>
        </w:tc>
        <w:tc>
          <w:tcPr>
            <w:tcW w:w="589" w:type="pct"/>
          </w:tcPr>
          <w:p w14:paraId="39AB66A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0.83±0.04</w:t>
            </w:r>
            <w:r w:rsidRPr="009A4DFD">
              <w:rPr>
                <w:rFonts w:ascii="Arial" w:hAnsi="Arial" w:cs="Arial"/>
                <w:color w:val="000000"/>
                <w:vertAlign w:val="superscript"/>
              </w:rPr>
              <w:t>b</w:t>
            </w:r>
          </w:p>
        </w:tc>
        <w:tc>
          <w:tcPr>
            <w:tcW w:w="631" w:type="pct"/>
          </w:tcPr>
          <w:p w14:paraId="7F8D8A0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134.30</w:t>
            </w:r>
            <w:r w:rsidRPr="009A4DFD">
              <w:rPr>
                <w:rFonts w:ascii="Arial" w:hAnsi="Arial" w:cs="Arial"/>
                <w:color w:val="000000"/>
              </w:rPr>
              <w:t>±1.38</w:t>
            </w:r>
            <w:r w:rsidRPr="009A4DFD">
              <w:rPr>
                <w:rFonts w:ascii="Arial" w:hAnsi="Arial" w:cs="Arial"/>
                <w:color w:val="000000"/>
                <w:vertAlign w:val="superscript"/>
              </w:rPr>
              <w:t>ab</w:t>
            </w:r>
          </w:p>
          <w:p w14:paraId="73F51052" w14:textId="77777777" w:rsidR="0031203E" w:rsidRPr="009A4DFD" w:rsidRDefault="0031203E" w:rsidP="00EC6787">
            <w:pPr>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p w14:paraId="1B801BA4" w14:textId="77777777" w:rsidR="0031203E" w:rsidRPr="009A4DFD" w:rsidRDefault="0031203E" w:rsidP="00EC6787">
            <w:pPr>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31" w:type="pct"/>
          </w:tcPr>
          <w:p w14:paraId="1CB1342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4.36±0.13</w:t>
            </w:r>
            <w:r w:rsidRPr="009A4DFD">
              <w:rPr>
                <w:rFonts w:ascii="Arial" w:hAnsi="Arial" w:cs="Arial"/>
                <w:color w:val="000000"/>
                <w:vertAlign w:val="superscript"/>
              </w:rPr>
              <w:t>ab</w:t>
            </w:r>
          </w:p>
        </w:tc>
        <w:tc>
          <w:tcPr>
            <w:tcW w:w="631" w:type="pct"/>
          </w:tcPr>
          <w:p w14:paraId="552B74C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89.97±0.82</w:t>
            </w:r>
            <w:r w:rsidRPr="009A4DFD">
              <w:rPr>
                <w:rFonts w:ascii="Arial" w:hAnsi="Arial" w:cs="Arial"/>
                <w:color w:val="000000"/>
                <w:vertAlign w:val="superscript"/>
              </w:rPr>
              <w:t>abc</w:t>
            </w:r>
          </w:p>
        </w:tc>
        <w:tc>
          <w:tcPr>
            <w:tcW w:w="749" w:type="pct"/>
          </w:tcPr>
          <w:p w14:paraId="7F2B7BE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19.57</w:t>
            </w:r>
            <w:r w:rsidRPr="009A4DFD">
              <w:rPr>
                <w:rFonts w:ascii="Arial" w:hAnsi="Arial" w:cs="Arial"/>
                <w:color w:val="000000"/>
              </w:rPr>
              <w:t>±</w:t>
            </w:r>
            <w:r w:rsidRPr="009A4DFD">
              <w:rPr>
                <w:rFonts w:ascii="Arial" w:hAnsi="Arial" w:cs="Arial"/>
              </w:rPr>
              <w:t>0.35</w:t>
            </w:r>
            <w:r w:rsidRPr="009A4DFD">
              <w:rPr>
                <w:rFonts w:ascii="Arial" w:hAnsi="Arial" w:cs="Arial"/>
                <w:vertAlign w:val="superscript"/>
              </w:rPr>
              <w:t>a</w:t>
            </w:r>
          </w:p>
          <w:p w14:paraId="423D8B63" w14:textId="77777777" w:rsidR="0031203E" w:rsidRPr="009A4DFD" w:rsidRDefault="0031203E" w:rsidP="00EC6787">
            <w:pPr>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359E7819" w14:textId="77777777" w:rsidR="0031203E" w:rsidRPr="009A4DFD" w:rsidRDefault="0031203E" w:rsidP="0031203E">
      <w:pPr>
        <w:pStyle w:val="NoSpacing"/>
        <w:spacing w:line="360" w:lineRule="auto"/>
        <w:jc w:val="both"/>
        <w:rPr>
          <w:rFonts w:ascii="Arial" w:hAnsi="Arial" w:cs="Arial"/>
          <w:bCs/>
          <w:sz w:val="20"/>
          <w:szCs w:val="20"/>
        </w:rPr>
      </w:pPr>
      <w:r w:rsidRPr="009A4DFD">
        <w:rPr>
          <w:rFonts w:ascii="Arial" w:eastAsia="Times New Roman" w:hAnsi="Arial" w:cs="Arial"/>
          <w:color w:val="000000"/>
          <w:sz w:val="20"/>
          <w:szCs w:val="20"/>
        </w:rPr>
        <w:t>Values are presented as mean ± standard deviation of replicated determination (n = 3). Means that the same column bearing different letter superscripts is statistically significantly different</w:t>
      </w:r>
    </w:p>
    <w:p w14:paraId="1B72217D" w14:textId="77777777" w:rsidR="0031203E" w:rsidRDefault="0031203E" w:rsidP="0031203E">
      <w:pPr>
        <w:pStyle w:val="NoSpacing"/>
        <w:jc w:val="both"/>
        <w:rPr>
          <w:rFonts w:ascii="Times New Roman" w:hAnsi="Times New Roman" w:cs="Times New Roman"/>
          <w:bCs/>
          <w:sz w:val="24"/>
          <w:szCs w:val="24"/>
        </w:rPr>
      </w:pPr>
    </w:p>
    <w:p w14:paraId="047B7A0D" w14:textId="77777777" w:rsidR="0031203E" w:rsidRPr="00D64739" w:rsidRDefault="0031203E" w:rsidP="0031203E">
      <w:pPr>
        <w:pStyle w:val="NoSpacing"/>
        <w:jc w:val="both"/>
        <w:rPr>
          <w:rFonts w:ascii="Times New Roman" w:hAnsi="Times New Roman" w:cs="Times New Roman"/>
          <w:bCs/>
          <w:sz w:val="24"/>
          <w:szCs w:val="24"/>
        </w:rPr>
      </w:pPr>
    </w:p>
    <w:p w14:paraId="1005FCB3" w14:textId="77777777" w:rsidR="0031203E" w:rsidRDefault="0031203E" w:rsidP="0031203E">
      <w:pPr>
        <w:pStyle w:val="NoSpacing"/>
        <w:jc w:val="both"/>
        <w:rPr>
          <w:rFonts w:ascii="Times New Roman" w:hAnsi="Times New Roman" w:cs="Times New Roman"/>
          <w:b/>
          <w:sz w:val="24"/>
          <w:szCs w:val="24"/>
        </w:rPr>
      </w:pPr>
    </w:p>
    <w:p w14:paraId="50BC0670" w14:textId="77777777" w:rsidR="0031203E" w:rsidRDefault="0031203E" w:rsidP="0031203E">
      <w:pPr>
        <w:pStyle w:val="NoSpacing"/>
        <w:jc w:val="both"/>
        <w:rPr>
          <w:rFonts w:ascii="Times New Roman" w:hAnsi="Times New Roman" w:cs="Times New Roman"/>
          <w:b/>
          <w:sz w:val="24"/>
          <w:szCs w:val="24"/>
        </w:rPr>
      </w:pPr>
    </w:p>
    <w:p w14:paraId="584FE55B" w14:textId="77777777" w:rsidR="0031203E" w:rsidRDefault="0031203E" w:rsidP="0031203E">
      <w:pPr>
        <w:pStyle w:val="NoSpacing"/>
        <w:jc w:val="both"/>
        <w:rPr>
          <w:rFonts w:ascii="Times New Roman" w:hAnsi="Times New Roman" w:cs="Times New Roman"/>
          <w:b/>
          <w:sz w:val="24"/>
          <w:szCs w:val="24"/>
        </w:rPr>
      </w:pPr>
    </w:p>
    <w:p w14:paraId="0C1EB8C4" w14:textId="77777777" w:rsidR="0031203E" w:rsidRDefault="0031203E" w:rsidP="0031203E">
      <w:pPr>
        <w:pStyle w:val="NoSpacing"/>
        <w:jc w:val="both"/>
        <w:rPr>
          <w:rFonts w:ascii="Times New Roman" w:hAnsi="Times New Roman" w:cs="Times New Roman"/>
          <w:b/>
          <w:sz w:val="24"/>
          <w:szCs w:val="24"/>
        </w:rPr>
      </w:pPr>
    </w:p>
    <w:p w14:paraId="11A2EF7A" w14:textId="77777777" w:rsidR="0031203E" w:rsidRDefault="009A4DFD" w:rsidP="009A4DFD">
      <w:pPr>
        <w:pStyle w:val="NoSpacing"/>
        <w:tabs>
          <w:tab w:val="left" w:pos="745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32C9DE9B" w14:textId="77777777" w:rsidR="009A4DFD" w:rsidRDefault="009A4DFD" w:rsidP="009A4DFD">
      <w:pPr>
        <w:pStyle w:val="NoSpacing"/>
        <w:tabs>
          <w:tab w:val="left" w:pos="7455"/>
        </w:tabs>
        <w:spacing w:line="360" w:lineRule="auto"/>
        <w:jc w:val="both"/>
        <w:rPr>
          <w:rFonts w:ascii="Times New Roman" w:hAnsi="Times New Roman" w:cs="Times New Roman"/>
          <w:bCs/>
          <w:sz w:val="24"/>
          <w:szCs w:val="24"/>
        </w:rPr>
      </w:pPr>
    </w:p>
    <w:p w14:paraId="056DBE7F" w14:textId="77777777" w:rsidR="0031203E" w:rsidRDefault="0031203E" w:rsidP="0031203E">
      <w:pPr>
        <w:pStyle w:val="NoSpacing"/>
        <w:jc w:val="both"/>
        <w:rPr>
          <w:rFonts w:ascii="Times New Roman" w:hAnsi="Times New Roman" w:cs="Times New Roman"/>
          <w:bCs/>
          <w:sz w:val="24"/>
          <w:szCs w:val="24"/>
        </w:rPr>
      </w:pPr>
    </w:p>
    <w:p w14:paraId="5E31CDF9" w14:textId="77777777" w:rsidR="009A4DFD" w:rsidRDefault="009A4DFD" w:rsidP="0031203E">
      <w:pPr>
        <w:pStyle w:val="NoSpacing"/>
        <w:jc w:val="both"/>
        <w:rPr>
          <w:rFonts w:ascii="Times New Roman" w:hAnsi="Times New Roman" w:cs="Times New Roman"/>
          <w:bCs/>
          <w:sz w:val="24"/>
          <w:szCs w:val="24"/>
        </w:rPr>
      </w:pPr>
    </w:p>
    <w:p w14:paraId="37B7C05E" w14:textId="77777777" w:rsidR="009A4DFD" w:rsidRDefault="009A4DFD" w:rsidP="0031203E">
      <w:pPr>
        <w:pStyle w:val="NoSpacing"/>
        <w:jc w:val="both"/>
        <w:rPr>
          <w:rFonts w:ascii="Times New Roman" w:hAnsi="Times New Roman" w:cs="Times New Roman"/>
          <w:bCs/>
          <w:sz w:val="24"/>
          <w:szCs w:val="24"/>
        </w:rPr>
      </w:pPr>
    </w:p>
    <w:p w14:paraId="1F5BBA1B" w14:textId="77777777" w:rsidR="009A4DFD" w:rsidRDefault="009A4DFD" w:rsidP="0031203E">
      <w:pPr>
        <w:pStyle w:val="NoSpacing"/>
        <w:jc w:val="both"/>
        <w:rPr>
          <w:rFonts w:ascii="Times New Roman" w:hAnsi="Times New Roman" w:cs="Times New Roman"/>
          <w:bCs/>
          <w:sz w:val="24"/>
          <w:szCs w:val="24"/>
        </w:rPr>
      </w:pPr>
    </w:p>
    <w:p w14:paraId="1CFF5D20" w14:textId="77777777" w:rsidR="009A4DFD" w:rsidRDefault="009A4DFD" w:rsidP="0031203E">
      <w:pPr>
        <w:pStyle w:val="NoSpacing"/>
        <w:jc w:val="both"/>
        <w:rPr>
          <w:rFonts w:ascii="Times New Roman" w:hAnsi="Times New Roman" w:cs="Times New Roman"/>
          <w:bCs/>
          <w:sz w:val="24"/>
          <w:szCs w:val="24"/>
        </w:rPr>
      </w:pPr>
    </w:p>
    <w:p w14:paraId="0BA45AC3" w14:textId="77777777" w:rsidR="009A4DFD" w:rsidRPr="002D5CF7" w:rsidRDefault="009A4DFD" w:rsidP="0031203E">
      <w:pPr>
        <w:pStyle w:val="NoSpacing"/>
        <w:jc w:val="both"/>
        <w:rPr>
          <w:rFonts w:ascii="Times New Roman" w:hAnsi="Times New Roman" w:cs="Times New Roman"/>
          <w:bCs/>
          <w:sz w:val="24"/>
          <w:szCs w:val="24"/>
        </w:rPr>
      </w:pPr>
    </w:p>
    <w:p w14:paraId="3B3A9EEA" w14:textId="77777777" w:rsidR="0031203E" w:rsidRDefault="0031203E" w:rsidP="0031203E">
      <w:pPr>
        <w:pStyle w:val="NoSpacing"/>
        <w:jc w:val="both"/>
        <w:rPr>
          <w:rFonts w:ascii="Times New Roman" w:hAnsi="Times New Roman" w:cs="Times New Roman"/>
          <w:b/>
          <w:sz w:val="24"/>
          <w:szCs w:val="24"/>
        </w:rPr>
      </w:pPr>
    </w:p>
    <w:p w14:paraId="52EF5A10" w14:textId="77777777" w:rsidR="0031203E" w:rsidRPr="009A4DFD" w:rsidRDefault="0031203E" w:rsidP="0031203E">
      <w:pPr>
        <w:pStyle w:val="NoSpacing"/>
        <w:jc w:val="both"/>
        <w:rPr>
          <w:rFonts w:ascii="Arial" w:hAnsi="Arial" w:cs="Arial"/>
          <w:sz w:val="20"/>
          <w:szCs w:val="20"/>
        </w:rPr>
      </w:pPr>
      <w:bookmarkStart w:id="0" w:name="_Hlk208238835"/>
      <w:r w:rsidRPr="009A4DFD">
        <w:rPr>
          <w:rFonts w:ascii="Arial" w:hAnsi="Arial" w:cs="Arial"/>
          <w:b/>
          <w:sz w:val="20"/>
          <w:szCs w:val="20"/>
        </w:rPr>
        <w:lastRenderedPageBreak/>
        <w:t>TABLE 2: EFFECTS OF THE EXTRACT ON LIVER TISSUE HOMOGENATE ANTIOXIDANT STATUS IN POTASSIUM BROMATE TREATED RATS</w:t>
      </w:r>
    </w:p>
    <w:tbl>
      <w:tblPr>
        <w:tblStyle w:val="ListTable6Colorful1"/>
        <w:tblW w:w="9386" w:type="dxa"/>
        <w:tblLayout w:type="fixed"/>
        <w:tblLook w:val="04A0" w:firstRow="1" w:lastRow="0" w:firstColumn="1" w:lastColumn="0" w:noHBand="0" w:noVBand="1"/>
      </w:tblPr>
      <w:tblGrid>
        <w:gridCol w:w="1998"/>
        <w:gridCol w:w="1530"/>
        <w:gridCol w:w="1260"/>
        <w:gridCol w:w="1440"/>
        <w:gridCol w:w="1440"/>
        <w:gridCol w:w="1718"/>
      </w:tblGrid>
      <w:tr w:rsidR="0031203E" w:rsidRPr="009A4DFD" w14:paraId="3F8CDBC0" w14:textId="77777777" w:rsidTr="00EC67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435EF699" w14:textId="77777777" w:rsidR="0031203E" w:rsidRPr="009A4DFD" w:rsidRDefault="0031203E" w:rsidP="00EC6787">
            <w:pPr>
              <w:pStyle w:val="NoSpacing"/>
              <w:jc w:val="both"/>
              <w:rPr>
                <w:rFonts w:ascii="Arial" w:hAnsi="Arial" w:cs="Arial"/>
              </w:rPr>
            </w:pPr>
            <w:r w:rsidRPr="009A4DFD">
              <w:rPr>
                <w:rFonts w:ascii="Arial" w:hAnsi="Arial" w:cs="Arial"/>
              </w:rPr>
              <w:t>Treatment</w:t>
            </w:r>
          </w:p>
        </w:tc>
        <w:tc>
          <w:tcPr>
            <w:tcW w:w="1530" w:type="dxa"/>
          </w:tcPr>
          <w:p w14:paraId="2D271CCE"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GSH (mg/g protein)</w:t>
            </w:r>
          </w:p>
        </w:tc>
        <w:tc>
          <w:tcPr>
            <w:tcW w:w="1260" w:type="dxa"/>
          </w:tcPr>
          <w:p w14:paraId="5088E0C7"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w:t>
            </w:r>
            <w:proofErr w:type="spellStart"/>
            <w:r w:rsidRPr="009A4DFD">
              <w:rPr>
                <w:rFonts w:ascii="Arial" w:hAnsi="Arial" w:cs="Arial"/>
              </w:rPr>
              <w:t>GPx</w:t>
            </w:r>
            <w:proofErr w:type="spellEnd"/>
            <w:r w:rsidRPr="009A4DFD">
              <w:rPr>
                <w:rFonts w:ascii="Arial" w:hAnsi="Arial" w:cs="Arial"/>
              </w:rPr>
              <w:t xml:space="preserve"> (u/g protein)</w:t>
            </w:r>
          </w:p>
        </w:tc>
        <w:tc>
          <w:tcPr>
            <w:tcW w:w="1440" w:type="dxa"/>
          </w:tcPr>
          <w:p w14:paraId="2E24193F"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SOD (u/g protein)</w:t>
            </w:r>
          </w:p>
        </w:tc>
        <w:tc>
          <w:tcPr>
            <w:tcW w:w="1440" w:type="dxa"/>
          </w:tcPr>
          <w:p w14:paraId="39E94F64"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CAT (u/g protein)</w:t>
            </w:r>
          </w:p>
        </w:tc>
        <w:tc>
          <w:tcPr>
            <w:tcW w:w="1718" w:type="dxa"/>
          </w:tcPr>
          <w:p w14:paraId="4697906F"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MDA (mmol/g protein)</w:t>
            </w:r>
          </w:p>
        </w:tc>
      </w:tr>
      <w:tr w:rsidR="0031203E" w:rsidRPr="009A4DFD" w14:paraId="0F8F7B65" w14:textId="77777777" w:rsidTr="00EC6787">
        <w:trPr>
          <w:trHeight w:val="485"/>
        </w:trPr>
        <w:tc>
          <w:tcPr>
            <w:cnfStyle w:val="001000000000" w:firstRow="0" w:lastRow="0" w:firstColumn="1" w:lastColumn="0" w:oddVBand="0" w:evenVBand="0" w:oddHBand="0" w:evenHBand="0" w:firstRowFirstColumn="0" w:firstRowLastColumn="0" w:lastRowFirstColumn="0" w:lastRowLastColumn="0"/>
            <w:tcW w:w="1998" w:type="dxa"/>
          </w:tcPr>
          <w:p w14:paraId="19D71E08" w14:textId="77777777" w:rsidR="0031203E" w:rsidRPr="009A4DFD" w:rsidRDefault="0031203E" w:rsidP="00EC6787">
            <w:pPr>
              <w:pStyle w:val="NoSpacing"/>
              <w:jc w:val="both"/>
              <w:rPr>
                <w:rFonts w:ascii="Arial" w:hAnsi="Arial" w:cs="Arial"/>
              </w:rPr>
            </w:pPr>
            <w:r w:rsidRPr="009A4DFD">
              <w:rPr>
                <w:rFonts w:ascii="Arial" w:hAnsi="Arial" w:cs="Arial"/>
              </w:rPr>
              <w:t>Control</w:t>
            </w:r>
          </w:p>
          <w:p w14:paraId="6CA7E51B" w14:textId="77777777" w:rsidR="0031203E" w:rsidRPr="009A4DFD" w:rsidRDefault="0031203E" w:rsidP="00EC6787">
            <w:pPr>
              <w:pStyle w:val="NoSpacing"/>
              <w:jc w:val="both"/>
              <w:rPr>
                <w:rFonts w:ascii="Arial" w:hAnsi="Arial" w:cs="Arial"/>
              </w:rPr>
            </w:pPr>
          </w:p>
        </w:tc>
        <w:tc>
          <w:tcPr>
            <w:tcW w:w="1530" w:type="dxa"/>
          </w:tcPr>
          <w:p w14:paraId="000D329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7.20±0.21</w:t>
            </w:r>
            <w:r w:rsidRPr="009A4DFD">
              <w:rPr>
                <w:rFonts w:ascii="Arial" w:hAnsi="Arial" w:cs="Arial"/>
                <w:color w:val="000000"/>
                <w:vertAlign w:val="superscript"/>
              </w:rPr>
              <w:t>d</w:t>
            </w:r>
          </w:p>
        </w:tc>
        <w:tc>
          <w:tcPr>
            <w:tcW w:w="1260" w:type="dxa"/>
          </w:tcPr>
          <w:p w14:paraId="155ADFB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30.23±2.10</w:t>
            </w:r>
            <w:r w:rsidRPr="009A4DFD">
              <w:rPr>
                <w:rFonts w:ascii="Arial" w:hAnsi="Arial" w:cs="Arial"/>
                <w:color w:val="000000"/>
                <w:vertAlign w:val="superscript"/>
              </w:rPr>
              <w:t>c</w:t>
            </w:r>
          </w:p>
        </w:tc>
        <w:tc>
          <w:tcPr>
            <w:tcW w:w="1440" w:type="dxa"/>
          </w:tcPr>
          <w:p w14:paraId="5A462C6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32.10±0.56</w:t>
            </w:r>
            <w:r w:rsidRPr="009A4DFD">
              <w:rPr>
                <w:rFonts w:ascii="Arial" w:hAnsi="Arial" w:cs="Arial"/>
                <w:color w:val="000000"/>
                <w:vertAlign w:val="superscript"/>
              </w:rPr>
              <w:t>c</w:t>
            </w:r>
          </w:p>
        </w:tc>
        <w:tc>
          <w:tcPr>
            <w:tcW w:w="1440" w:type="dxa"/>
          </w:tcPr>
          <w:p w14:paraId="5123462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14.17±1.50</w:t>
            </w:r>
            <w:r w:rsidRPr="009A4DFD">
              <w:rPr>
                <w:rFonts w:ascii="Arial" w:hAnsi="Arial" w:cs="Arial"/>
                <w:color w:val="000000"/>
                <w:vertAlign w:val="superscript"/>
              </w:rPr>
              <w:t>b</w:t>
            </w:r>
          </w:p>
        </w:tc>
        <w:tc>
          <w:tcPr>
            <w:tcW w:w="1718" w:type="dxa"/>
          </w:tcPr>
          <w:p w14:paraId="5146434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0.33</w:t>
            </w:r>
            <w:r w:rsidRPr="009A4DFD">
              <w:rPr>
                <w:rFonts w:ascii="Arial" w:hAnsi="Arial" w:cs="Arial"/>
                <w:color w:val="000000"/>
              </w:rPr>
              <w:t>±0.04</w:t>
            </w:r>
            <w:r w:rsidRPr="009A4DFD">
              <w:rPr>
                <w:rFonts w:ascii="Arial" w:hAnsi="Arial" w:cs="Arial"/>
                <w:color w:val="000000"/>
                <w:vertAlign w:val="superscript"/>
              </w:rPr>
              <w:t>a</w:t>
            </w:r>
          </w:p>
        </w:tc>
      </w:tr>
      <w:tr w:rsidR="0031203E" w:rsidRPr="009A4DFD" w14:paraId="1C562564" w14:textId="77777777" w:rsidTr="00EC6787">
        <w:trPr>
          <w:trHeight w:val="648"/>
        </w:trPr>
        <w:tc>
          <w:tcPr>
            <w:cnfStyle w:val="001000000000" w:firstRow="0" w:lastRow="0" w:firstColumn="1" w:lastColumn="0" w:oddVBand="0" w:evenVBand="0" w:oddHBand="0" w:evenHBand="0" w:firstRowFirstColumn="0" w:firstRowLastColumn="0" w:lastRowFirstColumn="0" w:lastRowLastColumn="0"/>
            <w:tcW w:w="1998" w:type="dxa"/>
          </w:tcPr>
          <w:p w14:paraId="0E7D968E" w14:textId="77777777" w:rsidR="0031203E" w:rsidRPr="009A4DFD" w:rsidRDefault="0031203E" w:rsidP="00EC6787">
            <w:pPr>
              <w:pStyle w:val="NoSpacing"/>
              <w:jc w:val="both"/>
              <w:rPr>
                <w:rFonts w:ascii="Arial" w:hAnsi="Arial" w:cs="Arial"/>
              </w:rPr>
            </w:pPr>
            <w:r w:rsidRPr="009A4DFD">
              <w:rPr>
                <w:rFonts w:ascii="Arial" w:hAnsi="Arial" w:cs="Arial"/>
              </w:rPr>
              <w:t>KBrO</w:t>
            </w:r>
            <w:r w:rsidRPr="009A4DFD">
              <w:rPr>
                <w:rFonts w:ascii="Arial" w:hAnsi="Arial" w:cs="Arial"/>
                <w:vertAlign w:val="subscript"/>
              </w:rPr>
              <w:t>3</w:t>
            </w:r>
            <w:r w:rsidRPr="009A4DFD">
              <w:rPr>
                <w:rFonts w:ascii="Arial" w:hAnsi="Arial" w:cs="Arial"/>
              </w:rPr>
              <w:t xml:space="preserve"> (50</w:t>
            </w:r>
          </w:p>
          <w:p w14:paraId="0305764B" w14:textId="77777777" w:rsidR="0031203E" w:rsidRPr="009A4DFD" w:rsidRDefault="0031203E" w:rsidP="00EC6787">
            <w:pPr>
              <w:pStyle w:val="NoSpacing"/>
              <w:jc w:val="both"/>
              <w:rPr>
                <w:rFonts w:ascii="Arial" w:hAnsi="Arial" w:cs="Arial"/>
              </w:rPr>
            </w:pPr>
            <w:r w:rsidRPr="009A4DFD">
              <w:rPr>
                <w:rFonts w:ascii="Arial" w:hAnsi="Arial" w:cs="Arial"/>
              </w:rPr>
              <w:t xml:space="preserve"> mg/kg)</w:t>
            </w:r>
          </w:p>
        </w:tc>
        <w:tc>
          <w:tcPr>
            <w:tcW w:w="1530" w:type="dxa"/>
          </w:tcPr>
          <w:p w14:paraId="0397D14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4.15±0.24</w:t>
            </w:r>
            <w:r w:rsidRPr="009A4DFD">
              <w:rPr>
                <w:rFonts w:ascii="Arial" w:hAnsi="Arial" w:cs="Arial"/>
                <w:color w:val="000000"/>
                <w:vertAlign w:val="superscript"/>
              </w:rPr>
              <w:t>a</w:t>
            </w:r>
          </w:p>
        </w:tc>
        <w:tc>
          <w:tcPr>
            <w:tcW w:w="1260" w:type="dxa"/>
          </w:tcPr>
          <w:p w14:paraId="72441C7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22.70±1.78</w:t>
            </w:r>
            <w:r w:rsidRPr="009A4DFD">
              <w:rPr>
                <w:rFonts w:ascii="Arial" w:hAnsi="Arial" w:cs="Arial"/>
                <w:color w:val="000000"/>
                <w:vertAlign w:val="superscript"/>
              </w:rPr>
              <w:t>a</w:t>
            </w:r>
          </w:p>
        </w:tc>
        <w:tc>
          <w:tcPr>
            <w:tcW w:w="1440" w:type="dxa"/>
          </w:tcPr>
          <w:p w14:paraId="3A059868"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27.40±0.95</w:t>
            </w:r>
            <w:r w:rsidRPr="009A4DFD">
              <w:rPr>
                <w:rFonts w:ascii="Arial" w:hAnsi="Arial" w:cs="Arial"/>
                <w:color w:val="000000"/>
                <w:vertAlign w:val="superscript"/>
              </w:rPr>
              <w:t>a</w:t>
            </w:r>
          </w:p>
        </w:tc>
        <w:tc>
          <w:tcPr>
            <w:tcW w:w="1440" w:type="dxa"/>
          </w:tcPr>
          <w:p w14:paraId="03B4908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10.50±0.36</w:t>
            </w:r>
            <w:r w:rsidRPr="009A4DFD">
              <w:rPr>
                <w:rFonts w:ascii="Arial" w:hAnsi="Arial" w:cs="Arial"/>
                <w:color w:val="000000"/>
                <w:vertAlign w:val="superscript"/>
              </w:rPr>
              <w:t>a</w:t>
            </w:r>
          </w:p>
        </w:tc>
        <w:tc>
          <w:tcPr>
            <w:tcW w:w="1718" w:type="dxa"/>
          </w:tcPr>
          <w:p w14:paraId="4119F84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1.51</w:t>
            </w:r>
            <w:r w:rsidRPr="009A4DFD">
              <w:rPr>
                <w:rFonts w:ascii="Arial" w:hAnsi="Arial" w:cs="Arial"/>
                <w:color w:val="000000"/>
              </w:rPr>
              <w:t>±0.15</w:t>
            </w:r>
            <w:r w:rsidRPr="009A4DFD">
              <w:rPr>
                <w:rFonts w:ascii="Arial" w:hAnsi="Arial" w:cs="Arial"/>
                <w:color w:val="000000"/>
                <w:vertAlign w:val="superscript"/>
              </w:rPr>
              <w:t>d</w:t>
            </w:r>
          </w:p>
        </w:tc>
      </w:tr>
      <w:tr w:rsidR="0031203E" w:rsidRPr="009A4DFD" w14:paraId="6E7D92E2" w14:textId="77777777" w:rsidTr="00EC6787">
        <w:trPr>
          <w:trHeight w:val="1260"/>
        </w:trPr>
        <w:tc>
          <w:tcPr>
            <w:cnfStyle w:val="001000000000" w:firstRow="0" w:lastRow="0" w:firstColumn="1" w:lastColumn="0" w:oddVBand="0" w:evenVBand="0" w:oddHBand="0" w:evenHBand="0" w:firstRowFirstColumn="0" w:firstRowLastColumn="0" w:lastRowFirstColumn="0" w:lastRowLastColumn="0"/>
            <w:tcW w:w="1998" w:type="dxa"/>
          </w:tcPr>
          <w:p w14:paraId="2FE53B41" w14:textId="77777777" w:rsidR="0031203E" w:rsidRPr="009A4DFD" w:rsidRDefault="0031203E" w:rsidP="00EC6787">
            <w:pPr>
              <w:pStyle w:val="NoSpacing"/>
              <w:jc w:val="both"/>
              <w:rPr>
                <w:rFonts w:ascii="Arial" w:hAnsi="Arial" w:cs="Arial"/>
              </w:rPr>
            </w:pPr>
            <w:r w:rsidRPr="009A4DFD">
              <w:rPr>
                <w:rFonts w:ascii="Arial" w:hAnsi="Arial" w:cs="Arial"/>
              </w:rPr>
              <w:t>Vit. C (100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081F02D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5.10±0.11</w:t>
            </w:r>
            <w:r w:rsidRPr="009A4DFD">
              <w:rPr>
                <w:rFonts w:ascii="Arial" w:hAnsi="Arial" w:cs="Arial"/>
                <w:color w:val="000000"/>
                <w:vertAlign w:val="superscript"/>
              </w:rPr>
              <w:t>b</w:t>
            </w:r>
          </w:p>
        </w:tc>
        <w:tc>
          <w:tcPr>
            <w:tcW w:w="1260" w:type="dxa"/>
          </w:tcPr>
          <w:p w14:paraId="28BD680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26.70±1.11</w:t>
            </w:r>
            <w:r w:rsidRPr="009A4DFD">
              <w:rPr>
                <w:rFonts w:ascii="Arial" w:hAnsi="Arial" w:cs="Arial"/>
                <w:color w:val="000000"/>
                <w:vertAlign w:val="superscript"/>
              </w:rPr>
              <w:t>b</w:t>
            </w:r>
          </w:p>
        </w:tc>
        <w:tc>
          <w:tcPr>
            <w:tcW w:w="1440" w:type="dxa"/>
          </w:tcPr>
          <w:p w14:paraId="054C673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28.13±0.93</w:t>
            </w:r>
            <w:r w:rsidRPr="009A4DFD">
              <w:rPr>
                <w:rFonts w:ascii="Arial" w:hAnsi="Arial" w:cs="Arial"/>
                <w:color w:val="000000"/>
                <w:vertAlign w:val="superscript"/>
              </w:rPr>
              <w:t>ab</w:t>
            </w:r>
          </w:p>
        </w:tc>
        <w:tc>
          <w:tcPr>
            <w:tcW w:w="1440" w:type="dxa"/>
          </w:tcPr>
          <w:p w14:paraId="5F1FF222"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12.77±0.51</w:t>
            </w:r>
            <w:r w:rsidRPr="009A4DFD">
              <w:rPr>
                <w:rFonts w:ascii="Arial" w:hAnsi="Arial" w:cs="Arial"/>
                <w:color w:val="000000"/>
                <w:vertAlign w:val="superscript"/>
              </w:rPr>
              <w:t>b</w:t>
            </w:r>
          </w:p>
        </w:tc>
        <w:tc>
          <w:tcPr>
            <w:tcW w:w="1718" w:type="dxa"/>
          </w:tcPr>
          <w:p w14:paraId="6798DDB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0.87</w:t>
            </w:r>
            <w:r w:rsidRPr="009A4DFD">
              <w:rPr>
                <w:rFonts w:ascii="Arial" w:hAnsi="Arial" w:cs="Arial"/>
                <w:color w:val="000000"/>
              </w:rPr>
              <w:t>±0.06</w:t>
            </w:r>
            <w:r w:rsidRPr="009A4DFD">
              <w:rPr>
                <w:rFonts w:ascii="Arial" w:hAnsi="Arial" w:cs="Arial"/>
                <w:color w:val="000000"/>
                <w:vertAlign w:val="superscript"/>
              </w:rPr>
              <w:t>c</w:t>
            </w:r>
          </w:p>
        </w:tc>
      </w:tr>
      <w:tr w:rsidR="0031203E" w:rsidRPr="009A4DFD" w14:paraId="28EE37FF" w14:textId="77777777" w:rsidTr="00EC6787">
        <w:trPr>
          <w:trHeight w:val="1530"/>
        </w:trPr>
        <w:tc>
          <w:tcPr>
            <w:cnfStyle w:val="001000000000" w:firstRow="0" w:lastRow="0" w:firstColumn="1" w:lastColumn="0" w:oddVBand="0" w:evenVBand="0" w:oddHBand="0" w:evenHBand="0" w:firstRowFirstColumn="0" w:firstRowLastColumn="0" w:lastRowFirstColumn="0" w:lastRowLastColumn="0"/>
            <w:tcW w:w="1998" w:type="dxa"/>
          </w:tcPr>
          <w:p w14:paraId="6278E228"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(200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528914B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6.23±0.23</w:t>
            </w:r>
            <w:r w:rsidRPr="009A4DFD">
              <w:rPr>
                <w:rFonts w:ascii="Arial" w:hAnsi="Arial" w:cs="Arial"/>
                <w:color w:val="000000"/>
                <w:vertAlign w:val="superscript"/>
              </w:rPr>
              <w:t>c</w:t>
            </w:r>
          </w:p>
        </w:tc>
        <w:tc>
          <w:tcPr>
            <w:tcW w:w="1260" w:type="dxa"/>
          </w:tcPr>
          <w:p w14:paraId="6FEB7CF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28.40±0.95</w:t>
            </w:r>
            <w:r w:rsidRPr="009A4DFD">
              <w:rPr>
                <w:rFonts w:ascii="Arial" w:hAnsi="Arial" w:cs="Arial"/>
                <w:color w:val="000000"/>
                <w:vertAlign w:val="superscript"/>
              </w:rPr>
              <w:t>bc</w:t>
            </w:r>
          </w:p>
        </w:tc>
        <w:tc>
          <w:tcPr>
            <w:tcW w:w="1440" w:type="dxa"/>
          </w:tcPr>
          <w:p w14:paraId="38256E6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28.87±1.10</w:t>
            </w:r>
            <w:r w:rsidRPr="009A4DFD">
              <w:rPr>
                <w:rFonts w:ascii="Arial" w:hAnsi="Arial" w:cs="Arial"/>
                <w:color w:val="000000"/>
                <w:vertAlign w:val="superscript"/>
              </w:rPr>
              <w:t>ab</w:t>
            </w:r>
          </w:p>
        </w:tc>
        <w:tc>
          <w:tcPr>
            <w:tcW w:w="1440" w:type="dxa"/>
          </w:tcPr>
          <w:p w14:paraId="0F08AC6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12.97±0.40</w:t>
            </w:r>
            <w:r w:rsidRPr="009A4DFD">
              <w:rPr>
                <w:rFonts w:ascii="Arial" w:hAnsi="Arial" w:cs="Arial"/>
                <w:color w:val="000000"/>
                <w:vertAlign w:val="superscript"/>
              </w:rPr>
              <w:t>b</w:t>
            </w:r>
          </w:p>
        </w:tc>
        <w:tc>
          <w:tcPr>
            <w:tcW w:w="1718" w:type="dxa"/>
          </w:tcPr>
          <w:p w14:paraId="5ACA962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0.79</w:t>
            </w:r>
            <w:r w:rsidRPr="009A4DFD">
              <w:rPr>
                <w:rFonts w:ascii="Arial" w:hAnsi="Arial" w:cs="Arial"/>
                <w:color w:val="000000"/>
              </w:rPr>
              <w:t>±0.04</w:t>
            </w:r>
            <w:r w:rsidRPr="009A4DFD">
              <w:rPr>
                <w:rFonts w:ascii="Arial" w:hAnsi="Arial" w:cs="Arial"/>
                <w:color w:val="000000"/>
                <w:vertAlign w:val="superscript"/>
              </w:rPr>
              <w:t>bc</w:t>
            </w:r>
          </w:p>
        </w:tc>
      </w:tr>
      <w:tr w:rsidR="0031203E" w:rsidRPr="009A4DFD" w14:paraId="53B1E42C" w14:textId="77777777" w:rsidTr="00EC6787">
        <w:trPr>
          <w:trHeight w:val="1530"/>
        </w:trPr>
        <w:tc>
          <w:tcPr>
            <w:cnfStyle w:val="001000000000" w:firstRow="0" w:lastRow="0" w:firstColumn="1" w:lastColumn="0" w:oddVBand="0" w:evenVBand="0" w:oddHBand="0" w:evenHBand="0" w:firstRowFirstColumn="0" w:firstRowLastColumn="0" w:lastRowFirstColumn="0" w:lastRowLastColumn="0"/>
            <w:tcW w:w="1998" w:type="dxa"/>
          </w:tcPr>
          <w:p w14:paraId="55E6FA77"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(400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1923965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6.51±0.25</w:t>
            </w:r>
            <w:r w:rsidRPr="009A4DFD">
              <w:rPr>
                <w:rFonts w:ascii="Arial" w:hAnsi="Arial" w:cs="Arial"/>
                <w:color w:val="000000"/>
                <w:vertAlign w:val="superscript"/>
              </w:rPr>
              <w:t>c</w:t>
            </w:r>
          </w:p>
        </w:tc>
        <w:tc>
          <w:tcPr>
            <w:tcW w:w="1260" w:type="dxa"/>
          </w:tcPr>
          <w:p w14:paraId="054BBC7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28.53±1.82</w:t>
            </w:r>
            <w:r w:rsidRPr="009A4DFD">
              <w:rPr>
                <w:rFonts w:ascii="Arial" w:hAnsi="Arial" w:cs="Arial"/>
                <w:color w:val="000000"/>
                <w:vertAlign w:val="superscript"/>
              </w:rPr>
              <w:t>bc</w:t>
            </w:r>
          </w:p>
        </w:tc>
        <w:tc>
          <w:tcPr>
            <w:tcW w:w="1440" w:type="dxa"/>
          </w:tcPr>
          <w:p w14:paraId="458AA6F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30.17±0.61</w:t>
            </w:r>
            <w:r w:rsidRPr="009A4DFD">
              <w:rPr>
                <w:rFonts w:ascii="Arial" w:hAnsi="Arial" w:cs="Arial"/>
                <w:color w:val="000000"/>
                <w:vertAlign w:val="superscript"/>
              </w:rPr>
              <w:t>ab</w:t>
            </w:r>
          </w:p>
        </w:tc>
        <w:tc>
          <w:tcPr>
            <w:tcW w:w="1440" w:type="dxa"/>
          </w:tcPr>
          <w:p w14:paraId="7333CA8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13.67±1.10</w:t>
            </w:r>
            <w:r w:rsidRPr="009A4DFD">
              <w:rPr>
                <w:rFonts w:ascii="Arial" w:hAnsi="Arial" w:cs="Arial"/>
                <w:color w:val="000000"/>
                <w:vertAlign w:val="superscript"/>
              </w:rPr>
              <w:t>b</w:t>
            </w:r>
          </w:p>
        </w:tc>
        <w:tc>
          <w:tcPr>
            <w:tcW w:w="1718" w:type="dxa"/>
          </w:tcPr>
          <w:p w14:paraId="24EDD93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0.73</w:t>
            </w:r>
            <w:r w:rsidRPr="009A4DFD">
              <w:rPr>
                <w:rFonts w:ascii="Arial" w:hAnsi="Arial" w:cs="Arial"/>
                <w:color w:val="000000"/>
              </w:rPr>
              <w:t>±0.03</w:t>
            </w:r>
            <w:r w:rsidRPr="009A4DFD">
              <w:rPr>
                <w:rFonts w:ascii="Arial" w:hAnsi="Arial" w:cs="Arial"/>
                <w:color w:val="000000"/>
                <w:vertAlign w:val="superscript"/>
              </w:rPr>
              <w:t>b</w:t>
            </w:r>
          </w:p>
        </w:tc>
      </w:tr>
      <w:tr w:rsidR="0031203E" w:rsidRPr="009A4DFD" w14:paraId="5D6C9C3B" w14:textId="77777777" w:rsidTr="00EC6787">
        <w:trPr>
          <w:trHeight w:val="1170"/>
        </w:trPr>
        <w:tc>
          <w:tcPr>
            <w:cnfStyle w:val="001000000000" w:firstRow="0" w:lastRow="0" w:firstColumn="1" w:lastColumn="0" w:oddVBand="0" w:evenVBand="0" w:oddHBand="0" w:evenHBand="0" w:firstRowFirstColumn="0" w:firstRowLastColumn="0" w:lastRowFirstColumn="0" w:lastRowLastColumn="0"/>
            <w:tcW w:w="1998" w:type="dxa"/>
          </w:tcPr>
          <w:p w14:paraId="6A8B4EBD"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w:t>
            </w:r>
            <w:r w:rsidRPr="009A4DFD">
              <w:rPr>
                <w:rFonts w:ascii="Arial" w:hAnsi="Arial" w:cs="Arial"/>
                <w:i/>
              </w:rPr>
              <w:t xml:space="preserve"> </w:t>
            </w:r>
            <w:r w:rsidRPr="009A4DFD">
              <w:rPr>
                <w:rFonts w:ascii="Arial" w:hAnsi="Arial" w:cs="Arial"/>
              </w:rPr>
              <w:t>(800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7D5891E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6.98±0.36</w:t>
            </w:r>
            <w:r w:rsidRPr="009A4DFD">
              <w:rPr>
                <w:rFonts w:ascii="Arial" w:hAnsi="Arial" w:cs="Arial"/>
                <w:color w:val="000000"/>
                <w:vertAlign w:val="superscript"/>
              </w:rPr>
              <w:t>d</w:t>
            </w:r>
          </w:p>
        </w:tc>
        <w:tc>
          <w:tcPr>
            <w:tcW w:w="1260" w:type="dxa"/>
          </w:tcPr>
          <w:p w14:paraId="49E35F88"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29.73±0.81</w:t>
            </w:r>
            <w:r w:rsidRPr="009A4DFD">
              <w:rPr>
                <w:rFonts w:ascii="Arial" w:hAnsi="Arial" w:cs="Arial"/>
                <w:color w:val="000000"/>
                <w:vertAlign w:val="superscript"/>
              </w:rPr>
              <w:t>c</w:t>
            </w:r>
          </w:p>
        </w:tc>
        <w:tc>
          <w:tcPr>
            <w:tcW w:w="1440" w:type="dxa"/>
          </w:tcPr>
          <w:p w14:paraId="32D4B8D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31.23±0.18</w:t>
            </w:r>
            <w:r w:rsidRPr="009A4DFD">
              <w:rPr>
                <w:rFonts w:ascii="Arial" w:hAnsi="Arial" w:cs="Arial"/>
                <w:color w:val="000000"/>
                <w:vertAlign w:val="superscript"/>
              </w:rPr>
              <w:t>c</w:t>
            </w:r>
          </w:p>
        </w:tc>
        <w:tc>
          <w:tcPr>
            <w:tcW w:w="1440" w:type="dxa"/>
          </w:tcPr>
          <w:p w14:paraId="25C451DF"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13.90±0.95</w:t>
            </w:r>
            <w:r w:rsidRPr="009A4DFD">
              <w:rPr>
                <w:rFonts w:ascii="Arial" w:hAnsi="Arial" w:cs="Arial"/>
                <w:color w:val="000000"/>
                <w:vertAlign w:val="superscript"/>
              </w:rPr>
              <w:t>b</w:t>
            </w:r>
          </w:p>
        </w:tc>
        <w:tc>
          <w:tcPr>
            <w:tcW w:w="1718" w:type="dxa"/>
          </w:tcPr>
          <w:p w14:paraId="7785A73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0.74</w:t>
            </w:r>
            <w:r w:rsidRPr="009A4DFD">
              <w:rPr>
                <w:rFonts w:ascii="Arial" w:hAnsi="Arial" w:cs="Arial"/>
                <w:color w:val="000000"/>
              </w:rPr>
              <w:t>±0.04</w:t>
            </w:r>
            <w:r w:rsidRPr="009A4DFD">
              <w:rPr>
                <w:rFonts w:ascii="Arial" w:hAnsi="Arial" w:cs="Arial"/>
                <w:color w:val="000000"/>
                <w:vertAlign w:val="superscript"/>
              </w:rPr>
              <w:t>bc</w:t>
            </w:r>
          </w:p>
        </w:tc>
      </w:tr>
    </w:tbl>
    <w:bookmarkEnd w:id="0"/>
    <w:p w14:paraId="2AB26691" w14:textId="77777777" w:rsidR="0031203E" w:rsidRPr="009A4DFD" w:rsidRDefault="0031203E" w:rsidP="0031203E">
      <w:pPr>
        <w:spacing w:after="0" w:line="360" w:lineRule="auto"/>
        <w:jc w:val="both"/>
        <w:rPr>
          <w:rFonts w:ascii="Arial" w:eastAsia="Times New Roman" w:hAnsi="Arial" w:cs="Arial"/>
          <w:color w:val="000000"/>
          <w:sz w:val="20"/>
          <w:szCs w:val="20"/>
        </w:rPr>
      </w:pPr>
      <w:r w:rsidRPr="009A4DFD">
        <w:rPr>
          <w:rFonts w:ascii="Arial" w:eastAsia="Times New Roman" w:hAnsi="Arial" w:cs="Arial"/>
          <w:color w:val="000000"/>
          <w:sz w:val="20"/>
          <w:szCs w:val="20"/>
        </w:rPr>
        <w:t>Values are presented as mean ± standard deviation of replicated determination (n = 3). Means in the same column bearing different letter superscripts are statistically significantly different.</w:t>
      </w:r>
    </w:p>
    <w:p w14:paraId="19158811" w14:textId="77777777" w:rsidR="0031203E" w:rsidRDefault="0031203E" w:rsidP="0031203E">
      <w:pPr>
        <w:spacing w:after="0" w:line="240" w:lineRule="auto"/>
        <w:jc w:val="both"/>
        <w:rPr>
          <w:rFonts w:ascii="Times New Roman" w:eastAsia="Times New Roman" w:hAnsi="Times New Roman" w:cs="Times New Roman"/>
          <w:color w:val="000000"/>
        </w:rPr>
      </w:pPr>
    </w:p>
    <w:p w14:paraId="6A11C146" w14:textId="77777777" w:rsidR="0031203E" w:rsidRDefault="0031203E" w:rsidP="0031203E">
      <w:pPr>
        <w:spacing w:line="360" w:lineRule="auto"/>
        <w:jc w:val="both"/>
        <w:rPr>
          <w:rFonts w:ascii="Times New Roman" w:hAnsi="Times New Roman" w:cs="Times New Roman"/>
          <w:sz w:val="24"/>
          <w:szCs w:val="24"/>
        </w:rPr>
      </w:pPr>
    </w:p>
    <w:p w14:paraId="4630971C" w14:textId="77777777" w:rsidR="0031203E" w:rsidRDefault="0031203E" w:rsidP="00C949B0">
      <w:pPr>
        <w:rPr>
          <w:rFonts w:ascii="Arial" w:hAnsi="Arial" w:cs="Arial"/>
          <w:sz w:val="20"/>
          <w:szCs w:val="24"/>
        </w:rPr>
      </w:pPr>
    </w:p>
    <w:p w14:paraId="5121F09A" w14:textId="77777777" w:rsidR="009A4DFD" w:rsidRDefault="009A4DFD" w:rsidP="00C949B0">
      <w:pPr>
        <w:rPr>
          <w:rFonts w:ascii="Arial" w:hAnsi="Arial" w:cs="Arial"/>
          <w:sz w:val="20"/>
          <w:szCs w:val="24"/>
        </w:rPr>
      </w:pPr>
    </w:p>
    <w:p w14:paraId="1E181F36" w14:textId="77777777" w:rsidR="009A4DFD" w:rsidRDefault="009A4DFD" w:rsidP="00C949B0">
      <w:pPr>
        <w:rPr>
          <w:rFonts w:ascii="Arial" w:hAnsi="Arial" w:cs="Arial"/>
          <w:sz w:val="20"/>
          <w:szCs w:val="24"/>
        </w:rPr>
      </w:pPr>
    </w:p>
    <w:p w14:paraId="1E72173D" w14:textId="77777777" w:rsidR="009A4DFD" w:rsidRDefault="009A4DFD" w:rsidP="00C949B0">
      <w:pPr>
        <w:rPr>
          <w:rFonts w:ascii="Arial" w:hAnsi="Arial" w:cs="Arial"/>
          <w:sz w:val="20"/>
          <w:szCs w:val="24"/>
        </w:rPr>
      </w:pPr>
    </w:p>
    <w:p w14:paraId="19F2309E" w14:textId="77777777" w:rsidR="009A4DFD" w:rsidRDefault="009A4DFD" w:rsidP="00C949B0">
      <w:pPr>
        <w:rPr>
          <w:rFonts w:ascii="Arial" w:hAnsi="Arial" w:cs="Arial"/>
          <w:sz w:val="20"/>
          <w:szCs w:val="24"/>
        </w:rPr>
      </w:pPr>
    </w:p>
    <w:p w14:paraId="7B3FCC60" w14:textId="77777777" w:rsidR="009A4DFD" w:rsidRDefault="009A4DFD" w:rsidP="00C949B0">
      <w:pPr>
        <w:rPr>
          <w:rFonts w:ascii="Arial" w:hAnsi="Arial" w:cs="Arial"/>
          <w:sz w:val="20"/>
          <w:szCs w:val="24"/>
        </w:rPr>
      </w:pPr>
    </w:p>
    <w:p w14:paraId="59907ACE" w14:textId="77777777" w:rsidR="009A4DFD" w:rsidRDefault="009A4DFD" w:rsidP="00C949B0">
      <w:pPr>
        <w:rPr>
          <w:rFonts w:ascii="Arial" w:hAnsi="Arial" w:cs="Arial"/>
          <w:sz w:val="20"/>
          <w:szCs w:val="24"/>
        </w:rPr>
      </w:pPr>
    </w:p>
    <w:p w14:paraId="16C41B76" w14:textId="77777777" w:rsidR="009A4DFD" w:rsidRDefault="009A4DFD" w:rsidP="00C949B0">
      <w:pPr>
        <w:rPr>
          <w:rFonts w:ascii="Arial" w:hAnsi="Arial" w:cs="Arial"/>
          <w:sz w:val="20"/>
          <w:szCs w:val="24"/>
        </w:rPr>
      </w:pPr>
    </w:p>
    <w:p w14:paraId="7C5E438C" w14:textId="77777777" w:rsidR="009A4DFD" w:rsidRDefault="009A4DFD" w:rsidP="00C949B0">
      <w:pPr>
        <w:rPr>
          <w:rFonts w:ascii="Arial" w:hAnsi="Arial" w:cs="Arial"/>
          <w:sz w:val="20"/>
          <w:szCs w:val="24"/>
        </w:rPr>
      </w:pPr>
    </w:p>
    <w:p w14:paraId="47524F37" w14:textId="77777777" w:rsidR="009A4DFD" w:rsidRPr="009A4DFD" w:rsidRDefault="009A4DFD" w:rsidP="009A4DFD">
      <w:pPr>
        <w:spacing w:line="360" w:lineRule="auto"/>
        <w:jc w:val="both"/>
        <w:rPr>
          <w:rFonts w:ascii="Arial" w:hAnsi="Arial" w:cs="Arial"/>
          <w:b/>
          <w:bCs/>
          <w:szCs w:val="24"/>
        </w:rPr>
      </w:pPr>
      <w:r w:rsidRPr="009A4DFD">
        <w:rPr>
          <w:rFonts w:ascii="Arial" w:hAnsi="Arial" w:cs="Arial"/>
          <w:b/>
          <w:bCs/>
          <w:szCs w:val="24"/>
        </w:rPr>
        <w:lastRenderedPageBreak/>
        <w:t xml:space="preserve">4. DISCUSSION </w:t>
      </w:r>
    </w:p>
    <w:p w14:paraId="3BB5C679" w14:textId="77777777" w:rsidR="009A4DFD" w:rsidRPr="009A4DFD" w:rsidRDefault="009A4DFD" w:rsidP="009A4DFD">
      <w:pPr>
        <w:spacing w:line="360" w:lineRule="auto"/>
        <w:jc w:val="both"/>
        <w:rPr>
          <w:rFonts w:ascii="Arial" w:hAnsi="Arial" w:cs="Arial"/>
          <w:sz w:val="24"/>
          <w:szCs w:val="24"/>
        </w:rPr>
      </w:pPr>
      <w:r w:rsidRPr="009A4DFD">
        <w:rPr>
          <w:rFonts w:ascii="Arial" w:hAnsi="Arial" w:cs="Arial"/>
          <w:sz w:val="20"/>
          <w:szCs w:val="24"/>
        </w:rPr>
        <w:t>Urea, a nitrogenous waste product of protein metabolism, is primarily filtered by the kidneys (</w:t>
      </w:r>
      <w:proofErr w:type="spellStart"/>
      <w:r w:rsidRPr="009A4DFD">
        <w:rPr>
          <w:rFonts w:ascii="Arial" w:eastAsia="SimSun" w:hAnsi="Arial" w:cs="Arial"/>
          <w:color w:val="222222"/>
          <w:sz w:val="20"/>
          <w:szCs w:val="24"/>
          <w:shd w:val="clear" w:color="auto" w:fill="FFFFFF"/>
        </w:rPr>
        <w:t>Adeyomoye</w:t>
      </w:r>
      <w:proofErr w:type="spellEnd"/>
      <w:r w:rsidRPr="009A4DFD">
        <w:rPr>
          <w:rFonts w:ascii="Arial" w:eastAsia="SimSun" w:hAnsi="Arial" w:cs="Arial"/>
          <w:color w:val="222222"/>
          <w:sz w:val="20"/>
          <w:szCs w:val="24"/>
          <w:shd w:val="clear" w:color="auto" w:fill="FFFFFF"/>
        </w:rPr>
        <w:t xml:space="preserve"> </w:t>
      </w:r>
      <w:r w:rsidRPr="009A4DFD">
        <w:rPr>
          <w:rFonts w:ascii="Arial" w:eastAsia="SimSun" w:hAnsi="Arial" w:cs="Arial"/>
          <w:i/>
          <w:color w:val="222222"/>
          <w:sz w:val="20"/>
          <w:szCs w:val="24"/>
          <w:shd w:val="clear" w:color="auto" w:fill="FFFFFF"/>
        </w:rPr>
        <w:t xml:space="preserve">et al., </w:t>
      </w:r>
      <w:r w:rsidRPr="009A4DFD">
        <w:rPr>
          <w:rFonts w:ascii="Arial" w:eastAsia="SimSun" w:hAnsi="Arial" w:cs="Arial"/>
          <w:color w:val="222222"/>
          <w:sz w:val="20"/>
          <w:szCs w:val="24"/>
          <w:shd w:val="clear" w:color="auto" w:fill="FFFFFF"/>
        </w:rPr>
        <w:t>2022</w:t>
      </w:r>
      <w:r w:rsidRPr="009A4DFD">
        <w:rPr>
          <w:rFonts w:ascii="Arial" w:hAnsi="Arial" w:cs="Arial"/>
          <w:sz w:val="20"/>
          <w:szCs w:val="24"/>
        </w:rPr>
        <w:t xml:space="preserve">). When urea levels are elevated, it often signals impaired renal function (Gowda </w:t>
      </w:r>
      <w:r w:rsidRPr="009A4DFD">
        <w:rPr>
          <w:rFonts w:ascii="Arial" w:hAnsi="Arial" w:cs="Arial"/>
          <w:i/>
          <w:sz w:val="20"/>
          <w:szCs w:val="24"/>
        </w:rPr>
        <w:t xml:space="preserve">et al., </w:t>
      </w:r>
      <w:r w:rsidRPr="009A4DFD">
        <w:rPr>
          <w:rFonts w:ascii="Arial" w:hAnsi="Arial" w:cs="Arial"/>
          <w:sz w:val="20"/>
          <w:szCs w:val="24"/>
        </w:rPr>
        <w:t xml:space="preserve">2010). Similarly, creatinine, a byproduct of muscle metabolism excreted by the kidneys (Jain </w:t>
      </w:r>
      <w:r w:rsidRPr="009A4DFD">
        <w:rPr>
          <w:rFonts w:ascii="Arial" w:hAnsi="Arial" w:cs="Arial"/>
          <w:i/>
          <w:sz w:val="20"/>
          <w:szCs w:val="24"/>
        </w:rPr>
        <w:t xml:space="preserve">et al., </w:t>
      </w:r>
      <w:r w:rsidRPr="009A4DFD">
        <w:rPr>
          <w:rFonts w:ascii="Arial" w:hAnsi="Arial" w:cs="Arial"/>
          <w:sz w:val="20"/>
          <w:szCs w:val="24"/>
        </w:rPr>
        <w:t>2020), can indicate kidney dysfunction or a reduced glomerular filtration rate (GFR) when levels are higher (</w:t>
      </w:r>
      <w:proofErr w:type="spellStart"/>
      <w:r w:rsidRPr="009A4DFD">
        <w:rPr>
          <w:rFonts w:ascii="Arial" w:hAnsi="Arial" w:cs="Arial"/>
          <w:sz w:val="20"/>
          <w:szCs w:val="24"/>
        </w:rPr>
        <w:t>Oluboyo</w:t>
      </w:r>
      <w:proofErr w:type="spellEnd"/>
      <w:r w:rsidRPr="009A4DFD">
        <w:rPr>
          <w:rFonts w:ascii="Arial" w:hAnsi="Arial" w:cs="Arial"/>
          <w:sz w:val="20"/>
          <w:szCs w:val="24"/>
        </w:rPr>
        <w:t xml:space="preserve"> </w:t>
      </w:r>
      <w:r w:rsidRPr="009A4DFD">
        <w:rPr>
          <w:rFonts w:ascii="Arial" w:hAnsi="Arial" w:cs="Arial"/>
          <w:i/>
          <w:sz w:val="20"/>
          <w:szCs w:val="24"/>
        </w:rPr>
        <w:t xml:space="preserve">et al., </w:t>
      </w:r>
      <w:r w:rsidRPr="009A4DFD">
        <w:rPr>
          <w:rFonts w:ascii="Arial" w:hAnsi="Arial" w:cs="Arial"/>
          <w:sz w:val="20"/>
          <w:szCs w:val="24"/>
        </w:rPr>
        <w:t>2024). Sodium, a vital electrolyte, is essential for maintaining body fluid balance and supporting renal function (Ellison &amp; Farrar, 2018). Any alterations in sodium levels can serve as an indicator of kidney regulation problems (Hall, 2016). Potassium is crucial for muscle and nerve function (Lindinger &amp; Cairns, 2021). Kidneys regulate potassium levels, and deviations may be a sign of renal impairment (Palmer &amp; Clegg, 2016). Chloride helps maintain acid-base balance and is regulated by the kidneys; abnormalities may as a result of electrolyte disturbances or kidney dysfunction (</w:t>
      </w:r>
      <w:proofErr w:type="spellStart"/>
      <w:r w:rsidRPr="009A4DFD">
        <w:rPr>
          <w:rFonts w:ascii="Arial" w:hAnsi="Arial" w:cs="Arial"/>
          <w:sz w:val="20"/>
          <w:szCs w:val="24"/>
        </w:rPr>
        <w:t>Sokwuchukwu</w:t>
      </w:r>
      <w:proofErr w:type="spellEnd"/>
      <w:r w:rsidRPr="009A4DFD">
        <w:rPr>
          <w:rFonts w:ascii="Arial" w:hAnsi="Arial" w:cs="Arial"/>
          <w:sz w:val="20"/>
          <w:szCs w:val="24"/>
        </w:rPr>
        <w:t xml:space="preserve"> </w:t>
      </w:r>
      <w:r w:rsidRPr="009A4DFD">
        <w:rPr>
          <w:rFonts w:ascii="Arial" w:hAnsi="Arial" w:cs="Arial"/>
          <w:i/>
          <w:sz w:val="20"/>
          <w:szCs w:val="24"/>
        </w:rPr>
        <w:t xml:space="preserve">et al., </w:t>
      </w:r>
      <w:r w:rsidRPr="009A4DFD">
        <w:rPr>
          <w:rFonts w:ascii="Arial" w:hAnsi="Arial" w:cs="Arial"/>
          <w:sz w:val="20"/>
          <w:szCs w:val="24"/>
        </w:rPr>
        <w:t xml:space="preserve">2024). </w:t>
      </w:r>
      <w:bookmarkStart w:id="1" w:name="_Hlk181558884"/>
      <w:r w:rsidRPr="009A4DFD">
        <w:rPr>
          <w:rFonts w:ascii="Arial" w:hAnsi="Arial" w:cs="Arial"/>
          <w:sz w:val="20"/>
          <w:szCs w:val="24"/>
        </w:rPr>
        <w:t>Bicarbonate</w:t>
      </w:r>
      <w:bookmarkEnd w:id="1"/>
      <w:r w:rsidRPr="009A4DFD">
        <w:rPr>
          <w:rFonts w:ascii="Arial" w:hAnsi="Arial" w:cs="Arial"/>
          <w:sz w:val="20"/>
          <w:szCs w:val="24"/>
        </w:rPr>
        <w:t xml:space="preserve"> helps regulate blood </w:t>
      </w:r>
      <w:proofErr w:type="spellStart"/>
      <w:r w:rsidRPr="009A4DFD">
        <w:rPr>
          <w:rFonts w:ascii="Arial" w:hAnsi="Arial" w:cs="Arial"/>
          <w:sz w:val="20"/>
          <w:szCs w:val="24"/>
        </w:rPr>
        <w:t>pH.</w:t>
      </w:r>
      <w:proofErr w:type="spellEnd"/>
      <w:r w:rsidRPr="009A4DFD">
        <w:rPr>
          <w:rFonts w:ascii="Arial" w:hAnsi="Arial" w:cs="Arial"/>
          <w:sz w:val="20"/>
          <w:szCs w:val="24"/>
        </w:rPr>
        <w:t xml:space="preserve"> Changes in its levels can indicate renal dysfunction and metabolic imbalances (Nguyen-Khac </w:t>
      </w:r>
      <w:r w:rsidRPr="009A4DFD">
        <w:rPr>
          <w:rFonts w:ascii="Arial" w:hAnsi="Arial" w:cs="Arial"/>
          <w:i/>
          <w:sz w:val="20"/>
          <w:szCs w:val="24"/>
        </w:rPr>
        <w:t xml:space="preserve">et al., </w:t>
      </w:r>
      <w:r w:rsidRPr="009A4DFD">
        <w:rPr>
          <w:rFonts w:ascii="Arial" w:hAnsi="Arial" w:cs="Arial"/>
          <w:sz w:val="20"/>
          <w:szCs w:val="24"/>
        </w:rPr>
        <w:t>2008). Upon potassium bromate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 administration at 50 mg/kg, significant increases in urea, creatinine, sodium, and chloride levels were observed, implying nephrotoxicity. Conversely, vitamin C and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leaf extract treatments (in doses of 200, 400, and 800 mg/kg) improved these parameters, with the highest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extract dose approaching control values, indicating a dose-dependent protective effect. Bicarbonate levels remained relatively stable across most groups, except for a slight increase in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-only treatment. The marked increases in urea, creatinine, sodium, and chloride levels in the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 group shows the nephrotoxic effects of potassium bromate, due to oxidative stress and impaired renal function. The improvement in these markers following treatment with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extract indicates its possible nephroprotective effects (Khan </w:t>
      </w:r>
      <w:r w:rsidRPr="009A4DFD">
        <w:rPr>
          <w:rFonts w:ascii="Arial" w:hAnsi="Arial" w:cs="Arial"/>
          <w:i/>
          <w:sz w:val="20"/>
          <w:szCs w:val="24"/>
        </w:rPr>
        <w:t xml:space="preserve">et al., </w:t>
      </w:r>
      <w:r w:rsidRPr="009A4DFD">
        <w:rPr>
          <w:rFonts w:ascii="Arial" w:hAnsi="Arial" w:cs="Arial"/>
          <w:sz w:val="20"/>
          <w:szCs w:val="24"/>
        </w:rPr>
        <w:t xml:space="preserve">2012). This restoration of renal parameters implies that the antioxidants in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may counteract oxidative damage, helping to stabilize renal function and electrolyte balance. The slight changes in bicarbonate suggest that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may also support acid-base balance, though less significantly than other markers</w:t>
      </w:r>
      <w:r w:rsidRPr="009A4DFD">
        <w:rPr>
          <w:rFonts w:ascii="Arial" w:hAnsi="Arial" w:cs="Arial"/>
          <w:sz w:val="20"/>
          <w:szCs w:val="24"/>
          <w:vertAlign w:val="superscript"/>
        </w:rPr>
        <w:t xml:space="preserve"> </w:t>
      </w:r>
      <w:r w:rsidRPr="009A4DFD">
        <w:rPr>
          <w:rFonts w:ascii="Arial" w:hAnsi="Arial" w:cs="Arial"/>
          <w:sz w:val="20"/>
          <w:szCs w:val="24"/>
        </w:rPr>
        <w:t xml:space="preserve">(Chemutai, 2016). This study's findings agree with previous research on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-induced nephrotoxicity, which has shown elevated urea, creatinine, sodium, and chloride levels as common indicators of kidney damage due to oxidative stress (</w:t>
      </w:r>
      <w:proofErr w:type="spellStart"/>
      <w:r w:rsidRPr="009A4DFD">
        <w:rPr>
          <w:rFonts w:ascii="Arial" w:hAnsi="Arial" w:cs="Arial"/>
          <w:sz w:val="20"/>
          <w:szCs w:val="24"/>
        </w:rPr>
        <w:t>Ebhohimen</w:t>
      </w:r>
      <w:proofErr w:type="spellEnd"/>
      <w:r w:rsidRPr="009A4DFD">
        <w:rPr>
          <w:rFonts w:ascii="Arial" w:hAnsi="Arial" w:cs="Arial"/>
          <w:sz w:val="20"/>
          <w:szCs w:val="24"/>
        </w:rPr>
        <w:t xml:space="preserve"> </w:t>
      </w:r>
      <w:r w:rsidRPr="009A4DFD">
        <w:rPr>
          <w:rFonts w:ascii="Arial" w:hAnsi="Arial" w:cs="Arial"/>
          <w:i/>
          <w:sz w:val="20"/>
          <w:szCs w:val="24"/>
        </w:rPr>
        <w:t xml:space="preserve">et al., </w:t>
      </w:r>
      <w:r w:rsidRPr="009A4DFD">
        <w:rPr>
          <w:rFonts w:ascii="Arial" w:hAnsi="Arial" w:cs="Arial"/>
          <w:sz w:val="20"/>
          <w:szCs w:val="24"/>
        </w:rPr>
        <w:t xml:space="preserve">2020). Studies have similarly documented vitamin C’s protective effects against renal toxicity by reducing oxidative stress markers (Ragab, 2018). Other studies on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have highlighted its antioxidant properties in reducing ROS, improving enzyme activity, and restoring normal tissue function in toxic conditions (Adegbola </w:t>
      </w:r>
      <w:r w:rsidRPr="009A4DFD">
        <w:rPr>
          <w:rFonts w:ascii="Arial" w:hAnsi="Arial" w:cs="Arial"/>
          <w:i/>
          <w:sz w:val="20"/>
          <w:szCs w:val="24"/>
        </w:rPr>
        <w:t xml:space="preserve">et al., </w:t>
      </w:r>
      <w:r w:rsidRPr="009A4DFD">
        <w:rPr>
          <w:rFonts w:ascii="Arial" w:hAnsi="Arial" w:cs="Arial"/>
          <w:sz w:val="20"/>
          <w:szCs w:val="24"/>
        </w:rPr>
        <w:t xml:space="preserve">2020). This consistency with prior research shows the nephroprotective efficacy of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particularly at higher doses, thus it may be an effective natural agent against nephrotoxic agents like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 GSH is a major antioxidant in cells, playing a crucial role in neutralizing reactive oxygen species (ROS) and maintaining redox balance (Coco-Bassey </w:t>
      </w:r>
      <w:r w:rsidRPr="009A4DFD">
        <w:rPr>
          <w:rFonts w:ascii="Arial" w:hAnsi="Arial" w:cs="Arial"/>
          <w:i/>
          <w:sz w:val="20"/>
          <w:szCs w:val="24"/>
        </w:rPr>
        <w:t xml:space="preserve">et al., </w:t>
      </w:r>
      <w:r w:rsidRPr="009A4DFD">
        <w:rPr>
          <w:rFonts w:ascii="Arial" w:hAnsi="Arial" w:cs="Arial"/>
          <w:sz w:val="20"/>
          <w:szCs w:val="24"/>
        </w:rPr>
        <w:t xml:space="preserve">2019). </w:t>
      </w:r>
      <w:proofErr w:type="spellStart"/>
      <w:r w:rsidRPr="009A4DFD">
        <w:rPr>
          <w:rFonts w:ascii="Arial" w:hAnsi="Arial" w:cs="Arial"/>
          <w:sz w:val="20"/>
          <w:szCs w:val="24"/>
        </w:rPr>
        <w:t>GPx</w:t>
      </w:r>
      <w:proofErr w:type="spellEnd"/>
      <w:r w:rsidRPr="009A4DFD">
        <w:rPr>
          <w:rFonts w:ascii="Arial" w:hAnsi="Arial" w:cs="Arial"/>
          <w:sz w:val="20"/>
          <w:szCs w:val="24"/>
        </w:rPr>
        <w:t xml:space="preserve"> is an enzyme that reduces lipid hydroperoxides and free hydrogen peroxide to water, using GSH as a substrate, thereby protecting cells from oxidative damage (Ighodaro &amp; </w:t>
      </w:r>
      <w:proofErr w:type="spellStart"/>
      <w:r w:rsidRPr="009A4DFD">
        <w:rPr>
          <w:rFonts w:ascii="Arial" w:hAnsi="Arial" w:cs="Arial"/>
          <w:sz w:val="20"/>
          <w:szCs w:val="24"/>
        </w:rPr>
        <w:t>Akinloye</w:t>
      </w:r>
      <w:proofErr w:type="spellEnd"/>
      <w:r w:rsidRPr="009A4DFD">
        <w:rPr>
          <w:rFonts w:ascii="Arial" w:hAnsi="Arial" w:cs="Arial"/>
          <w:sz w:val="20"/>
          <w:szCs w:val="24"/>
        </w:rPr>
        <w:t xml:space="preserve">, 2018). SOD catalyzes the dismutation of the superoxide anion into oxygen and hydrogen peroxide, providing critical protection against oxidative stress (Islam </w:t>
      </w:r>
      <w:r w:rsidRPr="009A4DFD">
        <w:rPr>
          <w:rFonts w:ascii="Arial" w:hAnsi="Arial" w:cs="Arial"/>
          <w:i/>
          <w:sz w:val="20"/>
          <w:szCs w:val="24"/>
        </w:rPr>
        <w:t xml:space="preserve">et al., </w:t>
      </w:r>
      <w:r w:rsidRPr="009A4DFD">
        <w:rPr>
          <w:rFonts w:ascii="Arial" w:hAnsi="Arial" w:cs="Arial"/>
          <w:sz w:val="20"/>
          <w:szCs w:val="24"/>
        </w:rPr>
        <w:t xml:space="preserve">2022). Catalase </w:t>
      </w:r>
      <w:r w:rsidRPr="009A4DFD">
        <w:rPr>
          <w:rFonts w:ascii="Arial" w:hAnsi="Arial" w:cs="Arial"/>
          <w:sz w:val="20"/>
          <w:szCs w:val="24"/>
        </w:rPr>
        <w:lastRenderedPageBreak/>
        <w:t xml:space="preserve">converts hydrogen peroxide into water and oxygen, preventing accumulation of harmful peroxides in cells (Andrés </w:t>
      </w:r>
      <w:r w:rsidRPr="009A4DFD">
        <w:rPr>
          <w:rFonts w:ascii="Arial" w:hAnsi="Arial" w:cs="Arial"/>
          <w:i/>
          <w:sz w:val="20"/>
          <w:szCs w:val="24"/>
        </w:rPr>
        <w:t xml:space="preserve">et al., </w:t>
      </w:r>
      <w:r w:rsidRPr="009A4DFD">
        <w:rPr>
          <w:rFonts w:ascii="Arial" w:hAnsi="Arial" w:cs="Arial"/>
          <w:sz w:val="20"/>
          <w:szCs w:val="24"/>
        </w:rPr>
        <w:t xml:space="preserve">2022). MDA is a byproduct of lipid peroxidation, serving as a marker of oxidative stress and cellular membrane damage (Carmo de Carvalho </w:t>
      </w:r>
      <w:r w:rsidRPr="009A4DFD">
        <w:rPr>
          <w:rFonts w:ascii="Arial" w:hAnsi="Arial" w:cs="Arial"/>
          <w:i/>
          <w:sz w:val="20"/>
          <w:szCs w:val="24"/>
        </w:rPr>
        <w:t xml:space="preserve">et al., </w:t>
      </w:r>
      <w:r w:rsidRPr="009A4DFD">
        <w:rPr>
          <w:rFonts w:ascii="Arial" w:hAnsi="Arial" w:cs="Arial"/>
          <w:sz w:val="20"/>
          <w:szCs w:val="24"/>
        </w:rPr>
        <w:t>2022). Potassium bromate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 administration significantly reduced antioxidant markers (GSH, </w:t>
      </w:r>
      <w:proofErr w:type="spellStart"/>
      <w:r w:rsidRPr="009A4DFD">
        <w:rPr>
          <w:rFonts w:ascii="Arial" w:hAnsi="Arial" w:cs="Arial"/>
          <w:sz w:val="20"/>
          <w:szCs w:val="24"/>
        </w:rPr>
        <w:t>GPx</w:t>
      </w:r>
      <w:proofErr w:type="spellEnd"/>
      <w:r w:rsidRPr="009A4DFD">
        <w:rPr>
          <w:rFonts w:ascii="Arial" w:hAnsi="Arial" w:cs="Arial"/>
          <w:sz w:val="20"/>
          <w:szCs w:val="24"/>
        </w:rPr>
        <w:t xml:space="preserve">, SOD, CAT) and increased MDA levels, indicating elevated oxidative stress and compromised antioxidant defense in liver tissues. Treatment with vitamin C and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leaf extract (at doses of 200, 400, and 800 mg/kg) enhanced antioxidant enzyme activities and decreased MDA levels, with the 800 mg/kg dose showing the most notable recovery, approaching control levels. The decrease in antioxidant markers and increase in MDA in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-treated rats underline the oxidative damage induced by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leading to lipid peroxidation and impaired antioxidant defenses (Al-</w:t>
      </w:r>
      <w:proofErr w:type="spellStart"/>
      <w:r w:rsidRPr="009A4DFD">
        <w:rPr>
          <w:rFonts w:ascii="Arial" w:hAnsi="Arial" w:cs="Arial"/>
          <w:sz w:val="20"/>
          <w:szCs w:val="24"/>
        </w:rPr>
        <w:t>Mareed</w:t>
      </w:r>
      <w:proofErr w:type="spellEnd"/>
      <w:r w:rsidRPr="009A4DFD">
        <w:rPr>
          <w:rFonts w:ascii="Arial" w:hAnsi="Arial" w:cs="Arial"/>
          <w:sz w:val="20"/>
          <w:szCs w:val="24"/>
        </w:rPr>
        <w:t xml:space="preserve"> </w:t>
      </w:r>
      <w:r w:rsidRPr="009A4DFD">
        <w:rPr>
          <w:rFonts w:ascii="Arial" w:hAnsi="Arial" w:cs="Arial"/>
          <w:i/>
          <w:sz w:val="20"/>
          <w:szCs w:val="24"/>
        </w:rPr>
        <w:t xml:space="preserve">et al., </w:t>
      </w:r>
      <w:r w:rsidRPr="009A4DFD">
        <w:rPr>
          <w:rFonts w:ascii="Arial" w:hAnsi="Arial" w:cs="Arial"/>
          <w:sz w:val="20"/>
          <w:szCs w:val="24"/>
        </w:rPr>
        <w:t xml:space="preserve">2022). The restoration of these markers by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extract implies a potent antioxidative effect, likely due to bioactive compounds that scavenge free radicals and bolster enzymatic defense systems. This implies that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extract can mitigate liver oxidative stress, reduce lipid peroxidation, and restore antioxidant enzyme activities, indicating its potential as a protective agent against oxidative damage (</w:t>
      </w:r>
      <w:proofErr w:type="spellStart"/>
      <w:r w:rsidRPr="009A4DFD">
        <w:rPr>
          <w:rFonts w:ascii="Arial" w:hAnsi="Arial" w:cs="Arial"/>
          <w:sz w:val="20"/>
          <w:szCs w:val="24"/>
        </w:rPr>
        <w:t>Obruca</w:t>
      </w:r>
      <w:proofErr w:type="spellEnd"/>
      <w:r w:rsidRPr="009A4DFD">
        <w:rPr>
          <w:rFonts w:ascii="Arial" w:hAnsi="Arial" w:cs="Arial"/>
          <w:sz w:val="20"/>
          <w:szCs w:val="24"/>
        </w:rPr>
        <w:t xml:space="preserve"> </w:t>
      </w:r>
      <w:r w:rsidRPr="009A4DFD">
        <w:rPr>
          <w:rFonts w:ascii="Arial" w:hAnsi="Arial" w:cs="Arial"/>
          <w:i/>
          <w:sz w:val="20"/>
          <w:szCs w:val="24"/>
        </w:rPr>
        <w:t xml:space="preserve">et al., </w:t>
      </w:r>
      <w:r w:rsidRPr="009A4DFD">
        <w:rPr>
          <w:rFonts w:ascii="Arial" w:hAnsi="Arial" w:cs="Arial"/>
          <w:sz w:val="20"/>
          <w:szCs w:val="24"/>
        </w:rPr>
        <w:t xml:space="preserve">2016). The findings are in agreement with existing studies on </w:t>
      </w:r>
      <w:proofErr w:type="spellStart"/>
      <w:r w:rsidRPr="009A4DFD">
        <w:rPr>
          <w:rFonts w:ascii="Arial" w:hAnsi="Arial" w:cs="Arial"/>
          <w:sz w:val="20"/>
          <w:szCs w:val="24"/>
        </w:rPr>
        <w:t>KBrO</w:t>
      </w:r>
      <w:proofErr w:type="spellEnd"/>
      <w:r w:rsidRPr="009A4DFD">
        <w:rPr>
          <w:rFonts w:ascii="Cambria Math" w:hAnsi="Cambria Math" w:cs="Cambria Math"/>
          <w:sz w:val="20"/>
          <w:szCs w:val="24"/>
        </w:rPr>
        <w:t>₃</w:t>
      </w:r>
      <w:r w:rsidRPr="009A4DFD">
        <w:rPr>
          <w:rFonts w:ascii="Arial" w:hAnsi="Arial" w:cs="Arial"/>
          <w:sz w:val="20"/>
          <w:szCs w:val="24"/>
        </w:rPr>
        <w:t xml:space="preserve">-induced oxidative stress, which showed decreased levels of GSH, </w:t>
      </w:r>
      <w:proofErr w:type="spellStart"/>
      <w:r w:rsidRPr="009A4DFD">
        <w:rPr>
          <w:rFonts w:ascii="Arial" w:hAnsi="Arial" w:cs="Arial"/>
          <w:sz w:val="20"/>
          <w:szCs w:val="24"/>
        </w:rPr>
        <w:t>GPx</w:t>
      </w:r>
      <w:proofErr w:type="spellEnd"/>
      <w:r w:rsidRPr="009A4DFD">
        <w:rPr>
          <w:rFonts w:ascii="Arial" w:hAnsi="Arial" w:cs="Arial"/>
          <w:sz w:val="20"/>
          <w:szCs w:val="24"/>
        </w:rPr>
        <w:t xml:space="preserve">, SOD, and CAT, as well as increased MDA (El-Sherif </w:t>
      </w:r>
      <w:r w:rsidRPr="009A4DFD">
        <w:rPr>
          <w:rFonts w:ascii="Arial" w:hAnsi="Arial" w:cs="Arial"/>
          <w:i/>
          <w:sz w:val="20"/>
          <w:szCs w:val="24"/>
        </w:rPr>
        <w:t xml:space="preserve">et al., </w:t>
      </w:r>
      <w:r w:rsidRPr="009A4DFD">
        <w:rPr>
          <w:rFonts w:ascii="Arial" w:hAnsi="Arial" w:cs="Arial"/>
          <w:sz w:val="20"/>
          <w:szCs w:val="24"/>
        </w:rPr>
        <w:t xml:space="preserve">2022). Previous research on the protective role of vitamin C equally demonstrated its ability to enhance antioxidant defense and reduce lipid peroxidation in toxic conditions (El-Sherif </w:t>
      </w:r>
      <w:r w:rsidRPr="009A4DFD">
        <w:rPr>
          <w:rFonts w:ascii="Arial" w:hAnsi="Arial" w:cs="Arial"/>
          <w:i/>
          <w:sz w:val="20"/>
          <w:szCs w:val="24"/>
        </w:rPr>
        <w:t xml:space="preserve">et al., </w:t>
      </w:r>
      <w:r w:rsidRPr="009A4DFD">
        <w:rPr>
          <w:rFonts w:ascii="Arial" w:hAnsi="Arial" w:cs="Arial"/>
          <w:sz w:val="20"/>
          <w:szCs w:val="24"/>
        </w:rPr>
        <w:t xml:space="preserve">2022). Studies on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have also shown its rich antioxidant content, such as flavonoids and polyphenols, which effectively counter oxidative stress (Gandhi </w:t>
      </w:r>
      <w:r w:rsidRPr="009A4DFD">
        <w:rPr>
          <w:rFonts w:ascii="Arial" w:hAnsi="Arial" w:cs="Arial"/>
          <w:i/>
          <w:sz w:val="20"/>
          <w:szCs w:val="24"/>
        </w:rPr>
        <w:t xml:space="preserve">et al., </w:t>
      </w:r>
      <w:r w:rsidRPr="009A4DFD">
        <w:rPr>
          <w:rFonts w:ascii="Arial" w:hAnsi="Arial" w:cs="Arial"/>
          <w:sz w:val="20"/>
          <w:szCs w:val="24"/>
        </w:rPr>
        <w:t xml:space="preserve">2020). The observed dose-dependent improvement in antioxidant markers with </w:t>
      </w:r>
      <w:r w:rsidRPr="009A4DFD">
        <w:rPr>
          <w:rFonts w:ascii="Arial" w:hAnsi="Arial" w:cs="Arial"/>
          <w:i/>
          <w:iCs/>
          <w:sz w:val="20"/>
          <w:szCs w:val="24"/>
        </w:rPr>
        <w:t xml:space="preserve">Amaranthus </w:t>
      </w:r>
      <w:proofErr w:type="spellStart"/>
      <w:r w:rsidRPr="009A4DFD">
        <w:rPr>
          <w:rFonts w:ascii="Arial" w:hAnsi="Arial" w:cs="Arial"/>
          <w:i/>
          <w:iCs/>
          <w:sz w:val="20"/>
          <w:szCs w:val="24"/>
        </w:rPr>
        <w:t>viridis</w:t>
      </w:r>
      <w:proofErr w:type="spellEnd"/>
      <w:r w:rsidRPr="009A4DFD">
        <w:rPr>
          <w:rFonts w:ascii="Arial" w:hAnsi="Arial" w:cs="Arial"/>
          <w:sz w:val="20"/>
          <w:szCs w:val="24"/>
        </w:rPr>
        <w:t xml:space="preserve"> extract is comparable to findings from other natural antioxidants, it showed its capacity to acts as a possible therapeutic agent in managing oxidative damage (</w:t>
      </w:r>
      <w:proofErr w:type="spellStart"/>
      <w:r w:rsidRPr="009A4DFD">
        <w:rPr>
          <w:rFonts w:ascii="Arial" w:hAnsi="Arial" w:cs="Arial"/>
          <w:sz w:val="20"/>
          <w:szCs w:val="24"/>
        </w:rPr>
        <w:t>Akbarirad</w:t>
      </w:r>
      <w:proofErr w:type="spellEnd"/>
      <w:r w:rsidRPr="009A4DFD">
        <w:rPr>
          <w:rFonts w:ascii="Arial" w:hAnsi="Arial" w:cs="Arial"/>
          <w:sz w:val="20"/>
          <w:szCs w:val="24"/>
        </w:rPr>
        <w:t xml:space="preserve"> </w:t>
      </w:r>
      <w:r w:rsidRPr="009A4DFD">
        <w:rPr>
          <w:rFonts w:ascii="Arial" w:hAnsi="Arial" w:cs="Arial"/>
          <w:i/>
          <w:sz w:val="20"/>
          <w:szCs w:val="24"/>
        </w:rPr>
        <w:t xml:space="preserve">et al., </w:t>
      </w:r>
      <w:r w:rsidRPr="009A4DFD">
        <w:rPr>
          <w:rFonts w:ascii="Arial" w:hAnsi="Arial" w:cs="Arial"/>
          <w:sz w:val="20"/>
          <w:szCs w:val="24"/>
        </w:rPr>
        <w:t>2016).</w:t>
      </w:r>
    </w:p>
    <w:p w14:paraId="478BF376" w14:textId="77777777" w:rsidR="009A4DFD" w:rsidRPr="009A4DFD" w:rsidRDefault="009A4DFD" w:rsidP="009A4DFD">
      <w:pPr>
        <w:spacing w:line="360" w:lineRule="auto"/>
        <w:jc w:val="both"/>
        <w:rPr>
          <w:rFonts w:ascii="Arial" w:hAnsi="Arial" w:cs="Arial"/>
          <w:b/>
          <w:bCs/>
          <w:szCs w:val="24"/>
        </w:rPr>
      </w:pPr>
      <w:r w:rsidRPr="009A4DFD">
        <w:rPr>
          <w:rFonts w:ascii="Arial" w:hAnsi="Arial" w:cs="Arial"/>
          <w:b/>
          <w:bCs/>
          <w:szCs w:val="24"/>
        </w:rPr>
        <w:t>5. CONCLUSION</w:t>
      </w:r>
    </w:p>
    <w:p w14:paraId="2B7B50FA" w14:textId="77777777" w:rsidR="008F70F0" w:rsidRPr="009D3590" w:rsidRDefault="008F70F0" w:rsidP="008F70F0">
      <w:pPr>
        <w:spacing w:before="100" w:beforeAutospacing="1" w:after="100" w:afterAutospacing="1" w:line="240" w:lineRule="auto"/>
        <w:rPr>
          <w:rFonts w:ascii="Times New Roman" w:eastAsia="Times New Roman" w:hAnsi="Times New Roman" w:cs="Times New Roman"/>
          <w:sz w:val="24"/>
          <w:szCs w:val="24"/>
          <w:lang w:eastAsia="en-GB"/>
        </w:rPr>
      </w:pPr>
      <w:r w:rsidRPr="009D3590">
        <w:rPr>
          <w:rFonts w:ascii="Times New Roman" w:eastAsia="Times New Roman" w:hAnsi="Times New Roman" w:cs="Times New Roman"/>
          <w:sz w:val="24"/>
          <w:szCs w:val="24"/>
          <w:lang w:eastAsia="en-GB"/>
        </w:rPr>
        <w:t xml:space="preserve">Under the conditions of this experiment, potassium bromate exposure produced alterations in renal biochemical indices and liver antioxidant status consistent with oxidative toxicity. Administration of </w:t>
      </w:r>
      <w:r w:rsidRPr="009D3590">
        <w:rPr>
          <w:rFonts w:ascii="Times New Roman" w:eastAsia="Times New Roman" w:hAnsi="Times New Roman" w:cs="Times New Roman"/>
          <w:i/>
          <w:iCs/>
          <w:sz w:val="24"/>
          <w:szCs w:val="24"/>
          <w:lang w:eastAsia="en-GB"/>
        </w:rPr>
        <w:t xml:space="preserve">Amaranthus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ethanol extract was associated with lower urea, creatinine, and selected electrolyte values and with improvement in liver antioxidant indices compared with the potassium bromate-only group. The effects were generally more pronounced at the higher extract doses. These results suggest that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contains constituents capable of attenuating some biochemical consequences of potassium bromate exposure in rats. The findings should, however, be interpreted as preclinical evidence and do not establish efficacy for the treatment of renal disease or other clinical conditions.</w:t>
      </w:r>
    </w:p>
    <w:p w14:paraId="4AFA15F1" w14:textId="77777777" w:rsidR="00020436" w:rsidRPr="00020436" w:rsidRDefault="00020436" w:rsidP="00020436">
      <w:pPr>
        <w:jc w:val="both"/>
        <w:rPr>
          <w:rFonts w:ascii="Arial" w:hAnsi="Arial" w:cs="Arial"/>
          <w:b/>
          <w:szCs w:val="24"/>
        </w:rPr>
      </w:pPr>
      <w:r w:rsidRPr="00020436">
        <w:rPr>
          <w:rFonts w:ascii="Arial" w:hAnsi="Arial" w:cs="Arial"/>
          <w:b/>
          <w:szCs w:val="24"/>
        </w:rPr>
        <w:t>COMPETING INTERESTS</w:t>
      </w:r>
    </w:p>
    <w:p w14:paraId="772896BD" w14:textId="77777777" w:rsidR="009A4DFD" w:rsidRPr="00020436" w:rsidRDefault="00020436" w:rsidP="00020436">
      <w:pPr>
        <w:jc w:val="both"/>
        <w:rPr>
          <w:rFonts w:ascii="Arial" w:hAnsi="Arial" w:cs="Arial"/>
          <w:sz w:val="20"/>
          <w:szCs w:val="24"/>
        </w:rPr>
      </w:pPr>
      <w:r w:rsidRPr="00020436">
        <w:rPr>
          <w:rFonts w:ascii="Arial" w:hAnsi="Arial" w:cs="Arial"/>
          <w:sz w:val="20"/>
          <w:szCs w:val="24"/>
        </w:rPr>
        <w:t>Authors have declared that no competing interests exist.</w:t>
      </w:r>
    </w:p>
    <w:p w14:paraId="62E3712A" w14:textId="77777777" w:rsidR="00020436" w:rsidRPr="00020436" w:rsidRDefault="00020436" w:rsidP="00020436">
      <w:pPr>
        <w:jc w:val="both"/>
        <w:rPr>
          <w:rFonts w:ascii="Arial" w:hAnsi="Arial" w:cs="Arial"/>
          <w:b/>
          <w:szCs w:val="24"/>
        </w:rPr>
      </w:pPr>
      <w:r w:rsidRPr="00020436">
        <w:rPr>
          <w:rFonts w:ascii="Arial" w:hAnsi="Arial" w:cs="Arial"/>
          <w:b/>
          <w:szCs w:val="24"/>
        </w:rPr>
        <w:t>ETHICAL APPROVAL</w:t>
      </w:r>
    </w:p>
    <w:p w14:paraId="4A795217" w14:textId="77777777" w:rsidR="00020436" w:rsidRDefault="00020436" w:rsidP="00020436">
      <w:pPr>
        <w:jc w:val="both"/>
        <w:rPr>
          <w:rFonts w:ascii="Arial" w:hAnsi="Arial" w:cs="Arial"/>
          <w:sz w:val="20"/>
          <w:szCs w:val="24"/>
        </w:rPr>
      </w:pPr>
      <w:r w:rsidRPr="00020436">
        <w:rPr>
          <w:rFonts w:ascii="Arial" w:hAnsi="Arial" w:cs="Arial"/>
          <w:sz w:val="20"/>
          <w:szCs w:val="24"/>
        </w:rPr>
        <w:t xml:space="preserve">This study was approved by the Research and Ethical Clearance Committee (RECC) of Enugu State University of Science &amp; Technology Enugu with approval Number ESUCOM/FBMS/ETR/2024/104. All </w:t>
      </w:r>
      <w:r w:rsidRPr="00020436">
        <w:rPr>
          <w:rFonts w:ascii="Arial" w:hAnsi="Arial" w:cs="Arial"/>
          <w:sz w:val="20"/>
          <w:szCs w:val="24"/>
        </w:rPr>
        <w:lastRenderedPageBreak/>
        <w:t>procedures were performed in accordance with the principles of the 3Rs (Replacement, Reduction, and Refinement) and the guidelines of Animal Studies in Enugu State and Nigeria. The study was conducted with the aim of minimizing animal suffering and distress. The authors declare that they have complied with all relevant ethical standards, including the principles of animal welfare and the guidelines of Enugu State and Nigeria. The authors have no conflicts of interest to declare.</w:t>
      </w:r>
    </w:p>
    <w:p w14:paraId="00281A20" w14:textId="77777777" w:rsidR="008F70F0" w:rsidRDefault="008F70F0" w:rsidP="008F70F0">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D7EDF7F" w14:textId="77777777" w:rsidR="008F70F0" w:rsidRDefault="008F70F0" w:rsidP="008F70F0">
      <w:pPr>
        <w:spacing w:after="0" w:line="240" w:lineRule="auto"/>
        <w:rPr>
          <w:rFonts w:ascii="Times New Roman" w:hAnsi="Times New Roman" w:cs="Times New Roman"/>
          <w:b/>
        </w:rPr>
      </w:pPr>
    </w:p>
    <w:p w14:paraId="2750C283" w14:textId="77777777" w:rsidR="008F70F0" w:rsidRDefault="008F70F0" w:rsidP="008F70F0">
      <w:pPr>
        <w:spacing w:after="0" w:line="240" w:lineRule="auto"/>
        <w:rPr>
          <w:rFonts w:ascii="Times New Roman" w:hAnsi="Times New Roman" w:cs="Times New Roman"/>
          <w:b/>
        </w:rPr>
      </w:pPr>
    </w:p>
    <w:p w14:paraId="6042E65E" w14:textId="77777777" w:rsidR="008F70F0" w:rsidRDefault="008F70F0" w:rsidP="008F70F0">
      <w:pPr>
        <w:spacing w:after="0" w:line="240" w:lineRule="auto"/>
        <w:rPr>
          <w:rFonts w:ascii="Times New Roman" w:hAnsi="Times New Roman" w:cs="Times New Roman"/>
          <w:b/>
        </w:rPr>
      </w:pPr>
    </w:p>
    <w:p w14:paraId="018C88A2" w14:textId="77777777" w:rsidR="008F70F0" w:rsidRPr="002D08AC" w:rsidRDefault="008F70F0" w:rsidP="008F70F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361749" w14:textId="77777777" w:rsidR="008F70F0" w:rsidRDefault="008F70F0" w:rsidP="00020436">
      <w:pPr>
        <w:jc w:val="both"/>
        <w:rPr>
          <w:rFonts w:ascii="Arial" w:hAnsi="Arial" w:cs="Arial"/>
          <w:sz w:val="20"/>
          <w:szCs w:val="24"/>
        </w:rPr>
      </w:pPr>
    </w:p>
    <w:p w14:paraId="2B4F2389" w14:textId="77777777" w:rsidR="00020436" w:rsidRPr="00020436" w:rsidRDefault="00020436" w:rsidP="00020436">
      <w:pPr>
        <w:rPr>
          <w:rFonts w:ascii="Arial" w:hAnsi="Arial" w:cs="Arial"/>
          <w:b/>
          <w:bCs/>
          <w:szCs w:val="24"/>
        </w:rPr>
      </w:pPr>
      <w:r w:rsidRPr="00020436">
        <w:rPr>
          <w:rFonts w:ascii="Arial" w:hAnsi="Arial" w:cs="Arial"/>
          <w:b/>
          <w:bCs/>
          <w:szCs w:val="24"/>
        </w:rPr>
        <w:t>REFERENCES</w:t>
      </w:r>
    </w:p>
    <w:p w14:paraId="1612F6D2" w14:textId="77777777" w:rsidR="00020436" w:rsidRPr="00020436" w:rsidRDefault="00020436" w:rsidP="00020436">
      <w:pPr>
        <w:numPr>
          <w:ilvl w:val="0"/>
          <w:numId w:val="1"/>
        </w:numPr>
        <w:spacing w:after="200" w:line="288" w:lineRule="auto"/>
        <w:ind w:left="900" w:hanging="900"/>
        <w:jc w:val="both"/>
        <w:rPr>
          <w:rStyle w:val="Hyperlink"/>
          <w:rFonts w:ascii="Arial" w:hAnsi="Arial" w:cs="Arial"/>
          <w:color w:val="auto"/>
          <w:sz w:val="20"/>
          <w:szCs w:val="20"/>
          <w:u w:val="none"/>
        </w:rPr>
      </w:pPr>
      <w:r w:rsidRPr="00020436">
        <w:rPr>
          <w:rFonts w:ascii="Arial" w:hAnsi="Arial" w:cs="Arial"/>
          <w:sz w:val="20"/>
          <w:szCs w:val="20"/>
        </w:rPr>
        <w:t xml:space="preserve">Abali, I.O., Nwobodo, M.U., Uche, C.L., </w:t>
      </w:r>
      <w:proofErr w:type="spellStart"/>
      <w:r w:rsidRPr="00020436">
        <w:rPr>
          <w:rFonts w:ascii="Arial" w:hAnsi="Arial" w:cs="Arial"/>
          <w:sz w:val="20"/>
          <w:szCs w:val="20"/>
        </w:rPr>
        <w:t>Otuka</w:t>
      </w:r>
      <w:proofErr w:type="spellEnd"/>
      <w:r w:rsidRPr="00020436">
        <w:rPr>
          <w:rFonts w:ascii="Arial" w:hAnsi="Arial" w:cs="Arial"/>
          <w:sz w:val="20"/>
          <w:szCs w:val="20"/>
        </w:rPr>
        <w:t xml:space="preserve">, O.A.I., Chikezie, K., Omole, O.R., &amp; </w:t>
      </w:r>
      <w:proofErr w:type="spellStart"/>
      <w:r w:rsidRPr="00020436">
        <w:rPr>
          <w:rFonts w:ascii="Arial" w:hAnsi="Arial" w:cs="Arial"/>
          <w:sz w:val="20"/>
          <w:szCs w:val="20"/>
        </w:rPr>
        <w:t>Airaodion</w:t>
      </w:r>
      <w:proofErr w:type="spellEnd"/>
      <w:r w:rsidRPr="00020436">
        <w:rPr>
          <w:rFonts w:ascii="Arial" w:hAnsi="Arial" w:cs="Arial"/>
          <w:sz w:val="20"/>
          <w:szCs w:val="20"/>
        </w:rPr>
        <w:t xml:space="preserve">, A.I. (2023). Protective and curative potential of ethanol leaf extract of Corchorus </w:t>
      </w:r>
      <w:proofErr w:type="spellStart"/>
      <w:r w:rsidRPr="00020436">
        <w:rPr>
          <w:rFonts w:ascii="Arial" w:hAnsi="Arial" w:cs="Arial"/>
          <w:sz w:val="20"/>
          <w:szCs w:val="20"/>
        </w:rPr>
        <w:t>olitorius</w:t>
      </w:r>
      <w:proofErr w:type="spellEnd"/>
      <w:r w:rsidRPr="00020436">
        <w:rPr>
          <w:rFonts w:ascii="Arial" w:hAnsi="Arial" w:cs="Arial"/>
          <w:sz w:val="20"/>
          <w:szCs w:val="20"/>
        </w:rPr>
        <w:t xml:space="preserve"> against potassium bromate-induced renal toxicity. Asian J. </w:t>
      </w:r>
      <w:proofErr w:type="spellStart"/>
      <w:r w:rsidRPr="00020436">
        <w:rPr>
          <w:rFonts w:ascii="Arial" w:hAnsi="Arial" w:cs="Arial"/>
          <w:sz w:val="20"/>
          <w:szCs w:val="20"/>
        </w:rPr>
        <w:t>Biochem</w:t>
      </w:r>
      <w:proofErr w:type="spellEnd"/>
      <w:r w:rsidRPr="00020436">
        <w:rPr>
          <w:rFonts w:ascii="Arial" w:hAnsi="Arial" w:cs="Arial"/>
          <w:sz w:val="20"/>
          <w:szCs w:val="20"/>
        </w:rPr>
        <w:t xml:space="preserve">. Genet. Mol. Biol; 13(2): 37-46. </w:t>
      </w:r>
      <w:hyperlink r:id="rId7" w:history="1">
        <w:r w:rsidRPr="00020436">
          <w:rPr>
            <w:rStyle w:val="Hyperlink"/>
            <w:rFonts w:ascii="Arial" w:hAnsi="Arial" w:cs="Arial"/>
            <w:sz w:val="20"/>
            <w:szCs w:val="20"/>
          </w:rPr>
          <w:t>https://doi.org/10.9734/ajbgmb/2023/v13i2291</w:t>
        </w:r>
      </w:hyperlink>
    </w:p>
    <w:p w14:paraId="709384AB" w14:textId="77777777" w:rsidR="00020436" w:rsidRPr="00BD03F1" w:rsidRDefault="00020436" w:rsidP="00BD03F1">
      <w:pPr>
        <w:numPr>
          <w:ilvl w:val="0"/>
          <w:numId w:val="1"/>
        </w:numPr>
        <w:spacing w:after="200" w:line="288" w:lineRule="auto"/>
        <w:ind w:left="900" w:hanging="900"/>
        <w:jc w:val="both"/>
      </w:pPr>
      <w:r w:rsidRPr="00020436">
        <w:rPr>
          <w:rStyle w:val="Hyperlink"/>
          <w:rFonts w:ascii="Arial" w:hAnsi="Arial" w:cs="Arial"/>
          <w:color w:val="auto"/>
          <w:sz w:val="20"/>
          <w:szCs w:val="20"/>
          <w:u w:val="none"/>
        </w:rPr>
        <w:t xml:space="preserve">Ujah, I. I., Alor, G. S., </w:t>
      </w:r>
      <w:proofErr w:type="spellStart"/>
      <w:r w:rsidRPr="00020436">
        <w:rPr>
          <w:rStyle w:val="Hyperlink"/>
          <w:rFonts w:ascii="Arial" w:hAnsi="Arial" w:cs="Arial"/>
          <w:color w:val="auto"/>
          <w:sz w:val="20"/>
          <w:szCs w:val="20"/>
          <w:u w:val="none"/>
        </w:rPr>
        <w:t>Achikanu</w:t>
      </w:r>
      <w:proofErr w:type="spellEnd"/>
      <w:r w:rsidRPr="00020436">
        <w:rPr>
          <w:rStyle w:val="Hyperlink"/>
          <w:rFonts w:ascii="Arial" w:hAnsi="Arial" w:cs="Arial"/>
          <w:color w:val="auto"/>
          <w:sz w:val="20"/>
          <w:szCs w:val="20"/>
          <w:u w:val="none"/>
        </w:rPr>
        <w:t xml:space="preserve">, C. E., Ani, O. N., </w:t>
      </w:r>
      <w:proofErr w:type="spellStart"/>
      <w:r w:rsidRPr="00020436">
        <w:rPr>
          <w:rStyle w:val="Hyperlink"/>
          <w:rFonts w:ascii="Arial" w:hAnsi="Arial" w:cs="Arial"/>
          <w:color w:val="auto"/>
          <w:sz w:val="20"/>
          <w:szCs w:val="20"/>
          <w:u w:val="none"/>
        </w:rPr>
        <w:t>Nsude</w:t>
      </w:r>
      <w:proofErr w:type="spellEnd"/>
      <w:r w:rsidRPr="00020436">
        <w:rPr>
          <w:rStyle w:val="Hyperlink"/>
          <w:rFonts w:ascii="Arial" w:hAnsi="Arial" w:cs="Arial"/>
          <w:color w:val="auto"/>
          <w:sz w:val="20"/>
          <w:szCs w:val="20"/>
          <w:u w:val="none"/>
        </w:rPr>
        <w:t>, C. A.,</w:t>
      </w:r>
      <w:r w:rsidRPr="00020436">
        <w:rPr>
          <w:rStyle w:val="Hyperlink"/>
          <w:rFonts w:ascii="Arial" w:hAnsi="Arial" w:cs="Arial"/>
          <w:sz w:val="20"/>
          <w:szCs w:val="20"/>
        </w:rPr>
        <w:t xml:space="preserve"> </w:t>
      </w:r>
      <w:proofErr w:type="spellStart"/>
      <w:r w:rsidRPr="00BD03F1">
        <w:t>Alozieuwa</w:t>
      </w:r>
      <w:proofErr w:type="spellEnd"/>
      <w:r w:rsidRPr="00BD03F1">
        <w:t>, U. B., Ude, J.</w:t>
      </w:r>
      <w:r w:rsidR="00BD03F1">
        <w:t xml:space="preserve"> </w:t>
      </w:r>
      <w:r w:rsidRPr="00BD03F1">
        <w:t>C.,</w:t>
      </w:r>
      <w:r w:rsidR="00BD03F1">
        <w:t xml:space="preserve"> </w:t>
      </w:r>
      <w:proofErr w:type="spellStart"/>
      <w:r w:rsidR="00BD03F1">
        <w:t>Onyishi</w:t>
      </w:r>
      <w:proofErr w:type="spellEnd"/>
      <w:r w:rsidR="00BD03F1">
        <w:t xml:space="preserve">, K. C., </w:t>
      </w:r>
      <w:proofErr w:type="spellStart"/>
      <w:r w:rsidR="00BD03F1">
        <w:t>Okpako</w:t>
      </w:r>
      <w:proofErr w:type="spellEnd"/>
      <w:r w:rsidR="00BD03F1">
        <w:t xml:space="preserve">, I. O., Okechukwu, C. O., Nneji, O. E., Ogbu, C. K., </w:t>
      </w:r>
      <w:proofErr w:type="spellStart"/>
      <w:r w:rsidR="00BD03F1">
        <w:t>Anieke</w:t>
      </w:r>
      <w:proofErr w:type="spellEnd"/>
      <w:r w:rsidR="00BD03F1">
        <w:t xml:space="preserve"> C. A.,</w:t>
      </w:r>
      <w:r w:rsidRPr="00BD03F1">
        <w:rPr>
          <w:rStyle w:val="Hyperlink"/>
          <w:rFonts w:ascii="Arial" w:hAnsi="Arial" w:cs="Arial"/>
          <w:color w:val="auto"/>
          <w:sz w:val="20"/>
          <w:szCs w:val="20"/>
          <w:u w:val="none"/>
        </w:rPr>
        <w:t xml:space="preserve"> &amp; Ogbodo, O. P. (2025). Effect of Ethanol Extract of Amaranthus </w:t>
      </w:r>
      <w:proofErr w:type="spellStart"/>
      <w:r w:rsidRPr="00BD03F1">
        <w:rPr>
          <w:rStyle w:val="Hyperlink"/>
          <w:rFonts w:ascii="Arial" w:hAnsi="Arial" w:cs="Arial"/>
          <w:color w:val="auto"/>
          <w:sz w:val="20"/>
          <w:szCs w:val="20"/>
          <w:u w:val="none"/>
        </w:rPr>
        <w:t>Viridis</w:t>
      </w:r>
      <w:proofErr w:type="spellEnd"/>
      <w:r w:rsidRPr="00BD03F1">
        <w:rPr>
          <w:rStyle w:val="Hyperlink"/>
          <w:rFonts w:ascii="Arial" w:hAnsi="Arial" w:cs="Arial"/>
          <w:color w:val="auto"/>
          <w:sz w:val="20"/>
          <w:szCs w:val="20"/>
          <w:u w:val="none"/>
        </w:rPr>
        <w:t xml:space="preserve"> (Inine) on Potassium Bromide-Induced </w:t>
      </w:r>
      <w:proofErr w:type="spellStart"/>
      <w:r w:rsidRPr="00BD03F1">
        <w:rPr>
          <w:rStyle w:val="Hyperlink"/>
          <w:rFonts w:ascii="Arial" w:hAnsi="Arial" w:cs="Arial"/>
          <w:color w:val="auto"/>
          <w:sz w:val="20"/>
          <w:szCs w:val="20"/>
          <w:u w:val="none"/>
        </w:rPr>
        <w:t>Haematoxicity</w:t>
      </w:r>
      <w:proofErr w:type="spellEnd"/>
      <w:r w:rsidRPr="00BD03F1">
        <w:rPr>
          <w:rStyle w:val="Hyperlink"/>
          <w:rFonts w:ascii="Arial" w:hAnsi="Arial" w:cs="Arial"/>
          <w:color w:val="auto"/>
          <w:sz w:val="20"/>
          <w:szCs w:val="20"/>
          <w:u w:val="none"/>
        </w:rPr>
        <w:t xml:space="preserve"> in Wistar Rats</w:t>
      </w:r>
      <w:r w:rsidRPr="00BD03F1">
        <w:rPr>
          <w:rStyle w:val="Hyperlink"/>
          <w:rFonts w:ascii="Arial" w:hAnsi="Arial" w:cs="Arial"/>
          <w:i/>
          <w:color w:val="auto"/>
          <w:sz w:val="20"/>
          <w:szCs w:val="20"/>
          <w:u w:val="none"/>
        </w:rPr>
        <w:t>. Tropical Journal of Natural Product Research</w:t>
      </w:r>
      <w:r w:rsidRPr="00BD03F1">
        <w:rPr>
          <w:rStyle w:val="Hyperlink"/>
          <w:rFonts w:ascii="Arial" w:hAnsi="Arial" w:cs="Arial"/>
          <w:color w:val="auto"/>
          <w:sz w:val="20"/>
          <w:szCs w:val="20"/>
          <w:u w:val="none"/>
        </w:rPr>
        <w:t xml:space="preserve">, </w:t>
      </w:r>
      <w:r w:rsidRPr="00BD03F1">
        <w:rPr>
          <w:rStyle w:val="Hyperlink"/>
          <w:rFonts w:ascii="Arial" w:hAnsi="Arial" w:cs="Arial"/>
          <w:b/>
          <w:color w:val="auto"/>
          <w:sz w:val="20"/>
          <w:szCs w:val="20"/>
          <w:u w:val="none"/>
        </w:rPr>
        <w:t>9</w:t>
      </w:r>
      <w:r w:rsidRPr="00BD03F1">
        <w:rPr>
          <w:rStyle w:val="Hyperlink"/>
          <w:rFonts w:ascii="Arial" w:hAnsi="Arial" w:cs="Arial"/>
          <w:color w:val="auto"/>
          <w:sz w:val="20"/>
          <w:szCs w:val="20"/>
          <w:u w:val="none"/>
        </w:rPr>
        <w:t>(2), 728.</w:t>
      </w:r>
      <w:r w:rsidR="00BD03F1">
        <w:rPr>
          <w:rStyle w:val="Hyperlink"/>
          <w:rFonts w:ascii="Arial" w:hAnsi="Arial" w:cs="Arial"/>
          <w:color w:val="auto"/>
          <w:sz w:val="20"/>
          <w:szCs w:val="20"/>
          <w:u w:val="none"/>
        </w:rPr>
        <w:t xml:space="preserve"> </w:t>
      </w:r>
      <w:hyperlink r:id="rId8" w:history="1">
        <w:r w:rsidR="00BD03F1" w:rsidRPr="00C1593A">
          <w:rPr>
            <w:rStyle w:val="Hyperlink"/>
            <w:rFonts w:ascii="Arial" w:hAnsi="Arial" w:cs="Arial"/>
            <w:sz w:val="20"/>
            <w:szCs w:val="20"/>
          </w:rPr>
          <w:t>https://doi.org/10.26538/tjnpr/v9i2.40</w:t>
        </w:r>
      </w:hyperlink>
      <w:r w:rsidR="00BD03F1">
        <w:rPr>
          <w:rStyle w:val="Hyperlink"/>
          <w:rFonts w:ascii="Arial" w:hAnsi="Arial" w:cs="Arial"/>
          <w:color w:val="auto"/>
          <w:sz w:val="20"/>
          <w:szCs w:val="20"/>
          <w:u w:val="none"/>
        </w:rPr>
        <w:t xml:space="preserve"> </w:t>
      </w:r>
    </w:p>
    <w:p w14:paraId="66557EAB"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Al-</w:t>
      </w:r>
      <w:proofErr w:type="spellStart"/>
      <w:r w:rsidRPr="00020436">
        <w:rPr>
          <w:rFonts w:ascii="Arial" w:hAnsi="Arial" w:cs="Arial"/>
          <w:sz w:val="20"/>
          <w:szCs w:val="20"/>
        </w:rPr>
        <w:t>Mareed</w:t>
      </w:r>
      <w:proofErr w:type="spellEnd"/>
      <w:r w:rsidRPr="00020436">
        <w:rPr>
          <w:rFonts w:ascii="Arial" w:hAnsi="Arial" w:cs="Arial"/>
          <w:sz w:val="20"/>
          <w:szCs w:val="20"/>
        </w:rPr>
        <w:t>, A.A., Farah, M.A., Al-</w:t>
      </w:r>
      <w:proofErr w:type="spellStart"/>
      <w:r w:rsidRPr="00020436">
        <w:rPr>
          <w:rFonts w:ascii="Arial" w:hAnsi="Arial" w:cs="Arial"/>
          <w:sz w:val="20"/>
          <w:szCs w:val="20"/>
        </w:rPr>
        <w:t>Anazi</w:t>
      </w:r>
      <w:proofErr w:type="spellEnd"/>
      <w:r w:rsidRPr="00020436">
        <w:rPr>
          <w:rFonts w:ascii="Arial" w:hAnsi="Arial" w:cs="Arial"/>
          <w:sz w:val="20"/>
          <w:szCs w:val="20"/>
        </w:rPr>
        <w:t xml:space="preserve">, K.M., Hailan, W.A., &amp; Ali, M.A. (2022). Potassium bromate-induced oxidative stress, genotoxicity, and cytotoxicity in the blood and liver cells of mice. </w:t>
      </w:r>
      <w:proofErr w:type="spellStart"/>
      <w:r w:rsidRPr="00020436">
        <w:rPr>
          <w:rFonts w:ascii="Arial" w:hAnsi="Arial" w:cs="Arial"/>
          <w:sz w:val="20"/>
          <w:szCs w:val="20"/>
        </w:rPr>
        <w:t>Mutat</w:t>
      </w:r>
      <w:proofErr w:type="spellEnd"/>
      <w:r w:rsidRPr="00020436">
        <w:rPr>
          <w:rFonts w:ascii="Arial" w:hAnsi="Arial" w:cs="Arial"/>
          <w:sz w:val="20"/>
          <w:szCs w:val="20"/>
        </w:rPr>
        <w:t xml:space="preserve">. Res. Genet. </w:t>
      </w:r>
      <w:proofErr w:type="spellStart"/>
      <w:r w:rsidRPr="00020436">
        <w:rPr>
          <w:rFonts w:ascii="Arial" w:hAnsi="Arial" w:cs="Arial"/>
          <w:sz w:val="20"/>
          <w:szCs w:val="20"/>
        </w:rPr>
        <w:t>Toxicol</w:t>
      </w:r>
      <w:proofErr w:type="spellEnd"/>
      <w:r w:rsidRPr="00020436">
        <w:rPr>
          <w:rFonts w:ascii="Arial" w:hAnsi="Arial" w:cs="Arial"/>
          <w:sz w:val="20"/>
          <w:szCs w:val="20"/>
        </w:rPr>
        <w:t xml:space="preserve">. </w:t>
      </w:r>
      <w:proofErr w:type="spellStart"/>
      <w:r w:rsidRPr="00020436">
        <w:rPr>
          <w:rFonts w:ascii="Arial" w:hAnsi="Arial" w:cs="Arial"/>
          <w:sz w:val="20"/>
          <w:szCs w:val="20"/>
        </w:rPr>
        <w:t>Enviro.n</w:t>
      </w:r>
      <w:proofErr w:type="spellEnd"/>
      <w:r w:rsidRPr="00020436">
        <w:rPr>
          <w:rFonts w:ascii="Arial" w:hAnsi="Arial" w:cs="Arial"/>
          <w:sz w:val="20"/>
          <w:szCs w:val="20"/>
        </w:rPr>
        <w:t xml:space="preserve"> Mutagen. 878: 503481.  </w:t>
      </w:r>
      <w:hyperlink r:id="rId9" w:history="1">
        <w:r w:rsidRPr="00020436">
          <w:rPr>
            <w:rStyle w:val="Hyperlink"/>
            <w:rFonts w:ascii="Arial" w:hAnsi="Arial" w:cs="Arial"/>
            <w:sz w:val="20"/>
            <w:szCs w:val="20"/>
          </w:rPr>
          <w:t>https://doi.org/10.1016/j.mrgentox.2022.503481</w:t>
        </w:r>
      </w:hyperlink>
    </w:p>
    <w:p w14:paraId="78E94B59"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Attah, A.F., Fagbemi, A.A., </w:t>
      </w:r>
      <w:proofErr w:type="spellStart"/>
      <w:r w:rsidRPr="00020436">
        <w:rPr>
          <w:rFonts w:ascii="Arial" w:hAnsi="Arial" w:cs="Arial"/>
          <w:sz w:val="20"/>
          <w:szCs w:val="20"/>
        </w:rPr>
        <w:t>Olubiyi</w:t>
      </w:r>
      <w:proofErr w:type="spellEnd"/>
      <w:r w:rsidRPr="00020436">
        <w:rPr>
          <w:rFonts w:ascii="Arial" w:hAnsi="Arial" w:cs="Arial"/>
          <w:sz w:val="20"/>
          <w:szCs w:val="20"/>
        </w:rPr>
        <w:t xml:space="preserve">, O., Dada-Adegbola, H., </w:t>
      </w:r>
      <w:proofErr w:type="spellStart"/>
      <w:r w:rsidRPr="00020436">
        <w:rPr>
          <w:rFonts w:ascii="Arial" w:hAnsi="Arial" w:cs="Arial"/>
          <w:sz w:val="20"/>
          <w:szCs w:val="20"/>
        </w:rPr>
        <w:t>Oluwadotun</w:t>
      </w:r>
      <w:proofErr w:type="spellEnd"/>
      <w:r w:rsidRPr="00020436">
        <w:rPr>
          <w:rFonts w:ascii="Arial" w:hAnsi="Arial" w:cs="Arial"/>
          <w:sz w:val="20"/>
          <w:szCs w:val="20"/>
        </w:rPr>
        <w:t xml:space="preserve">, A., </w:t>
      </w:r>
      <w:proofErr w:type="spellStart"/>
      <w:r w:rsidRPr="00020436">
        <w:rPr>
          <w:rFonts w:ascii="Arial" w:hAnsi="Arial" w:cs="Arial"/>
          <w:sz w:val="20"/>
          <w:szCs w:val="20"/>
        </w:rPr>
        <w:t>Elujoba</w:t>
      </w:r>
      <w:proofErr w:type="spellEnd"/>
      <w:r w:rsidRPr="00020436">
        <w:rPr>
          <w:rFonts w:ascii="Arial" w:hAnsi="Arial" w:cs="Arial"/>
          <w:sz w:val="20"/>
          <w:szCs w:val="20"/>
        </w:rPr>
        <w:t xml:space="preserve">, A., &amp; Babalola, C.P. (2021). Therapeutic potentials of antiviral plants used in traditional African medicine with COVID-19 in focus: a Nigerian perspective. Front </w:t>
      </w:r>
      <w:proofErr w:type="spellStart"/>
      <w:r w:rsidRPr="00020436">
        <w:rPr>
          <w:rFonts w:ascii="Arial" w:hAnsi="Arial" w:cs="Arial"/>
          <w:sz w:val="20"/>
          <w:szCs w:val="20"/>
        </w:rPr>
        <w:t>Pharmacol</w:t>
      </w:r>
      <w:proofErr w:type="spellEnd"/>
      <w:r w:rsidRPr="00020436">
        <w:rPr>
          <w:rFonts w:ascii="Arial" w:hAnsi="Arial" w:cs="Arial"/>
          <w:sz w:val="20"/>
          <w:szCs w:val="20"/>
        </w:rPr>
        <w:t xml:space="preserve">. 12: 596855. </w:t>
      </w:r>
      <w:hyperlink r:id="rId10" w:history="1">
        <w:r w:rsidRPr="00020436">
          <w:rPr>
            <w:rStyle w:val="Hyperlink"/>
            <w:rFonts w:ascii="Arial" w:hAnsi="Arial" w:cs="Arial"/>
            <w:sz w:val="20"/>
            <w:szCs w:val="20"/>
          </w:rPr>
          <w:t>https://doi.org/10.3389/fphar.2021.596855</w:t>
        </w:r>
      </w:hyperlink>
      <w:r w:rsidRPr="00020436">
        <w:rPr>
          <w:rFonts w:ascii="Arial" w:hAnsi="Arial" w:cs="Arial"/>
          <w:sz w:val="20"/>
          <w:szCs w:val="20"/>
        </w:rPr>
        <w:t xml:space="preserve"> </w:t>
      </w:r>
    </w:p>
    <w:p w14:paraId="28FC7E62"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Sahoo, H.B., Sahoo, S.K., Mishra, K., &amp; Sagar, R. (2015). Evaluation of the wound-healing potential of Amaranthus </w:t>
      </w:r>
      <w:proofErr w:type="spellStart"/>
      <w:r w:rsidRPr="00020436">
        <w:rPr>
          <w:rFonts w:ascii="Arial" w:hAnsi="Arial" w:cs="Arial"/>
          <w:sz w:val="20"/>
          <w:szCs w:val="20"/>
        </w:rPr>
        <w:t>viridis</w:t>
      </w:r>
      <w:proofErr w:type="spellEnd"/>
      <w:r w:rsidRPr="00020436">
        <w:rPr>
          <w:rFonts w:ascii="Arial" w:hAnsi="Arial" w:cs="Arial"/>
          <w:sz w:val="20"/>
          <w:szCs w:val="20"/>
        </w:rPr>
        <w:t xml:space="preserve"> (Linn.) in experimentally induced diabetic rats. Int. J. </w:t>
      </w:r>
      <w:proofErr w:type="spellStart"/>
      <w:r w:rsidRPr="00020436">
        <w:rPr>
          <w:rFonts w:ascii="Arial" w:hAnsi="Arial" w:cs="Arial"/>
          <w:sz w:val="20"/>
          <w:szCs w:val="20"/>
        </w:rPr>
        <w:t>Nutr</w:t>
      </w:r>
      <w:proofErr w:type="spellEnd"/>
      <w:r w:rsidRPr="00020436">
        <w:rPr>
          <w:rFonts w:ascii="Arial" w:hAnsi="Arial" w:cs="Arial"/>
          <w:sz w:val="20"/>
          <w:szCs w:val="20"/>
        </w:rPr>
        <w:t xml:space="preserve">. </w:t>
      </w:r>
      <w:proofErr w:type="spellStart"/>
      <w:r w:rsidRPr="00020436">
        <w:rPr>
          <w:rFonts w:ascii="Arial" w:hAnsi="Arial" w:cs="Arial"/>
          <w:sz w:val="20"/>
          <w:szCs w:val="20"/>
        </w:rPr>
        <w:t>Pharmacol</w:t>
      </w:r>
      <w:proofErr w:type="spellEnd"/>
      <w:r w:rsidRPr="00020436">
        <w:rPr>
          <w:rFonts w:ascii="Arial" w:hAnsi="Arial" w:cs="Arial"/>
          <w:sz w:val="20"/>
          <w:szCs w:val="20"/>
        </w:rPr>
        <w:t xml:space="preserve">. Neurol. </w:t>
      </w:r>
      <w:proofErr w:type="gramStart"/>
      <w:r w:rsidRPr="00020436">
        <w:rPr>
          <w:rFonts w:ascii="Arial" w:hAnsi="Arial" w:cs="Arial"/>
          <w:sz w:val="20"/>
          <w:szCs w:val="20"/>
        </w:rPr>
        <w:t>Dis..</w:t>
      </w:r>
      <w:proofErr w:type="gramEnd"/>
      <w:r w:rsidRPr="00020436">
        <w:rPr>
          <w:rFonts w:ascii="Arial" w:hAnsi="Arial" w:cs="Arial"/>
          <w:sz w:val="20"/>
          <w:szCs w:val="20"/>
        </w:rPr>
        <w:t xml:space="preserve"> 5(2): 50-55. </w:t>
      </w:r>
      <w:r w:rsidRPr="00020436">
        <w:rPr>
          <w:rFonts w:ascii="Arial" w:eastAsia="sans-serif" w:hAnsi="Arial" w:cs="Arial"/>
          <w:color w:val="3B3030"/>
          <w:sz w:val="20"/>
          <w:szCs w:val="20"/>
          <w:shd w:val="clear" w:color="auto" w:fill="FFFFFF"/>
        </w:rPr>
        <w:t xml:space="preserve">DOI: 10.4103/2231-0738.153792 </w:t>
      </w:r>
    </w:p>
    <w:p w14:paraId="7989428D"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Ogwu, M.C., Ogwu, H.I., &amp; Kosoe, E.A. (2024). Plants Used in the Management and Treatment of Cardiovascular Diseases: Case Study of the Benin People of Southern Nigeria. In: Herbal Medicine Phytochemistry: Applications and Trends. Springer International Publishing. p. 1-31. </w:t>
      </w:r>
      <w:hyperlink r:id="rId11" w:history="1">
        <w:r w:rsidRPr="00020436">
          <w:rPr>
            <w:rStyle w:val="Hyperlink"/>
            <w:rFonts w:ascii="Arial" w:eastAsia="Helvetica" w:hAnsi="Arial" w:cs="Arial"/>
            <w:sz w:val="20"/>
            <w:szCs w:val="20"/>
            <w:shd w:val="clear" w:color="auto" w:fill="FFFFFF"/>
          </w:rPr>
          <w:t>https://doi.org/10.1007/978-3-031-21973-3_4-1</w:t>
        </w:r>
      </w:hyperlink>
      <w:r w:rsidRPr="00020436">
        <w:rPr>
          <w:rFonts w:ascii="Arial" w:eastAsia="Helvetica" w:hAnsi="Arial" w:cs="Arial"/>
          <w:color w:val="222222"/>
          <w:sz w:val="20"/>
          <w:szCs w:val="20"/>
          <w:shd w:val="clear" w:color="auto" w:fill="FFFFFF"/>
        </w:rPr>
        <w:t xml:space="preserve"> </w:t>
      </w:r>
    </w:p>
    <w:p w14:paraId="21CB09F8"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Ratliff, B.B., Abdulmahdi, W., Pawar, R., &amp; Wolin, M.S. (2016). Oxidant mechanisms in renal injury and disease. </w:t>
      </w:r>
      <w:proofErr w:type="spellStart"/>
      <w:r w:rsidRPr="00020436">
        <w:rPr>
          <w:rFonts w:ascii="Arial" w:hAnsi="Arial" w:cs="Arial"/>
          <w:sz w:val="20"/>
          <w:szCs w:val="20"/>
        </w:rPr>
        <w:t>Antioxid</w:t>
      </w:r>
      <w:proofErr w:type="spellEnd"/>
      <w:r w:rsidRPr="00020436">
        <w:rPr>
          <w:rFonts w:ascii="Arial" w:hAnsi="Arial" w:cs="Arial"/>
          <w:sz w:val="20"/>
          <w:szCs w:val="20"/>
        </w:rPr>
        <w:t xml:space="preserve">. Redox Signal. 25(3): 119-146. </w:t>
      </w:r>
      <w:hyperlink r:id="rId12" w:history="1">
        <w:r w:rsidRPr="00020436">
          <w:rPr>
            <w:rStyle w:val="Hyperlink"/>
            <w:rFonts w:ascii="Arial" w:eastAsia="SimSun" w:hAnsi="Arial" w:cs="Arial"/>
            <w:sz w:val="20"/>
            <w:szCs w:val="20"/>
            <w:shd w:val="clear" w:color="auto" w:fill="FFFFFF"/>
          </w:rPr>
          <w:t>https://doi.org/10.1089/ars.2016.6665</w:t>
        </w:r>
      </w:hyperlink>
      <w:r w:rsidRPr="00020436">
        <w:rPr>
          <w:rFonts w:ascii="Arial" w:eastAsia="SimSun" w:hAnsi="Arial" w:cs="Arial"/>
          <w:color w:val="222222"/>
          <w:sz w:val="20"/>
          <w:szCs w:val="20"/>
          <w:shd w:val="clear" w:color="auto" w:fill="FFFFFF"/>
        </w:rPr>
        <w:t xml:space="preserve">  </w:t>
      </w:r>
    </w:p>
    <w:p w14:paraId="054A348E"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lastRenderedPageBreak/>
        <w:t xml:space="preserve">Bello, O.M., Abiodun, O.B., &amp; </w:t>
      </w:r>
      <w:proofErr w:type="spellStart"/>
      <w:r w:rsidRPr="00020436">
        <w:rPr>
          <w:rFonts w:ascii="Arial" w:hAnsi="Arial" w:cs="Arial"/>
          <w:sz w:val="20"/>
          <w:szCs w:val="20"/>
        </w:rPr>
        <w:t>Oguntoye</w:t>
      </w:r>
      <w:proofErr w:type="spellEnd"/>
      <w:r w:rsidRPr="00020436">
        <w:rPr>
          <w:rFonts w:ascii="Arial" w:hAnsi="Arial" w:cs="Arial"/>
          <w:sz w:val="20"/>
          <w:szCs w:val="20"/>
        </w:rPr>
        <w:t xml:space="preserve">, S.O. (2018). Insight into the ethnopharmacology, phytochemistry, pharmacology of </w:t>
      </w:r>
      <w:proofErr w:type="spellStart"/>
      <w:r w:rsidRPr="00020436">
        <w:rPr>
          <w:rFonts w:ascii="Arial" w:hAnsi="Arial" w:cs="Arial"/>
          <w:sz w:val="20"/>
          <w:szCs w:val="20"/>
        </w:rPr>
        <w:t>Launaea</w:t>
      </w:r>
      <w:proofErr w:type="spellEnd"/>
      <w:r w:rsidRPr="00020436">
        <w:rPr>
          <w:rFonts w:ascii="Arial" w:hAnsi="Arial" w:cs="Arial"/>
          <w:sz w:val="20"/>
          <w:szCs w:val="20"/>
        </w:rPr>
        <w:t xml:space="preserve"> </w:t>
      </w:r>
      <w:proofErr w:type="spellStart"/>
      <w:r w:rsidRPr="00020436">
        <w:rPr>
          <w:rFonts w:ascii="Arial" w:hAnsi="Arial" w:cs="Arial"/>
          <w:sz w:val="20"/>
          <w:szCs w:val="20"/>
        </w:rPr>
        <w:t>taraxacifolia</w:t>
      </w:r>
      <w:proofErr w:type="spellEnd"/>
      <w:r w:rsidRPr="00020436">
        <w:rPr>
          <w:rFonts w:ascii="Arial" w:hAnsi="Arial" w:cs="Arial"/>
          <w:sz w:val="20"/>
          <w:szCs w:val="20"/>
        </w:rPr>
        <w:t xml:space="preserve"> (Willd) Amin ex C. Jeffrey as an underutilized vegetable from Nigeria: A review. Ann Univ </w:t>
      </w:r>
      <w:proofErr w:type="spellStart"/>
      <w:r w:rsidRPr="00020436">
        <w:rPr>
          <w:rFonts w:ascii="Arial" w:hAnsi="Arial" w:cs="Arial"/>
          <w:sz w:val="20"/>
          <w:szCs w:val="20"/>
        </w:rPr>
        <w:t>Dunarea</w:t>
      </w:r>
      <w:proofErr w:type="spellEnd"/>
      <w:r w:rsidRPr="00020436">
        <w:rPr>
          <w:rFonts w:ascii="Arial" w:hAnsi="Arial" w:cs="Arial"/>
          <w:sz w:val="20"/>
          <w:szCs w:val="20"/>
        </w:rPr>
        <w:t xml:space="preserve"> Jos Galati Fascicle VI Food Technol. 42(2): 137-152. </w:t>
      </w:r>
      <w:hyperlink r:id="rId13" w:history="1">
        <w:r w:rsidRPr="00020436">
          <w:rPr>
            <w:rStyle w:val="Hyperlink"/>
            <w:rFonts w:ascii="Arial" w:eastAsia="Helvetica" w:hAnsi="Arial" w:cs="Arial"/>
            <w:sz w:val="20"/>
            <w:szCs w:val="20"/>
            <w:shd w:val="clear" w:color="auto" w:fill="FFFFFF"/>
          </w:rPr>
          <w:t>https://www.gup.ugal.ro/ugaljournals/index.php/food/article/view/1151</w:t>
        </w:r>
      </w:hyperlink>
      <w:r w:rsidRPr="00020436">
        <w:rPr>
          <w:rFonts w:ascii="Arial" w:eastAsia="Helvetica" w:hAnsi="Arial" w:cs="Arial"/>
          <w:color w:val="222222"/>
          <w:sz w:val="20"/>
          <w:szCs w:val="20"/>
          <w:shd w:val="clear" w:color="auto" w:fill="FFFFFF"/>
        </w:rPr>
        <w:t xml:space="preserve"> </w:t>
      </w:r>
    </w:p>
    <w:p w14:paraId="0ACEEDAD"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Fouad, M.S., Ghareeb, M.A., Hamed, A.A., Aidy, E.A., </w:t>
      </w:r>
      <w:proofErr w:type="spellStart"/>
      <w:r w:rsidRPr="00020436">
        <w:rPr>
          <w:rFonts w:ascii="Arial" w:hAnsi="Arial" w:cs="Arial"/>
          <w:sz w:val="20"/>
          <w:szCs w:val="20"/>
        </w:rPr>
        <w:t>Tabudravu</w:t>
      </w:r>
      <w:proofErr w:type="spellEnd"/>
      <w:r w:rsidRPr="00020436">
        <w:rPr>
          <w:rFonts w:ascii="Arial" w:hAnsi="Arial" w:cs="Arial"/>
          <w:sz w:val="20"/>
          <w:szCs w:val="20"/>
        </w:rPr>
        <w:t xml:space="preserve">, J., Sayed, A.M., &amp; </w:t>
      </w:r>
      <w:proofErr w:type="spellStart"/>
      <w:r w:rsidRPr="00020436">
        <w:rPr>
          <w:rFonts w:ascii="Arial" w:hAnsi="Arial" w:cs="Arial"/>
          <w:sz w:val="20"/>
          <w:szCs w:val="20"/>
        </w:rPr>
        <w:t>Mwaheb</w:t>
      </w:r>
      <w:proofErr w:type="spellEnd"/>
      <w:r w:rsidRPr="00020436">
        <w:rPr>
          <w:rFonts w:ascii="Arial" w:hAnsi="Arial" w:cs="Arial"/>
          <w:sz w:val="20"/>
          <w:szCs w:val="20"/>
        </w:rPr>
        <w:t xml:space="preserve">, M.A. (2024). Exploring the antioxidant, anticancer and antimicrobial potential of Amaranthus </w:t>
      </w:r>
      <w:proofErr w:type="spellStart"/>
      <w:r w:rsidRPr="00020436">
        <w:rPr>
          <w:rFonts w:ascii="Arial" w:hAnsi="Arial" w:cs="Arial"/>
          <w:sz w:val="20"/>
          <w:szCs w:val="20"/>
        </w:rPr>
        <w:t>viridis</w:t>
      </w:r>
      <w:proofErr w:type="spellEnd"/>
      <w:r w:rsidRPr="00020436">
        <w:rPr>
          <w:rFonts w:ascii="Arial" w:hAnsi="Arial" w:cs="Arial"/>
          <w:sz w:val="20"/>
          <w:szCs w:val="20"/>
        </w:rPr>
        <w:t xml:space="preserve"> L. collected from Fayoum depression: Phytochemical, and biological aspects. S. Afr. J. Bot. 166: 297-310. </w:t>
      </w:r>
      <w:hyperlink r:id="rId14" w:history="1">
        <w:r w:rsidRPr="00020436">
          <w:rPr>
            <w:rStyle w:val="Hyperlink"/>
            <w:rFonts w:ascii="Arial" w:hAnsi="Arial" w:cs="Arial"/>
            <w:sz w:val="20"/>
            <w:szCs w:val="20"/>
          </w:rPr>
          <w:t>https://doi.org/10.1016/j.sajb.2024.01.047</w:t>
        </w:r>
      </w:hyperlink>
      <w:r w:rsidRPr="00020436">
        <w:rPr>
          <w:rStyle w:val="Hyperlink"/>
          <w:rFonts w:ascii="Arial" w:hAnsi="Arial" w:cs="Arial"/>
          <w:sz w:val="20"/>
          <w:szCs w:val="20"/>
        </w:rPr>
        <w:t xml:space="preserve"> </w:t>
      </w:r>
    </w:p>
    <w:p w14:paraId="3F80C144"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Das, S., &amp; Das, S. (2016). Amaranths: the crop of great prospect. In: Amaranthus: A promising crop of future. Springer, Singapore. 13-48. </w:t>
      </w:r>
      <w:hyperlink r:id="rId15" w:history="1">
        <w:r w:rsidRPr="00020436">
          <w:rPr>
            <w:rStyle w:val="Hyperlink"/>
            <w:rFonts w:ascii="Arial" w:hAnsi="Arial" w:cs="Arial"/>
            <w:sz w:val="20"/>
            <w:szCs w:val="20"/>
          </w:rPr>
          <w:t>https://doi.org/10.1007/978-981-10-1469-7_3</w:t>
        </w:r>
      </w:hyperlink>
    </w:p>
    <w:p w14:paraId="4983291E"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Vairetti, M., Di Pasqua, L.G., Cagna, M., Richelmi, P., Ferrigno, A., &amp; Berardo, C. (2021). Changes in glutathione content in liver diseases: an update. Antioxidants. 10(3): 364. </w:t>
      </w:r>
      <w:hyperlink r:id="rId16" w:history="1">
        <w:r w:rsidRPr="00020436">
          <w:rPr>
            <w:rStyle w:val="Hyperlink"/>
            <w:rFonts w:ascii="Arial" w:eastAsia="SimSun" w:hAnsi="Arial" w:cs="Arial"/>
            <w:sz w:val="20"/>
            <w:szCs w:val="20"/>
            <w:shd w:val="clear" w:color="auto" w:fill="FFFFFF"/>
          </w:rPr>
          <w:t>https://doi.org/10.3390/antiox10030364</w:t>
        </w:r>
      </w:hyperlink>
      <w:r w:rsidRPr="00020436">
        <w:rPr>
          <w:rFonts w:ascii="Arial" w:eastAsia="SimSun" w:hAnsi="Arial" w:cs="Arial"/>
          <w:color w:val="222222"/>
          <w:sz w:val="20"/>
          <w:szCs w:val="20"/>
          <w:shd w:val="clear" w:color="auto" w:fill="FFFFFF"/>
        </w:rPr>
        <w:t xml:space="preserve"> </w:t>
      </w:r>
    </w:p>
    <w:p w14:paraId="47CD2E74"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proofErr w:type="spellStart"/>
      <w:r w:rsidRPr="00020436">
        <w:rPr>
          <w:rFonts w:ascii="Arial" w:hAnsi="Arial" w:cs="Arial"/>
          <w:sz w:val="20"/>
          <w:szCs w:val="20"/>
        </w:rPr>
        <w:t>Famurewa</w:t>
      </w:r>
      <w:proofErr w:type="spellEnd"/>
      <w:r w:rsidRPr="00020436">
        <w:rPr>
          <w:rFonts w:ascii="Arial" w:hAnsi="Arial" w:cs="Arial"/>
          <w:sz w:val="20"/>
          <w:szCs w:val="20"/>
        </w:rPr>
        <w:t>, A.C., Ugwu-</w:t>
      </w:r>
      <w:proofErr w:type="spellStart"/>
      <w:r w:rsidRPr="00020436">
        <w:rPr>
          <w:rFonts w:ascii="Arial" w:hAnsi="Arial" w:cs="Arial"/>
          <w:sz w:val="20"/>
          <w:szCs w:val="20"/>
        </w:rPr>
        <w:t>Ejezie</w:t>
      </w:r>
      <w:proofErr w:type="spellEnd"/>
      <w:r w:rsidRPr="00020436">
        <w:rPr>
          <w:rFonts w:ascii="Arial" w:hAnsi="Arial" w:cs="Arial"/>
          <w:sz w:val="20"/>
          <w:szCs w:val="20"/>
        </w:rPr>
        <w:t xml:space="preserve">, C.S., </w:t>
      </w:r>
      <w:proofErr w:type="spellStart"/>
      <w:r w:rsidRPr="00020436">
        <w:rPr>
          <w:rFonts w:ascii="Arial" w:hAnsi="Arial" w:cs="Arial"/>
          <w:sz w:val="20"/>
          <w:szCs w:val="20"/>
        </w:rPr>
        <w:t>Iyare</w:t>
      </w:r>
      <w:proofErr w:type="spellEnd"/>
      <w:r w:rsidRPr="00020436">
        <w:rPr>
          <w:rFonts w:ascii="Arial" w:hAnsi="Arial" w:cs="Arial"/>
          <w:sz w:val="20"/>
          <w:szCs w:val="20"/>
        </w:rPr>
        <w:t xml:space="preserve">, E.E., </w:t>
      </w:r>
      <w:proofErr w:type="spellStart"/>
      <w:r w:rsidRPr="00020436">
        <w:rPr>
          <w:rFonts w:ascii="Arial" w:hAnsi="Arial" w:cs="Arial"/>
          <w:sz w:val="20"/>
          <w:szCs w:val="20"/>
        </w:rPr>
        <w:t>Folawiyo</w:t>
      </w:r>
      <w:proofErr w:type="spellEnd"/>
      <w:r w:rsidRPr="00020436">
        <w:rPr>
          <w:rFonts w:ascii="Arial" w:hAnsi="Arial" w:cs="Arial"/>
          <w:sz w:val="20"/>
          <w:szCs w:val="20"/>
        </w:rPr>
        <w:t xml:space="preserve">, A.M., </w:t>
      </w:r>
      <w:proofErr w:type="spellStart"/>
      <w:r w:rsidRPr="00020436">
        <w:rPr>
          <w:rFonts w:ascii="Arial" w:hAnsi="Arial" w:cs="Arial"/>
          <w:sz w:val="20"/>
          <w:szCs w:val="20"/>
        </w:rPr>
        <w:t>Maduagwuna</w:t>
      </w:r>
      <w:proofErr w:type="spellEnd"/>
      <w:r w:rsidRPr="00020436">
        <w:rPr>
          <w:rFonts w:ascii="Arial" w:hAnsi="Arial" w:cs="Arial"/>
          <w:sz w:val="20"/>
          <w:szCs w:val="20"/>
        </w:rPr>
        <w:t xml:space="preserve">, E.K., &amp; </w:t>
      </w:r>
      <w:proofErr w:type="spellStart"/>
      <w:r w:rsidRPr="00020436">
        <w:rPr>
          <w:rFonts w:ascii="Arial" w:hAnsi="Arial" w:cs="Arial"/>
          <w:sz w:val="20"/>
          <w:szCs w:val="20"/>
        </w:rPr>
        <w:t>Ejezie</w:t>
      </w:r>
      <w:proofErr w:type="spellEnd"/>
      <w:r w:rsidRPr="00020436">
        <w:rPr>
          <w:rFonts w:ascii="Arial" w:hAnsi="Arial" w:cs="Arial"/>
          <w:sz w:val="20"/>
          <w:szCs w:val="20"/>
        </w:rPr>
        <w:t xml:space="preserve">, F.E. (2021). Hepatoprotective effect of polyphenols isolated from virgin coconut oil against sub-chronic cadmium hepatotoxicity in rats is associated with improvement in antioxidant defense system. Drug Chem </w:t>
      </w:r>
      <w:proofErr w:type="spellStart"/>
      <w:r w:rsidRPr="00020436">
        <w:rPr>
          <w:rFonts w:ascii="Arial" w:hAnsi="Arial" w:cs="Arial"/>
          <w:sz w:val="20"/>
          <w:szCs w:val="20"/>
        </w:rPr>
        <w:t>Toxicol</w:t>
      </w:r>
      <w:proofErr w:type="spellEnd"/>
      <w:r w:rsidRPr="00020436">
        <w:rPr>
          <w:rFonts w:ascii="Arial" w:hAnsi="Arial" w:cs="Arial"/>
          <w:sz w:val="20"/>
          <w:szCs w:val="20"/>
        </w:rPr>
        <w:t xml:space="preserve">. 44(4): 418-426. </w:t>
      </w:r>
      <w:hyperlink r:id="rId17" w:history="1">
        <w:r w:rsidRPr="00020436">
          <w:rPr>
            <w:rStyle w:val="Hyperlink"/>
            <w:rFonts w:ascii="Arial" w:hAnsi="Arial" w:cs="Arial"/>
            <w:sz w:val="20"/>
            <w:szCs w:val="20"/>
          </w:rPr>
          <w:t>https://doi.org/10.1080/01480545.2019.1598428</w:t>
        </w:r>
      </w:hyperlink>
      <w:r w:rsidRPr="00020436">
        <w:rPr>
          <w:rFonts w:ascii="Arial" w:hAnsi="Arial" w:cs="Arial"/>
          <w:sz w:val="20"/>
          <w:szCs w:val="20"/>
        </w:rPr>
        <w:t xml:space="preserve"> </w:t>
      </w:r>
    </w:p>
    <w:p w14:paraId="257BE7B7" w14:textId="77777777" w:rsidR="00020436" w:rsidRPr="00020436" w:rsidRDefault="00020436" w:rsidP="00020436">
      <w:pPr>
        <w:numPr>
          <w:ilvl w:val="0"/>
          <w:numId w:val="1"/>
        </w:numPr>
        <w:spacing w:after="200" w:line="288" w:lineRule="auto"/>
        <w:ind w:left="900" w:hanging="900"/>
        <w:jc w:val="both"/>
        <w:rPr>
          <w:rStyle w:val="Hyperlink"/>
          <w:rFonts w:ascii="Arial" w:hAnsi="Arial" w:cs="Arial"/>
          <w:sz w:val="20"/>
          <w:szCs w:val="20"/>
        </w:rPr>
      </w:pPr>
      <w:r w:rsidRPr="00020436">
        <w:rPr>
          <w:rFonts w:ascii="Arial" w:hAnsi="Arial" w:cs="Arial"/>
          <w:sz w:val="20"/>
          <w:szCs w:val="20"/>
        </w:rPr>
        <w:t xml:space="preserve">Dey, A., &amp; Lakshmanan, J. (2013). The role of antioxidants and other agents in alleviating hyperglycemia mediated oxidative stress and injury in liver. Food </w:t>
      </w:r>
      <w:proofErr w:type="spellStart"/>
      <w:r w:rsidRPr="00020436">
        <w:rPr>
          <w:rFonts w:ascii="Arial" w:hAnsi="Arial" w:cs="Arial"/>
          <w:sz w:val="20"/>
          <w:szCs w:val="20"/>
        </w:rPr>
        <w:t>Funct</w:t>
      </w:r>
      <w:proofErr w:type="spellEnd"/>
      <w:r w:rsidRPr="00020436">
        <w:rPr>
          <w:rFonts w:ascii="Arial" w:hAnsi="Arial" w:cs="Arial"/>
          <w:sz w:val="20"/>
          <w:szCs w:val="20"/>
        </w:rPr>
        <w:t xml:space="preserve">. 4(8): 1148-1184.  </w:t>
      </w:r>
      <w:hyperlink r:id="rId18" w:history="1">
        <w:r w:rsidRPr="00020436">
          <w:rPr>
            <w:rStyle w:val="Hyperlink"/>
            <w:rFonts w:ascii="Arial" w:hAnsi="Arial" w:cs="Arial"/>
            <w:sz w:val="20"/>
            <w:szCs w:val="20"/>
          </w:rPr>
          <w:t>https://doi.org/10.1039/C3FO30317A</w:t>
        </w:r>
      </w:hyperlink>
    </w:p>
    <w:p w14:paraId="1D752D93"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proofErr w:type="spellStart"/>
      <w:r w:rsidRPr="00020436">
        <w:rPr>
          <w:rFonts w:ascii="Arial" w:hAnsi="Arial" w:cs="Arial"/>
          <w:sz w:val="20"/>
          <w:szCs w:val="20"/>
        </w:rPr>
        <w:t>Nwalutu</w:t>
      </w:r>
      <w:proofErr w:type="spellEnd"/>
      <w:r w:rsidRPr="00020436">
        <w:rPr>
          <w:rFonts w:ascii="Arial" w:hAnsi="Arial" w:cs="Arial"/>
          <w:sz w:val="20"/>
          <w:szCs w:val="20"/>
        </w:rPr>
        <w:t>, E.J. (2011). Liver and kidney function tests in experimental rats exposed to car paints and additive (Doctoral dissertation, UNIZIK). http://repository.unizik.edu.ng/handle/123456789/404</w:t>
      </w:r>
    </w:p>
    <w:p w14:paraId="33622EEE"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Kanu, K.C., </w:t>
      </w:r>
      <w:proofErr w:type="spellStart"/>
      <w:r w:rsidRPr="00020436">
        <w:rPr>
          <w:rFonts w:ascii="Arial" w:hAnsi="Arial" w:cs="Arial"/>
          <w:sz w:val="20"/>
          <w:szCs w:val="20"/>
        </w:rPr>
        <w:t>Ijioma</w:t>
      </w:r>
      <w:proofErr w:type="spellEnd"/>
      <w:r w:rsidRPr="00020436">
        <w:rPr>
          <w:rFonts w:ascii="Arial" w:hAnsi="Arial" w:cs="Arial"/>
          <w:sz w:val="20"/>
          <w:szCs w:val="20"/>
        </w:rPr>
        <w:t xml:space="preserve">, S.N., &amp; </w:t>
      </w:r>
      <w:proofErr w:type="spellStart"/>
      <w:r w:rsidRPr="00020436">
        <w:rPr>
          <w:rFonts w:ascii="Arial" w:hAnsi="Arial" w:cs="Arial"/>
          <w:sz w:val="20"/>
          <w:szCs w:val="20"/>
        </w:rPr>
        <w:t>Atiata</w:t>
      </w:r>
      <w:proofErr w:type="spellEnd"/>
      <w:r w:rsidRPr="00020436">
        <w:rPr>
          <w:rFonts w:ascii="Arial" w:hAnsi="Arial" w:cs="Arial"/>
          <w:sz w:val="20"/>
          <w:szCs w:val="20"/>
        </w:rPr>
        <w:t xml:space="preserve">, O. (2016). </w:t>
      </w:r>
      <w:proofErr w:type="spellStart"/>
      <w:r w:rsidRPr="00020436">
        <w:rPr>
          <w:rFonts w:ascii="Arial" w:hAnsi="Arial" w:cs="Arial"/>
          <w:sz w:val="20"/>
          <w:szCs w:val="20"/>
        </w:rPr>
        <w:t>Haematological</w:t>
      </w:r>
      <w:proofErr w:type="spellEnd"/>
      <w:r w:rsidRPr="00020436">
        <w:rPr>
          <w:rFonts w:ascii="Arial" w:hAnsi="Arial" w:cs="Arial"/>
          <w:sz w:val="20"/>
          <w:szCs w:val="20"/>
        </w:rPr>
        <w:t>, biochemical and antioxidant changes in Wistar rats exposed to dichlorvos based insecticide formulation used in Southeast Nigeria. Toxics. Nov 29; 4(4):28.  https://doi.org/10.3390/toxics4040028</w:t>
      </w:r>
    </w:p>
    <w:p w14:paraId="58AF21B9"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proofErr w:type="spellStart"/>
      <w:r w:rsidRPr="00020436">
        <w:rPr>
          <w:rFonts w:ascii="Arial" w:eastAsia="SimSun" w:hAnsi="Arial" w:cs="Arial"/>
          <w:color w:val="222222"/>
          <w:sz w:val="20"/>
          <w:szCs w:val="20"/>
          <w:shd w:val="clear" w:color="auto" w:fill="FFFFFF"/>
        </w:rPr>
        <w:t>Adeyomoye</w:t>
      </w:r>
      <w:proofErr w:type="spellEnd"/>
      <w:r w:rsidRPr="00020436">
        <w:rPr>
          <w:rFonts w:ascii="Arial" w:eastAsia="SimSun" w:hAnsi="Arial" w:cs="Arial"/>
          <w:color w:val="222222"/>
          <w:sz w:val="20"/>
          <w:szCs w:val="20"/>
          <w:shd w:val="clear" w:color="auto" w:fill="FFFFFF"/>
        </w:rPr>
        <w:t xml:space="preserve">, O.I., Akintayo, C.O., </w:t>
      </w:r>
      <w:proofErr w:type="spellStart"/>
      <w:r w:rsidRPr="00020436">
        <w:rPr>
          <w:rFonts w:ascii="Arial" w:eastAsia="SimSun" w:hAnsi="Arial" w:cs="Arial"/>
          <w:color w:val="222222"/>
          <w:sz w:val="20"/>
          <w:szCs w:val="20"/>
          <w:shd w:val="clear" w:color="auto" w:fill="FFFFFF"/>
        </w:rPr>
        <w:t>Omotuyi</w:t>
      </w:r>
      <w:proofErr w:type="spellEnd"/>
      <w:r w:rsidRPr="00020436">
        <w:rPr>
          <w:rFonts w:ascii="Arial" w:eastAsia="SimSun" w:hAnsi="Arial" w:cs="Arial"/>
          <w:color w:val="222222"/>
          <w:sz w:val="20"/>
          <w:szCs w:val="20"/>
          <w:shd w:val="clear" w:color="auto" w:fill="FFFFFF"/>
        </w:rPr>
        <w:t>, K.P., &amp; Adewumi, A.N. (2022). The biological roles of urea: A review of preclinical studies. Indian J. Nephrol.; 32(6): 539-545.</w:t>
      </w:r>
      <w:r w:rsidRPr="00020436">
        <w:rPr>
          <w:rFonts w:ascii="Arial" w:hAnsi="Arial" w:cs="Arial"/>
          <w:sz w:val="20"/>
          <w:szCs w:val="20"/>
        </w:rPr>
        <w:t xml:space="preserve">  </w:t>
      </w:r>
      <w:r w:rsidRPr="00020436">
        <w:rPr>
          <w:rFonts w:ascii="Arial" w:eastAsia="SimSun" w:hAnsi="Arial" w:cs="Arial"/>
          <w:color w:val="222222"/>
          <w:sz w:val="20"/>
          <w:szCs w:val="20"/>
          <w:shd w:val="clear" w:color="auto" w:fill="FFFFFF"/>
        </w:rPr>
        <w:t xml:space="preserve"> </w:t>
      </w:r>
      <w:r w:rsidRPr="00020436">
        <w:rPr>
          <w:rFonts w:ascii="Arial" w:hAnsi="Arial" w:cs="Arial"/>
          <w:sz w:val="20"/>
          <w:szCs w:val="20"/>
        </w:rPr>
        <w:t>https://doi.org/</w:t>
      </w:r>
      <w:r w:rsidRPr="00020436">
        <w:rPr>
          <w:rFonts w:ascii="Arial" w:eastAsia="Arial" w:hAnsi="Arial" w:cs="Arial"/>
          <w:color w:val="353535"/>
          <w:sz w:val="20"/>
          <w:szCs w:val="20"/>
          <w:shd w:val="clear" w:color="auto" w:fill="FFFFFF"/>
        </w:rPr>
        <w:t xml:space="preserve">10.4103/ijn.ijn_88_21 </w:t>
      </w:r>
      <w:r w:rsidRPr="00020436">
        <w:rPr>
          <w:rFonts w:ascii="Arial" w:eastAsia="sans-serif" w:hAnsi="Arial" w:cs="Arial"/>
          <w:color w:val="3B3030"/>
          <w:sz w:val="20"/>
          <w:szCs w:val="20"/>
          <w:shd w:val="clear" w:color="auto" w:fill="FFFFFF"/>
        </w:rPr>
        <w:t xml:space="preserve"> </w:t>
      </w:r>
    </w:p>
    <w:p w14:paraId="51AD9810"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 Gowda, S., Desai, P.B., Kulkarni, S.S., Hull, V.V., Math, A.A., &amp; Vernekar, S.N. (2010). Markers of renal function tests. N. Am. J. Med. Sci. 2(4): 170. </w:t>
      </w:r>
      <w:r w:rsidRPr="00020436">
        <w:rPr>
          <w:rFonts w:ascii="Arial" w:eastAsia="Consolas" w:hAnsi="Arial" w:cs="Arial"/>
          <w:color w:val="1B1B1B"/>
          <w:sz w:val="20"/>
          <w:szCs w:val="20"/>
          <w:shd w:val="clear" w:color="auto" w:fill="FFFFFF"/>
        </w:rPr>
        <w:t xml:space="preserve">PMID: 22624135; PMCID: PMC3354405. </w:t>
      </w:r>
    </w:p>
    <w:p w14:paraId="0BAF8032"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Jain, A., Jain, R., &amp; Jain, S., (2020). Determination of blood creatinine. Basic Tech. </w:t>
      </w:r>
      <w:proofErr w:type="spellStart"/>
      <w:r w:rsidRPr="00020436">
        <w:rPr>
          <w:rFonts w:ascii="Arial" w:hAnsi="Arial" w:cs="Arial"/>
          <w:sz w:val="20"/>
          <w:szCs w:val="20"/>
        </w:rPr>
        <w:t>Biochem</w:t>
      </w:r>
      <w:proofErr w:type="spellEnd"/>
      <w:r w:rsidRPr="00020436">
        <w:rPr>
          <w:rFonts w:ascii="Arial" w:hAnsi="Arial" w:cs="Arial"/>
          <w:sz w:val="20"/>
          <w:szCs w:val="20"/>
        </w:rPr>
        <w:t xml:space="preserve">. Mol. Biol. 201-203. </w:t>
      </w:r>
      <w:hyperlink r:id="rId19" w:history="1">
        <w:r w:rsidRPr="00020436">
          <w:rPr>
            <w:rStyle w:val="Hyperlink"/>
            <w:rFonts w:ascii="Arial" w:eastAsia="Helvetica" w:hAnsi="Arial" w:cs="Arial"/>
            <w:sz w:val="20"/>
            <w:szCs w:val="20"/>
            <w:shd w:val="clear" w:color="auto" w:fill="FFFFFF"/>
          </w:rPr>
          <w:t>https://doi.org/10.1007/978-1-4939-9861-6_46</w:t>
        </w:r>
      </w:hyperlink>
      <w:r w:rsidRPr="00020436">
        <w:rPr>
          <w:rFonts w:ascii="Arial" w:eastAsia="Helvetica" w:hAnsi="Arial" w:cs="Arial"/>
          <w:color w:val="222222"/>
          <w:sz w:val="20"/>
          <w:szCs w:val="20"/>
          <w:shd w:val="clear" w:color="auto" w:fill="FFFFFF"/>
        </w:rPr>
        <w:t xml:space="preserve"> </w:t>
      </w:r>
    </w:p>
    <w:p w14:paraId="66D5C498"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Oluboyo, A.O., </w:t>
      </w:r>
      <w:proofErr w:type="spellStart"/>
      <w:r w:rsidRPr="00020436">
        <w:rPr>
          <w:rFonts w:ascii="Arial" w:hAnsi="Arial" w:cs="Arial"/>
          <w:sz w:val="20"/>
          <w:szCs w:val="20"/>
        </w:rPr>
        <w:t>Omon</w:t>
      </w:r>
      <w:proofErr w:type="spellEnd"/>
      <w:r w:rsidRPr="00020436">
        <w:rPr>
          <w:rFonts w:ascii="Arial" w:hAnsi="Arial" w:cs="Arial"/>
          <w:sz w:val="20"/>
          <w:szCs w:val="20"/>
        </w:rPr>
        <w:t xml:space="preserve">, E.A., &amp; </w:t>
      </w:r>
      <w:proofErr w:type="spellStart"/>
      <w:r w:rsidRPr="00020436">
        <w:rPr>
          <w:rFonts w:ascii="Arial" w:hAnsi="Arial" w:cs="Arial"/>
          <w:sz w:val="20"/>
          <w:szCs w:val="20"/>
        </w:rPr>
        <w:t>Oluboyo</w:t>
      </w:r>
      <w:proofErr w:type="spellEnd"/>
      <w:r w:rsidRPr="00020436">
        <w:rPr>
          <w:rFonts w:ascii="Arial" w:hAnsi="Arial" w:cs="Arial"/>
          <w:sz w:val="20"/>
          <w:szCs w:val="20"/>
        </w:rPr>
        <w:t>, B.O. (</w:t>
      </w:r>
      <w:r w:rsidRPr="00020436">
        <w:rPr>
          <w:rFonts w:ascii="Arial" w:eastAsia="SimSun" w:hAnsi="Arial" w:cs="Arial"/>
          <w:sz w:val="20"/>
          <w:szCs w:val="20"/>
        </w:rPr>
        <w:t>2024</w:t>
      </w:r>
      <w:r w:rsidRPr="00020436">
        <w:rPr>
          <w:rFonts w:ascii="Arial" w:hAnsi="Arial" w:cs="Arial"/>
          <w:sz w:val="20"/>
          <w:szCs w:val="20"/>
        </w:rPr>
        <w:t xml:space="preserve">). Evaluation of Cardiac, Liver and Renal Indices During a Short Term Exercise Among Young Male Adults in Ado-Ekiti, Nigeria. </w:t>
      </w:r>
      <w:r w:rsidRPr="00020436">
        <w:rPr>
          <w:rFonts w:ascii="Arial" w:eastAsia="SimSun" w:hAnsi="Arial" w:cs="Arial"/>
          <w:sz w:val="20"/>
          <w:szCs w:val="20"/>
        </w:rPr>
        <w:t>Trends Med. Res., 19 (1): 124-135,</w:t>
      </w:r>
      <w:r w:rsidRPr="00020436">
        <w:rPr>
          <w:rFonts w:ascii="Arial" w:hAnsi="Arial" w:cs="Arial"/>
          <w:sz w:val="20"/>
          <w:szCs w:val="20"/>
        </w:rPr>
        <w:t xml:space="preserve">  </w:t>
      </w:r>
      <w:hyperlink r:id="rId20" w:history="1">
        <w:r w:rsidRPr="00020436">
          <w:rPr>
            <w:rStyle w:val="Hyperlink"/>
            <w:rFonts w:ascii="Arial" w:eastAsia="Helvetica" w:hAnsi="Arial" w:cs="Arial"/>
            <w:sz w:val="20"/>
            <w:szCs w:val="20"/>
            <w:shd w:val="clear" w:color="auto" w:fill="FFFFFF"/>
          </w:rPr>
          <w:t>https://doi.org/10.3923/tmr.2024.124.135</w:t>
        </w:r>
      </w:hyperlink>
    </w:p>
    <w:p w14:paraId="31E3F188"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Ellison, D., &amp; Farrar, F.C. (2018). Kidney influence on fluid and electrolyte balance. Nurs. Clin. North Am. 53(4): 469-480. </w:t>
      </w:r>
      <w:r w:rsidRPr="00020436">
        <w:rPr>
          <w:rFonts w:ascii="Arial" w:eastAsia="sans-serif" w:hAnsi="Arial" w:cs="Arial"/>
          <w:color w:val="000000"/>
          <w:sz w:val="20"/>
          <w:szCs w:val="20"/>
          <w:shd w:val="clear" w:color="auto" w:fill="F5F5F5"/>
        </w:rPr>
        <w:t>DOI: </w:t>
      </w:r>
      <w:hyperlink r:id="rId21" w:tgtFrame="https://www.nursing.theclinics.com/article/S0029-6465(18)30052-5/_blank" w:history="1">
        <w:r w:rsidRPr="00020436">
          <w:rPr>
            <w:rStyle w:val="Hyperlink"/>
            <w:rFonts w:ascii="Arial" w:eastAsia="sans-serif" w:hAnsi="Arial" w:cs="Arial"/>
            <w:color w:val="005789"/>
            <w:sz w:val="20"/>
            <w:szCs w:val="20"/>
            <w:shd w:val="clear" w:color="auto" w:fill="F5F5F5"/>
          </w:rPr>
          <w:t>10.1016/j.cnur.2018.05.004</w:t>
        </w:r>
      </w:hyperlink>
    </w:p>
    <w:p w14:paraId="10B5C0FB"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lastRenderedPageBreak/>
        <w:t xml:space="preserve">Hall, J.E. (2016). Kidney dysfunction mediates salt-induced increases in blood pressure. Circulation. 133(9): 894. </w:t>
      </w:r>
      <w:proofErr w:type="spellStart"/>
      <w:r w:rsidRPr="00020436">
        <w:rPr>
          <w:rFonts w:ascii="Arial" w:eastAsia="Bahnschrift" w:hAnsi="Arial" w:cs="Arial"/>
          <w:color w:val="1B1B1B"/>
          <w:sz w:val="20"/>
          <w:szCs w:val="20"/>
          <w:shd w:val="clear" w:color="auto" w:fill="FFFFFF"/>
        </w:rPr>
        <w:t>doi</w:t>
      </w:r>
      <w:proofErr w:type="spellEnd"/>
      <w:r w:rsidRPr="00020436">
        <w:rPr>
          <w:rFonts w:ascii="Arial" w:eastAsia="Bahnschrift" w:hAnsi="Arial" w:cs="Arial"/>
          <w:color w:val="1B1B1B"/>
          <w:sz w:val="20"/>
          <w:szCs w:val="20"/>
          <w:shd w:val="clear" w:color="auto" w:fill="FFFFFF"/>
        </w:rPr>
        <w:t>: </w:t>
      </w:r>
      <w:hyperlink r:id="rId22" w:tgtFrame="https://pmc.ncbi.nlm.nih.gov/articles/PMC5009905/_blank" w:history="1">
        <w:r w:rsidRPr="00020436">
          <w:rPr>
            <w:rStyle w:val="Hyperlink"/>
            <w:rFonts w:ascii="Arial" w:eastAsia="Bahnschrift" w:hAnsi="Arial" w:cs="Arial"/>
            <w:color w:val="005EA2"/>
            <w:sz w:val="20"/>
            <w:szCs w:val="20"/>
            <w:shd w:val="clear" w:color="auto" w:fill="FFFFFF"/>
          </w:rPr>
          <w:t>10.1161/CIRCULATIONAHA.115.018526</w:t>
        </w:r>
      </w:hyperlink>
      <w:r w:rsidRPr="00020436">
        <w:rPr>
          <w:rFonts w:ascii="Arial" w:eastAsia="Bahnschrift" w:hAnsi="Arial" w:cs="Arial"/>
          <w:color w:val="005EA2"/>
          <w:sz w:val="20"/>
          <w:szCs w:val="20"/>
          <w:u w:val="single"/>
          <w:shd w:val="clear" w:color="auto" w:fill="FFFFFF"/>
        </w:rPr>
        <w:t xml:space="preserve"> </w:t>
      </w:r>
    </w:p>
    <w:p w14:paraId="27B9171B"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Lindinger, M.I., &amp; Cairns, S.P. (2021). Regulation of muscle potassium: exercise performance, fatigue and health implications. Eur. J. Appl. Physiol. 121(3): 721-748. </w:t>
      </w:r>
      <w:hyperlink r:id="rId23" w:history="1">
        <w:r w:rsidRPr="00020436">
          <w:rPr>
            <w:rStyle w:val="Hyperlink"/>
            <w:rFonts w:ascii="Arial" w:eastAsia="Helvetica" w:hAnsi="Arial" w:cs="Arial"/>
            <w:sz w:val="20"/>
            <w:szCs w:val="20"/>
            <w:shd w:val="clear" w:color="auto" w:fill="FFFFFF"/>
          </w:rPr>
          <w:t>https://doi.org/10.1007/s00421-020-04546-8</w:t>
        </w:r>
      </w:hyperlink>
      <w:r w:rsidRPr="00020436">
        <w:rPr>
          <w:rFonts w:ascii="Arial" w:eastAsia="Helvetica" w:hAnsi="Arial" w:cs="Arial"/>
          <w:color w:val="222222"/>
          <w:sz w:val="20"/>
          <w:szCs w:val="20"/>
          <w:shd w:val="clear" w:color="auto" w:fill="FFFFFF"/>
        </w:rPr>
        <w:t xml:space="preserve"> </w:t>
      </w:r>
    </w:p>
    <w:p w14:paraId="02B829F3"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Palmer, B.F., &amp; Clegg, D.J. (2016). Physiology and pathophysiology of potassium homeostasis. Adv. Physiol. Educ. 40(4): 480-490. </w:t>
      </w:r>
      <w:hyperlink r:id="rId24" w:history="1">
        <w:r w:rsidRPr="00020436">
          <w:rPr>
            <w:rStyle w:val="Hyperlink"/>
            <w:rFonts w:ascii="Arial" w:eastAsia="SimSun" w:hAnsi="Arial" w:cs="Arial"/>
            <w:sz w:val="20"/>
            <w:szCs w:val="20"/>
            <w:shd w:val="clear" w:color="auto" w:fill="FFFFFF"/>
          </w:rPr>
          <w:t>https://doi.org/10.1152/advan.00121.2016</w:t>
        </w:r>
      </w:hyperlink>
      <w:r w:rsidRPr="00020436">
        <w:rPr>
          <w:rFonts w:ascii="Arial" w:eastAsia="SimSun" w:hAnsi="Arial" w:cs="Arial"/>
          <w:color w:val="222222"/>
          <w:sz w:val="20"/>
          <w:szCs w:val="20"/>
          <w:shd w:val="clear" w:color="auto" w:fill="FFFFFF"/>
        </w:rPr>
        <w:t xml:space="preserve"> </w:t>
      </w:r>
    </w:p>
    <w:p w14:paraId="6E2DF929"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proofErr w:type="spellStart"/>
      <w:r w:rsidRPr="00020436">
        <w:rPr>
          <w:rFonts w:ascii="Arial" w:hAnsi="Arial" w:cs="Arial"/>
          <w:sz w:val="20"/>
          <w:szCs w:val="20"/>
        </w:rPr>
        <w:t>Sokwuchukwu</w:t>
      </w:r>
      <w:proofErr w:type="spellEnd"/>
      <w:r w:rsidRPr="00020436">
        <w:rPr>
          <w:rFonts w:ascii="Arial" w:hAnsi="Arial" w:cs="Arial"/>
          <w:sz w:val="20"/>
          <w:szCs w:val="20"/>
        </w:rPr>
        <w:t xml:space="preserve">, J.C., Emmanuel, E.B., Eric, E.C., &amp; Kolawole, B.O. (2024). Assessing the Effects of Gas Flaring on Electrolyte (Sodium and Potassium) Levels in Pregnant Women: A Study from Bonny Island in the Niger Delta. Asian J Basic Sci Res. 6(4): 25-41. </w:t>
      </w:r>
      <w:hyperlink r:id="rId25" w:history="1">
        <w:r w:rsidRPr="00020436">
          <w:rPr>
            <w:rStyle w:val="Hyperlink"/>
            <w:rFonts w:ascii="Arial" w:hAnsi="Arial" w:cs="Arial"/>
            <w:sz w:val="20"/>
            <w:szCs w:val="20"/>
          </w:rPr>
          <w:t>http://doi.org/10.38177/AJBSR.2024.6403</w:t>
        </w:r>
      </w:hyperlink>
      <w:r w:rsidRPr="00020436">
        <w:rPr>
          <w:rFonts w:ascii="Arial" w:hAnsi="Arial" w:cs="Arial"/>
          <w:sz w:val="20"/>
          <w:szCs w:val="20"/>
        </w:rPr>
        <w:t xml:space="preserve"> </w:t>
      </w:r>
      <w:r w:rsidRPr="00020436">
        <w:rPr>
          <w:rFonts w:ascii="Arial" w:eastAsia="SimSun" w:hAnsi="Arial" w:cs="Arial"/>
          <w:color w:val="222222"/>
          <w:sz w:val="20"/>
          <w:szCs w:val="20"/>
          <w:shd w:val="clear" w:color="auto" w:fill="FFFFFF"/>
        </w:rPr>
        <w:t xml:space="preserve"> </w:t>
      </w:r>
    </w:p>
    <w:p w14:paraId="74BC8857"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Nguyen-Khac, E., Thevenot, T., Capron, D., </w:t>
      </w:r>
      <w:proofErr w:type="spellStart"/>
      <w:r w:rsidRPr="00020436">
        <w:rPr>
          <w:rFonts w:ascii="Arial" w:hAnsi="Arial" w:cs="Arial"/>
          <w:sz w:val="20"/>
          <w:szCs w:val="20"/>
        </w:rPr>
        <w:t>Dharancy</w:t>
      </w:r>
      <w:proofErr w:type="spellEnd"/>
      <w:r w:rsidRPr="00020436">
        <w:rPr>
          <w:rFonts w:ascii="Arial" w:hAnsi="Arial" w:cs="Arial"/>
          <w:sz w:val="20"/>
          <w:szCs w:val="20"/>
        </w:rPr>
        <w:t xml:space="preserve">, S., </w:t>
      </w:r>
      <w:proofErr w:type="spellStart"/>
      <w:r w:rsidRPr="00020436">
        <w:rPr>
          <w:rFonts w:ascii="Arial" w:hAnsi="Arial" w:cs="Arial"/>
          <w:sz w:val="20"/>
          <w:szCs w:val="20"/>
        </w:rPr>
        <w:t>Paupart</w:t>
      </w:r>
      <w:proofErr w:type="spellEnd"/>
      <w:r w:rsidRPr="00020436">
        <w:rPr>
          <w:rFonts w:ascii="Arial" w:hAnsi="Arial" w:cs="Arial"/>
          <w:sz w:val="20"/>
          <w:szCs w:val="20"/>
        </w:rPr>
        <w:t xml:space="preserve">, T., </w:t>
      </w:r>
      <w:proofErr w:type="spellStart"/>
      <w:r w:rsidRPr="00020436">
        <w:rPr>
          <w:rFonts w:ascii="Arial" w:hAnsi="Arial" w:cs="Arial"/>
          <w:sz w:val="20"/>
          <w:szCs w:val="20"/>
        </w:rPr>
        <w:t>Thabut</w:t>
      </w:r>
      <w:proofErr w:type="spellEnd"/>
      <w:r w:rsidRPr="00020436">
        <w:rPr>
          <w:rFonts w:ascii="Arial" w:hAnsi="Arial" w:cs="Arial"/>
          <w:sz w:val="20"/>
          <w:szCs w:val="20"/>
        </w:rPr>
        <w:t xml:space="preserve">, D., &amp; Tiry, C. (2008). Are ascitic electrolytes usable in cirrhotic patients? Correlation of sodium, potassium, chloride, urea, and creatinine concentrations in ascitic fluid and blood. Eur. J. Intern. Med. 19(8): 613-618. </w:t>
      </w:r>
      <w:hyperlink r:id="rId26" w:history="1">
        <w:r w:rsidRPr="00020436">
          <w:rPr>
            <w:rStyle w:val="Hyperlink"/>
            <w:rFonts w:ascii="Arial" w:hAnsi="Arial" w:cs="Arial"/>
            <w:sz w:val="20"/>
            <w:szCs w:val="20"/>
          </w:rPr>
          <w:t>https://doi.org/10.1016/j.ejim.2007.07.011</w:t>
        </w:r>
      </w:hyperlink>
    </w:p>
    <w:p w14:paraId="7FC7587A"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Khan, R.A., Khan, M.R., &amp; </w:t>
      </w:r>
      <w:proofErr w:type="spellStart"/>
      <w:r w:rsidRPr="00020436">
        <w:rPr>
          <w:rFonts w:ascii="Arial" w:hAnsi="Arial" w:cs="Arial"/>
          <w:sz w:val="20"/>
          <w:szCs w:val="20"/>
        </w:rPr>
        <w:t>Sahreen</w:t>
      </w:r>
      <w:proofErr w:type="spellEnd"/>
      <w:r w:rsidRPr="00020436">
        <w:rPr>
          <w:rFonts w:ascii="Arial" w:hAnsi="Arial" w:cs="Arial"/>
          <w:sz w:val="20"/>
          <w:szCs w:val="20"/>
        </w:rPr>
        <w:t xml:space="preserve">, S. (2012). Protective effects of rutin against potassium bromate induced nephrotoxicity in rats. BMC Complement. Altern. Med. 12: 1-12. </w:t>
      </w:r>
      <w:hyperlink r:id="rId27" w:history="1">
        <w:r w:rsidRPr="00020436">
          <w:rPr>
            <w:rStyle w:val="Hyperlink"/>
            <w:rFonts w:ascii="Arial" w:hAnsi="Arial" w:cs="Arial"/>
            <w:sz w:val="20"/>
            <w:szCs w:val="20"/>
          </w:rPr>
          <w:t>https://doi.org/10.1186/1472-6882-12-204</w:t>
        </w:r>
      </w:hyperlink>
    </w:p>
    <w:p w14:paraId="1D9A4FA9"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Chemutai, J. (2016) Proximate and essential nutrients evaluation of two indigenous vegetables: </w:t>
      </w:r>
      <w:proofErr w:type="spellStart"/>
      <w:r w:rsidRPr="00020436">
        <w:rPr>
          <w:rFonts w:ascii="Arial" w:hAnsi="Arial" w:cs="Arial"/>
          <w:sz w:val="20"/>
          <w:szCs w:val="20"/>
        </w:rPr>
        <w:t>Commelina</w:t>
      </w:r>
      <w:proofErr w:type="spellEnd"/>
      <w:r w:rsidRPr="00020436">
        <w:rPr>
          <w:rFonts w:ascii="Arial" w:hAnsi="Arial" w:cs="Arial"/>
          <w:sz w:val="20"/>
          <w:szCs w:val="20"/>
        </w:rPr>
        <w:t xml:space="preserve"> </w:t>
      </w:r>
      <w:proofErr w:type="spellStart"/>
      <w:r w:rsidRPr="00020436">
        <w:rPr>
          <w:rFonts w:ascii="Arial" w:hAnsi="Arial" w:cs="Arial"/>
          <w:sz w:val="20"/>
          <w:szCs w:val="20"/>
        </w:rPr>
        <w:t>africana</w:t>
      </w:r>
      <w:proofErr w:type="spellEnd"/>
      <w:r w:rsidRPr="00020436">
        <w:rPr>
          <w:rFonts w:ascii="Arial" w:hAnsi="Arial" w:cs="Arial"/>
          <w:sz w:val="20"/>
          <w:szCs w:val="20"/>
        </w:rPr>
        <w:t xml:space="preserve"> and Amaranthus thunbergii from </w:t>
      </w:r>
      <w:proofErr w:type="spellStart"/>
      <w:r w:rsidRPr="00020436">
        <w:rPr>
          <w:rFonts w:ascii="Arial" w:hAnsi="Arial" w:cs="Arial"/>
          <w:sz w:val="20"/>
          <w:szCs w:val="20"/>
        </w:rPr>
        <w:t>Ainamoi</w:t>
      </w:r>
      <w:proofErr w:type="spellEnd"/>
      <w:r w:rsidRPr="00020436">
        <w:rPr>
          <w:rFonts w:ascii="Arial" w:hAnsi="Arial" w:cs="Arial"/>
          <w:sz w:val="20"/>
          <w:szCs w:val="20"/>
        </w:rPr>
        <w:t xml:space="preserve"> Division, Kericho County. Univ. </w:t>
      </w:r>
      <w:proofErr w:type="gramStart"/>
      <w:r w:rsidRPr="00020436">
        <w:rPr>
          <w:rFonts w:ascii="Arial" w:hAnsi="Arial" w:cs="Arial"/>
          <w:sz w:val="20"/>
          <w:szCs w:val="20"/>
        </w:rPr>
        <w:t>Eldoret..</w:t>
      </w:r>
      <w:proofErr w:type="gramEnd"/>
      <w:r w:rsidRPr="00020436">
        <w:rPr>
          <w:rFonts w:ascii="Arial" w:hAnsi="Arial" w:cs="Arial"/>
          <w:sz w:val="20"/>
          <w:szCs w:val="20"/>
        </w:rPr>
        <w:t xml:space="preserve"> </w:t>
      </w:r>
      <w:hyperlink r:id="rId28" w:history="1">
        <w:r w:rsidRPr="00020436">
          <w:rPr>
            <w:rStyle w:val="Hyperlink"/>
            <w:rFonts w:ascii="Arial" w:hAnsi="Arial" w:cs="Arial"/>
            <w:sz w:val="20"/>
            <w:szCs w:val="20"/>
          </w:rPr>
          <w:t>http://41.89.164.27:8080/xmlui/handle/123456789/911</w:t>
        </w:r>
      </w:hyperlink>
    </w:p>
    <w:p w14:paraId="43EECC4D"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proofErr w:type="spellStart"/>
      <w:r w:rsidRPr="00020436">
        <w:rPr>
          <w:rFonts w:ascii="Arial" w:hAnsi="Arial" w:cs="Arial"/>
          <w:sz w:val="20"/>
          <w:szCs w:val="20"/>
        </w:rPr>
        <w:t>Ebhohimen</w:t>
      </w:r>
      <w:proofErr w:type="spellEnd"/>
      <w:r w:rsidRPr="00020436">
        <w:rPr>
          <w:rFonts w:ascii="Arial" w:hAnsi="Arial" w:cs="Arial"/>
          <w:sz w:val="20"/>
          <w:szCs w:val="20"/>
        </w:rPr>
        <w:t xml:space="preserve">, I.E., </w:t>
      </w:r>
      <w:proofErr w:type="spellStart"/>
      <w:r w:rsidRPr="00020436">
        <w:rPr>
          <w:rFonts w:ascii="Arial" w:hAnsi="Arial" w:cs="Arial"/>
          <w:sz w:val="20"/>
          <w:szCs w:val="20"/>
        </w:rPr>
        <w:t>Ebhomielen</w:t>
      </w:r>
      <w:proofErr w:type="spellEnd"/>
      <w:r w:rsidRPr="00020436">
        <w:rPr>
          <w:rFonts w:ascii="Arial" w:hAnsi="Arial" w:cs="Arial"/>
          <w:sz w:val="20"/>
          <w:szCs w:val="20"/>
        </w:rPr>
        <w:t xml:space="preserve">, J.O., </w:t>
      </w:r>
      <w:proofErr w:type="spellStart"/>
      <w:r w:rsidRPr="00020436">
        <w:rPr>
          <w:rFonts w:ascii="Arial" w:hAnsi="Arial" w:cs="Arial"/>
          <w:sz w:val="20"/>
          <w:szCs w:val="20"/>
        </w:rPr>
        <w:t>Edemhanria</w:t>
      </w:r>
      <w:proofErr w:type="spellEnd"/>
      <w:r w:rsidRPr="00020436">
        <w:rPr>
          <w:rFonts w:ascii="Arial" w:hAnsi="Arial" w:cs="Arial"/>
          <w:sz w:val="20"/>
          <w:szCs w:val="20"/>
        </w:rPr>
        <w:t xml:space="preserve">, L., Osagie, A.O., &amp; Omoruyi, J.I. (2020). Effect of ethanol extract of </w:t>
      </w:r>
      <w:proofErr w:type="spellStart"/>
      <w:r w:rsidRPr="00020436">
        <w:rPr>
          <w:rFonts w:ascii="Arial" w:hAnsi="Arial" w:cs="Arial"/>
          <w:sz w:val="20"/>
          <w:szCs w:val="20"/>
        </w:rPr>
        <w:t>Aframomum</w:t>
      </w:r>
      <w:proofErr w:type="spellEnd"/>
      <w:r w:rsidRPr="00020436">
        <w:rPr>
          <w:rFonts w:ascii="Arial" w:hAnsi="Arial" w:cs="Arial"/>
          <w:sz w:val="20"/>
          <w:szCs w:val="20"/>
        </w:rPr>
        <w:t xml:space="preserve"> angustifolium seeds on potassium bromate induced liver and kidney damage in Wistar rats. Glob. J. Pure Appl. Sci. 26(1): 1-8. </w:t>
      </w:r>
      <w:hyperlink r:id="rId29" w:history="1">
        <w:r w:rsidRPr="00020436">
          <w:rPr>
            <w:rStyle w:val="Hyperlink"/>
            <w:rFonts w:ascii="Arial" w:hAnsi="Arial" w:cs="Arial"/>
            <w:sz w:val="20"/>
            <w:szCs w:val="20"/>
          </w:rPr>
          <w:t>https://doi.org/10.4314/gjpas.v26i1.1</w:t>
        </w:r>
      </w:hyperlink>
    </w:p>
    <w:p w14:paraId="3B2091DF"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Ragab, E.E. (2018). The possible protective effect of vitamin C on monosodium glutamate induced renal toxicity in male albino rats. Egypt. J. </w:t>
      </w:r>
      <w:proofErr w:type="spellStart"/>
      <w:r w:rsidRPr="00020436">
        <w:rPr>
          <w:rFonts w:ascii="Arial" w:hAnsi="Arial" w:cs="Arial"/>
          <w:sz w:val="20"/>
          <w:szCs w:val="20"/>
        </w:rPr>
        <w:t>Histol</w:t>
      </w:r>
      <w:proofErr w:type="spellEnd"/>
      <w:r w:rsidRPr="00020436">
        <w:rPr>
          <w:rFonts w:ascii="Arial" w:hAnsi="Arial" w:cs="Arial"/>
          <w:sz w:val="20"/>
          <w:szCs w:val="20"/>
        </w:rPr>
        <w:t xml:space="preserve">. 41(4): 386-397. </w:t>
      </w:r>
      <w:hyperlink r:id="rId30" w:history="1">
        <w:r w:rsidRPr="00020436">
          <w:rPr>
            <w:rStyle w:val="Hyperlink"/>
            <w:rFonts w:ascii="Arial" w:hAnsi="Arial" w:cs="Arial"/>
            <w:sz w:val="20"/>
            <w:szCs w:val="20"/>
          </w:rPr>
          <w:t>https://dx.doi.org/10.21608/ejh.2019.28760</w:t>
        </w:r>
      </w:hyperlink>
      <w:r w:rsidRPr="00020436">
        <w:rPr>
          <w:rStyle w:val="Hyperlink"/>
          <w:rFonts w:ascii="Arial" w:hAnsi="Arial" w:cs="Arial"/>
          <w:sz w:val="20"/>
          <w:szCs w:val="20"/>
        </w:rPr>
        <w:t xml:space="preserve">. </w:t>
      </w:r>
    </w:p>
    <w:p w14:paraId="6B88E111"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Adegbola, P.I., Adetutu, A., &amp; Olaniyi, T.D. (2020). Antioxidant activity of Amaranthus species from the </w:t>
      </w:r>
      <w:proofErr w:type="spellStart"/>
      <w:r w:rsidRPr="00020436">
        <w:rPr>
          <w:rFonts w:ascii="Arial" w:hAnsi="Arial" w:cs="Arial"/>
          <w:sz w:val="20"/>
          <w:szCs w:val="20"/>
        </w:rPr>
        <w:t>Amaranthaceae</w:t>
      </w:r>
      <w:proofErr w:type="spellEnd"/>
      <w:r w:rsidRPr="00020436">
        <w:rPr>
          <w:rFonts w:ascii="Arial" w:hAnsi="Arial" w:cs="Arial"/>
          <w:sz w:val="20"/>
          <w:szCs w:val="20"/>
        </w:rPr>
        <w:t xml:space="preserve"> family–A review. S. Afr. J. Bot. 133: 111-117.  </w:t>
      </w:r>
      <w:hyperlink r:id="rId31" w:history="1">
        <w:r w:rsidRPr="00020436">
          <w:rPr>
            <w:rStyle w:val="Hyperlink"/>
            <w:rFonts w:ascii="Arial" w:hAnsi="Arial" w:cs="Arial"/>
            <w:sz w:val="20"/>
            <w:szCs w:val="20"/>
          </w:rPr>
          <w:t>https://doi.org/10.1016/j.sajb.2020.07.003</w:t>
        </w:r>
      </w:hyperlink>
    </w:p>
    <w:p w14:paraId="7D2F26D5"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Coco-Bassey, S.B., Asemota, E.A., </w:t>
      </w:r>
      <w:proofErr w:type="spellStart"/>
      <w:r w:rsidRPr="00020436">
        <w:rPr>
          <w:rFonts w:ascii="Arial" w:hAnsi="Arial" w:cs="Arial"/>
          <w:sz w:val="20"/>
          <w:szCs w:val="20"/>
        </w:rPr>
        <w:t>Okoroiwu</w:t>
      </w:r>
      <w:proofErr w:type="spellEnd"/>
      <w:r w:rsidRPr="00020436">
        <w:rPr>
          <w:rFonts w:ascii="Arial" w:hAnsi="Arial" w:cs="Arial"/>
          <w:sz w:val="20"/>
          <w:szCs w:val="20"/>
        </w:rPr>
        <w:t xml:space="preserve">, H.U., </w:t>
      </w:r>
      <w:proofErr w:type="spellStart"/>
      <w:r w:rsidRPr="00020436">
        <w:rPr>
          <w:rFonts w:ascii="Arial" w:hAnsi="Arial" w:cs="Arial"/>
          <w:sz w:val="20"/>
          <w:szCs w:val="20"/>
        </w:rPr>
        <w:t>Etura</w:t>
      </w:r>
      <w:proofErr w:type="spellEnd"/>
      <w:r w:rsidRPr="00020436">
        <w:rPr>
          <w:rFonts w:ascii="Arial" w:hAnsi="Arial" w:cs="Arial"/>
          <w:sz w:val="20"/>
          <w:szCs w:val="20"/>
        </w:rPr>
        <w:t xml:space="preserve">, J.E., </w:t>
      </w:r>
      <w:proofErr w:type="spellStart"/>
      <w:r w:rsidRPr="00020436">
        <w:rPr>
          <w:rFonts w:ascii="Arial" w:hAnsi="Arial" w:cs="Arial"/>
          <w:sz w:val="20"/>
          <w:szCs w:val="20"/>
        </w:rPr>
        <w:t>Efiong</w:t>
      </w:r>
      <w:proofErr w:type="spellEnd"/>
      <w:r w:rsidRPr="00020436">
        <w:rPr>
          <w:rFonts w:ascii="Arial" w:hAnsi="Arial" w:cs="Arial"/>
          <w:sz w:val="20"/>
          <w:szCs w:val="20"/>
        </w:rPr>
        <w:t xml:space="preserve">, E.E., Inyang, I.J., &amp; Uko, E.K. (2019). Glutathione, glutathione peroxidase and some hematological parameters of HIV-seropositive subjects attending clinic in University of Calabar teaching hospital, Calabar, Nigeria. BMC Infect Dis. 19: 1-10. </w:t>
      </w:r>
      <w:r w:rsidRPr="00020436">
        <w:rPr>
          <w:rFonts w:ascii="Arial" w:eastAsia="SimSun" w:hAnsi="Arial" w:cs="Arial"/>
          <w:color w:val="222222"/>
          <w:sz w:val="20"/>
          <w:szCs w:val="20"/>
          <w:shd w:val="clear" w:color="auto" w:fill="FFFFFF"/>
        </w:rPr>
        <w:t xml:space="preserve"> </w:t>
      </w:r>
      <w:hyperlink r:id="rId32" w:history="1">
        <w:r w:rsidRPr="00020436">
          <w:rPr>
            <w:rStyle w:val="Hyperlink"/>
            <w:rFonts w:ascii="Arial" w:eastAsia="Helvetica" w:hAnsi="Arial" w:cs="Arial"/>
            <w:sz w:val="20"/>
            <w:szCs w:val="20"/>
            <w:shd w:val="clear" w:color="auto" w:fill="FFFFFF"/>
          </w:rPr>
          <w:t>https://doi.org/10.1186/s12879-019-4562-6</w:t>
        </w:r>
      </w:hyperlink>
      <w:r w:rsidRPr="00020436">
        <w:rPr>
          <w:rFonts w:ascii="Arial" w:eastAsia="Helvetica" w:hAnsi="Arial" w:cs="Arial"/>
          <w:color w:val="222222"/>
          <w:sz w:val="20"/>
          <w:szCs w:val="20"/>
          <w:shd w:val="clear" w:color="auto" w:fill="FFFFFF"/>
        </w:rPr>
        <w:t xml:space="preserve"> </w:t>
      </w:r>
    </w:p>
    <w:p w14:paraId="14F1BBAF"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Ighodaro, O.M., &amp; </w:t>
      </w:r>
      <w:proofErr w:type="spellStart"/>
      <w:r w:rsidRPr="00020436">
        <w:rPr>
          <w:rFonts w:ascii="Arial" w:hAnsi="Arial" w:cs="Arial"/>
          <w:sz w:val="20"/>
          <w:szCs w:val="20"/>
        </w:rPr>
        <w:t>Akinloye</w:t>
      </w:r>
      <w:proofErr w:type="spellEnd"/>
      <w:r w:rsidRPr="00020436">
        <w:rPr>
          <w:rFonts w:ascii="Arial" w:hAnsi="Arial" w:cs="Arial"/>
          <w:sz w:val="20"/>
          <w:szCs w:val="20"/>
        </w:rPr>
        <w:t xml:space="preserve">, O.A. (2018). First line </w:t>
      </w:r>
      <w:proofErr w:type="spellStart"/>
      <w:r w:rsidRPr="00020436">
        <w:rPr>
          <w:rFonts w:ascii="Arial" w:hAnsi="Arial" w:cs="Arial"/>
          <w:sz w:val="20"/>
          <w:szCs w:val="20"/>
        </w:rPr>
        <w:t>defence</w:t>
      </w:r>
      <w:proofErr w:type="spellEnd"/>
      <w:r w:rsidRPr="00020436">
        <w:rPr>
          <w:rFonts w:ascii="Arial" w:hAnsi="Arial" w:cs="Arial"/>
          <w:sz w:val="20"/>
          <w:szCs w:val="20"/>
        </w:rPr>
        <w:t xml:space="preserve"> antioxidants-superoxide dismutase (SOD), catalase (CAT) and glutathione peroxidase (GPX): Their fundamental role in the entire antioxidant </w:t>
      </w:r>
      <w:proofErr w:type="spellStart"/>
      <w:r w:rsidRPr="00020436">
        <w:rPr>
          <w:rFonts w:ascii="Arial" w:hAnsi="Arial" w:cs="Arial"/>
          <w:sz w:val="20"/>
          <w:szCs w:val="20"/>
        </w:rPr>
        <w:t>defence</w:t>
      </w:r>
      <w:proofErr w:type="spellEnd"/>
      <w:r w:rsidRPr="00020436">
        <w:rPr>
          <w:rFonts w:ascii="Arial" w:hAnsi="Arial" w:cs="Arial"/>
          <w:sz w:val="20"/>
          <w:szCs w:val="20"/>
        </w:rPr>
        <w:t xml:space="preserve"> grid. Alex. J. Med. 54(4): 287-293. </w:t>
      </w:r>
      <w:r w:rsidRPr="00020436">
        <w:rPr>
          <w:rFonts w:ascii="Arial" w:eastAsia="SimSun" w:hAnsi="Arial" w:cs="Arial"/>
          <w:color w:val="222222"/>
          <w:sz w:val="20"/>
          <w:szCs w:val="20"/>
          <w:shd w:val="clear" w:color="auto" w:fill="FFFFFF"/>
        </w:rPr>
        <w:t xml:space="preserve"> </w:t>
      </w:r>
      <w:hyperlink r:id="rId33" w:history="1">
        <w:r w:rsidRPr="00020436">
          <w:rPr>
            <w:rStyle w:val="Hyperlink"/>
            <w:rFonts w:ascii="Arial" w:eastAsia="SimSun" w:hAnsi="Arial" w:cs="Arial"/>
            <w:sz w:val="20"/>
            <w:szCs w:val="20"/>
            <w:shd w:val="clear" w:color="auto" w:fill="FFFFFF"/>
          </w:rPr>
          <w:t>https://doi.org/10.1016/j.ajme.2017.09.001</w:t>
        </w:r>
      </w:hyperlink>
    </w:p>
    <w:p w14:paraId="18B9D742"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lastRenderedPageBreak/>
        <w:t xml:space="preserve">Islam, M.N., Rauf, A., Fahad, F.I., Emran, T.B., Mitra, S., &amp; Olatunde, A. (2022). Superoxide dismutase: an updated review on its health benefits and industrial applications. Crit. Rev. Food Sci. </w:t>
      </w:r>
      <w:proofErr w:type="spellStart"/>
      <w:r w:rsidRPr="00020436">
        <w:rPr>
          <w:rFonts w:ascii="Arial" w:hAnsi="Arial" w:cs="Arial"/>
          <w:sz w:val="20"/>
          <w:szCs w:val="20"/>
        </w:rPr>
        <w:t>Nutr</w:t>
      </w:r>
      <w:proofErr w:type="spellEnd"/>
      <w:r w:rsidRPr="00020436">
        <w:rPr>
          <w:rFonts w:ascii="Arial" w:hAnsi="Arial" w:cs="Arial"/>
          <w:sz w:val="20"/>
          <w:szCs w:val="20"/>
        </w:rPr>
        <w:t xml:space="preserve">. 62(26): 7282-7300. </w:t>
      </w:r>
      <w:hyperlink r:id="rId34" w:history="1">
        <w:r w:rsidRPr="00020436">
          <w:rPr>
            <w:rStyle w:val="Hyperlink"/>
            <w:rFonts w:ascii="Arial" w:eastAsia="SimSun" w:hAnsi="Arial" w:cs="Arial"/>
            <w:sz w:val="20"/>
            <w:szCs w:val="20"/>
            <w:shd w:val="clear" w:color="auto" w:fill="FFFFFF"/>
          </w:rPr>
          <w:t>https://doi.org/10.1080/10408398.2021.1913400</w:t>
        </w:r>
      </w:hyperlink>
      <w:r w:rsidRPr="00020436">
        <w:rPr>
          <w:rFonts w:ascii="Arial" w:eastAsia="SimSun" w:hAnsi="Arial" w:cs="Arial"/>
          <w:color w:val="222222"/>
          <w:sz w:val="20"/>
          <w:szCs w:val="20"/>
          <w:shd w:val="clear" w:color="auto" w:fill="FFFFFF"/>
        </w:rPr>
        <w:t xml:space="preserve">  </w:t>
      </w:r>
    </w:p>
    <w:p w14:paraId="2C83B8AC"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Andrés, C.M., Pérez de la Lastra, J.M., Juan, C.A., </w:t>
      </w:r>
      <w:proofErr w:type="spellStart"/>
      <w:r w:rsidRPr="00020436">
        <w:rPr>
          <w:rFonts w:ascii="Arial" w:hAnsi="Arial" w:cs="Arial"/>
          <w:sz w:val="20"/>
          <w:szCs w:val="20"/>
        </w:rPr>
        <w:t>Plou</w:t>
      </w:r>
      <w:proofErr w:type="spellEnd"/>
      <w:r w:rsidRPr="00020436">
        <w:rPr>
          <w:rFonts w:ascii="Arial" w:hAnsi="Arial" w:cs="Arial"/>
          <w:sz w:val="20"/>
          <w:szCs w:val="20"/>
        </w:rPr>
        <w:t>, F.J., &amp; Pérez-</w:t>
      </w:r>
      <w:proofErr w:type="spellStart"/>
      <w:r w:rsidRPr="00020436">
        <w:rPr>
          <w:rFonts w:ascii="Arial" w:hAnsi="Arial" w:cs="Arial"/>
          <w:sz w:val="20"/>
          <w:szCs w:val="20"/>
        </w:rPr>
        <w:t>Lebeña</w:t>
      </w:r>
      <w:proofErr w:type="spellEnd"/>
      <w:r w:rsidRPr="00020436">
        <w:rPr>
          <w:rFonts w:ascii="Arial" w:hAnsi="Arial" w:cs="Arial"/>
          <w:sz w:val="20"/>
          <w:szCs w:val="20"/>
        </w:rPr>
        <w:t xml:space="preserve">, E. (2022). Chemistry of hydrogen peroxide formation and elimination in mammalian cells, and its role in various pathologies. Stresses. 2(3): 256-274. </w:t>
      </w:r>
      <w:hyperlink r:id="rId35" w:history="1">
        <w:r w:rsidRPr="00020436">
          <w:rPr>
            <w:rStyle w:val="Hyperlink"/>
            <w:rFonts w:ascii="Arial" w:eastAsia="SimSun" w:hAnsi="Arial" w:cs="Arial"/>
            <w:sz w:val="20"/>
            <w:szCs w:val="20"/>
            <w:shd w:val="clear" w:color="auto" w:fill="FFFFFF"/>
          </w:rPr>
          <w:t>https://doi.org/10.3390/stresses2030019</w:t>
        </w:r>
      </w:hyperlink>
      <w:r w:rsidRPr="00020436">
        <w:rPr>
          <w:rFonts w:ascii="Arial" w:eastAsia="SimSun" w:hAnsi="Arial" w:cs="Arial"/>
          <w:color w:val="222222"/>
          <w:sz w:val="20"/>
          <w:szCs w:val="20"/>
          <w:shd w:val="clear" w:color="auto" w:fill="FFFFFF"/>
        </w:rPr>
        <w:t xml:space="preserve"> </w:t>
      </w:r>
    </w:p>
    <w:p w14:paraId="54507314"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Carmo de Carvalho Martins, M.D., Martins da Silva Santos Oliveira, A.S., da Silva, L.A.A., Primo, M.G.S., &amp; de Carvalho Lira, V.B. (2022). Biological indicators of oxidative stress [malondialdehyde, catalase, glutathione peroxidase, and superoxide dismutase] and their application in nutrition. In Biomarkers in Nutrition (pp. 1-25). Cham: Springer International Publishing. </w:t>
      </w:r>
      <w:hyperlink r:id="rId36" w:history="1">
        <w:r w:rsidRPr="00020436">
          <w:rPr>
            <w:rStyle w:val="Hyperlink"/>
            <w:rFonts w:ascii="Arial" w:hAnsi="Arial" w:cs="Arial"/>
            <w:sz w:val="20"/>
            <w:szCs w:val="20"/>
          </w:rPr>
          <w:t>https://doi.org/10.1007/978-3-030-81304-8_49-1</w:t>
        </w:r>
      </w:hyperlink>
      <w:r w:rsidRPr="00020436">
        <w:rPr>
          <w:rFonts w:ascii="Arial" w:hAnsi="Arial" w:cs="Arial"/>
          <w:sz w:val="20"/>
          <w:szCs w:val="20"/>
        </w:rPr>
        <w:t xml:space="preserve"> </w:t>
      </w:r>
    </w:p>
    <w:p w14:paraId="2D5BA2E1"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Al-</w:t>
      </w:r>
      <w:proofErr w:type="spellStart"/>
      <w:r w:rsidRPr="00020436">
        <w:rPr>
          <w:rFonts w:ascii="Arial" w:hAnsi="Arial" w:cs="Arial"/>
          <w:sz w:val="20"/>
          <w:szCs w:val="20"/>
        </w:rPr>
        <w:t>Mareed</w:t>
      </w:r>
      <w:proofErr w:type="spellEnd"/>
      <w:r w:rsidRPr="00020436">
        <w:rPr>
          <w:rFonts w:ascii="Arial" w:hAnsi="Arial" w:cs="Arial"/>
          <w:sz w:val="20"/>
          <w:szCs w:val="20"/>
        </w:rPr>
        <w:t>, A.A., Farah, M.A., Al-</w:t>
      </w:r>
      <w:proofErr w:type="spellStart"/>
      <w:r w:rsidRPr="00020436">
        <w:rPr>
          <w:rFonts w:ascii="Arial" w:hAnsi="Arial" w:cs="Arial"/>
          <w:sz w:val="20"/>
          <w:szCs w:val="20"/>
        </w:rPr>
        <w:t>Anazi</w:t>
      </w:r>
      <w:proofErr w:type="spellEnd"/>
      <w:r w:rsidRPr="00020436">
        <w:rPr>
          <w:rFonts w:ascii="Arial" w:hAnsi="Arial" w:cs="Arial"/>
          <w:sz w:val="20"/>
          <w:szCs w:val="20"/>
        </w:rPr>
        <w:t xml:space="preserve">, K.M., Hailan, W.A., &amp; Ali, M.A. (2022) Potassium bromate-induced oxidative stress, genotoxicity and cytotoxicity in the blood and liver cells of mice. </w:t>
      </w:r>
      <w:proofErr w:type="spellStart"/>
      <w:r w:rsidRPr="00020436">
        <w:rPr>
          <w:rFonts w:ascii="Arial" w:hAnsi="Arial" w:cs="Arial"/>
          <w:sz w:val="20"/>
          <w:szCs w:val="20"/>
        </w:rPr>
        <w:t>Mutat</w:t>
      </w:r>
      <w:proofErr w:type="spellEnd"/>
      <w:r w:rsidRPr="00020436">
        <w:rPr>
          <w:rFonts w:ascii="Arial" w:hAnsi="Arial" w:cs="Arial"/>
          <w:sz w:val="20"/>
          <w:szCs w:val="20"/>
        </w:rPr>
        <w:t xml:space="preserve">. Res. Genet. </w:t>
      </w:r>
      <w:proofErr w:type="spellStart"/>
      <w:r w:rsidRPr="00020436">
        <w:rPr>
          <w:rFonts w:ascii="Arial" w:hAnsi="Arial" w:cs="Arial"/>
          <w:sz w:val="20"/>
          <w:szCs w:val="20"/>
        </w:rPr>
        <w:t>Toxicol</w:t>
      </w:r>
      <w:proofErr w:type="spellEnd"/>
      <w:r w:rsidRPr="00020436">
        <w:rPr>
          <w:rFonts w:ascii="Arial" w:hAnsi="Arial" w:cs="Arial"/>
          <w:sz w:val="20"/>
          <w:szCs w:val="20"/>
        </w:rPr>
        <w:t xml:space="preserve">. Environ. Mutagen. 878: 503481. </w:t>
      </w:r>
      <w:hyperlink r:id="rId37" w:history="1">
        <w:r w:rsidRPr="00020436">
          <w:rPr>
            <w:rStyle w:val="Hyperlink"/>
            <w:rFonts w:ascii="Arial" w:hAnsi="Arial" w:cs="Arial"/>
            <w:sz w:val="20"/>
            <w:szCs w:val="20"/>
          </w:rPr>
          <w:t>https://doi.org/10.1016/j.mrgentox.2022.503481</w:t>
        </w:r>
      </w:hyperlink>
    </w:p>
    <w:p w14:paraId="2F8458B2"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proofErr w:type="spellStart"/>
      <w:r w:rsidRPr="00020436">
        <w:rPr>
          <w:rFonts w:ascii="Arial" w:hAnsi="Arial" w:cs="Arial"/>
          <w:sz w:val="20"/>
          <w:szCs w:val="20"/>
        </w:rPr>
        <w:t>Obruca</w:t>
      </w:r>
      <w:proofErr w:type="spellEnd"/>
      <w:r w:rsidRPr="00020436">
        <w:rPr>
          <w:rFonts w:ascii="Arial" w:hAnsi="Arial" w:cs="Arial"/>
          <w:sz w:val="20"/>
          <w:szCs w:val="20"/>
        </w:rPr>
        <w:t xml:space="preserve">, S., Sedlacek, P., </w:t>
      </w:r>
      <w:proofErr w:type="spellStart"/>
      <w:r w:rsidRPr="00020436">
        <w:rPr>
          <w:rFonts w:ascii="Arial" w:hAnsi="Arial" w:cs="Arial"/>
          <w:sz w:val="20"/>
          <w:szCs w:val="20"/>
        </w:rPr>
        <w:t>Mravec</w:t>
      </w:r>
      <w:proofErr w:type="spellEnd"/>
      <w:r w:rsidRPr="00020436">
        <w:rPr>
          <w:rFonts w:ascii="Arial" w:hAnsi="Arial" w:cs="Arial"/>
          <w:sz w:val="20"/>
          <w:szCs w:val="20"/>
        </w:rPr>
        <w:t xml:space="preserve">, F., Samek, O., &amp; </w:t>
      </w:r>
      <w:proofErr w:type="spellStart"/>
      <w:r w:rsidRPr="00020436">
        <w:rPr>
          <w:rFonts w:ascii="Arial" w:hAnsi="Arial" w:cs="Arial"/>
          <w:sz w:val="20"/>
          <w:szCs w:val="20"/>
        </w:rPr>
        <w:t>Marova</w:t>
      </w:r>
      <w:proofErr w:type="spellEnd"/>
      <w:r w:rsidRPr="00020436">
        <w:rPr>
          <w:rFonts w:ascii="Arial" w:hAnsi="Arial" w:cs="Arial"/>
          <w:sz w:val="20"/>
          <w:szCs w:val="20"/>
        </w:rPr>
        <w:t xml:space="preserve">, I. (2016). Evaluation of 3-hydroxybutyrate as an enzyme-protective agent against heating and oxidative damage and its potential role in stress response of poly (3-hydroxybutyrate) accumulating cells. Appl. </w:t>
      </w:r>
      <w:proofErr w:type="spellStart"/>
      <w:r w:rsidRPr="00020436">
        <w:rPr>
          <w:rFonts w:ascii="Arial" w:hAnsi="Arial" w:cs="Arial"/>
          <w:sz w:val="20"/>
          <w:szCs w:val="20"/>
        </w:rPr>
        <w:t>Microbiol</w:t>
      </w:r>
      <w:proofErr w:type="spellEnd"/>
      <w:r w:rsidRPr="00020436">
        <w:rPr>
          <w:rFonts w:ascii="Arial" w:hAnsi="Arial" w:cs="Arial"/>
          <w:sz w:val="20"/>
          <w:szCs w:val="20"/>
        </w:rPr>
        <w:t xml:space="preserve">. </w:t>
      </w:r>
      <w:proofErr w:type="spellStart"/>
      <w:r w:rsidRPr="00020436">
        <w:rPr>
          <w:rFonts w:ascii="Arial" w:hAnsi="Arial" w:cs="Arial"/>
          <w:sz w:val="20"/>
          <w:szCs w:val="20"/>
        </w:rPr>
        <w:t>Biotechnol</w:t>
      </w:r>
      <w:proofErr w:type="spellEnd"/>
      <w:r w:rsidRPr="00020436">
        <w:rPr>
          <w:rFonts w:ascii="Arial" w:hAnsi="Arial" w:cs="Arial"/>
          <w:sz w:val="20"/>
          <w:szCs w:val="20"/>
        </w:rPr>
        <w:t xml:space="preserve">. 100: 1365-1376. </w:t>
      </w:r>
      <w:hyperlink r:id="rId38" w:history="1">
        <w:r w:rsidRPr="00020436">
          <w:rPr>
            <w:rStyle w:val="Hyperlink"/>
            <w:rFonts w:ascii="Arial" w:hAnsi="Arial" w:cs="Arial"/>
            <w:sz w:val="20"/>
            <w:szCs w:val="20"/>
          </w:rPr>
          <w:t>https://doi.org/10.1007/s00253-015-7162-4</w:t>
        </w:r>
      </w:hyperlink>
      <w:r w:rsidRPr="00020436">
        <w:rPr>
          <w:rStyle w:val="Hyperlink"/>
          <w:rFonts w:ascii="Arial" w:hAnsi="Arial" w:cs="Arial"/>
          <w:sz w:val="20"/>
          <w:szCs w:val="20"/>
        </w:rPr>
        <w:t xml:space="preserve"> </w:t>
      </w:r>
    </w:p>
    <w:p w14:paraId="034B7F08"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El-Sherif, F., Radwan, R., &amp; </w:t>
      </w:r>
      <w:proofErr w:type="spellStart"/>
      <w:r w:rsidRPr="00020436">
        <w:rPr>
          <w:rFonts w:ascii="Arial" w:hAnsi="Arial" w:cs="Arial"/>
          <w:sz w:val="20"/>
          <w:szCs w:val="20"/>
        </w:rPr>
        <w:t>Khafagy</w:t>
      </w:r>
      <w:proofErr w:type="spellEnd"/>
      <w:r w:rsidRPr="00020436">
        <w:rPr>
          <w:rFonts w:ascii="Arial" w:hAnsi="Arial" w:cs="Arial"/>
          <w:sz w:val="20"/>
          <w:szCs w:val="20"/>
        </w:rPr>
        <w:t xml:space="preserve">, M. (2022). Potential effects of passion fruit (Passiflora edulis) against oxidative stress induced by potassium bromate in rats. J. Pharm. </w:t>
      </w:r>
      <w:proofErr w:type="spellStart"/>
      <w:r w:rsidRPr="00020436">
        <w:rPr>
          <w:rFonts w:ascii="Arial" w:hAnsi="Arial" w:cs="Arial"/>
          <w:sz w:val="20"/>
          <w:szCs w:val="20"/>
        </w:rPr>
        <w:t>Negat</w:t>
      </w:r>
      <w:proofErr w:type="spellEnd"/>
      <w:r w:rsidRPr="00020436">
        <w:rPr>
          <w:rFonts w:ascii="Arial" w:hAnsi="Arial" w:cs="Arial"/>
          <w:sz w:val="20"/>
          <w:szCs w:val="20"/>
        </w:rPr>
        <w:t xml:space="preserve">. Results. 4538-4558. </w:t>
      </w:r>
      <w:hyperlink r:id="rId39" w:history="1">
        <w:r w:rsidRPr="00020436">
          <w:rPr>
            <w:rStyle w:val="Hyperlink"/>
            <w:rFonts w:ascii="Arial" w:hAnsi="Arial" w:cs="Arial"/>
            <w:sz w:val="20"/>
            <w:szCs w:val="20"/>
          </w:rPr>
          <w:t>https://doi.org/10.47750/pnr.2022.13.S07.567</w:t>
        </w:r>
      </w:hyperlink>
      <w:r w:rsidRPr="00020436">
        <w:rPr>
          <w:rFonts w:ascii="Arial" w:hAnsi="Arial" w:cs="Arial"/>
          <w:sz w:val="20"/>
          <w:szCs w:val="20"/>
        </w:rPr>
        <w:t xml:space="preserve"> </w:t>
      </w:r>
    </w:p>
    <w:p w14:paraId="02550BA2" w14:textId="77777777" w:rsidR="00020436" w:rsidRPr="00020436" w:rsidRDefault="00020436" w:rsidP="00020436">
      <w:pPr>
        <w:numPr>
          <w:ilvl w:val="0"/>
          <w:numId w:val="1"/>
        </w:numPr>
        <w:spacing w:after="200" w:line="288" w:lineRule="auto"/>
        <w:ind w:left="900" w:hanging="900"/>
        <w:jc w:val="both"/>
        <w:rPr>
          <w:rFonts w:ascii="Arial" w:hAnsi="Arial" w:cs="Arial"/>
          <w:sz w:val="20"/>
          <w:szCs w:val="20"/>
        </w:rPr>
      </w:pPr>
      <w:r w:rsidRPr="00020436">
        <w:rPr>
          <w:rFonts w:ascii="Arial" w:hAnsi="Arial" w:cs="Arial"/>
          <w:sz w:val="20"/>
          <w:szCs w:val="20"/>
        </w:rPr>
        <w:t xml:space="preserve">Gandhi, P., Samarth, R.M., &amp; Peter, K. (2020). Bioactive compounds of amaranth (Genus Amaranthus). Bioactive Compd. </w:t>
      </w:r>
      <w:proofErr w:type="spellStart"/>
      <w:r w:rsidRPr="00020436">
        <w:rPr>
          <w:rFonts w:ascii="Arial" w:hAnsi="Arial" w:cs="Arial"/>
          <w:sz w:val="20"/>
          <w:szCs w:val="20"/>
        </w:rPr>
        <w:t>Underutil</w:t>
      </w:r>
      <w:proofErr w:type="spellEnd"/>
      <w:r w:rsidRPr="00020436">
        <w:rPr>
          <w:rFonts w:ascii="Arial" w:hAnsi="Arial" w:cs="Arial"/>
          <w:sz w:val="20"/>
          <w:szCs w:val="20"/>
        </w:rPr>
        <w:t xml:space="preserve">. </w:t>
      </w:r>
      <w:proofErr w:type="spellStart"/>
      <w:r w:rsidRPr="00020436">
        <w:rPr>
          <w:rFonts w:ascii="Arial" w:hAnsi="Arial" w:cs="Arial"/>
          <w:sz w:val="20"/>
          <w:szCs w:val="20"/>
        </w:rPr>
        <w:t>Veget</w:t>
      </w:r>
      <w:proofErr w:type="spellEnd"/>
      <w:r w:rsidRPr="00020436">
        <w:rPr>
          <w:rFonts w:ascii="Arial" w:hAnsi="Arial" w:cs="Arial"/>
          <w:sz w:val="20"/>
          <w:szCs w:val="20"/>
        </w:rPr>
        <w:t xml:space="preserve">. Legumes. 1-37. </w:t>
      </w:r>
      <w:hyperlink r:id="rId40" w:history="1">
        <w:r w:rsidRPr="00020436">
          <w:rPr>
            <w:rStyle w:val="Hyperlink"/>
            <w:rFonts w:ascii="Arial" w:hAnsi="Arial" w:cs="Arial"/>
            <w:sz w:val="20"/>
            <w:szCs w:val="20"/>
          </w:rPr>
          <w:t>https://doi.org/10.1007/978-3-030-44578-2_3-1</w:t>
        </w:r>
      </w:hyperlink>
    </w:p>
    <w:p w14:paraId="13AC0266" w14:textId="77777777" w:rsidR="00020436" w:rsidRPr="009F132B" w:rsidRDefault="00020436" w:rsidP="00020436">
      <w:pPr>
        <w:numPr>
          <w:ilvl w:val="0"/>
          <w:numId w:val="1"/>
        </w:numPr>
        <w:spacing w:after="200" w:line="288" w:lineRule="auto"/>
        <w:ind w:left="900" w:hanging="900"/>
        <w:jc w:val="both"/>
        <w:rPr>
          <w:rStyle w:val="Hyperlink"/>
          <w:rFonts w:ascii="Times New Roman" w:hAnsi="Times New Roman" w:cs="Times New Roman"/>
          <w:color w:val="auto"/>
          <w:sz w:val="24"/>
          <w:szCs w:val="24"/>
          <w:u w:val="none"/>
        </w:rPr>
      </w:pPr>
      <w:proofErr w:type="spellStart"/>
      <w:r w:rsidRPr="00020436">
        <w:rPr>
          <w:rFonts w:ascii="Arial" w:hAnsi="Arial" w:cs="Arial"/>
          <w:sz w:val="20"/>
          <w:szCs w:val="20"/>
        </w:rPr>
        <w:t>Akbarirad</w:t>
      </w:r>
      <w:proofErr w:type="spellEnd"/>
      <w:r w:rsidRPr="00020436">
        <w:rPr>
          <w:rFonts w:ascii="Arial" w:hAnsi="Arial" w:cs="Arial"/>
          <w:sz w:val="20"/>
          <w:szCs w:val="20"/>
        </w:rPr>
        <w:t xml:space="preserve">, H., </w:t>
      </w:r>
      <w:proofErr w:type="spellStart"/>
      <w:r w:rsidRPr="00020436">
        <w:rPr>
          <w:rFonts w:ascii="Arial" w:hAnsi="Arial" w:cs="Arial"/>
          <w:sz w:val="20"/>
          <w:szCs w:val="20"/>
        </w:rPr>
        <w:t>Ardabili</w:t>
      </w:r>
      <w:proofErr w:type="spellEnd"/>
      <w:r w:rsidRPr="00020436">
        <w:rPr>
          <w:rFonts w:ascii="Arial" w:hAnsi="Arial" w:cs="Arial"/>
          <w:sz w:val="20"/>
          <w:szCs w:val="20"/>
        </w:rPr>
        <w:t xml:space="preserve">, A.G., </w:t>
      </w:r>
      <w:proofErr w:type="spellStart"/>
      <w:r w:rsidRPr="00020436">
        <w:rPr>
          <w:rFonts w:ascii="Arial" w:hAnsi="Arial" w:cs="Arial"/>
          <w:sz w:val="20"/>
          <w:szCs w:val="20"/>
        </w:rPr>
        <w:t>Kazemeini</w:t>
      </w:r>
      <w:proofErr w:type="spellEnd"/>
      <w:r w:rsidRPr="00020436">
        <w:rPr>
          <w:rFonts w:ascii="Arial" w:hAnsi="Arial" w:cs="Arial"/>
          <w:sz w:val="20"/>
          <w:szCs w:val="20"/>
        </w:rPr>
        <w:t xml:space="preserve">, S.M., &amp; </w:t>
      </w:r>
      <w:proofErr w:type="spellStart"/>
      <w:r w:rsidRPr="00020436">
        <w:rPr>
          <w:rFonts w:ascii="Arial" w:hAnsi="Arial" w:cs="Arial"/>
          <w:sz w:val="20"/>
          <w:szCs w:val="20"/>
        </w:rPr>
        <w:t>Khaneghah</w:t>
      </w:r>
      <w:proofErr w:type="spellEnd"/>
      <w:r w:rsidRPr="00020436">
        <w:rPr>
          <w:rFonts w:ascii="Arial" w:hAnsi="Arial" w:cs="Arial"/>
          <w:sz w:val="20"/>
          <w:szCs w:val="20"/>
        </w:rPr>
        <w:t xml:space="preserve">, A.M. (2016). An overview on some of important sources of natural antioxidants. Int. Food Res. J. 23(3).  </w:t>
      </w:r>
      <w:hyperlink r:id="rId41" w:history="1">
        <w:r w:rsidRPr="00020436">
          <w:rPr>
            <w:rStyle w:val="Hyperlink"/>
            <w:rFonts w:ascii="Arial" w:hAnsi="Arial" w:cs="Arial"/>
            <w:sz w:val="20"/>
            <w:szCs w:val="20"/>
          </w:rPr>
          <w:t>http://www.ifrj.upm.edu.my</w:t>
        </w:r>
      </w:hyperlink>
    </w:p>
    <w:p w14:paraId="48E4C48A" w14:textId="77777777" w:rsidR="00020436" w:rsidRPr="00020436" w:rsidRDefault="00020436" w:rsidP="00020436">
      <w:pPr>
        <w:jc w:val="both"/>
        <w:rPr>
          <w:rFonts w:ascii="Arial" w:hAnsi="Arial" w:cs="Arial"/>
          <w:sz w:val="20"/>
          <w:szCs w:val="24"/>
        </w:rPr>
      </w:pPr>
    </w:p>
    <w:sectPr w:rsidR="00020436" w:rsidRPr="00020436">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76D6" w14:textId="77777777" w:rsidR="008F535F" w:rsidRDefault="008F535F" w:rsidP="00B706E4">
      <w:pPr>
        <w:spacing w:after="0" w:line="240" w:lineRule="auto"/>
      </w:pPr>
      <w:r>
        <w:separator/>
      </w:r>
    </w:p>
  </w:endnote>
  <w:endnote w:type="continuationSeparator" w:id="0">
    <w:p w14:paraId="3EA67FB2" w14:textId="77777777" w:rsidR="008F535F" w:rsidRDefault="008F535F" w:rsidP="00B7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ns-serif">
    <w:altName w:val="Segoe Print"/>
    <w:charset w:val="00"/>
    <w:family w:val="auto"/>
    <w:pitch w:val="default"/>
  </w:font>
  <w:font w:name="Consolas">
    <w:panose1 w:val="020B0609020204030204"/>
    <w:charset w:val="00"/>
    <w:family w:val="modern"/>
    <w:pitch w:val="fixed"/>
    <w:sig w:usb0="E00006FF" w:usb1="0000FCFF" w:usb2="00000001" w:usb3="00000000" w:csb0="000001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9FF0" w14:textId="77777777" w:rsidR="00A7460C" w:rsidRDefault="00A746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AA70" w14:textId="77777777" w:rsidR="00A7460C" w:rsidRDefault="00A746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2BC9" w14:textId="77777777" w:rsidR="00A7460C" w:rsidRDefault="00A74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34E2D" w14:textId="77777777" w:rsidR="008F535F" w:rsidRDefault="008F535F" w:rsidP="00B706E4">
      <w:pPr>
        <w:spacing w:after="0" w:line="240" w:lineRule="auto"/>
      </w:pPr>
      <w:r>
        <w:separator/>
      </w:r>
    </w:p>
  </w:footnote>
  <w:footnote w:type="continuationSeparator" w:id="0">
    <w:p w14:paraId="428301F6" w14:textId="77777777" w:rsidR="008F535F" w:rsidRDefault="008F535F" w:rsidP="00B70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17C2" w14:textId="465A997A" w:rsidR="00A7460C" w:rsidRDefault="00A7460C">
    <w:pPr>
      <w:pStyle w:val="Header"/>
    </w:pPr>
    <w:r>
      <w:rPr>
        <w:noProof/>
      </w:rPr>
      <w:pict w14:anchorId="63657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2493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8E83" w14:textId="6C614CFE" w:rsidR="00A7460C" w:rsidRDefault="00A7460C">
    <w:pPr>
      <w:pStyle w:val="Header"/>
    </w:pPr>
    <w:r>
      <w:rPr>
        <w:noProof/>
      </w:rPr>
      <w:pict w14:anchorId="20E78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2493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088D" w14:textId="3014CE50" w:rsidR="00A7460C" w:rsidRDefault="00A7460C">
    <w:pPr>
      <w:pStyle w:val="Header"/>
    </w:pPr>
    <w:r>
      <w:rPr>
        <w:noProof/>
      </w:rPr>
      <w:pict w14:anchorId="6CB67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2493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03F79"/>
    <w:multiLevelType w:val="singleLevel"/>
    <w:tmpl w:val="67503F79"/>
    <w:lvl w:ilvl="0">
      <w:start w:val="1"/>
      <w:numFmt w:val="decimal"/>
      <w:suff w:val="space"/>
      <w:lvlText w:val="%1."/>
      <w:lvlJc w:val="left"/>
    </w:lvl>
  </w:abstractNum>
  <w:num w:numId="1" w16cid:durableId="145143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87"/>
    <w:rsid w:val="00020436"/>
    <w:rsid w:val="00041B27"/>
    <w:rsid w:val="00116D87"/>
    <w:rsid w:val="001257E8"/>
    <w:rsid w:val="001A4554"/>
    <w:rsid w:val="00277C56"/>
    <w:rsid w:val="002A5007"/>
    <w:rsid w:val="002E2ED1"/>
    <w:rsid w:val="00302C55"/>
    <w:rsid w:val="0031203E"/>
    <w:rsid w:val="006344CB"/>
    <w:rsid w:val="00736D9D"/>
    <w:rsid w:val="00747331"/>
    <w:rsid w:val="00893826"/>
    <w:rsid w:val="008F535F"/>
    <w:rsid w:val="008F70F0"/>
    <w:rsid w:val="009A4DFD"/>
    <w:rsid w:val="00A37720"/>
    <w:rsid w:val="00A606A6"/>
    <w:rsid w:val="00A7460C"/>
    <w:rsid w:val="00B706E4"/>
    <w:rsid w:val="00BD03F1"/>
    <w:rsid w:val="00C11754"/>
    <w:rsid w:val="00C22C1E"/>
    <w:rsid w:val="00C949B0"/>
    <w:rsid w:val="00D0036C"/>
    <w:rsid w:val="00DA1A87"/>
    <w:rsid w:val="00F00104"/>
    <w:rsid w:val="00F9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BCE31"/>
  <w15:chartTrackingRefBased/>
  <w15:docId w15:val="{17CDE5E7-85B3-44C2-B823-6EB22AF9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6E4"/>
  </w:style>
  <w:style w:type="paragraph" w:styleId="Footer">
    <w:name w:val="footer"/>
    <w:basedOn w:val="Normal"/>
    <w:link w:val="FooterChar"/>
    <w:uiPriority w:val="99"/>
    <w:unhideWhenUsed/>
    <w:rsid w:val="00B70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6E4"/>
  </w:style>
  <w:style w:type="paragraph" w:styleId="ListParagraph">
    <w:name w:val="List Paragraph"/>
    <w:basedOn w:val="Normal"/>
    <w:uiPriority w:val="34"/>
    <w:qFormat/>
    <w:rsid w:val="00B706E4"/>
    <w:pPr>
      <w:ind w:left="720"/>
      <w:contextualSpacing/>
    </w:pPr>
  </w:style>
  <w:style w:type="paragraph" w:styleId="NoSpacing">
    <w:name w:val="No Spacing"/>
    <w:uiPriority w:val="1"/>
    <w:qFormat/>
    <w:rsid w:val="0031203E"/>
    <w:pPr>
      <w:spacing w:after="0" w:line="240" w:lineRule="auto"/>
    </w:pPr>
    <w:rPr>
      <w:rFonts w:ascii="Calibri" w:eastAsia="Calibri" w:hAnsi="Calibri" w:cs="SimSun"/>
      <w14:ligatures w14:val="standardContextual"/>
    </w:rPr>
  </w:style>
  <w:style w:type="table" w:customStyle="1" w:styleId="ListTable6Colorful1">
    <w:name w:val="List Table 6 Colorful1"/>
    <w:basedOn w:val="TableNormal"/>
    <w:uiPriority w:val="51"/>
    <w:rsid w:val="0031203E"/>
    <w:pPr>
      <w:spacing w:after="0" w:line="240" w:lineRule="auto"/>
    </w:pPr>
    <w:rPr>
      <w:rFonts w:eastAsiaTheme="minorEastAsia"/>
      <w:color w:val="000000" w:themeColor="text1"/>
      <w:sz w:val="20"/>
      <w:szCs w:val="20"/>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qFormat/>
    <w:rsid w:val="00020436"/>
    <w:rPr>
      <w:color w:val="0563C1" w:themeColor="hyperlink"/>
      <w:u w:val="single"/>
    </w:rPr>
  </w:style>
  <w:style w:type="character" w:styleId="UnresolvedMention">
    <w:name w:val="Unresolved Mention"/>
    <w:basedOn w:val="DefaultParagraphFont"/>
    <w:uiPriority w:val="99"/>
    <w:semiHidden/>
    <w:unhideWhenUsed/>
    <w:rsid w:val="00116D87"/>
    <w:rPr>
      <w:color w:val="605E5C"/>
      <w:shd w:val="clear" w:color="auto" w:fill="E1DFDD"/>
    </w:rPr>
  </w:style>
  <w:style w:type="paragraph" w:customStyle="1" w:styleId="Author">
    <w:name w:val="Author"/>
    <w:basedOn w:val="Normal"/>
    <w:rsid w:val="00D0036C"/>
    <w:pPr>
      <w:spacing w:after="0" w:line="280" w:lineRule="exact"/>
      <w:jc w:val="right"/>
    </w:pPr>
    <w:rPr>
      <w:rFonts w:ascii="Helvetica" w:eastAsia="Times New Roman" w:hAnsi="Helvetica"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p.ugal.ro/ugaljournals/index.php/food/article/view/1151" TargetMode="External"/><Relationship Id="rId18" Type="http://schemas.openxmlformats.org/officeDocument/2006/relationships/hyperlink" Target="https://doi.org/10.1039/C3FO30317A" TargetMode="External"/><Relationship Id="rId26" Type="http://schemas.openxmlformats.org/officeDocument/2006/relationships/hyperlink" Target="https://doi.org/10.1016/j.ejim.2007.07.011" TargetMode="External"/><Relationship Id="rId39" Type="http://schemas.openxmlformats.org/officeDocument/2006/relationships/hyperlink" Target="https://doi.org/10.47750/pnr.2022.13.S07.567" TargetMode="External"/><Relationship Id="rId21" Type="http://schemas.openxmlformats.org/officeDocument/2006/relationships/hyperlink" Target="https://doi.org/10.1016/j.cnur.2018.05.004" TargetMode="External"/><Relationship Id="rId34" Type="http://schemas.openxmlformats.org/officeDocument/2006/relationships/hyperlink" Target="https://doi.org/10.1080/10408398.2021.1913400"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hyperlink" Target="https://doi.org/10.9734/ajbgmb/2023/v13i2291" TargetMode="External"/><Relationship Id="rId2" Type="http://schemas.openxmlformats.org/officeDocument/2006/relationships/styles" Target="styles.xml"/><Relationship Id="rId16" Type="http://schemas.openxmlformats.org/officeDocument/2006/relationships/hyperlink" Target="https://doi.org/10.3390/antiox10030364" TargetMode="External"/><Relationship Id="rId29" Type="http://schemas.openxmlformats.org/officeDocument/2006/relationships/hyperlink" Target="https://doi.org/10.4314/gjpas.v26i1.1" TargetMode="External"/><Relationship Id="rId11" Type="http://schemas.openxmlformats.org/officeDocument/2006/relationships/hyperlink" Target="https://doi.org/10.1007/978-3-031-21973-3_4-1" TargetMode="External"/><Relationship Id="rId24" Type="http://schemas.openxmlformats.org/officeDocument/2006/relationships/hyperlink" Target="https://doi.org/10.1152/advan.00121.2016" TargetMode="External"/><Relationship Id="rId32" Type="http://schemas.openxmlformats.org/officeDocument/2006/relationships/hyperlink" Target="https://doi.org/10.1186/s12879-019-4562-6" TargetMode="External"/><Relationship Id="rId37" Type="http://schemas.openxmlformats.org/officeDocument/2006/relationships/hyperlink" Target="https://doi.org/10.1016/j.mrgentox.2022.503481" TargetMode="External"/><Relationship Id="rId40" Type="http://schemas.openxmlformats.org/officeDocument/2006/relationships/hyperlink" Target="https://doi.org/10.1007/978-3-030-44578-2_3-1"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07/978-981-10-1469-7_3" TargetMode="External"/><Relationship Id="rId23" Type="http://schemas.openxmlformats.org/officeDocument/2006/relationships/hyperlink" Target="https://doi.org/10.1007/s00421-020-04546-8" TargetMode="External"/><Relationship Id="rId28" Type="http://schemas.openxmlformats.org/officeDocument/2006/relationships/hyperlink" Target="http://41.89.164.27:8080/xmlui/handle/123456789/911" TargetMode="External"/><Relationship Id="rId36" Type="http://schemas.openxmlformats.org/officeDocument/2006/relationships/hyperlink" Target="https://doi.org/10.1007/978-3-030-81304-8_49-1" TargetMode="External"/><Relationship Id="rId49" Type="http://schemas.openxmlformats.org/officeDocument/2006/relationships/theme" Target="theme/theme1.xml"/><Relationship Id="rId10" Type="http://schemas.openxmlformats.org/officeDocument/2006/relationships/hyperlink" Target="https://doi.org/10.3389/fphar.2021.596855" TargetMode="External"/><Relationship Id="rId19" Type="http://schemas.openxmlformats.org/officeDocument/2006/relationships/hyperlink" Target="https://doi.org/10.1007/978-1-4939-9861-6_46" TargetMode="External"/><Relationship Id="rId31" Type="http://schemas.openxmlformats.org/officeDocument/2006/relationships/hyperlink" Target="https://doi.org/10.1016/j.sajb.2020.07.003"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j.mrgentox.2022.503481" TargetMode="External"/><Relationship Id="rId14" Type="http://schemas.openxmlformats.org/officeDocument/2006/relationships/hyperlink" Target="https://doi.org/10.1016/j.sajb.2024.01.047" TargetMode="External"/><Relationship Id="rId22" Type="http://schemas.openxmlformats.org/officeDocument/2006/relationships/hyperlink" Target="https://doi.org/10.1161/CIRCULATIONAHA.115.018526" TargetMode="External"/><Relationship Id="rId27" Type="http://schemas.openxmlformats.org/officeDocument/2006/relationships/hyperlink" Target="https://doi.org/10.1186/1472-6882-12-204" TargetMode="External"/><Relationship Id="rId30" Type="http://schemas.openxmlformats.org/officeDocument/2006/relationships/hyperlink" Target="https://dx.doi.org/10.21608/ejh.2019.28760" TargetMode="External"/><Relationship Id="rId35" Type="http://schemas.openxmlformats.org/officeDocument/2006/relationships/hyperlink" Target="https://doi.org/10.3390/stresses2030019"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s://doi.org/10.26538/tjnpr/v9i2.40" TargetMode="External"/><Relationship Id="rId3" Type="http://schemas.openxmlformats.org/officeDocument/2006/relationships/settings" Target="settings.xml"/><Relationship Id="rId12" Type="http://schemas.openxmlformats.org/officeDocument/2006/relationships/hyperlink" Target="https://doi.org/10.1089/ars.2016.6665" TargetMode="External"/><Relationship Id="rId17" Type="http://schemas.openxmlformats.org/officeDocument/2006/relationships/hyperlink" Target="https://doi.org/10.1080/01480545.2019.1598428" TargetMode="External"/><Relationship Id="rId25" Type="http://schemas.openxmlformats.org/officeDocument/2006/relationships/hyperlink" Target="http://doi.org/10.38177/AJBSR.2024.6403" TargetMode="External"/><Relationship Id="rId33" Type="http://schemas.openxmlformats.org/officeDocument/2006/relationships/hyperlink" Target="https://doi.org/10.1016/j.ajme.2017.09.001" TargetMode="External"/><Relationship Id="rId38" Type="http://schemas.openxmlformats.org/officeDocument/2006/relationships/hyperlink" Target="https://doi.org/10.1007/s00253-015-7162-4" TargetMode="External"/><Relationship Id="rId46" Type="http://schemas.openxmlformats.org/officeDocument/2006/relationships/header" Target="header3.xml"/><Relationship Id="rId20" Type="http://schemas.openxmlformats.org/officeDocument/2006/relationships/hyperlink" Target="https://doi.org/10.3923/tmr.2024.124.135" TargetMode="External"/><Relationship Id="rId41" Type="http://schemas.openxmlformats.org/officeDocument/2006/relationships/hyperlink" Target="http://www.ifrj.upm.edu.my"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12</Pages>
  <Words>4929</Words>
  <Characters>28098</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SDI 1084</cp:lastModifiedBy>
  <cp:revision>11</cp:revision>
  <dcterms:created xsi:type="dcterms:W3CDTF">2026-10-07T18:53:00Z</dcterms:created>
  <dcterms:modified xsi:type="dcterms:W3CDTF">2026-10-12T12:48:00Z</dcterms:modified>
</cp:coreProperties>
</file>