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DD6B7" w14:textId="77777777" w:rsidR="008113D8" w:rsidRDefault="008113D8" w:rsidP="008113D8">
      <w:pPr>
        <w:jc w:val="center"/>
      </w:pPr>
      <w:r>
        <w:rPr>
          <w:b/>
        </w:rPr>
        <w:t>Review Article</w:t>
      </w:r>
    </w:p>
    <w:p w14:paraId="1887BD28" w14:textId="77777777" w:rsidR="008113D8" w:rsidRDefault="008113D8" w:rsidP="00196B4E">
      <w:pPr>
        <w:pStyle w:val="Title"/>
        <w:jc w:val="center"/>
        <w:rPr>
          <w:b/>
        </w:rPr>
      </w:pPr>
    </w:p>
    <w:p w14:paraId="11523957" w14:textId="04E32178" w:rsidR="00F90A15" w:rsidRDefault="00000000" w:rsidP="00196B4E">
      <w:pPr>
        <w:pStyle w:val="Title"/>
        <w:jc w:val="center"/>
      </w:pPr>
      <w:r>
        <w:rPr>
          <w:b/>
        </w:rPr>
        <w:t>Sucking insect pests of mulberry and their integrated management for sustainable sericulture</w:t>
      </w:r>
    </w:p>
    <w:p w14:paraId="4208FD47" w14:textId="77777777" w:rsidR="00F90A15" w:rsidRDefault="00000000">
      <w:pPr>
        <w:pStyle w:val="Heading1"/>
      </w:pPr>
      <w:r>
        <w:t>Abstract</w:t>
      </w:r>
    </w:p>
    <w:p w14:paraId="7F34EAB5" w14:textId="77777777" w:rsidR="00273EAF" w:rsidRDefault="00273EAF">
      <w:r w:rsidRPr="00273EAF">
        <w:t xml:space="preserve">Sap-feeding and cell-content-feeding insects are a threat to the production of mulberry leaves for Bombyx mori rearing, reducing leaf availability and suitability as feed. This review article focuses on aphids, thrips, whiteflies, pink hibiscus mealybug and papaya mealybug with special reference to Indian sericulture and developments reported during 2024–2026. Established observations were identified from published taxonomic studies, pest-management experiments and institutional pest reports and recommendations were identified that require local validation. The synthesis identifies three priorities for management: reliable species identification, conservation of natural enemies and protection of silkworms from pesticide residues. Recent studies have shown that the complex of thrips species associated with the mulberry in southern India includes </w:t>
      </w:r>
      <w:proofErr w:type="spellStart"/>
      <w:r w:rsidRPr="00273EAF">
        <w:t>Pseudodendrothrips</w:t>
      </w:r>
      <w:proofErr w:type="spellEnd"/>
      <w:r w:rsidRPr="00273EAF">
        <w:t xml:space="preserve"> </w:t>
      </w:r>
      <w:proofErr w:type="spellStart"/>
      <w:r w:rsidRPr="00273EAF">
        <w:t>darci</w:t>
      </w:r>
      <w:proofErr w:type="spellEnd"/>
      <w:r w:rsidRPr="00273EAF">
        <w:t xml:space="preserve"> and several other species, so that it is not possible to routinely attribute all thrips injury to the mulberry to </w:t>
      </w:r>
      <w:proofErr w:type="spellStart"/>
      <w:r w:rsidRPr="00273EAF">
        <w:t>Pseudodendrothrips</w:t>
      </w:r>
      <w:proofErr w:type="spellEnd"/>
      <w:r w:rsidRPr="00273EAF">
        <w:t xml:space="preserve"> mori. Classical biological control remains critical to </w:t>
      </w:r>
      <w:proofErr w:type="spellStart"/>
      <w:r w:rsidRPr="00273EAF">
        <w:t>Paracoccus</w:t>
      </w:r>
      <w:proofErr w:type="spellEnd"/>
      <w:r w:rsidRPr="00273EAF">
        <w:t xml:space="preserve"> marginatus. Recent pesticide trials emphasize the necessity of evaluating both field efficacy and subsequent silkworm performance. Hyperspectral monitoring could be a useful tool to detect leaf stress, but needs to be validated against non-pest stresses and independent field observations. An integrated program should comprise clean planting material, regular scouting, selective sanitation, balanced crop nutrition and species-appropriate biological control. Chemical control under current crop-use authorizations and a validated interval before feeding treated foliage to silkworms is necessary. Taxonomically verified surveillance, crop specific action thresholds and replicated studies linking pest density, usable leaf yield, residues and cocoon traits are major research needs.</w:t>
      </w:r>
    </w:p>
    <w:p w14:paraId="2C24BCC5" w14:textId="68D6F0C2" w:rsidR="00F90A15" w:rsidRDefault="00000000">
      <w:r w:rsidRPr="00A37425">
        <w:rPr>
          <w:b/>
          <w:bCs/>
        </w:rPr>
        <w:t>Keywords:</w:t>
      </w:r>
      <w:r>
        <w:t xml:space="preserve"> Mulberry</w:t>
      </w:r>
      <w:r w:rsidR="00273EAF">
        <w:t>,</w:t>
      </w:r>
      <w:r>
        <w:t xml:space="preserve"> sucking insects</w:t>
      </w:r>
      <w:r w:rsidR="00273EAF">
        <w:t>,</w:t>
      </w:r>
      <w:r>
        <w:t xml:space="preserve"> thrips</w:t>
      </w:r>
      <w:r w:rsidR="00273EAF">
        <w:t>,</w:t>
      </w:r>
      <w:r>
        <w:t xml:space="preserve"> mealybugs</w:t>
      </w:r>
      <w:r w:rsidR="00273EAF">
        <w:t>,</w:t>
      </w:r>
      <w:r>
        <w:t xml:space="preserve"> biological control</w:t>
      </w:r>
      <w:r w:rsidR="00273EAF">
        <w:t>,</w:t>
      </w:r>
      <w:r>
        <w:t xml:space="preserve"> silkworm safety</w:t>
      </w:r>
      <w:r w:rsidR="00273EAF">
        <w:t xml:space="preserve"> and </w:t>
      </w:r>
      <w:r>
        <w:t>integrated pest management</w:t>
      </w:r>
    </w:p>
    <w:p w14:paraId="186A9707" w14:textId="77777777" w:rsidR="00F90A15" w:rsidRDefault="00000000">
      <w:pPr>
        <w:pStyle w:val="Heading1"/>
      </w:pPr>
      <w:r>
        <w:lastRenderedPageBreak/>
        <w:t>1. Introduction</w:t>
      </w:r>
    </w:p>
    <w:p w14:paraId="7108E195" w14:textId="77777777" w:rsidR="00273EAF" w:rsidRPr="00273EAF" w:rsidRDefault="00273EAF" w:rsidP="00273EAF">
      <w:pPr>
        <w:pStyle w:val="Heading1"/>
        <w:rPr>
          <w:b w:val="0"/>
          <w:bCs w:val="0"/>
          <w:szCs w:val="22"/>
        </w:rPr>
      </w:pPr>
      <w:r w:rsidRPr="00273EAF">
        <w:rPr>
          <w:b w:val="0"/>
          <w:bCs w:val="0"/>
          <w:szCs w:val="22"/>
        </w:rPr>
        <w:t>Mulberry is the primary cultivated source of leaves for feeding domestic silkworms. The crop protection in this production system has two related objectives, to guaranty an adequate supply of usable leaves and to make sure that the foliage harvested encourages healthy silkworm development. A treatment which reduces pest abundance but leaves hazardous residues can be counter-productive to leaf production. Decisions thus have to relate the observations in the mulberry garden to the timing of leaf harvest and rearing operations.</w:t>
      </w:r>
    </w:p>
    <w:p w14:paraId="7CC2F9F3" w14:textId="77777777" w:rsidR="00273EAF" w:rsidRPr="00273EAF" w:rsidRDefault="00273EAF" w:rsidP="00273EAF">
      <w:pPr>
        <w:pStyle w:val="Heading1"/>
        <w:rPr>
          <w:b w:val="0"/>
          <w:bCs w:val="0"/>
          <w:szCs w:val="22"/>
        </w:rPr>
      </w:pPr>
      <w:r w:rsidRPr="00273EAF">
        <w:rPr>
          <w:b w:val="0"/>
          <w:bCs w:val="0"/>
          <w:szCs w:val="22"/>
        </w:rPr>
        <w:t>Sucking pests is a term used for pests that feed differently. Aphids, whiteflies and mealybugs are hemipterans that use piercing stylets to get plant fluids and thrips puncture tissues and extract cell contents. These differences influence symptoms and sampling. Honeydew and associated sooty mold are prominent with many hemipterans while, with thrips injury, silvering, bronzing and distortion are common (Mound, 2005; Central Silk Board, n.d.).</w:t>
      </w:r>
    </w:p>
    <w:p w14:paraId="59DD84C2" w14:textId="77777777" w:rsidR="00273EAF" w:rsidRDefault="00273EAF" w:rsidP="00273EAF">
      <w:pPr>
        <w:pStyle w:val="Heading1"/>
        <w:rPr>
          <w:b w:val="0"/>
          <w:bCs w:val="0"/>
          <w:szCs w:val="22"/>
        </w:rPr>
      </w:pPr>
      <w:r w:rsidRPr="00273EAF">
        <w:rPr>
          <w:b w:val="0"/>
          <w:bCs w:val="0"/>
          <w:szCs w:val="22"/>
        </w:rPr>
        <w:t xml:space="preserve">New identifications and invasive-pest records necessitate a re-evaluation of mulberry-pest descriptions on a species basis. Specifically, a southern Indian investigation challenged the assumption that one named thrips species </w:t>
      </w:r>
      <w:proofErr w:type="gramStart"/>
      <w:r w:rsidRPr="00273EAF">
        <w:rPr>
          <w:b w:val="0"/>
          <w:bCs w:val="0"/>
          <w:szCs w:val="22"/>
        </w:rPr>
        <w:t>accounts</w:t>
      </w:r>
      <w:proofErr w:type="gramEnd"/>
      <w:r w:rsidRPr="00273EAF">
        <w:rPr>
          <w:b w:val="0"/>
          <w:bCs w:val="0"/>
          <w:szCs w:val="22"/>
        </w:rPr>
        <w:t xml:space="preserve"> for the local pest complex (</w:t>
      </w:r>
      <w:proofErr w:type="spellStart"/>
      <w:r w:rsidRPr="00273EAF">
        <w:rPr>
          <w:b w:val="0"/>
          <w:bCs w:val="0"/>
          <w:szCs w:val="22"/>
        </w:rPr>
        <w:t>Sreerama</w:t>
      </w:r>
      <w:proofErr w:type="spellEnd"/>
      <w:r w:rsidRPr="00273EAF">
        <w:rPr>
          <w:b w:val="0"/>
          <w:bCs w:val="0"/>
          <w:szCs w:val="22"/>
        </w:rPr>
        <w:t xml:space="preserve"> Kumar et al., 2024). This review synthesizes major groups and evaluates recent evidence and develops practical priorities for management. It does not present new experimental results or an estimate of a pooled yield-loss percentage.</w:t>
      </w:r>
    </w:p>
    <w:p w14:paraId="507C423D" w14:textId="0065BBAD" w:rsidR="00F90A15" w:rsidRDefault="00000000" w:rsidP="00273EAF">
      <w:pPr>
        <w:pStyle w:val="Heading1"/>
      </w:pPr>
      <w:r>
        <w:t>2. Review scope and evidence appraisal</w:t>
      </w:r>
    </w:p>
    <w:p w14:paraId="4A0604BD" w14:textId="77777777" w:rsidR="00F90A15" w:rsidRDefault="00000000">
      <w:pPr>
        <w:pStyle w:val="Heading2"/>
      </w:pPr>
      <w:r>
        <w:t>2.1 Review scope and literature selection</w:t>
      </w:r>
    </w:p>
    <w:p w14:paraId="63F093AF" w14:textId="77777777" w:rsidR="00F90A15" w:rsidRDefault="00000000">
      <w:r>
        <w:t xml:space="preserve">This is a focused narrative review rather than a systematic review or meta-analysis. The supplied manuscript was reassessed using targeted web searches and publisher or institutional sources accessible on 3 October 2026. Search terms combined mulberry or </w:t>
      </w:r>
      <w:r>
        <w:rPr>
          <w:i/>
        </w:rPr>
        <w:t>Morus</w:t>
      </w:r>
      <w:r>
        <w:t xml:space="preserve"> with sucking pests, thrips, whitefly, mealybug, biological control, silkworm safety and hyperspectral monitoring. Recent additions were selected from 2024–2026 publications and official pest reports; older sources were retained where they supported foundational biology or direct mulberry evidence.</w:t>
      </w:r>
    </w:p>
    <w:p w14:paraId="1F5E964A" w14:textId="77777777" w:rsidR="00F90A15" w:rsidRDefault="00000000">
      <w:pPr>
        <w:pStyle w:val="Heading2"/>
      </w:pPr>
      <w:r>
        <w:t>2.2 Evidence appraisal and limitations</w:t>
      </w:r>
    </w:p>
    <w:p w14:paraId="0AB85613" w14:textId="77777777" w:rsidR="00F90A15" w:rsidRDefault="00000000">
      <w:r>
        <w:t>Sources were evaluated for pest identity, host crop, location, experimental setting and relevance to silkworm feeding. Taxonomic studies were used to qualify historical species records. Official pest reports were interpreted as geographically and temporally bounded assessments. Results from laboratory or limited field trials were not treated as proof of universal field performance, a legally approved pesticide use or a general safe feeding interval. The selected evidence is summarized in Table 2. No exhaustive database search, formal risk-of-bias scoring or quantitative synthesis was undertaken.</w:t>
      </w:r>
    </w:p>
    <w:p w14:paraId="5CCACB6D" w14:textId="77777777" w:rsidR="00F90A15" w:rsidRDefault="00000000">
      <w:pPr>
        <w:pStyle w:val="Heading1"/>
      </w:pPr>
      <w:r>
        <w:t>3. Pest identity and biological characteristics</w:t>
      </w:r>
    </w:p>
    <w:p w14:paraId="6AEAFB19" w14:textId="77777777" w:rsidR="00F90A15" w:rsidRDefault="00000000">
      <w:r>
        <w:t xml:space="preserve">Table 1 summarizes the principal groups discussed here. It is a diagnostic guide for scouting, not an identification key. Similar symptoms can have different causes, and species </w:t>
      </w:r>
      <w:r>
        <w:lastRenderedPageBreak/>
        <w:t>confirmation may require mounted specimens and expert examination. The relative importance of each group varies among locations and pruning cycles.</w:t>
      </w:r>
    </w:p>
    <w:p w14:paraId="53AFDA81" w14:textId="77777777" w:rsidR="00F90A15" w:rsidRDefault="00000000">
      <w:pPr>
        <w:pStyle w:val="Heading2"/>
      </w:pPr>
      <w:r>
        <w:t>3.1 Aphids</w:t>
      </w:r>
    </w:p>
    <w:p w14:paraId="1C5E5A69" w14:textId="77777777" w:rsidR="00F90A15" w:rsidRDefault="00000000">
      <w:r>
        <w:rPr>
          <w:i/>
        </w:rPr>
        <w:t>Aphis gossypii</w:t>
      </w:r>
      <w:r>
        <w:t xml:space="preserve"> is a widely distributed, polyphagous aphid relevant to crop surveillance. Colonies on tender growth should be identified rather than assigned to this species solely from their </w:t>
      </w:r>
      <w:proofErr w:type="spellStart"/>
      <w:r>
        <w:t>colour</w:t>
      </w:r>
      <w:proofErr w:type="spellEnd"/>
      <w:r>
        <w:t>. Small, soft-bodied aphids typically occur as wingless colonizing forms and winged dispersal forms. Their paired abdominal cornicles are useful recognition characters; honeydew is excreted through the anus, not secreted by the cornicles or cauda (Cocuzza, 2024).</w:t>
      </w:r>
    </w:p>
    <w:p w14:paraId="6ABF35EC" w14:textId="77777777" w:rsidR="00F90A15" w:rsidRDefault="00000000">
      <w:r>
        <w:t>Aphids develop through nymphal instars without a pupal stage. Viviparous parthenogenesis can enable rapid colony growth under suitable conditions, but reproductive rates depend on the host and environment. Feeding is associated with leaf curling, chlorosis and honeydew contamination. Their importance as vectors in other crops does not by itself establish transmission of a specific mulberry pathogen. Mulberry surveys should record aphid identity, abundance and symptoms before inferring either economic importance or a vector relationship.</w:t>
      </w:r>
    </w:p>
    <w:p w14:paraId="44849F63" w14:textId="77777777" w:rsidR="00F90A15" w:rsidRDefault="00000000">
      <w:r>
        <w:t xml:space="preserve">Aphid wing and reproductive </w:t>
      </w:r>
      <w:proofErr w:type="spellStart"/>
      <w:r>
        <w:t>polyphenisms</w:t>
      </w:r>
      <w:proofErr w:type="spellEnd"/>
      <w:r>
        <w:t xml:space="preserve"> are linked to environmental signals and maternal developmental regulation. Viviparity can connect maternal conditions with developing offspring, providing a biological explanation for rapid changes in colony structure. These general aphid mechanisms should be distinguished from measured population-growth rates on mulberry (Ogawa &amp; Miura, 2014).</w:t>
      </w:r>
    </w:p>
    <w:p w14:paraId="2EE36E16" w14:textId="77777777" w:rsidR="00F90A15" w:rsidRDefault="00000000">
      <w:pPr>
        <w:pStyle w:val="Heading2"/>
      </w:pPr>
      <w:r>
        <w:t>3.2 Thrips and the changing species complex</w:t>
      </w:r>
    </w:p>
    <w:p w14:paraId="660302A7" w14:textId="77777777" w:rsidR="00F90A15" w:rsidRDefault="00000000">
      <w:r>
        <w:t xml:space="preserve">Older mulberry literature frequently names </w:t>
      </w:r>
      <w:proofErr w:type="spellStart"/>
      <w:r>
        <w:rPr>
          <w:i/>
        </w:rPr>
        <w:t>Pseudodendrothrips</w:t>
      </w:r>
      <w:proofErr w:type="spellEnd"/>
      <w:r>
        <w:rPr>
          <w:i/>
        </w:rPr>
        <w:t xml:space="preserve"> mori</w:t>
      </w:r>
      <w:r>
        <w:t xml:space="preserve">. However, examination of specimens collected in Andhra Pradesh, Karnataka and Tamil Nadu during 2017–2023 identified </w:t>
      </w:r>
      <w:proofErr w:type="spellStart"/>
      <w:r>
        <w:rPr>
          <w:i/>
        </w:rPr>
        <w:t>Pseudodendrothrips</w:t>
      </w:r>
      <w:proofErr w:type="spellEnd"/>
      <w:r>
        <w:rPr>
          <w:i/>
        </w:rPr>
        <w:t xml:space="preserve"> </w:t>
      </w:r>
      <w:proofErr w:type="spellStart"/>
      <w:r>
        <w:rPr>
          <w:i/>
        </w:rPr>
        <w:t>darci</w:t>
      </w:r>
      <w:proofErr w:type="spellEnd"/>
      <w:r>
        <w:t xml:space="preserve">, </w:t>
      </w:r>
      <w:proofErr w:type="spellStart"/>
      <w:r>
        <w:rPr>
          <w:i/>
        </w:rPr>
        <w:t>Bathrips</w:t>
      </w:r>
      <w:proofErr w:type="spellEnd"/>
      <w:r>
        <w:rPr>
          <w:i/>
        </w:rPr>
        <w:t xml:space="preserve"> </w:t>
      </w:r>
      <w:proofErr w:type="spellStart"/>
      <w:r>
        <w:rPr>
          <w:i/>
        </w:rPr>
        <w:t>melanicornis</w:t>
      </w:r>
      <w:proofErr w:type="spellEnd"/>
      <w:r>
        <w:t xml:space="preserve">, </w:t>
      </w:r>
      <w:proofErr w:type="spellStart"/>
      <w:r>
        <w:rPr>
          <w:i/>
        </w:rPr>
        <w:t>Scirtothrips</w:t>
      </w:r>
      <w:proofErr w:type="spellEnd"/>
      <w:r>
        <w:rPr>
          <w:i/>
        </w:rPr>
        <w:t xml:space="preserve"> dorsalis</w:t>
      </w:r>
      <w:r>
        <w:t xml:space="preserve">, </w:t>
      </w:r>
      <w:r>
        <w:rPr>
          <w:i/>
        </w:rPr>
        <w:t>Thrips palmi</w:t>
      </w:r>
      <w:r>
        <w:t xml:space="preserve"> and </w:t>
      </w:r>
      <w:r>
        <w:rPr>
          <w:i/>
        </w:rPr>
        <w:t xml:space="preserve">Thrips </w:t>
      </w:r>
      <w:proofErr w:type="spellStart"/>
      <w:r>
        <w:rPr>
          <w:i/>
        </w:rPr>
        <w:t>parvispinus</w:t>
      </w:r>
      <w:proofErr w:type="spellEnd"/>
      <w:r>
        <w:t xml:space="preserve">. </w:t>
      </w:r>
      <w:proofErr w:type="spellStart"/>
      <w:r>
        <w:rPr>
          <w:i/>
        </w:rPr>
        <w:t>Pseudodendrothrips</w:t>
      </w:r>
      <w:proofErr w:type="spellEnd"/>
      <w:r>
        <w:rPr>
          <w:i/>
        </w:rPr>
        <w:t xml:space="preserve"> </w:t>
      </w:r>
      <w:proofErr w:type="spellStart"/>
      <w:r>
        <w:rPr>
          <w:i/>
        </w:rPr>
        <w:t>darci</w:t>
      </w:r>
      <w:proofErr w:type="spellEnd"/>
      <w:r>
        <w:t xml:space="preserve"> was the most common species across the surveyed states. The same study discusses correction of an earlier </w:t>
      </w:r>
      <w:proofErr w:type="spellStart"/>
      <w:r>
        <w:rPr>
          <w:i/>
        </w:rPr>
        <w:t>Pseudodendrothrips</w:t>
      </w:r>
      <w:proofErr w:type="spellEnd"/>
      <w:r>
        <w:rPr>
          <w:i/>
        </w:rPr>
        <w:t xml:space="preserve"> </w:t>
      </w:r>
      <w:proofErr w:type="spellStart"/>
      <w:r>
        <w:rPr>
          <w:i/>
        </w:rPr>
        <w:t>bhattii</w:t>
      </w:r>
      <w:proofErr w:type="spellEnd"/>
      <w:r>
        <w:t xml:space="preserve"> record and the danger of presumed identifications (</w:t>
      </w:r>
      <w:proofErr w:type="spellStart"/>
      <w:r>
        <w:t>Sreerama</w:t>
      </w:r>
      <w:proofErr w:type="spellEnd"/>
      <w:r>
        <w:t xml:space="preserve"> Kumar et al., 2024).</w:t>
      </w:r>
    </w:p>
    <w:p w14:paraId="1C89B782" w14:textId="77777777" w:rsidR="00F90A15" w:rsidRDefault="00000000">
      <w:r>
        <w:t>Thrips have one pair of antennae and asymmetrical mouthparts, including a functional left mandible. Feeding larvae and adults damage leaf cells. Development includes eggs, two feeding larval instars and non-feeding prepupal and pupal stages before adulthood; it should not be described as simultaneous complete and incomplete metamorphosis. Developmental duration and the location of resting stages depend on species and conditions (Mound, 2005).</w:t>
      </w:r>
    </w:p>
    <w:p w14:paraId="6A51ACD9" w14:textId="77777777" w:rsidR="00F90A15" w:rsidRDefault="00000000">
      <w:r>
        <w:t xml:space="preserve">Silvering, dark </w:t>
      </w:r>
      <w:proofErr w:type="spellStart"/>
      <w:r>
        <w:t>faecal</w:t>
      </w:r>
      <w:proofErr w:type="spellEnd"/>
      <w:r>
        <w:t xml:space="preserve"> specks, bronzing and distorted leaves are useful field indicators. In the recent southern Indian investigation, upward curling was associated with </w:t>
      </w:r>
      <w:proofErr w:type="spellStart"/>
      <w:r>
        <w:rPr>
          <w:i/>
        </w:rPr>
        <w:t>Pseudodendrothrips</w:t>
      </w:r>
      <w:proofErr w:type="spellEnd"/>
      <w:r>
        <w:rPr>
          <w:i/>
        </w:rPr>
        <w:t xml:space="preserve"> </w:t>
      </w:r>
      <w:proofErr w:type="spellStart"/>
      <w:r>
        <w:rPr>
          <w:i/>
        </w:rPr>
        <w:t>darci</w:t>
      </w:r>
      <w:proofErr w:type="spellEnd"/>
      <w:r>
        <w:t xml:space="preserve"> and downward curling with </w:t>
      </w:r>
      <w:r>
        <w:rPr>
          <w:i/>
        </w:rPr>
        <w:t xml:space="preserve">Thrips </w:t>
      </w:r>
      <w:proofErr w:type="spellStart"/>
      <w:r>
        <w:rPr>
          <w:i/>
        </w:rPr>
        <w:t>parvispinus</w:t>
      </w:r>
      <w:proofErr w:type="spellEnd"/>
      <w:r>
        <w:t xml:space="preserve"> at a mixed-infestation site. These associations guide specimen collection but do not replace identification. Management trials should preserve vouchers and state how identities were established (</w:t>
      </w:r>
      <w:proofErr w:type="spellStart"/>
      <w:r>
        <w:t>Sreerama</w:t>
      </w:r>
      <w:proofErr w:type="spellEnd"/>
      <w:r>
        <w:t xml:space="preserve"> Kumar et al., 2024).</w:t>
      </w:r>
    </w:p>
    <w:p w14:paraId="5A60EAA1" w14:textId="77777777" w:rsidR="00F90A15" w:rsidRDefault="00000000">
      <w:r>
        <w:t xml:space="preserve">Taxonomic revision provides direct support for reassessing historical records: Rachana et al. (2022) supplied an identification key to Indian </w:t>
      </w:r>
      <w:proofErr w:type="spellStart"/>
      <w:r>
        <w:rPr>
          <w:i/>
        </w:rPr>
        <w:t>Pseudodendrothrips</w:t>
      </w:r>
      <w:proofErr w:type="spellEnd"/>
      <w:r>
        <w:t xml:space="preserve"> and concluded that the Indian record of </w:t>
      </w:r>
      <w:proofErr w:type="spellStart"/>
      <w:r>
        <w:rPr>
          <w:i/>
        </w:rPr>
        <w:t>Pseudodendrothrips</w:t>
      </w:r>
      <w:proofErr w:type="spellEnd"/>
      <w:r>
        <w:rPr>
          <w:i/>
        </w:rPr>
        <w:t xml:space="preserve"> </w:t>
      </w:r>
      <w:proofErr w:type="spellStart"/>
      <w:r>
        <w:rPr>
          <w:i/>
        </w:rPr>
        <w:t>bhattii</w:t>
      </w:r>
      <w:proofErr w:type="spellEnd"/>
      <w:r>
        <w:t xml:space="preserve"> represented </w:t>
      </w:r>
      <w:proofErr w:type="spellStart"/>
      <w:r>
        <w:rPr>
          <w:i/>
        </w:rPr>
        <w:t>Pseudodendrothrips</w:t>
      </w:r>
      <w:proofErr w:type="spellEnd"/>
      <w:r>
        <w:rPr>
          <w:i/>
        </w:rPr>
        <w:t xml:space="preserve"> </w:t>
      </w:r>
      <w:proofErr w:type="spellStart"/>
      <w:r>
        <w:rPr>
          <w:i/>
        </w:rPr>
        <w:t>darci</w:t>
      </w:r>
      <w:proofErr w:type="spellEnd"/>
      <w:r>
        <w:t>. More broadly, the small size and concealed habits of thrips complicate early detection and facilitate movement with plants. Nursery inspection and accurate identification are therefore important components of invasive-thrips surveillance (Morse &amp; Hoddle, 2006).</w:t>
      </w:r>
    </w:p>
    <w:p w14:paraId="53160E9C" w14:textId="77777777" w:rsidR="00F90A15" w:rsidRDefault="00000000">
      <w:pPr>
        <w:pStyle w:val="Heading2"/>
      </w:pPr>
      <w:r>
        <w:lastRenderedPageBreak/>
        <w:t>3.3 Whiteflies</w:t>
      </w:r>
    </w:p>
    <w:p w14:paraId="103B54A3" w14:textId="77777777" w:rsidR="00F90A15" w:rsidRDefault="00000000">
      <w:r>
        <w:t xml:space="preserve">Mulberry whiteflies comprise a local species complex; </w:t>
      </w:r>
      <w:proofErr w:type="spellStart"/>
      <w:r>
        <w:rPr>
          <w:i/>
        </w:rPr>
        <w:t>Bemisia</w:t>
      </w:r>
      <w:proofErr w:type="spellEnd"/>
      <w:r>
        <w:rPr>
          <w:i/>
        </w:rPr>
        <w:t xml:space="preserve"> </w:t>
      </w:r>
      <w:proofErr w:type="spellStart"/>
      <w:r>
        <w:rPr>
          <w:i/>
        </w:rPr>
        <w:t>tabaci</w:t>
      </w:r>
      <w:proofErr w:type="spellEnd"/>
      <w:r>
        <w:t xml:space="preserve"> should not be assumed to be the principal species everywhere. Central Silk Board guidance documents </w:t>
      </w:r>
      <w:proofErr w:type="spellStart"/>
      <w:r>
        <w:rPr>
          <w:i/>
        </w:rPr>
        <w:t>Dialeuropora</w:t>
      </w:r>
      <w:proofErr w:type="spellEnd"/>
      <w:r>
        <w:rPr>
          <w:i/>
        </w:rPr>
        <w:t xml:space="preserve"> </w:t>
      </w:r>
      <w:proofErr w:type="spellStart"/>
      <w:r>
        <w:rPr>
          <w:i/>
        </w:rPr>
        <w:t>decempuncta</w:t>
      </w:r>
      <w:proofErr w:type="spellEnd"/>
      <w:r>
        <w:t xml:space="preserve"> on mulberry, and recent mulberry monitoring research includes </w:t>
      </w:r>
      <w:proofErr w:type="spellStart"/>
      <w:r>
        <w:rPr>
          <w:i/>
        </w:rPr>
        <w:t>Aleurodicus</w:t>
      </w:r>
      <w:proofErr w:type="spellEnd"/>
      <w:r>
        <w:rPr>
          <w:i/>
        </w:rPr>
        <w:t xml:space="preserve"> </w:t>
      </w:r>
      <w:proofErr w:type="spellStart"/>
      <w:r>
        <w:rPr>
          <w:i/>
        </w:rPr>
        <w:t>dispersus</w:t>
      </w:r>
      <w:proofErr w:type="spellEnd"/>
      <w:r>
        <w:t>. Both adult identity and immature-stage characters matter when distinguishing taxa (Central Silk Board, n.d.; Kalpana et al., 2026).</w:t>
      </w:r>
    </w:p>
    <w:p w14:paraId="4F2A9C26" w14:textId="77777777" w:rsidR="00F90A15" w:rsidRDefault="00000000">
      <w:r>
        <w:t xml:space="preserve">Adult whiteflies are small and wax-covered. Eggs and settled immature stages occur mainly on leaf undersides; the first-instar crawler disperses locally before later stages become relatively sedentary. Sap extraction, honeydew and sooty </w:t>
      </w:r>
      <w:proofErr w:type="spellStart"/>
      <w:r>
        <w:t>mould</w:t>
      </w:r>
      <w:proofErr w:type="spellEnd"/>
      <w:r>
        <w:t xml:space="preserve"> can reduce the suitability of leaves for rearing. </w:t>
      </w:r>
      <w:proofErr w:type="spellStart"/>
      <w:r>
        <w:t>Spiralling</w:t>
      </w:r>
      <w:proofErr w:type="spellEnd"/>
      <w:r>
        <w:t xml:space="preserve"> wax or egg arrangements are valuable clues for particular taxa but should not be generalized to every whitefly. Yellow sticky cards provide an adult-flight index and should be paired with direct counts on foliage.</w:t>
      </w:r>
    </w:p>
    <w:p w14:paraId="30B53AB8" w14:textId="77777777" w:rsidR="00F90A15" w:rsidRDefault="00000000">
      <w:r>
        <w:t xml:space="preserve">Even when </w:t>
      </w:r>
      <w:proofErr w:type="spellStart"/>
      <w:r>
        <w:rPr>
          <w:i/>
        </w:rPr>
        <w:t>Bemisia</w:t>
      </w:r>
      <w:proofErr w:type="spellEnd"/>
      <w:r>
        <w:rPr>
          <w:i/>
        </w:rPr>
        <w:t xml:space="preserve"> </w:t>
      </w:r>
      <w:proofErr w:type="spellStart"/>
      <w:r>
        <w:rPr>
          <w:i/>
        </w:rPr>
        <w:t>tabaci</w:t>
      </w:r>
      <w:proofErr w:type="spellEnd"/>
      <w:r>
        <w:t xml:space="preserve"> is confirmed, its name encompasses a complex of morphologically similar species rather than a single uniform biological entity. De Barro et al. (2011) explain why historical biotype terminology can obscure this diversity. Reports should state the basis of identification and avoid transferring insecticide susceptibility or vector competence between populations without supporting evidence.</w:t>
      </w:r>
    </w:p>
    <w:p w14:paraId="339A6150" w14:textId="77777777" w:rsidR="00F90A15" w:rsidRDefault="00000000">
      <w:pPr>
        <w:pStyle w:val="Heading2"/>
      </w:pPr>
      <w:r>
        <w:t>3.4 Pink hibiscus mealybug</w:t>
      </w:r>
    </w:p>
    <w:p w14:paraId="449403F1" w14:textId="77777777" w:rsidR="00F90A15" w:rsidRDefault="00000000">
      <w:proofErr w:type="spellStart"/>
      <w:r>
        <w:rPr>
          <w:i/>
        </w:rPr>
        <w:t>Maconellicoccus</w:t>
      </w:r>
      <w:proofErr w:type="spellEnd"/>
      <w:r>
        <w:rPr>
          <w:i/>
        </w:rPr>
        <w:t xml:space="preserve"> hirsutus</w:t>
      </w:r>
      <w:r>
        <w:t xml:space="preserve"> is a polyphagous </w:t>
      </w:r>
      <w:proofErr w:type="spellStart"/>
      <w:r>
        <w:t>pseudococcid</w:t>
      </w:r>
      <w:proofErr w:type="spellEnd"/>
      <w:r>
        <w:t xml:space="preserve"> associated with distorted tender shoots and compact, bunchy growth in mulberry. Females and feeding immatures are covered with wax, which can obscure body characters. Females continue feeding; adult males have reduced mouthparts and do not feed. (European and Mediterranean Plant Protection Organization [EPPO], 2026).</w:t>
      </w:r>
    </w:p>
    <w:p w14:paraId="7D681222" w14:textId="77777777" w:rsidR="00F90A15" w:rsidRDefault="00000000">
      <w:r>
        <w:t xml:space="preserve">Eggs occur within waxy ovisacs. Crawlers are important for dispersal and colonization, whereas later female stages are less mobile. Reproduction and generation length vary with location and conditions, so a single fecundity or lifespan value should not be transferred across studies. Planting material and nearby infested hosts can maintain infestations. Conservation or release of suitable natural enemies, including </w:t>
      </w:r>
      <w:r>
        <w:rPr>
          <w:i/>
        </w:rPr>
        <w:t xml:space="preserve">Cryptolaemus </w:t>
      </w:r>
      <w:proofErr w:type="spellStart"/>
      <w:r>
        <w:rPr>
          <w:i/>
        </w:rPr>
        <w:t>montrouzieri</w:t>
      </w:r>
      <w:proofErr w:type="spellEnd"/>
      <w:r>
        <w:t xml:space="preserve"> and </w:t>
      </w:r>
      <w:proofErr w:type="spellStart"/>
      <w:r>
        <w:rPr>
          <w:i/>
        </w:rPr>
        <w:t>Anagyrus</w:t>
      </w:r>
      <w:proofErr w:type="spellEnd"/>
      <w:r>
        <w:rPr>
          <w:i/>
        </w:rPr>
        <w:t xml:space="preserve"> </w:t>
      </w:r>
      <w:proofErr w:type="spellStart"/>
      <w:r>
        <w:rPr>
          <w:i/>
        </w:rPr>
        <w:t>kamali</w:t>
      </w:r>
      <w:proofErr w:type="spellEnd"/>
      <w:r>
        <w:t xml:space="preserve"> where available and appropriate, is preferable to repeated disruptive spraying (EPPO, 2026).</w:t>
      </w:r>
    </w:p>
    <w:p w14:paraId="1C8C9D89" w14:textId="77777777" w:rsidR="00F90A15" w:rsidRDefault="00000000">
      <w:pPr>
        <w:pStyle w:val="Heading2"/>
      </w:pPr>
      <w:r>
        <w:t>3.5 Papaya mealybug</w:t>
      </w:r>
    </w:p>
    <w:p w14:paraId="59845BEC" w14:textId="77777777" w:rsidR="00F90A15" w:rsidRDefault="00000000">
      <w:proofErr w:type="spellStart"/>
      <w:r>
        <w:rPr>
          <w:i/>
        </w:rPr>
        <w:t>Paracoccus</w:t>
      </w:r>
      <w:proofErr w:type="spellEnd"/>
      <w:r>
        <w:rPr>
          <w:i/>
        </w:rPr>
        <w:t xml:space="preserve"> marginatus</w:t>
      </w:r>
      <w:r>
        <w:t xml:space="preserve"> is a separate species that must be distinguished from pink hibiscus mealybug. The female is typically yellowish beneath its wax covering, but species confirmation requires diagnostic characters rather than body </w:t>
      </w:r>
      <w:proofErr w:type="spellStart"/>
      <w:r>
        <w:t>colour</w:t>
      </w:r>
      <w:proofErr w:type="spellEnd"/>
      <w:r>
        <w:t xml:space="preserve"> alone. Feeding females and nymphs occupy leaves and tender shoots; males do not feed. Mulberry is among the hosts listed in India’s official pest report (Government of India, 2024).</w:t>
      </w:r>
    </w:p>
    <w:p w14:paraId="45C74DB1" w14:textId="77777777" w:rsidR="00F90A15" w:rsidRDefault="00000000">
      <w:r>
        <w:t>The Indian report records initial detection on papaya in Coimbatore in 2008 and subsequent spread to other states. Its July 2024 assessment states that biological control had suppressed the pest below economic threshold levels in reported areas. This is evidence of successful suppression at the reporting scale, not assurance that an individual mulberry garden cannot experience renewed infestation. Continued scouting and conservation of established parasitoids remain necessary (Government of India, 2024).</w:t>
      </w:r>
    </w:p>
    <w:p w14:paraId="09FC5ACB" w14:textId="77777777" w:rsidR="00F90A15" w:rsidRDefault="00000000">
      <w:pPr>
        <w:keepNext/>
        <w:spacing w:line="480" w:lineRule="auto"/>
      </w:pPr>
      <w:r>
        <w:lastRenderedPageBreak/>
        <w:t>Table 1 Principal sucking insect groups and field recognition priorities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8"/>
        <w:gridCol w:w="3168"/>
        <w:gridCol w:w="3024"/>
      </w:tblGrid>
      <w:tr w:rsidR="00F90A15" w14:paraId="77891334" w14:textId="77777777" w:rsidTr="000F51C1">
        <w:trPr>
          <w:cantSplit/>
          <w:tblHeader/>
        </w:trPr>
        <w:tc>
          <w:tcPr>
            <w:tcW w:w="3168" w:type="dxa"/>
          </w:tcPr>
          <w:p w14:paraId="3133C8E8" w14:textId="77777777" w:rsidR="00F90A15" w:rsidRDefault="00000000">
            <w:pPr>
              <w:spacing w:after="60" w:line="480" w:lineRule="auto"/>
              <w:jc w:val="left"/>
            </w:pPr>
            <w:r>
              <w:rPr>
                <w:b/>
              </w:rPr>
              <w:t>Group and examples</w:t>
            </w:r>
          </w:p>
        </w:tc>
        <w:tc>
          <w:tcPr>
            <w:tcW w:w="3168" w:type="dxa"/>
          </w:tcPr>
          <w:p w14:paraId="2AAF37BC" w14:textId="77777777" w:rsidR="00F90A15" w:rsidRDefault="00000000">
            <w:pPr>
              <w:spacing w:after="60" w:line="480" w:lineRule="auto"/>
              <w:jc w:val="left"/>
            </w:pPr>
            <w:r>
              <w:rPr>
                <w:b/>
              </w:rPr>
              <w:t>Main injury indicators</w:t>
            </w:r>
          </w:p>
        </w:tc>
        <w:tc>
          <w:tcPr>
            <w:tcW w:w="3024" w:type="dxa"/>
          </w:tcPr>
          <w:p w14:paraId="1EF9FDC4" w14:textId="77777777" w:rsidR="00F90A15" w:rsidRDefault="00000000">
            <w:pPr>
              <w:spacing w:after="60" w:line="480" w:lineRule="auto"/>
              <w:jc w:val="left"/>
            </w:pPr>
            <w:r>
              <w:rPr>
                <w:b/>
              </w:rPr>
              <w:t>Confirmation priority</w:t>
            </w:r>
          </w:p>
        </w:tc>
      </w:tr>
      <w:tr w:rsidR="00F90A15" w14:paraId="1274F39F" w14:textId="77777777" w:rsidTr="000F51C1">
        <w:trPr>
          <w:cantSplit/>
        </w:trPr>
        <w:tc>
          <w:tcPr>
            <w:tcW w:w="3168" w:type="dxa"/>
          </w:tcPr>
          <w:p w14:paraId="60B2AB46" w14:textId="77777777" w:rsidR="00F90A15" w:rsidRDefault="00000000">
            <w:pPr>
              <w:spacing w:after="60" w:line="480" w:lineRule="auto"/>
              <w:jc w:val="left"/>
            </w:pPr>
            <w:r>
              <w:t xml:space="preserve">Aphids such as </w:t>
            </w:r>
            <w:r>
              <w:rPr>
                <w:i/>
              </w:rPr>
              <w:t>Aphis gossypii</w:t>
            </w:r>
          </w:p>
        </w:tc>
        <w:tc>
          <w:tcPr>
            <w:tcW w:w="3168" w:type="dxa"/>
          </w:tcPr>
          <w:p w14:paraId="41618029" w14:textId="77777777" w:rsidR="00F90A15" w:rsidRDefault="00000000">
            <w:pPr>
              <w:spacing w:after="60" w:line="480" w:lineRule="auto"/>
              <w:jc w:val="left"/>
            </w:pPr>
            <w:r>
              <w:t>Colonies on young growth; curling and honeydew</w:t>
            </w:r>
          </w:p>
        </w:tc>
        <w:tc>
          <w:tcPr>
            <w:tcW w:w="3024" w:type="dxa"/>
          </w:tcPr>
          <w:p w14:paraId="547E75AB" w14:textId="77777777" w:rsidR="00F90A15" w:rsidRDefault="00000000">
            <w:pPr>
              <w:spacing w:after="60" w:line="480" w:lineRule="auto"/>
              <w:jc w:val="left"/>
            </w:pPr>
            <w:r>
              <w:t xml:space="preserve">Use aphid morphology; do not rely on </w:t>
            </w:r>
            <w:proofErr w:type="spellStart"/>
            <w:r>
              <w:t>colour</w:t>
            </w:r>
            <w:proofErr w:type="spellEnd"/>
          </w:p>
        </w:tc>
      </w:tr>
      <w:tr w:rsidR="00F90A15" w14:paraId="22FBB960" w14:textId="77777777" w:rsidTr="000F51C1">
        <w:trPr>
          <w:cantSplit/>
        </w:trPr>
        <w:tc>
          <w:tcPr>
            <w:tcW w:w="3168" w:type="dxa"/>
          </w:tcPr>
          <w:p w14:paraId="2BB2CDB7" w14:textId="77777777" w:rsidR="00F90A15" w:rsidRDefault="00000000">
            <w:pPr>
              <w:spacing w:after="60" w:line="480" w:lineRule="auto"/>
              <w:jc w:val="left"/>
            </w:pPr>
            <w:r>
              <w:t xml:space="preserve">Thrips including </w:t>
            </w:r>
            <w:proofErr w:type="spellStart"/>
            <w:r>
              <w:rPr>
                <w:i/>
              </w:rPr>
              <w:t>Pseudodendrothrips</w:t>
            </w:r>
            <w:proofErr w:type="spellEnd"/>
            <w:r>
              <w:rPr>
                <w:i/>
              </w:rPr>
              <w:t xml:space="preserve"> </w:t>
            </w:r>
            <w:proofErr w:type="spellStart"/>
            <w:r>
              <w:rPr>
                <w:i/>
              </w:rPr>
              <w:t>darci</w:t>
            </w:r>
            <w:proofErr w:type="spellEnd"/>
            <w:r>
              <w:t xml:space="preserve"> and </w:t>
            </w:r>
            <w:r>
              <w:rPr>
                <w:i/>
              </w:rPr>
              <w:t xml:space="preserve">Thrips </w:t>
            </w:r>
            <w:proofErr w:type="spellStart"/>
            <w:r>
              <w:rPr>
                <w:i/>
              </w:rPr>
              <w:t>parvispinus</w:t>
            </w:r>
            <w:proofErr w:type="spellEnd"/>
          </w:p>
        </w:tc>
        <w:tc>
          <w:tcPr>
            <w:tcW w:w="3168" w:type="dxa"/>
          </w:tcPr>
          <w:p w14:paraId="058AACBE" w14:textId="77777777" w:rsidR="00F90A15" w:rsidRDefault="00000000">
            <w:pPr>
              <w:spacing w:after="60" w:line="480" w:lineRule="auto"/>
              <w:jc w:val="left"/>
            </w:pPr>
            <w:r>
              <w:t xml:space="preserve">Silvering, </w:t>
            </w:r>
            <w:proofErr w:type="spellStart"/>
            <w:r>
              <w:t>faecal</w:t>
            </w:r>
            <w:proofErr w:type="spellEnd"/>
            <w:r>
              <w:t xml:space="preserve"> specks and leaf distortion</w:t>
            </w:r>
          </w:p>
        </w:tc>
        <w:tc>
          <w:tcPr>
            <w:tcW w:w="3024" w:type="dxa"/>
          </w:tcPr>
          <w:p w14:paraId="34119E89" w14:textId="77777777" w:rsidR="00F90A15" w:rsidRDefault="00000000">
            <w:pPr>
              <w:spacing w:after="60" w:line="480" w:lineRule="auto"/>
              <w:jc w:val="left"/>
            </w:pPr>
            <w:r>
              <w:t>Examine mounted specimens; retain vouchers</w:t>
            </w:r>
          </w:p>
        </w:tc>
      </w:tr>
      <w:tr w:rsidR="00F90A15" w14:paraId="735230F2" w14:textId="77777777" w:rsidTr="000F51C1">
        <w:trPr>
          <w:cantSplit/>
        </w:trPr>
        <w:tc>
          <w:tcPr>
            <w:tcW w:w="3168" w:type="dxa"/>
          </w:tcPr>
          <w:p w14:paraId="2E0355EB" w14:textId="77777777" w:rsidR="00F90A15" w:rsidRDefault="00000000">
            <w:pPr>
              <w:spacing w:after="60" w:line="480" w:lineRule="auto"/>
              <w:jc w:val="left"/>
            </w:pPr>
            <w:r>
              <w:t xml:space="preserve">Whiteflies including </w:t>
            </w:r>
            <w:proofErr w:type="spellStart"/>
            <w:r>
              <w:rPr>
                <w:i/>
              </w:rPr>
              <w:t>Aleurodicus</w:t>
            </w:r>
            <w:proofErr w:type="spellEnd"/>
            <w:r>
              <w:rPr>
                <w:i/>
              </w:rPr>
              <w:t xml:space="preserve"> </w:t>
            </w:r>
            <w:proofErr w:type="spellStart"/>
            <w:r>
              <w:rPr>
                <w:i/>
              </w:rPr>
              <w:t>dispersus</w:t>
            </w:r>
            <w:proofErr w:type="spellEnd"/>
            <w:r>
              <w:t xml:space="preserve"> and </w:t>
            </w:r>
            <w:proofErr w:type="spellStart"/>
            <w:r>
              <w:rPr>
                <w:i/>
              </w:rPr>
              <w:t>Dialeuropora</w:t>
            </w:r>
            <w:proofErr w:type="spellEnd"/>
            <w:r>
              <w:rPr>
                <w:i/>
              </w:rPr>
              <w:t xml:space="preserve"> </w:t>
            </w:r>
            <w:proofErr w:type="spellStart"/>
            <w:r>
              <w:rPr>
                <w:i/>
              </w:rPr>
              <w:t>decempuncta</w:t>
            </w:r>
            <w:proofErr w:type="spellEnd"/>
          </w:p>
        </w:tc>
        <w:tc>
          <w:tcPr>
            <w:tcW w:w="3168" w:type="dxa"/>
          </w:tcPr>
          <w:p w14:paraId="5103DB22" w14:textId="77777777" w:rsidR="00F90A15" w:rsidRDefault="00000000">
            <w:pPr>
              <w:spacing w:after="60" w:line="480" w:lineRule="auto"/>
              <w:jc w:val="left"/>
            </w:pPr>
            <w:r>
              <w:t xml:space="preserve">Leaf-underside colonies, wax and sooty </w:t>
            </w:r>
            <w:proofErr w:type="spellStart"/>
            <w:r>
              <w:t>mould</w:t>
            </w:r>
            <w:proofErr w:type="spellEnd"/>
          </w:p>
        </w:tc>
        <w:tc>
          <w:tcPr>
            <w:tcW w:w="3024" w:type="dxa"/>
          </w:tcPr>
          <w:p w14:paraId="1BFA7B20" w14:textId="77777777" w:rsidR="00F90A15" w:rsidRDefault="00000000">
            <w:pPr>
              <w:spacing w:after="60" w:line="480" w:lineRule="auto"/>
              <w:jc w:val="left"/>
            </w:pPr>
            <w:r>
              <w:t>Identify adults and immature stages</w:t>
            </w:r>
          </w:p>
        </w:tc>
      </w:tr>
      <w:tr w:rsidR="00F90A15" w14:paraId="13185FF3" w14:textId="77777777" w:rsidTr="000F51C1">
        <w:trPr>
          <w:cantSplit/>
        </w:trPr>
        <w:tc>
          <w:tcPr>
            <w:tcW w:w="3168" w:type="dxa"/>
          </w:tcPr>
          <w:p w14:paraId="332CA834" w14:textId="77777777" w:rsidR="00F90A15" w:rsidRDefault="00000000">
            <w:pPr>
              <w:spacing w:after="60" w:line="480" w:lineRule="auto"/>
              <w:jc w:val="left"/>
            </w:pPr>
            <w:proofErr w:type="spellStart"/>
            <w:r>
              <w:rPr>
                <w:i/>
              </w:rPr>
              <w:t>Maconellicoccus</w:t>
            </w:r>
            <w:proofErr w:type="spellEnd"/>
            <w:r>
              <w:rPr>
                <w:i/>
              </w:rPr>
              <w:t xml:space="preserve"> hirsutus</w:t>
            </w:r>
          </w:p>
        </w:tc>
        <w:tc>
          <w:tcPr>
            <w:tcW w:w="3168" w:type="dxa"/>
          </w:tcPr>
          <w:p w14:paraId="533DA922" w14:textId="77777777" w:rsidR="00F90A15" w:rsidRDefault="00000000">
            <w:pPr>
              <w:spacing w:after="60" w:line="480" w:lineRule="auto"/>
              <w:jc w:val="left"/>
            </w:pPr>
            <w:r>
              <w:t>Waxy colonies and bunchy shoots</w:t>
            </w:r>
          </w:p>
        </w:tc>
        <w:tc>
          <w:tcPr>
            <w:tcW w:w="3024" w:type="dxa"/>
          </w:tcPr>
          <w:p w14:paraId="7F8E59CF" w14:textId="77777777" w:rsidR="00F90A15" w:rsidRDefault="00000000">
            <w:pPr>
              <w:spacing w:after="60" w:line="480" w:lineRule="auto"/>
              <w:jc w:val="left"/>
            </w:pPr>
            <w:r>
              <w:t>Distinguish from other mealybugs</w:t>
            </w:r>
          </w:p>
        </w:tc>
      </w:tr>
      <w:tr w:rsidR="00F90A15" w14:paraId="19C01F4C" w14:textId="77777777" w:rsidTr="000F51C1">
        <w:trPr>
          <w:cantSplit/>
        </w:trPr>
        <w:tc>
          <w:tcPr>
            <w:tcW w:w="3168" w:type="dxa"/>
          </w:tcPr>
          <w:p w14:paraId="2925A999" w14:textId="77777777" w:rsidR="00F90A15" w:rsidRDefault="00000000">
            <w:pPr>
              <w:spacing w:after="60" w:line="480" w:lineRule="auto"/>
              <w:jc w:val="left"/>
            </w:pPr>
            <w:proofErr w:type="spellStart"/>
            <w:r>
              <w:rPr>
                <w:i/>
              </w:rPr>
              <w:t>Paracoccus</w:t>
            </w:r>
            <w:proofErr w:type="spellEnd"/>
            <w:r>
              <w:rPr>
                <w:i/>
              </w:rPr>
              <w:t xml:space="preserve"> marginatus</w:t>
            </w:r>
          </w:p>
        </w:tc>
        <w:tc>
          <w:tcPr>
            <w:tcW w:w="3168" w:type="dxa"/>
          </w:tcPr>
          <w:p w14:paraId="24E80E87" w14:textId="77777777" w:rsidR="00F90A15" w:rsidRDefault="00000000">
            <w:pPr>
              <w:spacing w:after="60" w:line="480" w:lineRule="auto"/>
              <w:jc w:val="left"/>
            </w:pPr>
            <w:r>
              <w:t>Waxy colonies, chlorosis and distorted growth</w:t>
            </w:r>
          </w:p>
        </w:tc>
        <w:tc>
          <w:tcPr>
            <w:tcW w:w="3024" w:type="dxa"/>
          </w:tcPr>
          <w:p w14:paraId="75821081" w14:textId="77777777" w:rsidR="00F90A15" w:rsidRDefault="00000000">
            <w:pPr>
              <w:spacing w:after="60" w:line="480" w:lineRule="auto"/>
              <w:jc w:val="left"/>
            </w:pPr>
            <w:r>
              <w:t>Confirm identity before parasitoid selection</w:t>
            </w:r>
          </w:p>
        </w:tc>
      </w:tr>
    </w:tbl>
    <w:p w14:paraId="7A7D78F4" w14:textId="77777777" w:rsidR="00F90A15" w:rsidRDefault="00000000">
      <w:r>
        <w:t xml:space="preserve">Sources: Cocuzza (2024), EPPO (2026) and Government of India (2024). Additional diagnostic evidence: Central Silk Board (n.d.), </w:t>
      </w:r>
      <w:proofErr w:type="spellStart"/>
      <w:r>
        <w:t>Sreerama</w:t>
      </w:r>
      <w:proofErr w:type="spellEnd"/>
      <w:r>
        <w:t xml:space="preserve"> Kumar et al. (2024) and Kalpana et al. (2026).</w:t>
      </w:r>
    </w:p>
    <w:p w14:paraId="3A961A62" w14:textId="77777777" w:rsidR="00F90A15" w:rsidRDefault="00000000">
      <w:pPr>
        <w:pStyle w:val="Heading1"/>
      </w:pPr>
      <w:r>
        <w:lastRenderedPageBreak/>
        <w:t>4. Injury assessment and monitoring</w:t>
      </w:r>
    </w:p>
    <w:p w14:paraId="0596E5AE" w14:textId="77777777" w:rsidR="00394F4F" w:rsidRPr="00394F4F" w:rsidRDefault="00394F4F" w:rsidP="00394F4F">
      <w:pPr>
        <w:pStyle w:val="Heading1"/>
        <w:spacing w:line="360" w:lineRule="auto"/>
        <w:rPr>
          <w:b w:val="0"/>
          <w:bCs w:val="0"/>
          <w:szCs w:val="22"/>
        </w:rPr>
      </w:pPr>
      <w:r w:rsidRPr="00394F4F">
        <w:rPr>
          <w:b w:val="0"/>
          <w:bCs w:val="0"/>
          <w:szCs w:val="22"/>
        </w:rPr>
        <w:t>Mulberry injury is not just the presence of the pest, but a change in the supply of usable leaf. The scouting records must differentiate live insects from wax residues, honeydew, dead colonies and old damage. Leaf position and age should be standardized since a count from tender terminal foliage cannot be directly compared to a count from mature leaves. The monitoring approach presented below is a concrete framework that requires local validation and is not a published global sampling standard.</w:t>
      </w:r>
    </w:p>
    <w:p w14:paraId="08F606C1" w14:textId="77777777" w:rsidR="00394F4F" w:rsidRPr="00394F4F" w:rsidRDefault="00394F4F" w:rsidP="00394F4F">
      <w:pPr>
        <w:pStyle w:val="Heading1"/>
        <w:spacing w:line="360" w:lineRule="auto"/>
        <w:rPr>
          <w:b w:val="0"/>
          <w:bCs w:val="0"/>
          <w:szCs w:val="22"/>
        </w:rPr>
      </w:pPr>
      <w:r w:rsidRPr="00394F4F">
        <w:rPr>
          <w:b w:val="0"/>
          <w:bCs w:val="0"/>
          <w:szCs w:val="22"/>
        </w:rPr>
        <w:t>The normal walking route should include the edges of fields and the interior. At each visit, observers can inspect a fixed number of plants, recording insects per sampled leaf, proportion of infested shoots, fresh injury, natural enemies and days after pruning. Suspected new species should be collected separately and labeled for site, date, host variety and plant part. Sticky-card catches should be regarded as an index of relative flight activity and should not be used as a substitute for estimates of leaf infestation.</w:t>
      </w:r>
    </w:p>
    <w:p w14:paraId="499993FE" w14:textId="77777777" w:rsidR="00394F4F" w:rsidRDefault="00394F4F" w:rsidP="00394F4F">
      <w:pPr>
        <w:pStyle w:val="Heading1"/>
        <w:spacing w:line="360" w:lineRule="auto"/>
        <w:rPr>
          <w:b w:val="0"/>
          <w:bCs w:val="0"/>
          <w:szCs w:val="22"/>
        </w:rPr>
      </w:pPr>
      <w:r w:rsidRPr="00394F4F">
        <w:rPr>
          <w:b w:val="0"/>
          <w:bCs w:val="0"/>
          <w:szCs w:val="22"/>
        </w:rPr>
        <w:t xml:space="preserve">There is no universal weather rule that can be applied to this complex. Rainfall, irrigation, leaf flush and temperature can differentially affect pest and natural enemies. </w:t>
      </w:r>
      <w:proofErr w:type="gramStart"/>
      <w:r w:rsidRPr="00394F4F">
        <w:rPr>
          <w:b w:val="0"/>
          <w:bCs w:val="0"/>
          <w:szCs w:val="22"/>
        </w:rPr>
        <w:t>Thus</w:t>
      </w:r>
      <w:proofErr w:type="gramEnd"/>
      <w:r w:rsidRPr="00394F4F">
        <w:rPr>
          <w:b w:val="0"/>
          <w:bCs w:val="0"/>
          <w:szCs w:val="22"/>
        </w:rPr>
        <w:t xml:space="preserve"> it is important that site records link repeated pest observations to measured weather and crop stage. Severe distortion can also be caused by mites or </w:t>
      </w:r>
      <w:proofErr w:type="spellStart"/>
      <w:r w:rsidRPr="00394F4F">
        <w:rPr>
          <w:b w:val="0"/>
          <w:bCs w:val="0"/>
          <w:szCs w:val="22"/>
        </w:rPr>
        <w:t>non insect</w:t>
      </w:r>
      <w:proofErr w:type="spellEnd"/>
      <w:r w:rsidRPr="00394F4F">
        <w:rPr>
          <w:b w:val="0"/>
          <w:bCs w:val="0"/>
          <w:szCs w:val="22"/>
        </w:rPr>
        <w:t xml:space="preserve"> stresses, so diagnostic examination should precede treatment. Mites are beyond the taxonomic scope of this insect review but are an important differential diagnosis in mulberry fields.</w:t>
      </w:r>
    </w:p>
    <w:p w14:paraId="2DB0D13B" w14:textId="4A917746" w:rsidR="00F90A15" w:rsidRDefault="00000000" w:rsidP="00394F4F">
      <w:pPr>
        <w:pStyle w:val="Heading1"/>
      </w:pPr>
      <w:r>
        <w:t>5. Integrated management in sericulture</w:t>
      </w:r>
    </w:p>
    <w:p w14:paraId="7357A2C4" w14:textId="77777777" w:rsidR="00F90A15" w:rsidRDefault="00000000">
      <w:pPr>
        <w:pStyle w:val="Heading2"/>
      </w:pPr>
      <w:r>
        <w:t>5.1 Prevention and cultural management</w:t>
      </w:r>
    </w:p>
    <w:p w14:paraId="15084EC9" w14:textId="77777777" w:rsidR="00B709EF" w:rsidRPr="00B709EF" w:rsidRDefault="00B709EF" w:rsidP="00B709EF">
      <w:pPr>
        <w:pStyle w:val="Heading2"/>
        <w:spacing w:line="360" w:lineRule="auto"/>
        <w:rPr>
          <w:b w:val="0"/>
          <w:bCs w:val="0"/>
          <w:szCs w:val="22"/>
        </w:rPr>
      </w:pPr>
      <w:r w:rsidRPr="00B709EF">
        <w:rPr>
          <w:b w:val="0"/>
          <w:bCs w:val="0"/>
          <w:szCs w:val="22"/>
        </w:rPr>
        <w:t xml:space="preserve">Integrated pest management employs compatible strategies selected from field observations and does not employ calendar spraying. Its ecological basis stresses the crop, pests, natural enemies and production objectives as an interacting system (Kogan, 1998). Clean planting material and separation of infested nursery plants can minimize the introduction of pests in sericulture. Pruning residues with active colonies should be contained and removed rather than moved through </w:t>
      </w:r>
      <w:proofErr w:type="spellStart"/>
      <w:r w:rsidRPr="00B709EF">
        <w:rPr>
          <w:b w:val="0"/>
          <w:bCs w:val="0"/>
          <w:szCs w:val="22"/>
        </w:rPr>
        <w:t>uninfested</w:t>
      </w:r>
      <w:proofErr w:type="spellEnd"/>
      <w:r w:rsidRPr="00B709EF">
        <w:rPr>
          <w:b w:val="0"/>
          <w:bCs w:val="0"/>
          <w:szCs w:val="22"/>
        </w:rPr>
        <w:t xml:space="preserve"> rows.</w:t>
      </w:r>
    </w:p>
    <w:p w14:paraId="7AC3239F" w14:textId="77777777" w:rsidR="00B709EF" w:rsidRPr="00B709EF" w:rsidRDefault="00B709EF" w:rsidP="00B709EF">
      <w:pPr>
        <w:pStyle w:val="Heading2"/>
        <w:spacing w:line="360" w:lineRule="auto"/>
        <w:rPr>
          <w:b w:val="0"/>
          <w:bCs w:val="0"/>
          <w:szCs w:val="22"/>
        </w:rPr>
      </w:pPr>
      <w:r w:rsidRPr="00B709EF">
        <w:rPr>
          <w:b w:val="0"/>
          <w:bCs w:val="0"/>
          <w:szCs w:val="22"/>
        </w:rPr>
        <w:lastRenderedPageBreak/>
        <w:t>Crop nutrition and irrigation should be aligned with the agronomic needs. The excessive tender growth induced by nitrogen may favor some sap feeders, but withholding fertilizer indiscriminately can reduce leaf production. Localized populations may be reduced by selective removal of heavily infested shoots; however, uprooting of established mulberry plants is generally disproportionate for manageable foliar infestations. Before blanket clearing, surrounding vegetation should be examined for pest reservoirs and beneficial insects.</w:t>
      </w:r>
    </w:p>
    <w:p w14:paraId="31EFC0C6" w14:textId="77777777" w:rsidR="00B709EF" w:rsidRDefault="00B709EF" w:rsidP="00B709EF">
      <w:pPr>
        <w:pStyle w:val="Heading2"/>
        <w:spacing w:line="360" w:lineRule="auto"/>
        <w:rPr>
          <w:b w:val="0"/>
          <w:bCs w:val="0"/>
          <w:szCs w:val="22"/>
        </w:rPr>
      </w:pPr>
      <w:r w:rsidRPr="00B709EF">
        <w:rPr>
          <w:b w:val="0"/>
          <w:bCs w:val="0"/>
          <w:szCs w:val="22"/>
        </w:rPr>
        <w:t>Vegetation management can help natural enemies by providing shelter, nectar, pollen and alternate prey or hosts; Gurr et al. (2017) point out that these resources have to be chosen and evaluated within the farming system. For mulberry, one needs to test the effect of flowering borders or retained vegetation on pests and beneficials. Habitat diversification is a management hypothesis requiring local testing and not a one-size-fits-all prescription.</w:t>
      </w:r>
    </w:p>
    <w:p w14:paraId="7189FDC4" w14:textId="7FD538C4" w:rsidR="00F90A15" w:rsidRDefault="00000000" w:rsidP="00B709EF">
      <w:pPr>
        <w:pStyle w:val="Heading2"/>
      </w:pPr>
      <w:r>
        <w:t>5.2 Mechanical methods and conservation of natural enemies</w:t>
      </w:r>
    </w:p>
    <w:p w14:paraId="26B74B53" w14:textId="77777777" w:rsidR="00B00E59" w:rsidRPr="00B00E59" w:rsidRDefault="00B00E59" w:rsidP="00B00E59">
      <w:pPr>
        <w:pStyle w:val="Heading2"/>
        <w:spacing w:line="360" w:lineRule="auto"/>
        <w:rPr>
          <w:b w:val="0"/>
          <w:bCs w:val="0"/>
          <w:szCs w:val="22"/>
        </w:rPr>
      </w:pPr>
      <w:r w:rsidRPr="00B00E59">
        <w:rPr>
          <w:b w:val="0"/>
          <w:bCs w:val="0"/>
          <w:szCs w:val="22"/>
        </w:rPr>
        <w:t>Where water quality and crop conditions permit, selective sanitation and careful directed water sprays may reduce early localized infestations. Sticky traps are primarily monitoring aids. Trapping alone cannot be assumed to suppress an established leaf-underside population. Physical exclusion and inspection are particularly important for nursery plants. Subsequent counts will evaluate the effect of these measures rather than the immediate removal of visible insects.</w:t>
      </w:r>
    </w:p>
    <w:p w14:paraId="60D168C5" w14:textId="77777777" w:rsidR="00B00E59" w:rsidRPr="00B00E59" w:rsidRDefault="00B00E59" w:rsidP="00B00E59">
      <w:pPr>
        <w:pStyle w:val="Heading2"/>
        <w:spacing w:line="360" w:lineRule="auto"/>
        <w:rPr>
          <w:b w:val="0"/>
          <w:bCs w:val="0"/>
          <w:szCs w:val="22"/>
        </w:rPr>
      </w:pPr>
      <w:r w:rsidRPr="00B00E59">
        <w:rPr>
          <w:b w:val="0"/>
          <w:bCs w:val="0"/>
          <w:szCs w:val="22"/>
        </w:rPr>
        <w:t>Scouting should include recording of predators and parasitoids. Wax-covered colonies can also be a source of ladybug larvae, lacewing larvae and other predators. Mummified hosts suggest parasitoid activity. The presence of a natural enemy does not per se mean sufficient control, but an increase in parasitism in combination with decreasing live pest counts may justify postponement of disruptive intervention. Parasitoid selection should be species-specific and agents used against pink hibiscus mealybug should not be automatically transferred to papaya mealybug.</w:t>
      </w:r>
    </w:p>
    <w:p w14:paraId="3476A15F" w14:textId="77777777" w:rsidR="00B00E59" w:rsidRDefault="00B00E59" w:rsidP="00B00E59">
      <w:pPr>
        <w:pStyle w:val="Heading2"/>
        <w:spacing w:line="360" w:lineRule="auto"/>
        <w:rPr>
          <w:b w:val="0"/>
          <w:bCs w:val="0"/>
          <w:szCs w:val="22"/>
        </w:rPr>
      </w:pPr>
      <w:r w:rsidRPr="00B00E59">
        <w:rPr>
          <w:b w:val="0"/>
          <w:bCs w:val="0"/>
          <w:szCs w:val="22"/>
        </w:rPr>
        <w:lastRenderedPageBreak/>
        <w:t xml:space="preserve">There are three different ways to do biological control: conservation, augmentation and classical introduction. Conservation supports resident </w:t>
      </w:r>
      <w:proofErr w:type="gramStart"/>
      <w:r w:rsidRPr="00B00E59">
        <w:rPr>
          <w:b w:val="0"/>
          <w:bCs w:val="0"/>
          <w:szCs w:val="22"/>
        </w:rPr>
        <w:t>enemies,</w:t>
      </w:r>
      <w:proofErr w:type="gramEnd"/>
      <w:r w:rsidRPr="00B00E59">
        <w:rPr>
          <w:b w:val="0"/>
          <w:bCs w:val="0"/>
          <w:szCs w:val="22"/>
        </w:rPr>
        <w:t xml:space="preserve"> augmentation adds to populations by releases and classical control aims for establishment of introduced enemies to an invasive pest. Their operational timescales and evidence requirements differ (Bale et al., 2008). The commercial availability of an agent is not sufficient for proving its suitability; delivery, culture quality, crop conditions and identification influence its implementation (van </w:t>
      </w:r>
      <w:proofErr w:type="spellStart"/>
      <w:r w:rsidRPr="00B00E59">
        <w:rPr>
          <w:b w:val="0"/>
          <w:bCs w:val="0"/>
          <w:szCs w:val="22"/>
        </w:rPr>
        <w:t>Lenteren</w:t>
      </w:r>
      <w:proofErr w:type="spellEnd"/>
      <w:r w:rsidRPr="00B00E59">
        <w:rPr>
          <w:b w:val="0"/>
          <w:bCs w:val="0"/>
          <w:szCs w:val="22"/>
        </w:rPr>
        <w:t xml:space="preserve"> et al., 2018).</w:t>
      </w:r>
    </w:p>
    <w:p w14:paraId="11F5BAA1" w14:textId="7DB8C551" w:rsidR="00F90A15" w:rsidRDefault="00000000" w:rsidP="00B00E59">
      <w:pPr>
        <w:pStyle w:val="Heading2"/>
      </w:pPr>
      <w:r>
        <w:t>5.3 Biological control of papaya mealybug</w:t>
      </w:r>
    </w:p>
    <w:p w14:paraId="0FB424FC" w14:textId="77777777" w:rsidR="000E3D96" w:rsidRPr="000E3D96" w:rsidRDefault="000E3D96" w:rsidP="000E3D96">
      <w:pPr>
        <w:pStyle w:val="Heading2"/>
        <w:spacing w:line="360" w:lineRule="auto"/>
        <w:ind w:firstLine="720"/>
        <w:rPr>
          <w:b w:val="0"/>
          <w:bCs w:val="0"/>
          <w:szCs w:val="22"/>
        </w:rPr>
      </w:pPr>
      <w:r w:rsidRPr="000E3D96">
        <w:rPr>
          <w:b w:val="0"/>
          <w:bCs w:val="0"/>
          <w:szCs w:val="22"/>
        </w:rPr>
        <w:t xml:space="preserve">Direct mulberry evidence points to the importance of </w:t>
      </w:r>
      <w:proofErr w:type="spellStart"/>
      <w:r w:rsidRPr="000E3D96">
        <w:rPr>
          <w:b w:val="0"/>
          <w:bCs w:val="0"/>
          <w:szCs w:val="22"/>
        </w:rPr>
        <w:t>Acerophagus</w:t>
      </w:r>
      <w:proofErr w:type="spellEnd"/>
      <w:r w:rsidRPr="000E3D96">
        <w:rPr>
          <w:b w:val="0"/>
          <w:bCs w:val="0"/>
          <w:szCs w:val="22"/>
        </w:rPr>
        <w:t xml:space="preserve"> </w:t>
      </w:r>
      <w:proofErr w:type="spellStart"/>
      <w:r w:rsidRPr="000E3D96">
        <w:rPr>
          <w:b w:val="0"/>
          <w:bCs w:val="0"/>
          <w:szCs w:val="22"/>
        </w:rPr>
        <w:t>papayae</w:t>
      </w:r>
      <w:proofErr w:type="spellEnd"/>
      <w:r w:rsidRPr="000E3D96">
        <w:rPr>
          <w:b w:val="0"/>
          <w:bCs w:val="0"/>
          <w:szCs w:val="22"/>
        </w:rPr>
        <w:t xml:space="preserve">. In a study in Tamil Nadu, three introduced encyrtid parasitoids were released at six locations and progressive decline in the papaya mealybug populations were observed. By the sixth month, the population reduction was 96.6 % and parasitism was 72.2 % and among the released species, </w:t>
      </w:r>
      <w:proofErr w:type="spellStart"/>
      <w:r w:rsidRPr="000E3D96">
        <w:rPr>
          <w:b w:val="0"/>
          <w:bCs w:val="0"/>
          <w:szCs w:val="22"/>
        </w:rPr>
        <w:t>Acerophagus</w:t>
      </w:r>
      <w:proofErr w:type="spellEnd"/>
      <w:r w:rsidRPr="000E3D96">
        <w:rPr>
          <w:b w:val="0"/>
          <w:bCs w:val="0"/>
          <w:szCs w:val="22"/>
        </w:rPr>
        <w:t xml:space="preserve"> </w:t>
      </w:r>
      <w:proofErr w:type="spellStart"/>
      <w:r w:rsidRPr="000E3D96">
        <w:rPr>
          <w:b w:val="0"/>
          <w:bCs w:val="0"/>
          <w:szCs w:val="22"/>
        </w:rPr>
        <w:t>papayae</w:t>
      </w:r>
      <w:proofErr w:type="spellEnd"/>
      <w:r w:rsidRPr="000E3D96">
        <w:rPr>
          <w:b w:val="0"/>
          <w:bCs w:val="0"/>
          <w:szCs w:val="22"/>
        </w:rPr>
        <w:t xml:space="preserve"> was the most active in the field (Sakthivel, 2013). This delayed response highlights the need to allow parasitoid establishment, rather than anticipate immediate elimination after release.</w:t>
      </w:r>
    </w:p>
    <w:p w14:paraId="0CFBA3E7" w14:textId="77777777" w:rsidR="000E3D96" w:rsidRPr="000E3D96" w:rsidRDefault="000E3D96" w:rsidP="000E3D96">
      <w:pPr>
        <w:pStyle w:val="Heading2"/>
        <w:spacing w:line="360" w:lineRule="auto"/>
        <w:rPr>
          <w:b w:val="0"/>
          <w:bCs w:val="0"/>
          <w:szCs w:val="22"/>
        </w:rPr>
      </w:pPr>
      <w:r w:rsidRPr="000E3D96">
        <w:rPr>
          <w:b w:val="0"/>
          <w:bCs w:val="0"/>
          <w:szCs w:val="22"/>
        </w:rPr>
        <w:t xml:space="preserve">Release programs need correct host identification, healthy cultures of the parasitoids and coordination with local sericulture or biological control services. Frequent use of insecticides during establishment can undermine the intended program. Positive results from India give strong support for conservation, but the performance of an introduced parasitoid depends on host availability and the local environment. In Africa, modeling showed that climatic suitability for </w:t>
      </w:r>
      <w:proofErr w:type="spellStart"/>
      <w:r w:rsidRPr="000E3D96">
        <w:rPr>
          <w:b w:val="0"/>
          <w:bCs w:val="0"/>
          <w:szCs w:val="22"/>
        </w:rPr>
        <w:t>Acerophagus</w:t>
      </w:r>
      <w:proofErr w:type="spellEnd"/>
      <w:r w:rsidRPr="000E3D96">
        <w:rPr>
          <w:b w:val="0"/>
          <w:bCs w:val="0"/>
          <w:szCs w:val="22"/>
        </w:rPr>
        <w:t xml:space="preserve"> </w:t>
      </w:r>
      <w:proofErr w:type="spellStart"/>
      <w:r w:rsidRPr="000E3D96">
        <w:rPr>
          <w:b w:val="0"/>
          <w:bCs w:val="0"/>
          <w:szCs w:val="22"/>
        </w:rPr>
        <w:t>papayae</w:t>
      </w:r>
      <w:proofErr w:type="spellEnd"/>
      <w:r w:rsidRPr="000E3D96">
        <w:rPr>
          <w:b w:val="0"/>
          <w:bCs w:val="0"/>
          <w:szCs w:val="22"/>
        </w:rPr>
        <w:t xml:space="preserve"> does not always overlap with all areas suitable for its host, and this is an example of why performance cannot be assumed across regions (Finch et al., 2024).</w:t>
      </w:r>
    </w:p>
    <w:p w14:paraId="409DA609" w14:textId="77777777" w:rsidR="000E3D96" w:rsidRDefault="000E3D96" w:rsidP="000E3D96">
      <w:pPr>
        <w:pStyle w:val="Heading2"/>
        <w:spacing w:line="360" w:lineRule="auto"/>
        <w:rPr>
          <w:b w:val="0"/>
          <w:bCs w:val="0"/>
          <w:szCs w:val="22"/>
        </w:rPr>
      </w:pPr>
      <w:r w:rsidRPr="000E3D96">
        <w:rPr>
          <w:b w:val="0"/>
          <w:bCs w:val="0"/>
          <w:szCs w:val="22"/>
        </w:rPr>
        <w:t xml:space="preserve">Introductions of exotic natural enemies should take into account host specificity and possible effects on non-target organisms. The risk assessment should be done using the appropriate regulatory process and expert judgment (van </w:t>
      </w:r>
      <w:proofErr w:type="spellStart"/>
      <w:r w:rsidRPr="000E3D96">
        <w:rPr>
          <w:b w:val="0"/>
          <w:bCs w:val="0"/>
          <w:szCs w:val="22"/>
        </w:rPr>
        <w:t>Lenteren</w:t>
      </w:r>
      <w:proofErr w:type="spellEnd"/>
      <w:r w:rsidRPr="000E3D96">
        <w:rPr>
          <w:b w:val="0"/>
          <w:bCs w:val="0"/>
          <w:szCs w:val="22"/>
        </w:rPr>
        <w:t xml:space="preserve"> et al., 2006) before introduction. The fact that there have been successful introductions in the past is no justification for allowing growers to move or release unassessed organisms on their own.</w:t>
      </w:r>
    </w:p>
    <w:p w14:paraId="7B49A550" w14:textId="17C3764A" w:rsidR="00F90A15" w:rsidRDefault="00000000" w:rsidP="000E3D96">
      <w:pPr>
        <w:pStyle w:val="Heading2"/>
      </w:pPr>
      <w:r>
        <w:t>5.4 Botanicals and microbial products</w:t>
      </w:r>
    </w:p>
    <w:p w14:paraId="1EBAD829" w14:textId="77777777" w:rsidR="003032B9" w:rsidRPr="003032B9" w:rsidRDefault="003032B9" w:rsidP="003032B9">
      <w:pPr>
        <w:pStyle w:val="Heading2"/>
        <w:spacing w:line="360" w:lineRule="auto"/>
        <w:ind w:firstLine="720"/>
        <w:rPr>
          <w:b w:val="0"/>
          <w:bCs w:val="0"/>
          <w:szCs w:val="22"/>
        </w:rPr>
      </w:pPr>
      <w:r w:rsidRPr="003032B9">
        <w:rPr>
          <w:b w:val="0"/>
          <w:bCs w:val="0"/>
          <w:szCs w:val="22"/>
        </w:rPr>
        <w:lastRenderedPageBreak/>
        <w:t>Botanicals and microbial insecticides could be part of a diversified program, but their origin does not mean safety to Bombyx mori. The concentration of the product, how it is formulated, how persistent it is and when it is applied can influence the response of the pest and the amount of exposure during feeding. The recommendation for routine use on mulberry will be preceded by laboratory mortality of target insect, field evaluation and assessment of silkworm feeding.</w:t>
      </w:r>
    </w:p>
    <w:p w14:paraId="01035E9C" w14:textId="77777777" w:rsidR="003032B9" w:rsidRPr="003032B9" w:rsidRDefault="003032B9" w:rsidP="003032B9">
      <w:pPr>
        <w:pStyle w:val="Heading2"/>
        <w:spacing w:line="360" w:lineRule="auto"/>
        <w:rPr>
          <w:b w:val="0"/>
          <w:bCs w:val="0"/>
          <w:szCs w:val="22"/>
        </w:rPr>
      </w:pPr>
      <w:r w:rsidRPr="003032B9">
        <w:rPr>
          <w:b w:val="0"/>
          <w:bCs w:val="0"/>
          <w:szCs w:val="22"/>
        </w:rPr>
        <w:t>In the case of fungal biocontrol, again, strain-specific efficacy and compatibility need to be demonstrated. The risk assessment should address the exposure of insects in the rearing house and contamination of harvested foliage. Lists of fungal species, spray concentrations or untested rates of neem in general cannot replace validated, crop-specific programs. Trials should report pest identity, viable inoculum or active ingredient, untreated controls, environmental conditions and effects on beneficial arthropods.</w:t>
      </w:r>
    </w:p>
    <w:p w14:paraId="7951459C" w14:textId="77777777" w:rsidR="003032B9" w:rsidRPr="003032B9" w:rsidRDefault="003032B9" w:rsidP="003032B9">
      <w:pPr>
        <w:pStyle w:val="Heading2"/>
        <w:spacing w:line="360" w:lineRule="auto"/>
        <w:rPr>
          <w:b w:val="0"/>
          <w:bCs w:val="0"/>
          <w:szCs w:val="22"/>
        </w:rPr>
      </w:pPr>
      <w:r w:rsidRPr="003032B9">
        <w:rPr>
          <w:b w:val="0"/>
          <w:bCs w:val="0"/>
          <w:szCs w:val="22"/>
        </w:rPr>
        <w:t>In the wider botanical-insecticide literature, promising laboratory activity is distinguished from products with reproducible formulations, regulatory authorization and practical field performance. Examples of established candidates include neem and pyrethrum, whereas many essential oil candidates face barriers to development and commercialization (Isman, 2020). For the mulberry-specific evaluations, the composition and formulation should be reported so that an observed response can be reproduced.</w:t>
      </w:r>
    </w:p>
    <w:p w14:paraId="59DC8952" w14:textId="77777777" w:rsidR="003032B9" w:rsidRDefault="003032B9" w:rsidP="003032B9">
      <w:pPr>
        <w:pStyle w:val="Heading2"/>
        <w:spacing w:line="360" w:lineRule="auto"/>
        <w:rPr>
          <w:b w:val="0"/>
          <w:bCs w:val="0"/>
          <w:szCs w:val="22"/>
        </w:rPr>
      </w:pPr>
      <w:r w:rsidRPr="003032B9">
        <w:rPr>
          <w:b w:val="0"/>
          <w:bCs w:val="0"/>
          <w:szCs w:val="22"/>
        </w:rPr>
        <w:t>Fungal pest-control products are also made of defined organisms and formulation types, and not interchangeable preparations. The diversity of active fungi and commercial formulations is illustrated by the international inventory compiled by de Faria and Wraight (2007). Their classification is useful for a careful description of the products, but their efficacy and compatibility with silkworm rearing still need to be directly tested.</w:t>
      </w:r>
    </w:p>
    <w:p w14:paraId="2E97EEB9" w14:textId="16F89799" w:rsidR="00F90A15" w:rsidRDefault="00000000" w:rsidP="003032B9">
      <w:pPr>
        <w:pStyle w:val="Heading2"/>
      </w:pPr>
      <w:r>
        <w:t>5.5 Chemical intervention and silkworm safety</w:t>
      </w:r>
    </w:p>
    <w:p w14:paraId="2835FF7D" w14:textId="77777777" w:rsidR="00FB12FA" w:rsidRPr="00FB12FA" w:rsidRDefault="00FB12FA" w:rsidP="00FB12FA">
      <w:pPr>
        <w:pStyle w:val="Heading1"/>
        <w:spacing w:line="360" w:lineRule="auto"/>
        <w:rPr>
          <w:b w:val="0"/>
          <w:bCs w:val="0"/>
          <w:szCs w:val="22"/>
        </w:rPr>
      </w:pPr>
      <w:r w:rsidRPr="00FB12FA">
        <w:rPr>
          <w:b w:val="0"/>
          <w:bCs w:val="0"/>
          <w:szCs w:val="22"/>
        </w:rPr>
        <w:t>Pesticide option should be considered only if pest identity, infestation trend, usable-leaf loss and non-chemical control warrant intervention. The crop and target pest authorization must be checked independently from the research publication. Just because it worked in an experiment doesn't mean it's an approved recommendation. A generic list of concentrations cannot settle this decision. It is based on the product label instructions and any relevant local requirements.</w:t>
      </w:r>
    </w:p>
    <w:p w14:paraId="3A971D20" w14:textId="77777777" w:rsidR="00FB12FA" w:rsidRPr="00FB12FA" w:rsidRDefault="00FB12FA" w:rsidP="00FB12FA">
      <w:pPr>
        <w:pStyle w:val="Heading1"/>
        <w:spacing w:line="360" w:lineRule="auto"/>
        <w:rPr>
          <w:b w:val="0"/>
          <w:bCs w:val="0"/>
          <w:szCs w:val="22"/>
        </w:rPr>
      </w:pPr>
      <w:r w:rsidRPr="00FB12FA">
        <w:rPr>
          <w:b w:val="0"/>
          <w:bCs w:val="0"/>
          <w:szCs w:val="22"/>
        </w:rPr>
        <w:lastRenderedPageBreak/>
        <w:t xml:space="preserve">Recent </w:t>
      </w:r>
      <w:proofErr w:type="spellStart"/>
      <w:r w:rsidRPr="00FB12FA">
        <w:rPr>
          <w:b w:val="0"/>
          <w:bCs w:val="0"/>
          <w:szCs w:val="22"/>
        </w:rPr>
        <w:t>diafenthiuron</w:t>
      </w:r>
      <w:proofErr w:type="spellEnd"/>
      <w:r w:rsidRPr="00FB12FA">
        <w:rPr>
          <w:b w:val="0"/>
          <w:bCs w:val="0"/>
          <w:szCs w:val="22"/>
        </w:rPr>
        <w:t xml:space="preserve"> research illustrates the difference between efficacy and feed safety. A field study carried out in 2026 reported a suppression of thrips and mites and better leaf production under its experimental conditions (Gagana Sindhu et al., 2026). A 2025 feeding study evaluated sprayed leaves at defined intervals after treatment and separately reported favorable rearing outcomes 20 days after application (Gagana Sindhu et al., 2025). These observations warrant further validation but do not establish a universal 20-day interval for different formulations, spray schedules, silkworm stages or environments.</w:t>
      </w:r>
    </w:p>
    <w:p w14:paraId="52452FBD" w14:textId="77777777" w:rsidR="00FB12FA" w:rsidRPr="00FB12FA" w:rsidRDefault="00FB12FA" w:rsidP="00FB12FA">
      <w:pPr>
        <w:pStyle w:val="Heading1"/>
        <w:spacing w:line="360" w:lineRule="auto"/>
        <w:rPr>
          <w:b w:val="0"/>
          <w:bCs w:val="0"/>
          <w:szCs w:val="22"/>
        </w:rPr>
      </w:pPr>
      <w:r w:rsidRPr="00FB12FA">
        <w:rPr>
          <w:b w:val="0"/>
          <w:bCs w:val="0"/>
          <w:szCs w:val="22"/>
        </w:rPr>
        <w:t>Where chemical treatment is necessary, resistance management should rotate truly different modes of actions. Effective rotation is not achieved by simply changing a trade name without changing the mode of action. The Insecticide Resistance Action Committee classification can be used as a reference for this purpose, but it does not specify legal crop use or silkworm safety (Insecticide Resistance Action Committee [IRAC], 2026). Feeding decisions should also consider the availability of untreated foliage and spray drift from neighboring crops.</w:t>
      </w:r>
    </w:p>
    <w:p w14:paraId="15FA6F60" w14:textId="77777777" w:rsidR="00FB12FA" w:rsidRDefault="00FB12FA" w:rsidP="00FB12FA">
      <w:pPr>
        <w:pStyle w:val="Heading1"/>
        <w:spacing w:line="360" w:lineRule="auto"/>
        <w:rPr>
          <w:b w:val="0"/>
          <w:bCs w:val="0"/>
          <w:szCs w:val="22"/>
        </w:rPr>
      </w:pPr>
      <w:r w:rsidRPr="00FB12FA">
        <w:rPr>
          <w:b w:val="0"/>
          <w:bCs w:val="0"/>
          <w:szCs w:val="22"/>
        </w:rPr>
        <w:t>A mode of action program should be linked to standardized susceptibility bioassays and field treatment histories. Sparks and Nauen (2015) describe classification as a basis for the selection of rotation options in resistance management. A reduction in field efficacy cannot be taken as proof of resistance inheritance because performance can also be affected by coverage, pest identity, timing of application and weather.</w:t>
      </w:r>
    </w:p>
    <w:p w14:paraId="0026F270" w14:textId="51E9EB73" w:rsidR="00F90A15" w:rsidRDefault="00000000" w:rsidP="00FB12FA">
      <w:pPr>
        <w:pStyle w:val="Heading1"/>
      </w:pPr>
      <w:r>
        <w:t>6. Recent developments and critical interpretation</w:t>
      </w:r>
    </w:p>
    <w:p w14:paraId="712F65A3" w14:textId="77777777" w:rsidR="00F90A15" w:rsidRDefault="00000000">
      <w:r>
        <w:t>Table 2 separates recent findings from their practical limitations. Three developments are especially relevant: revised pest identities, official evidence of biological-control suppression, and monitoring methods that detect stress before extensive visible injury. These advances strengthen management only when interpreted within the host, location and experimental conditions in which they were generated.</w:t>
      </w:r>
    </w:p>
    <w:p w14:paraId="425B0BD6" w14:textId="77777777" w:rsidR="00F90A15" w:rsidRDefault="00000000">
      <w:pPr>
        <w:keepNext/>
        <w:spacing w:line="480" w:lineRule="auto"/>
      </w:pPr>
      <w:r>
        <w:t>Table 2 Selected recent evidence and implications for mulberry management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4"/>
        <w:gridCol w:w="3528"/>
        <w:gridCol w:w="3528"/>
      </w:tblGrid>
      <w:tr w:rsidR="00F90A15" w14:paraId="118D04AE" w14:textId="77777777" w:rsidTr="000F51C1">
        <w:trPr>
          <w:cantSplit/>
          <w:tblHeader/>
        </w:trPr>
        <w:tc>
          <w:tcPr>
            <w:tcW w:w="2304" w:type="dxa"/>
          </w:tcPr>
          <w:p w14:paraId="39E1EF14" w14:textId="77777777" w:rsidR="00F90A15" w:rsidRDefault="00000000">
            <w:pPr>
              <w:spacing w:after="60" w:line="480" w:lineRule="auto"/>
              <w:jc w:val="left"/>
            </w:pPr>
            <w:r>
              <w:rPr>
                <w:b/>
              </w:rPr>
              <w:t>Source</w:t>
            </w:r>
          </w:p>
        </w:tc>
        <w:tc>
          <w:tcPr>
            <w:tcW w:w="3528" w:type="dxa"/>
          </w:tcPr>
          <w:p w14:paraId="2B9DA00B" w14:textId="77777777" w:rsidR="00F90A15" w:rsidRDefault="00000000">
            <w:pPr>
              <w:spacing w:after="60" w:line="480" w:lineRule="auto"/>
              <w:jc w:val="left"/>
            </w:pPr>
            <w:r>
              <w:rPr>
                <w:b/>
              </w:rPr>
              <w:t>Verified contribution</w:t>
            </w:r>
          </w:p>
        </w:tc>
        <w:tc>
          <w:tcPr>
            <w:tcW w:w="3528" w:type="dxa"/>
          </w:tcPr>
          <w:p w14:paraId="59118E4D" w14:textId="77777777" w:rsidR="00F90A15" w:rsidRDefault="00000000">
            <w:pPr>
              <w:spacing w:after="60" w:line="480" w:lineRule="auto"/>
              <w:jc w:val="left"/>
            </w:pPr>
            <w:r>
              <w:rPr>
                <w:b/>
              </w:rPr>
              <w:t>Interpretive limit</w:t>
            </w:r>
          </w:p>
        </w:tc>
      </w:tr>
      <w:tr w:rsidR="00F90A15" w14:paraId="1008EE05" w14:textId="77777777" w:rsidTr="000F51C1">
        <w:trPr>
          <w:cantSplit/>
        </w:trPr>
        <w:tc>
          <w:tcPr>
            <w:tcW w:w="2304" w:type="dxa"/>
          </w:tcPr>
          <w:p w14:paraId="69F93F7B" w14:textId="77777777" w:rsidR="00F90A15" w:rsidRDefault="00000000">
            <w:pPr>
              <w:spacing w:after="60" w:line="480" w:lineRule="auto"/>
              <w:jc w:val="left"/>
            </w:pPr>
            <w:proofErr w:type="spellStart"/>
            <w:r>
              <w:t>Sreerama</w:t>
            </w:r>
            <w:proofErr w:type="spellEnd"/>
            <w:r>
              <w:t xml:space="preserve"> Kumar et al. (2024)</w:t>
            </w:r>
          </w:p>
        </w:tc>
        <w:tc>
          <w:tcPr>
            <w:tcW w:w="3528" w:type="dxa"/>
          </w:tcPr>
          <w:p w14:paraId="1A053B56" w14:textId="77777777" w:rsidR="00F90A15" w:rsidRDefault="00000000">
            <w:pPr>
              <w:spacing w:after="60" w:line="480" w:lineRule="auto"/>
              <w:jc w:val="left"/>
            </w:pPr>
            <w:r>
              <w:t>Documents a diverse southern Indian thrips complex</w:t>
            </w:r>
          </w:p>
        </w:tc>
        <w:tc>
          <w:tcPr>
            <w:tcW w:w="3528" w:type="dxa"/>
          </w:tcPr>
          <w:p w14:paraId="55C20A10" w14:textId="77777777" w:rsidR="00F90A15" w:rsidRDefault="00000000">
            <w:pPr>
              <w:spacing w:after="60" w:line="480" w:lineRule="auto"/>
              <w:jc w:val="left"/>
            </w:pPr>
            <w:r>
              <w:t>Surveyed sites do not establish national dominance</w:t>
            </w:r>
          </w:p>
        </w:tc>
      </w:tr>
      <w:tr w:rsidR="00F90A15" w14:paraId="406988EC" w14:textId="77777777" w:rsidTr="000F51C1">
        <w:trPr>
          <w:cantSplit/>
        </w:trPr>
        <w:tc>
          <w:tcPr>
            <w:tcW w:w="2304" w:type="dxa"/>
          </w:tcPr>
          <w:p w14:paraId="419FE000" w14:textId="77777777" w:rsidR="00F90A15" w:rsidRDefault="00000000">
            <w:pPr>
              <w:spacing w:after="60" w:line="480" w:lineRule="auto"/>
              <w:jc w:val="left"/>
            </w:pPr>
            <w:r>
              <w:lastRenderedPageBreak/>
              <w:t>Government of India (2024)</w:t>
            </w:r>
          </w:p>
        </w:tc>
        <w:tc>
          <w:tcPr>
            <w:tcW w:w="3528" w:type="dxa"/>
          </w:tcPr>
          <w:p w14:paraId="2D6143F5" w14:textId="77777777" w:rsidR="00F90A15" w:rsidRDefault="00000000">
            <w:pPr>
              <w:spacing w:after="60" w:line="480" w:lineRule="auto"/>
              <w:jc w:val="left"/>
            </w:pPr>
            <w:r>
              <w:t>Reports papaya mealybug suppression through biological control</w:t>
            </w:r>
          </w:p>
        </w:tc>
        <w:tc>
          <w:tcPr>
            <w:tcW w:w="3528" w:type="dxa"/>
          </w:tcPr>
          <w:p w14:paraId="0778CD52" w14:textId="77777777" w:rsidR="00F90A15" w:rsidRDefault="00000000">
            <w:pPr>
              <w:spacing w:after="60" w:line="480" w:lineRule="auto"/>
              <w:jc w:val="left"/>
            </w:pPr>
            <w:r>
              <w:t>Official status does not exclude local resurgence</w:t>
            </w:r>
          </w:p>
        </w:tc>
      </w:tr>
      <w:tr w:rsidR="00F90A15" w14:paraId="61F4B317" w14:textId="77777777" w:rsidTr="000F51C1">
        <w:trPr>
          <w:cantSplit/>
        </w:trPr>
        <w:tc>
          <w:tcPr>
            <w:tcW w:w="2304" w:type="dxa"/>
          </w:tcPr>
          <w:p w14:paraId="2BB6A02D" w14:textId="77777777" w:rsidR="00F90A15" w:rsidRDefault="00000000">
            <w:pPr>
              <w:spacing w:after="60" w:line="480" w:lineRule="auto"/>
              <w:jc w:val="left"/>
            </w:pPr>
            <w:r>
              <w:t>Finch et al. (2024)</w:t>
            </w:r>
          </w:p>
        </w:tc>
        <w:tc>
          <w:tcPr>
            <w:tcW w:w="3528" w:type="dxa"/>
          </w:tcPr>
          <w:p w14:paraId="182B9B0B" w14:textId="77777777" w:rsidR="00F90A15" w:rsidRDefault="00000000">
            <w:pPr>
              <w:spacing w:after="60" w:line="480" w:lineRule="auto"/>
              <w:jc w:val="left"/>
            </w:pPr>
            <w:r>
              <w:t>Models parasitoid and pest climatic suitability in Africa</w:t>
            </w:r>
          </w:p>
        </w:tc>
        <w:tc>
          <w:tcPr>
            <w:tcW w:w="3528" w:type="dxa"/>
          </w:tcPr>
          <w:p w14:paraId="5BE7AD6A" w14:textId="77777777" w:rsidR="00F90A15" w:rsidRDefault="00000000">
            <w:pPr>
              <w:spacing w:after="60" w:line="480" w:lineRule="auto"/>
              <w:jc w:val="left"/>
            </w:pPr>
            <w:r>
              <w:t>Prediction is not a release trial in Indian mulberry</w:t>
            </w:r>
          </w:p>
        </w:tc>
      </w:tr>
      <w:tr w:rsidR="00F90A15" w14:paraId="782708EC" w14:textId="77777777" w:rsidTr="000F51C1">
        <w:trPr>
          <w:cantSplit/>
        </w:trPr>
        <w:tc>
          <w:tcPr>
            <w:tcW w:w="2304" w:type="dxa"/>
          </w:tcPr>
          <w:p w14:paraId="038775AA" w14:textId="77777777" w:rsidR="00F90A15" w:rsidRDefault="00000000">
            <w:pPr>
              <w:spacing w:after="60" w:line="480" w:lineRule="auto"/>
              <w:jc w:val="left"/>
            </w:pPr>
            <w:r>
              <w:t>Gagana Sindhu et al. (2025, 2026)</w:t>
            </w:r>
          </w:p>
        </w:tc>
        <w:tc>
          <w:tcPr>
            <w:tcW w:w="3528" w:type="dxa"/>
          </w:tcPr>
          <w:p w14:paraId="7EB9BB58" w14:textId="77777777" w:rsidR="00F90A15" w:rsidRDefault="00000000">
            <w:pPr>
              <w:spacing w:after="60" w:line="480" w:lineRule="auto"/>
              <w:jc w:val="left"/>
            </w:pPr>
            <w:r>
              <w:t>Provides pesticide feeding-safety and field-efficacy evidence</w:t>
            </w:r>
          </w:p>
        </w:tc>
        <w:tc>
          <w:tcPr>
            <w:tcW w:w="3528" w:type="dxa"/>
          </w:tcPr>
          <w:p w14:paraId="36550ED6" w14:textId="77777777" w:rsidR="00F90A15" w:rsidRDefault="00000000">
            <w:pPr>
              <w:spacing w:after="60" w:line="480" w:lineRule="auto"/>
              <w:jc w:val="left"/>
            </w:pPr>
            <w:r>
              <w:t>Experimental results do not establish universal crop-use safety</w:t>
            </w:r>
          </w:p>
        </w:tc>
      </w:tr>
      <w:tr w:rsidR="00F90A15" w14:paraId="6881FE80" w14:textId="77777777" w:rsidTr="000F51C1">
        <w:trPr>
          <w:cantSplit/>
        </w:trPr>
        <w:tc>
          <w:tcPr>
            <w:tcW w:w="2304" w:type="dxa"/>
          </w:tcPr>
          <w:p w14:paraId="0C8E3621" w14:textId="77777777" w:rsidR="00F90A15" w:rsidRDefault="00000000">
            <w:pPr>
              <w:spacing w:after="60" w:line="480" w:lineRule="auto"/>
              <w:jc w:val="left"/>
            </w:pPr>
            <w:r>
              <w:t>Kalpana et al. (2026)</w:t>
            </w:r>
          </w:p>
        </w:tc>
        <w:tc>
          <w:tcPr>
            <w:tcW w:w="3528" w:type="dxa"/>
          </w:tcPr>
          <w:p w14:paraId="46BF5526" w14:textId="77777777" w:rsidR="00F90A15" w:rsidRDefault="00000000">
            <w:pPr>
              <w:spacing w:after="60" w:line="480" w:lineRule="auto"/>
              <w:jc w:val="left"/>
            </w:pPr>
            <w:r>
              <w:t>Reports hyperspectral red-edge shifts in infested V1 mulberry</w:t>
            </w:r>
          </w:p>
        </w:tc>
        <w:tc>
          <w:tcPr>
            <w:tcW w:w="3528" w:type="dxa"/>
          </w:tcPr>
          <w:p w14:paraId="35325F62" w14:textId="77777777" w:rsidR="00F90A15" w:rsidRDefault="00000000">
            <w:pPr>
              <w:spacing w:after="60" w:line="480" w:lineRule="auto"/>
              <w:jc w:val="left"/>
            </w:pPr>
            <w:r>
              <w:t>Stress detection needs independent and multi-stress validation</w:t>
            </w:r>
          </w:p>
        </w:tc>
      </w:tr>
    </w:tbl>
    <w:p w14:paraId="5E0D74C7" w14:textId="77777777" w:rsidR="00F90A15" w:rsidRDefault="00000000">
      <w:r>
        <w:t>This table summarizes selected evidence; it is not a meta-analysis or a comparison of treatment efficacy across studies.</w:t>
      </w:r>
    </w:p>
    <w:p w14:paraId="4545CEEF" w14:textId="77777777" w:rsidR="00F90A15" w:rsidRDefault="00000000">
      <w:r>
        <w:t>Kalpana et al. (2026) used hyperspectral measurements on V1 mulberry and reported movement of the red-edge position towards shorter wavelengths in pest-infested plants. Measurements at several post-pruning ages indicate potential for detecting physiological stress associated with whitefly, mealybug and thrips infestation. However, spectral stress signatures should not be equated with definitive insect identification. Nutrient deficiency, water stress and other leaf disorders require inclusion as competing explanations during validation.</w:t>
      </w:r>
    </w:p>
    <w:p w14:paraId="22207C18" w14:textId="77777777" w:rsidR="00F90A15" w:rsidRDefault="00000000">
      <w:r>
        <w:t xml:space="preserve">A practical digital </w:t>
      </w:r>
      <w:proofErr w:type="spellStart"/>
      <w:r>
        <w:t>programme</w:t>
      </w:r>
      <w:proofErr w:type="spellEnd"/>
      <w:r>
        <w:t xml:space="preserve"> would combine images or spectral observations with confirmed pest counts and crop records. Algorithms should be assessed on independent farms and seasons, with explicit reporting of false alarms and missed infestations. The value to sericulture would depend on whether earlier detection improves usable leaf availability while reducing hazardous interventions. These are proposed evaluation criteria, not established outcomes of the cited spectral study.</w:t>
      </w:r>
    </w:p>
    <w:p w14:paraId="53457351" w14:textId="77777777" w:rsidR="00F90A15" w:rsidRDefault="00000000">
      <w:r>
        <w:t xml:space="preserve">Acute mortality is only one component of pesticide effects on beneficial arthropods. Changes in </w:t>
      </w:r>
      <w:proofErr w:type="spellStart"/>
      <w:r>
        <w:t>behaviour</w:t>
      </w:r>
      <w:proofErr w:type="spellEnd"/>
      <w:r>
        <w:t>, physiology and reproductive performance can impair biological control even when many exposed individuals survive (</w:t>
      </w:r>
      <w:proofErr w:type="spellStart"/>
      <w:r>
        <w:t>Desneux</w:t>
      </w:r>
      <w:proofErr w:type="spellEnd"/>
      <w:r>
        <w:t xml:space="preserve"> et al., 2007). This wider evidence supports including sublethal endpoints in mulberry natural-enemy studies; it should not be interpreted as a numerical toxicity estimate for </w:t>
      </w:r>
      <w:r>
        <w:rPr>
          <w:i/>
        </w:rPr>
        <w:t>Bombyx mori</w:t>
      </w:r>
      <w:r>
        <w:t>.</w:t>
      </w:r>
    </w:p>
    <w:p w14:paraId="2A65D906" w14:textId="77777777" w:rsidR="00F90A15" w:rsidRDefault="00000000">
      <w:pPr>
        <w:pStyle w:val="Heading1"/>
      </w:pPr>
      <w:r>
        <w:lastRenderedPageBreak/>
        <w:t>7. Research gaps and priorities</w:t>
      </w:r>
    </w:p>
    <w:p w14:paraId="266A5E78" w14:textId="77777777" w:rsidR="000E3D96" w:rsidRDefault="000E3D96" w:rsidP="000E3D96">
      <w:pPr>
        <w:pStyle w:val="Heading1"/>
        <w:spacing w:line="360" w:lineRule="auto"/>
        <w:ind w:firstLine="720"/>
        <w:rPr>
          <w:b w:val="0"/>
          <w:bCs w:val="0"/>
        </w:rPr>
      </w:pPr>
      <w:r w:rsidRPr="000E3D96">
        <w:rPr>
          <w:b w:val="0"/>
          <w:bCs w:val="0"/>
        </w:rPr>
        <w:t xml:space="preserve">Taxonomic uncertainty is a major limitation. Voucher specimens should be retained and the method of identification documented before ascribing species-specific biology, response to climate or control </w:t>
      </w:r>
      <w:proofErr w:type="gramStart"/>
      <w:r w:rsidRPr="000E3D96">
        <w:rPr>
          <w:b w:val="0"/>
          <w:bCs w:val="0"/>
        </w:rPr>
        <w:t>efficacy .</w:t>
      </w:r>
      <w:proofErr w:type="gramEnd"/>
      <w:r w:rsidRPr="000E3D96">
        <w:rPr>
          <w:b w:val="0"/>
          <w:bCs w:val="0"/>
        </w:rPr>
        <w:t xml:space="preserve"> Molecular tools are useful to complement morphological diagnosis, if reliable reference sequences are available. Local species composition may change and should be carefully reexamined in historical records, but this should not be a reason to erase all older records from another region.</w:t>
      </w:r>
      <w:r w:rsidRPr="000E3D96">
        <w:rPr>
          <w:b w:val="0"/>
          <w:bCs w:val="0"/>
        </w:rPr>
        <w:br/>
        <w:t>Action thresholds should relate pest density to the actual production objective. Replicated studies should quantify harvestable leaf biomass, proportion suitable for feeding, leaf nutritional traits and cocoon performance. Economic comparisons should take account of the cost of the intervention, the loss of leaf due to contamination and the time taken to obtain replacement foliage. A threshold based on cotton, vegetable or fruit crops cannot be assumed to be applicable to mulberry.</w:t>
      </w:r>
      <w:r>
        <w:rPr>
          <w:b w:val="0"/>
          <w:bCs w:val="0"/>
        </w:rPr>
        <w:t xml:space="preserve"> </w:t>
      </w:r>
      <w:r w:rsidRPr="000E3D96">
        <w:rPr>
          <w:b w:val="0"/>
          <w:bCs w:val="0"/>
        </w:rPr>
        <w:t>Safety studies should evaluate the exposure pathway from treated foliage to larvae, including different instars, repeated feeding and sublethal effects. Suitable end-points include survival, development time, larval weight, cocoon weight, shell weight and reproductive performance where appropriate. Using residue measurements and standardized feeding bioassays would increase the transferability of the results compared to mortality observations alone. Target pest efficacy should be considered along with natural enemy compatibility.</w:t>
      </w:r>
      <w:r>
        <w:rPr>
          <w:b w:val="0"/>
          <w:bCs w:val="0"/>
        </w:rPr>
        <w:t xml:space="preserve"> </w:t>
      </w:r>
      <w:r w:rsidRPr="000E3D96">
        <w:rPr>
          <w:b w:val="0"/>
          <w:bCs w:val="0"/>
        </w:rPr>
        <w:t>Finally, integrated programs need to be compared with routine farm practice over several seasons. Evaluations should include the pest complex, pruning schedule, weather, natural-enemy status, and availability of untreated feed. Such studies can test whether scouting, biological control and selective intervention continue to work when outbreaks involve multiple species simultaneously. If farmers were involved, it would be possible to determine whether the proposed monitoring and record-keeping requirements were feasible.</w:t>
      </w:r>
    </w:p>
    <w:p w14:paraId="5A92FD0A" w14:textId="5DE146EA" w:rsidR="00F90A15" w:rsidRDefault="00000000" w:rsidP="000E3D96">
      <w:pPr>
        <w:pStyle w:val="Heading1"/>
      </w:pPr>
      <w:r>
        <w:t>8. Conclusion</w:t>
      </w:r>
    </w:p>
    <w:p w14:paraId="60940CE1" w14:textId="77777777" w:rsidR="000E3D96" w:rsidRPr="00F06CB6" w:rsidRDefault="000E3D96" w:rsidP="000E3D96">
      <w:pPr>
        <w:spacing w:after="160" w:line="360" w:lineRule="auto"/>
      </w:pPr>
      <w:r w:rsidRPr="00F06CB6">
        <w:t xml:space="preserve">The management of sucking insects in mulberry should be aimed at protecting the crop and the silkworms feeding on its leaves. Reliable identification is important, as recent research has shown a more diverse thrips complex than the single species descriptions generally used in older accounts. Successful suppression of the papaya mealybug by biological control agents is a good example. Recent studies conducted in the field and on feeding habits emphasize the necessity of assessing pest mortality along with silkworm safety. The </w:t>
      </w:r>
      <w:r w:rsidRPr="00F06CB6">
        <w:lastRenderedPageBreak/>
        <w:t>intervention must be based on prevention, standardized scouting, selective sanitation and conservation of natural enemies. Current authorization and validated feeding intervals are required for chemical options. Future work should correlate the taxonomically confirmed pest populations with usable leaf yield, residues, cocoon traits and the performance of integrated programs in different seasons.</w:t>
      </w:r>
    </w:p>
    <w:p w14:paraId="5C833A10" w14:textId="77777777" w:rsidR="00F90A15" w:rsidRDefault="00000000">
      <w:pPr>
        <w:pStyle w:val="Heading1"/>
      </w:pPr>
      <w:r>
        <w:t>Competing interests</w:t>
      </w:r>
    </w:p>
    <w:p w14:paraId="31574E22" w14:textId="77777777" w:rsidR="00F90A15" w:rsidRDefault="00000000">
      <w:r>
        <w:t>The authors declare that no competing interests exist.</w:t>
      </w:r>
    </w:p>
    <w:p w14:paraId="02B2AAE9" w14:textId="77777777" w:rsidR="00F2665A" w:rsidRDefault="00F2665A" w:rsidP="00F2665A">
      <w:pPr>
        <w:spacing w:after="0"/>
        <w:rPr>
          <w:b/>
        </w:rPr>
      </w:pPr>
      <w:r w:rsidRPr="000839CE">
        <w:rPr>
          <w:b/>
        </w:rPr>
        <w:t>Declaration of AI Use</w:t>
      </w:r>
    </w:p>
    <w:p w14:paraId="1B53575B" w14:textId="77777777" w:rsidR="00F2665A" w:rsidRDefault="00F2665A" w:rsidP="00F2665A">
      <w:pPr>
        <w:spacing w:after="0"/>
        <w:rPr>
          <w:b/>
        </w:rPr>
      </w:pPr>
    </w:p>
    <w:p w14:paraId="674B1190" w14:textId="77777777" w:rsidR="00F2665A" w:rsidRDefault="00F2665A" w:rsidP="00F2665A">
      <w:pPr>
        <w:spacing w:after="0"/>
        <w:rPr>
          <w:b/>
        </w:rPr>
      </w:pPr>
    </w:p>
    <w:p w14:paraId="45EDA827" w14:textId="77777777" w:rsidR="00F2665A" w:rsidRDefault="00F2665A" w:rsidP="00F2665A">
      <w:pPr>
        <w:spacing w:after="0"/>
        <w:rPr>
          <w:b/>
        </w:rPr>
      </w:pPr>
    </w:p>
    <w:p w14:paraId="4958B270" w14:textId="77777777" w:rsidR="00F2665A" w:rsidRPr="002D08AC" w:rsidRDefault="00F2665A" w:rsidP="00F2665A">
      <w:pPr>
        <w:spacing w:after="0"/>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0CE3ACE" w14:textId="77777777" w:rsidR="00F2665A" w:rsidRDefault="00F2665A"/>
    <w:p w14:paraId="7D5D2B6A" w14:textId="77777777" w:rsidR="00F90A15" w:rsidRDefault="00000000">
      <w:pPr>
        <w:pStyle w:val="Heading1"/>
      </w:pPr>
      <w:r>
        <w:t>References</w:t>
      </w:r>
    </w:p>
    <w:p w14:paraId="7A578321" w14:textId="77777777" w:rsidR="00F90A15" w:rsidRDefault="00000000" w:rsidP="000F51C1">
      <w:pPr>
        <w:keepLines/>
        <w:ind w:left="360" w:hanging="360"/>
      </w:pPr>
      <w:r>
        <w:t xml:space="preserve">Bale, J. S., van </w:t>
      </w:r>
      <w:proofErr w:type="spellStart"/>
      <w:r>
        <w:t>Lenteren</w:t>
      </w:r>
      <w:proofErr w:type="spellEnd"/>
      <w:r>
        <w:t xml:space="preserve">, J. C., &amp; Bigler, F. (2008). Biological control and sustainable food production. </w:t>
      </w:r>
      <w:r>
        <w:rPr>
          <w:i/>
        </w:rPr>
        <w:t>Philosophical Transactions of the Royal Society B: Biological Sciences</w:t>
      </w:r>
      <w:r>
        <w:t>, 363(1492), 761–776. https://doi.org/10.1098/rstb.2007.2182</w:t>
      </w:r>
    </w:p>
    <w:p w14:paraId="0A4E927C" w14:textId="77777777" w:rsidR="00F90A15" w:rsidRDefault="00000000" w:rsidP="000F51C1">
      <w:pPr>
        <w:keepLines/>
        <w:ind w:left="360" w:hanging="360"/>
      </w:pPr>
      <w:r>
        <w:t>Central Silk Board. (n.d.). Diseases and pests of food plants. SILKS. Retrieved October 3, 2026, from https://silks.csb.gov.in/dindigul/diseases-and-pests-of-food-plants/</w:t>
      </w:r>
    </w:p>
    <w:p w14:paraId="03565E84" w14:textId="77777777" w:rsidR="00F90A15" w:rsidRDefault="00000000" w:rsidP="000F51C1">
      <w:pPr>
        <w:keepLines/>
        <w:ind w:left="360" w:hanging="360"/>
      </w:pPr>
      <w:r>
        <w:t xml:space="preserve">Cocuzza, G. (2024). </w:t>
      </w:r>
      <w:r>
        <w:rPr>
          <w:i/>
        </w:rPr>
        <w:t>Aphis gossypii</w:t>
      </w:r>
      <w:r>
        <w:t xml:space="preserve"> (cotton aphid). </w:t>
      </w:r>
      <w:r>
        <w:rPr>
          <w:i/>
        </w:rPr>
        <w:t>CABI Compendium</w:t>
      </w:r>
      <w:r>
        <w:t>. https://doi.org/10.1079/cabicompendium.6204</w:t>
      </w:r>
    </w:p>
    <w:p w14:paraId="23749BA9" w14:textId="77777777" w:rsidR="00F90A15" w:rsidRDefault="00000000" w:rsidP="000F51C1">
      <w:pPr>
        <w:keepLines/>
        <w:ind w:left="360" w:hanging="360"/>
      </w:pPr>
      <w:r>
        <w:t xml:space="preserve">De Barro, P. J., Liu, S. S., Boykin, L. M., &amp; Dinsdale, A. B. (2011). </w:t>
      </w:r>
      <w:proofErr w:type="spellStart"/>
      <w:r>
        <w:rPr>
          <w:i/>
        </w:rPr>
        <w:t>Bemisia</w:t>
      </w:r>
      <w:proofErr w:type="spellEnd"/>
      <w:r>
        <w:rPr>
          <w:i/>
        </w:rPr>
        <w:t xml:space="preserve"> </w:t>
      </w:r>
      <w:proofErr w:type="spellStart"/>
      <w:r>
        <w:rPr>
          <w:i/>
        </w:rPr>
        <w:t>tabaci</w:t>
      </w:r>
      <w:proofErr w:type="spellEnd"/>
      <w:r>
        <w:t xml:space="preserve">: A statement of species status. </w:t>
      </w:r>
      <w:r>
        <w:rPr>
          <w:i/>
        </w:rPr>
        <w:t>Annual Review of Entomology</w:t>
      </w:r>
      <w:r>
        <w:t>, 56, 1–19. https://doi.org/10.1146/annurev-ento-112408-085504</w:t>
      </w:r>
    </w:p>
    <w:p w14:paraId="4B847497" w14:textId="77777777" w:rsidR="00F90A15" w:rsidRDefault="00000000" w:rsidP="000F51C1">
      <w:pPr>
        <w:keepLines/>
        <w:ind w:left="360" w:hanging="360"/>
      </w:pPr>
      <w:r>
        <w:t xml:space="preserve">de Faria, M. R., &amp; Wraight, S. P. (2007). Mycoinsecticides and mycoacaricides: A comprehensive list with worldwide coverage and international classification of formulation types. </w:t>
      </w:r>
      <w:r>
        <w:rPr>
          <w:i/>
        </w:rPr>
        <w:t>Biological Control</w:t>
      </w:r>
      <w:r>
        <w:t>, 43(3), 237–256. https://doi.org/10.1016/j.biocontrol.2007.08.001</w:t>
      </w:r>
    </w:p>
    <w:p w14:paraId="3379A8A9" w14:textId="77777777" w:rsidR="00F90A15" w:rsidRDefault="00000000" w:rsidP="000F51C1">
      <w:pPr>
        <w:keepLines/>
        <w:ind w:left="360" w:hanging="360"/>
      </w:pPr>
      <w:proofErr w:type="spellStart"/>
      <w:r>
        <w:t>Desneux</w:t>
      </w:r>
      <w:proofErr w:type="spellEnd"/>
      <w:r>
        <w:t xml:space="preserve">, N., </w:t>
      </w:r>
      <w:proofErr w:type="spellStart"/>
      <w:r>
        <w:t>Decourtye</w:t>
      </w:r>
      <w:proofErr w:type="spellEnd"/>
      <w:r>
        <w:t xml:space="preserve">, A., &amp; </w:t>
      </w:r>
      <w:proofErr w:type="spellStart"/>
      <w:r>
        <w:t>Delpuech</w:t>
      </w:r>
      <w:proofErr w:type="spellEnd"/>
      <w:r>
        <w:t xml:space="preserve">, J. M. (2007). The sublethal effects of pesticides on beneficial arthropods. </w:t>
      </w:r>
      <w:r>
        <w:rPr>
          <w:i/>
        </w:rPr>
        <w:t>Annual Review of Entomology</w:t>
      </w:r>
      <w:r>
        <w:t>, 52, 81–106. https://doi.org/10.1146/annurev.ento.52.110405.091440</w:t>
      </w:r>
    </w:p>
    <w:p w14:paraId="5D483322" w14:textId="77777777" w:rsidR="00F90A15" w:rsidRDefault="00000000" w:rsidP="000F51C1">
      <w:pPr>
        <w:keepLines/>
        <w:ind w:left="360" w:hanging="360"/>
      </w:pPr>
      <w:r>
        <w:t xml:space="preserve">European and Mediterranean Plant Protection Organization. (2026). </w:t>
      </w:r>
      <w:proofErr w:type="spellStart"/>
      <w:r>
        <w:rPr>
          <w:i/>
        </w:rPr>
        <w:t>Maconellicoccus</w:t>
      </w:r>
      <w:proofErr w:type="spellEnd"/>
      <w:r>
        <w:rPr>
          <w:i/>
        </w:rPr>
        <w:t xml:space="preserve"> hirsutus</w:t>
      </w:r>
      <w:r>
        <w:t>. EPPO datasheets on pests recommended for regulation. Retrieved October 3, 2026, from https://gd.eppo.int/taxon/PHENHI/datasheet</w:t>
      </w:r>
    </w:p>
    <w:p w14:paraId="35DE9417" w14:textId="77777777" w:rsidR="00F90A15" w:rsidRDefault="00000000" w:rsidP="000F51C1">
      <w:pPr>
        <w:keepLines/>
        <w:ind w:left="360" w:hanging="360"/>
      </w:pPr>
      <w:r>
        <w:lastRenderedPageBreak/>
        <w:t xml:space="preserve">Finch, E. A., </w:t>
      </w:r>
      <w:proofErr w:type="spellStart"/>
      <w:r>
        <w:t>Wyckhuys</w:t>
      </w:r>
      <w:proofErr w:type="spellEnd"/>
      <w:r>
        <w:t xml:space="preserve">, K. A. G., &amp; </w:t>
      </w:r>
      <w:proofErr w:type="spellStart"/>
      <w:r>
        <w:t>Rwomushana</w:t>
      </w:r>
      <w:proofErr w:type="spellEnd"/>
      <w:r>
        <w:t xml:space="preserve">, I. (2024). Potential distribution of </w:t>
      </w:r>
      <w:proofErr w:type="spellStart"/>
      <w:r>
        <w:rPr>
          <w:i/>
        </w:rPr>
        <w:t>Acerophagus</w:t>
      </w:r>
      <w:proofErr w:type="spellEnd"/>
      <w:r>
        <w:rPr>
          <w:i/>
        </w:rPr>
        <w:t xml:space="preserve"> </w:t>
      </w:r>
      <w:proofErr w:type="spellStart"/>
      <w:r>
        <w:rPr>
          <w:i/>
        </w:rPr>
        <w:t>papayae</w:t>
      </w:r>
      <w:proofErr w:type="spellEnd"/>
      <w:r>
        <w:t>, a parasitoid of the papaya mealybug (</w:t>
      </w:r>
      <w:proofErr w:type="spellStart"/>
      <w:r>
        <w:rPr>
          <w:i/>
        </w:rPr>
        <w:t>Paracoccus</w:t>
      </w:r>
      <w:proofErr w:type="spellEnd"/>
      <w:r>
        <w:rPr>
          <w:i/>
        </w:rPr>
        <w:t xml:space="preserve"> marginatus</w:t>
      </w:r>
      <w:r>
        <w:t xml:space="preserve">), across Africa. </w:t>
      </w:r>
      <w:r>
        <w:rPr>
          <w:i/>
        </w:rPr>
        <w:t>Biological Control</w:t>
      </w:r>
      <w:r>
        <w:t>, 198, 105628. https://doi.org/10.1016/j.biocontrol.2024.105628</w:t>
      </w:r>
    </w:p>
    <w:p w14:paraId="36E4100C" w14:textId="77777777" w:rsidR="00F90A15" w:rsidRDefault="00000000" w:rsidP="000F51C1">
      <w:pPr>
        <w:keepLines/>
        <w:ind w:left="360" w:hanging="360"/>
      </w:pPr>
      <w:r>
        <w:t xml:space="preserve">Gagana Sindhu, S., Narayana Reddy, R., Vinoda, K. S., </w:t>
      </w:r>
      <w:proofErr w:type="spellStart"/>
      <w:r>
        <w:t>Banuprakash</w:t>
      </w:r>
      <w:proofErr w:type="spellEnd"/>
      <w:r>
        <w:t xml:space="preserve">, K. G., &amp; Murali Mohan, K. (2026). Evaluation of </w:t>
      </w:r>
      <w:proofErr w:type="spellStart"/>
      <w:r>
        <w:t>diafenthiuron</w:t>
      </w:r>
      <w:proofErr w:type="spellEnd"/>
      <w:r>
        <w:t xml:space="preserve"> 50 % WP for the management of thrips and mites in mulberry. </w:t>
      </w:r>
      <w:r>
        <w:rPr>
          <w:i/>
        </w:rPr>
        <w:t>Journal of Biology and Nature</w:t>
      </w:r>
      <w:r>
        <w:t>, 18(1), 259–266. https://doi.org/10.56557/joban/2026/v18i110298</w:t>
      </w:r>
    </w:p>
    <w:p w14:paraId="66486018" w14:textId="77777777" w:rsidR="00F90A15" w:rsidRDefault="00000000" w:rsidP="000F51C1">
      <w:pPr>
        <w:keepLines/>
        <w:ind w:left="360" w:hanging="360"/>
      </w:pPr>
      <w:r>
        <w:t xml:space="preserve">Gagana Sindhu, S., Narayana Reddy, R., Vinoda, K. S., Shwetha, G. V., </w:t>
      </w:r>
      <w:proofErr w:type="spellStart"/>
      <w:r>
        <w:t>Banuprakash</w:t>
      </w:r>
      <w:proofErr w:type="spellEnd"/>
      <w:r>
        <w:t xml:space="preserve">, K. G., &amp; Aramani, K. (2025). Effect of feeding </w:t>
      </w:r>
      <w:proofErr w:type="spellStart"/>
      <w:r>
        <w:t>diafenthiuron</w:t>
      </w:r>
      <w:proofErr w:type="spellEnd"/>
      <w:r>
        <w:t xml:space="preserve"> 50 % WP sprayed mulberry leaves on growth and development of silkworm (</w:t>
      </w:r>
      <w:r>
        <w:rPr>
          <w:i/>
        </w:rPr>
        <w:t>Bombyx mori</w:t>
      </w:r>
      <w:r>
        <w:t xml:space="preserve"> L.). </w:t>
      </w:r>
      <w:r>
        <w:rPr>
          <w:i/>
        </w:rPr>
        <w:t>Journal of Experimental Agriculture International</w:t>
      </w:r>
      <w:r>
        <w:t>, 47(7), 754–761. https://doi.org/10.9734/jeai/2025/v47i73616</w:t>
      </w:r>
    </w:p>
    <w:p w14:paraId="019B5A5B" w14:textId="77777777" w:rsidR="00F90A15" w:rsidRDefault="00000000" w:rsidP="000F51C1">
      <w:pPr>
        <w:keepLines/>
        <w:ind w:left="360" w:hanging="360"/>
      </w:pPr>
      <w:r>
        <w:t>Government of India. (2024, July 11). Outbreak and control of papaya mealy bug (</w:t>
      </w:r>
      <w:proofErr w:type="spellStart"/>
      <w:r>
        <w:rPr>
          <w:i/>
        </w:rPr>
        <w:t>Paracoccus</w:t>
      </w:r>
      <w:proofErr w:type="spellEnd"/>
      <w:r>
        <w:rPr>
          <w:i/>
        </w:rPr>
        <w:t xml:space="preserve"> marginatus</w:t>
      </w:r>
      <w:r>
        <w:t>) (Report IND-01/2). International Plant Protection Convention. https://www.ippc.int/en/countries/india/pestreports/2024/07/outbreak-and-control-of-papaya-mealy-bug-paracoccus-marginatus--1/</w:t>
      </w:r>
    </w:p>
    <w:p w14:paraId="3FE5FC2C" w14:textId="77777777" w:rsidR="00F90A15" w:rsidRDefault="00000000" w:rsidP="000F51C1">
      <w:pPr>
        <w:keepLines/>
        <w:ind w:left="360" w:hanging="360"/>
      </w:pPr>
      <w:r>
        <w:t xml:space="preserve">Gurr, G. M., Wratten, S. D., Landis, D. A., &amp; You, M. (2017). Habitat management to suppress pest populations: Progress and prospects. </w:t>
      </w:r>
      <w:r>
        <w:rPr>
          <w:i/>
        </w:rPr>
        <w:t>Annual Review of Entomology</w:t>
      </w:r>
      <w:r>
        <w:t>, 62, 91–109. https://doi.org/10.1146/annurev-ento-031616-035050</w:t>
      </w:r>
    </w:p>
    <w:p w14:paraId="7507F6C7" w14:textId="77777777" w:rsidR="00F90A15" w:rsidRDefault="00000000" w:rsidP="000F51C1">
      <w:pPr>
        <w:keepLines/>
        <w:ind w:left="360" w:hanging="360"/>
      </w:pPr>
      <w:r>
        <w:t>Insecticide Resistance Action Committee. (2026). Mode of action classification scheme (Version 11.5). https://irac-online.org/documents/moa-classification/</w:t>
      </w:r>
    </w:p>
    <w:p w14:paraId="4D9330F2" w14:textId="77777777" w:rsidR="00F90A15" w:rsidRDefault="00000000" w:rsidP="000F51C1">
      <w:pPr>
        <w:keepLines/>
        <w:ind w:left="360" w:hanging="360"/>
      </w:pPr>
      <w:r>
        <w:t xml:space="preserve">Isman, M. B. (2020). Botanical insecticides in the twenty-first century—Fulfilling their promise? </w:t>
      </w:r>
      <w:r>
        <w:rPr>
          <w:i/>
        </w:rPr>
        <w:t>Annual Review of Entomology</w:t>
      </w:r>
      <w:r>
        <w:t>, 65, 233–249. https://doi.org/10.1146/annurev-ento-011019-025010</w:t>
      </w:r>
    </w:p>
    <w:p w14:paraId="22C9891C" w14:textId="77777777" w:rsidR="00F90A15" w:rsidRDefault="00000000" w:rsidP="000F51C1">
      <w:pPr>
        <w:keepLines/>
        <w:ind w:left="360" w:hanging="360"/>
      </w:pPr>
      <w:r>
        <w:t xml:space="preserve">Kalpana, R., Sabarish, M., Menaka, S., Bhuvaneshwari, T., Nandha Kumar, R., </w:t>
      </w:r>
      <w:proofErr w:type="spellStart"/>
      <w:r>
        <w:t>Moulidharshan</w:t>
      </w:r>
      <w:proofErr w:type="spellEnd"/>
      <w:r>
        <w:t xml:space="preserve">, R., et al. (2026). Early detection of mulberry sucking pest infestation using red edge position from hyperspectral data. </w:t>
      </w:r>
      <w:r>
        <w:rPr>
          <w:i/>
        </w:rPr>
        <w:t>Archives of Current Research International</w:t>
      </w:r>
      <w:r>
        <w:t>, 26(4), 517–525. https://doi.org/10.9734/acri/2026/v26i41842</w:t>
      </w:r>
    </w:p>
    <w:p w14:paraId="289DBECE" w14:textId="77777777" w:rsidR="00F90A15" w:rsidRDefault="00000000" w:rsidP="000F51C1">
      <w:pPr>
        <w:keepLines/>
        <w:ind w:left="360" w:hanging="360"/>
      </w:pPr>
      <w:r>
        <w:t xml:space="preserve">Kogan, M. (1998). Integrated pest management: Historical perspectives and contemporary developments. </w:t>
      </w:r>
      <w:r>
        <w:rPr>
          <w:i/>
        </w:rPr>
        <w:t>Annual Review of Entomology</w:t>
      </w:r>
      <w:r>
        <w:t>, 43, 243–270. https://doi.org/10.1146/annurev.ento.43.1.243</w:t>
      </w:r>
    </w:p>
    <w:p w14:paraId="46ADB130" w14:textId="77777777" w:rsidR="00F90A15" w:rsidRDefault="00000000" w:rsidP="000F51C1">
      <w:pPr>
        <w:keepLines/>
        <w:ind w:left="360" w:hanging="360"/>
      </w:pPr>
      <w:r>
        <w:t xml:space="preserve">Morse, J. G., &amp; Hoddle, M. S. (2006). Invasion biology of thrips. </w:t>
      </w:r>
      <w:r>
        <w:rPr>
          <w:i/>
        </w:rPr>
        <w:t>Annual Review of Entomology</w:t>
      </w:r>
      <w:r>
        <w:t>, 51, 67–89. https://doi.org/10.1146/annurev.ento.51.110104.151044</w:t>
      </w:r>
    </w:p>
    <w:p w14:paraId="10735BCD" w14:textId="77777777" w:rsidR="00F90A15" w:rsidRDefault="00000000" w:rsidP="000F51C1">
      <w:pPr>
        <w:keepLines/>
        <w:ind w:left="360" w:hanging="360"/>
      </w:pPr>
      <w:r>
        <w:t xml:space="preserve">Mound, L. A. (2005). Thysanoptera: Diversity and interactions. </w:t>
      </w:r>
      <w:r>
        <w:rPr>
          <w:i/>
        </w:rPr>
        <w:t>Annual Review of Entomology</w:t>
      </w:r>
      <w:r>
        <w:t>, 50, 247–269. https://doi.org/10.1146/annurev.ento.49.061802.123318</w:t>
      </w:r>
    </w:p>
    <w:p w14:paraId="34958763" w14:textId="77777777" w:rsidR="00F90A15" w:rsidRDefault="00000000" w:rsidP="000F51C1">
      <w:pPr>
        <w:keepLines/>
        <w:ind w:left="360" w:hanging="360"/>
      </w:pPr>
      <w:r>
        <w:t xml:space="preserve">Ogawa, K., &amp; Miura, T. (2014). Aphid </w:t>
      </w:r>
      <w:proofErr w:type="spellStart"/>
      <w:r>
        <w:t>polyphenisms</w:t>
      </w:r>
      <w:proofErr w:type="spellEnd"/>
      <w:r>
        <w:t xml:space="preserve">: Trans-generational developmental regulation through viviparity. </w:t>
      </w:r>
      <w:r>
        <w:rPr>
          <w:i/>
        </w:rPr>
        <w:t>Frontiers in Physiology</w:t>
      </w:r>
      <w:r>
        <w:t>, 5, Article 1. https://doi.org/10.3389/fphys.2014.00001</w:t>
      </w:r>
    </w:p>
    <w:p w14:paraId="6777B87B" w14:textId="77777777" w:rsidR="00F90A15" w:rsidRDefault="00000000" w:rsidP="000F51C1">
      <w:pPr>
        <w:keepLines/>
        <w:ind w:left="360" w:hanging="360"/>
      </w:pPr>
      <w:r>
        <w:t xml:space="preserve">Rachana, R. R., Amarendra, B., &amp; Gracy, R. G. (2022). Studies on </w:t>
      </w:r>
      <w:proofErr w:type="spellStart"/>
      <w:r>
        <w:rPr>
          <w:i/>
        </w:rPr>
        <w:t>Pseudodendrothrips</w:t>
      </w:r>
      <w:proofErr w:type="spellEnd"/>
      <w:r>
        <w:t xml:space="preserve"> (Thysanoptera, Thripidae) from India, with one new species. </w:t>
      </w:r>
      <w:proofErr w:type="spellStart"/>
      <w:r>
        <w:rPr>
          <w:i/>
        </w:rPr>
        <w:t>Zootaxa</w:t>
      </w:r>
      <w:proofErr w:type="spellEnd"/>
      <w:r>
        <w:t>, 5209(3), 365–372. https://doi.org/10.11646/zootaxa.5209.3.5</w:t>
      </w:r>
    </w:p>
    <w:p w14:paraId="76ED2684" w14:textId="77777777" w:rsidR="00F90A15" w:rsidRDefault="00000000" w:rsidP="000F51C1">
      <w:pPr>
        <w:keepLines/>
        <w:ind w:left="360" w:hanging="360"/>
      </w:pPr>
      <w:r>
        <w:lastRenderedPageBreak/>
        <w:t>Sakthivel, N. (2013). Effectiveness of three introduced encyrtid parasitic wasps (</w:t>
      </w:r>
      <w:proofErr w:type="spellStart"/>
      <w:r>
        <w:rPr>
          <w:i/>
        </w:rPr>
        <w:t>Acerophagus</w:t>
      </w:r>
      <w:proofErr w:type="spellEnd"/>
      <w:r>
        <w:rPr>
          <w:i/>
        </w:rPr>
        <w:t xml:space="preserve"> </w:t>
      </w:r>
      <w:proofErr w:type="spellStart"/>
      <w:r>
        <w:rPr>
          <w:i/>
        </w:rPr>
        <w:t>papayae</w:t>
      </w:r>
      <w:proofErr w:type="spellEnd"/>
      <w:r>
        <w:t xml:space="preserve">, </w:t>
      </w:r>
      <w:proofErr w:type="spellStart"/>
      <w:r>
        <w:rPr>
          <w:i/>
        </w:rPr>
        <w:t>Anagyrus</w:t>
      </w:r>
      <w:proofErr w:type="spellEnd"/>
      <w:r>
        <w:rPr>
          <w:i/>
        </w:rPr>
        <w:t xml:space="preserve"> </w:t>
      </w:r>
      <w:proofErr w:type="spellStart"/>
      <w:r>
        <w:rPr>
          <w:i/>
        </w:rPr>
        <w:t>loecki</w:t>
      </w:r>
      <w:proofErr w:type="spellEnd"/>
      <w:r>
        <w:t xml:space="preserve"> and </w:t>
      </w:r>
      <w:proofErr w:type="spellStart"/>
      <w:r>
        <w:rPr>
          <w:i/>
        </w:rPr>
        <w:t>Pseudleptomastix</w:t>
      </w:r>
      <w:proofErr w:type="spellEnd"/>
      <w:r>
        <w:rPr>
          <w:i/>
        </w:rPr>
        <w:t xml:space="preserve"> mexicana</w:t>
      </w:r>
      <w:r>
        <w:t xml:space="preserve">) against papaya mealybug, </w:t>
      </w:r>
      <w:proofErr w:type="spellStart"/>
      <w:r>
        <w:rPr>
          <w:i/>
        </w:rPr>
        <w:t>Paracoccus</w:t>
      </w:r>
      <w:proofErr w:type="spellEnd"/>
      <w:r>
        <w:rPr>
          <w:i/>
        </w:rPr>
        <w:t xml:space="preserve"> marginatus</w:t>
      </w:r>
      <w:r>
        <w:t xml:space="preserve">, infesting mulberry in Tamil Nadu. </w:t>
      </w:r>
      <w:r>
        <w:rPr>
          <w:i/>
        </w:rPr>
        <w:t>Journal of Biopesticides</w:t>
      </w:r>
      <w:r>
        <w:t>, 6(1), 71–76. https://doi.org/10.57182/jbiopestic.6.1.71-76</w:t>
      </w:r>
    </w:p>
    <w:p w14:paraId="02EB7C02" w14:textId="77777777" w:rsidR="00F90A15" w:rsidRDefault="00000000" w:rsidP="000F51C1">
      <w:pPr>
        <w:keepLines/>
        <w:ind w:left="360" w:hanging="360"/>
      </w:pPr>
      <w:r>
        <w:t xml:space="preserve">Sparks, T. C., &amp; Nauen, R. (2015). IRAC: Mode of action classification and insecticide resistance management. </w:t>
      </w:r>
      <w:r>
        <w:rPr>
          <w:i/>
        </w:rPr>
        <w:t>Pesticide Biochemistry and Physiology</w:t>
      </w:r>
      <w:r>
        <w:t>, 121, 122–128. https://doi.org/10.1016/j.pestbp.2014.11.014</w:t>
      </w:r>
    </w:p>
    <w:p w14:paraId="1F011B7D" w14:textId="77777777" w:rsidR="00F90A15" w:rsidRDefault="00000000" w:rsidP="000F51C1">
      <w:pPr>
        <w:keepLines/>
        <w:ind w:left="360" w:hanging="360"/>
      </w:pPr>
      <w:proofErr w:type="spellStart"/>
      <w:r>
        <w:t>Sreerama</w:t>
      </w:r>
      <w:proofErr w:type="spellEnd"/>
      <w:r>
        <w:t xml:space="preserve"> Kumar, P., Rachana, R. R., Amarendra, B., &amp; Sheela, N. (2024). Transient composition of the thrips species (Thysanoptera: Thripidae) infesting mulberry in southern India: First report of two, including the dominating invasive pest </w:t>
      </w:r>
      <w:r>
        <w:rPr>
          <w:i/>
        </w:rPr>
        <w:t xml:space="preserve">Thrips </w:t>
      </w:r>
      <w:proofErr w:type="spellStart"/>
      <w:r>
        <w:rPr>
          <w:i/>
        </w:rPr>
        <w:t>parvispinus</w:t>
      </w:r>
      <w:proofErr w:type="spellEnd"/>
      <w:r>
        <w:t xml:space="preserve">. </w:t>
      </w:r>
      <w:r>
        <w:rPr>
          <w:i/>
        </w:rPr>
        <w:t>Journal of Integrated Pest Management</w:t>
      </w:r>
      <w:r>
        <w:t>, 15(1), 32. https://doi.org/10.1093/jipm/pmae024</w:t>
      </w:r>
    </w:p>
    <w:p w14:paraId="08885E30" w14:textId="77777777" w:rsidR="00F90A15" w:rsidRDefault="00000000" w:rsidP="000F51C1">
      <w:pPr>
        <w:keepLines/>
        <w:ind w:left="360" w:hanging="360"/>
      </w:pPr>
      <w:r>
        <w:t xml:space="preserve">van </w:t>
      </w:r>
      <w:proofErr w:type="spellStart"/>
      <w:r>
        <w:t>Lenteren</w:t>
      </w:r>
      <w:proofErr w:type="spellEnd"/>
      <w:r>
        <w:t xml:space="preserve">, J. C., Bale, J., Bigler, F., Hokkanen, H. M. T., &amp; Loomans, A. J. M. (2006). Assessing risks of releasing exotic biological control agents of arthropod pests. </w:t>
      </w:r>
      <w:r>
        <w:rPr>
          <w:i/>
        </w:rPr>
        <w:t>Annual Review of Entomology</w:t>
      </w:r>
      <w:r>
        <w:t>, 51, 609–634. https://doi.org/10.1146/annurev.ento.51.110104.151129</w:t>
      </w:r>
    </w:p>
    <w:p w14:paraId="7291FE66" w14:textId="77777777" w:rsidR="00F90A15" w:rsidRDefault="00000000" w:rsidP="000F51C1">
      <w:pPr>
        <w:keepLines/>
        <w:ind w:left="360" w:hanging="360"/>
      </w:pPr>
      <w:r>
        <w:t xml:space="preserve">van </w:t>
      </w:r>
      <w:proofErr w:type="spellStart"/>
      <w:r>
        <w:t>Lenteren</w:t>
      </w:r>
      <w:proofErr w:type="spellEnd"/>
      <w:r>
        <w:t xml:space="preserve">, J. C., </w:t>
      </w:r>
      <w:proofErr w:type="spellStart"/>
      <w:r>
        <w:t>Bolckmans</w:t>
      </w:r>
      <w:proofErr w:type="spellEnd"/>
      <w:r>
        <w:t xml:space="preserve">, K., Köhl, J., </w:t>
      </w:r>
      <w:proofErr w:type="spellStart"/>
      <w:r>
        <w:t>Ravensberg</w:t>
      </w:r>
      <w:proofErr w:type="spellEnd"/>
      <w:r>
        <w:t xml:space="preserve">, W. J., &amp; Urbaneja, A. (2018). Biological control using invertebrates and microorganisms: Plenty of new opportunities. </w:t>
      </w:r>
      <w:proofErr w:type="spellStart"/>
      <w:r>
        <w:rPr>
          <w:i/>
        </w:rPr>
        <w:t>BioControl</w:t>
      </w:r>
      <w:proofErr w:type="spellEnd"/>
      <w:r>
        <w:t>, 63, 39–59. https://doi.org/10.1007/s10526-017-9801-4</w:t>
      </w:r>
    </w:p>
    <w:sectPr w:rsidR="00F90A15" w:rsidSect="0003461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FBE00" w14:textId="77777777" w:rsidR="00CC5DA6" w:rsidRDefault="00CC5DA6">
      <w:pPr>
        <w:spacing w:after="0"/>
      </w:pPr>
      <w:r>
        <w:separator/>
      </w:r>
    </w:p>
  </w:endnote>
  <w:endnote w:type="continuationSeparator" w:id="0">
    <w:p w14:paraId="1545DAE8" w14:textId="77777777" w:rsidR="00CC5DA6" w:rsidRDefault="00CC5DA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A6FB5" w14:textId="77777777" w:rsidR="00212C84" w:rsidRDefault="00212C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96D49" w14:textId="77777777" w:rsidR="00F90A15" w:rsidRDefault="00000000">
    <w:pPr>
      <w:pStyle w:val="Footer"/>
      <w:jc w:val="center"/>
    </w:pPr>
    <w:r>
      <w:fldChar w:fldCharType="begin"/>
    </w:r>
    <w:r>
      <w:instrText>PAGE</w:instrText>
    </w:r>
    <w:r>
      <w:fldChar w:fldCharType="separate"/>
    </w:r>
    <w:r w:rsidR="000F51C1">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F8BDC" w14:textId="77777777" w:rsidR="00212C84" w:rsidRDefault="00212C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20073" w14:textId="77777777" w:rsidR="00CC5DA6" w:rsidRDefault="00CC5DA6">
      <w:pPr>
        <w:spacing w:after="0"/>
      </w:pPr>
      <w:r>
        <w:separator/>
      </w:r>
    </w:p>
  </w:footnote>
  <w:footnote w:type="continuationSeparator" w:id="0">
    <w:p w14:paraId="29D58B0D" w14:textId="77777777" w:rsidR="00CC5DA6" w:rsidRDefault="00CC5DA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9889D" w14:textId="313AA2BF" w:rsidR="00212C84" w:rsidRDefault="00212C84">
    <w:pPr>
      <w:pStyle w:val="Header"/>
    </w:pPr>
    <w:r>
      <w:rPr>
        <w:noProof/>
      </w:rPr>
      <w:pict w14:anchorId="0DCA9E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235907" o:spid="_x0000_s1026" type="#_x0000_t136" style="position:absolute;left:0;text-align:left;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FBB50" w14:textId="0DB0DBD0" w:rsidR="00F90A15" w:rsidRDefault="00212C84">
    <w:pPr>
      <w:pStyle w:val="Header"/>
    </w:pPr>
    <w:r>
      <w:rPr>
        <w:noProof/>
      </w:rPr>
      <w:pict w14:anchorId="159845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235908" o:spid="_x0000_s1027" type="#_x0000_t136" style="position:absolute;left:0;text-align:left;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AFCD9" w14:textId="25B5A78B" w:rsidR="00212C84" w:rsidRDefault="00212C84">
    <w:pPr>
      <w:pStyle w:val="Header"/>
    </w:pPr>
    <w:r>
      <w:rPr>
        <w:noProof/>
      </w:rPr>
      <w:pict w14:anchorId="0D30D7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235906" o:spid="_x0000_s1025" type="#_x0000_t136" style="position:absolute;left:0;text-align:left;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79545076">
    <w:abstractNumId w:val="8"/>
  </w:num>
  <w:num w:numId="2" w16cid:durableId="1019039162">
    <w:abstractNumId w:val="6"/>
  </w:num>
  <w:num w:numId="3" w16cid:durableId="1110123823">
    <w:abstractNumId w:val="5"/>
  </w:num>
  <w:num w:numId="4" w16cid:durableId="1257788609">
    <w:abstractNumId w:val="4"/>
  </w:num>
  <w:num w:numId="5" w16cid:durableId="121535880">
    <w:abstractNumId w:val="7"/>
  </w:num>
  <w:num w:numId="6" w16cid:durableId="1053582748">
    <w:abstractNumId w:val="3"/>
  </w:num>
  <w:num w:numId="7" w16cid:durableId="1708798119">
    <w:abstractNumId w:val="2"/>
  </w:num>
  <w:num w:numId="8" w16cid:durableId="1635595763">
    <w:abstractNumId w:val="1"/>
  </w:num>
  <w:num w:numId="9" w16cid:durableId="1018237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3D96"/>
    <w:rsid w:val="000F38EC"/>
    <w:rsid w:val="000F51C1"/>
    <w:rsid w:val="00117423"/>
    <w:rsid w:val="0015074B"/>
    <w:rsid w:val="00196B4E"/>
    <w:rsid w:val="00212C84"/>
    <w:rsid w:val="00273EAF"/>
    <w:rsid w:val="0029639D"/>
    <w:rsid w:val="002F191B"/>
    <w:rsid w:val="003032B9"/>
    <w:rsid w:val="00326F90"/>
    <w:rsid w:val="00394F4F"/>
    <w:rsid w:val="004D5BA0"/>
    <w:rsid w:val="0061601F"/>
    <w:rsid w:val="00745AAC"/>
    <w:rsid w:val="008113D8"/>
    <w:rsid w:val="00A37425"/>
    <w:rsid w:val="00A45044"/>
    <w:rsid w:val="00AA1D8D"/>
    <w:rsid w:val="00B00E59"/>
    <w:rsid w:val="00B47730"/>
    <w:rsid w:val="00B709EF"/>
    <w:rsid w:val="00B85C6D"/>
    <w:rsid w:val="00BE438B"/>
    <w:rsid w:val="00CB0664"/>
    <w:rsid w:val="00CB5258"/>
    <w:rsid w:val="00CC5DA6"/>
    <w:rsid w:val="00DE760E"/>
    <w:rsid w:val="00E05E78"/>
    <w:rsid w:val="00F2665A"/>
    <w:rsid w:val="00F90A15"/>
    <w:rsid w:val="00FB12F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CD0EFB"/>
  <w14:defaultImageDpi w14:val="300"/>
  <w15:docId w15:val="{2790F864-5B8C-4D1F-B72F-F6882AC79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0" w:lineRule="auto"/>
      <w:jc w:val="both"/>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FC693F"/>
    <w:pPr>
      <w:keepNext/>
      <w:keepLines/>
      <w:spacing w:before="480"/>
      <w:outlineLvl w:val="0"/>
    </w:pPr>
    <w:rPr>
      <w:b/>
      <w:bCs/>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b/>
      <w:bCs/>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rPr>
      <w:rFonts w:ascii="Times New Roman" w:hAnsi="Times New Roman"/>
      <w:color w:val="000000"/>
      <w:sz w:val="24"/>
    </w:rPr>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rPr>
      <w:rFonts w:ascii="Times New Roman" w:hAnsi="Times New Roman"/>
      <w:color w:val="000000"/>
      <w:sz w:val="24"/>
    </w:rPr>
  </w:style>
  <w:style w:type="paragraph" w:styleId="NoSpacing">
    <w:name w:val="No Spacing"/>
    <w:uiPriority w:val="1"/>
    <w:qFormat/>
    <w:rsid w:val="00FC693F"/>
    <w:pPr>
      <w:spacing w:after="0" w:line="240" w:lineRule="auto"/>
    </w:pPr>
    <w:rPr>
      <w:rFonts w:ascii="Times New Roman" w:eastAsia="Times New Roman" w:hAnsi="Times New Roman" w:cs="Times New Roman"/>
      <w:color w:val="000000"/>
      <w:sz w:val="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4"/>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4"/>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sz w:val="24"/>
    </w:rPr>
  </w:style>
  <w:style w:type="paragraph" w:styleId="Title">
    <w:name w:val="Title"/>
    <w:basedOn w:val="Normal"/>
    <w:next w:val="Normal"/>
    <w:link w:val="TitleChar"/>
    <w:uiPriority w:val="10"/>
    <w:qFormat/>
    <w:rsid w:val="00FC693F"/>
    <w:pPr>
      <w:contextualSpacing/>
    </w:pPr>
    <w:rPr>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24"/>
      <w:szCs w:val="52"/>
    </w:rPr>
  </w:style>
  <w:style w:type="paragraph" w:styleId="Subtitle">
    <w:name w:val="Subtitle"/>
    <w:basedOn w:val="Normal"/>
    <w:next w:val="Normal"/>
    <w:link w:val="SubtitleChar"/>
    <w:uiPriority w:val="11"/>
    <w:qFormat/>
    <w:rsid w:val="00FC693F"/>
    <w:pPr>
      <w:numPr>
        <w:ilvl w:val="1"/>
      </w:numPr>
    </w:pPr>
    <w:rPr>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rPr>
      <w:rFonts w:ascii="Times New Roman" w:hAnsi="Times New Roman"/>
      <w:color w:val="000000"/>
      <w:sz w:val="24"/>
    </w:rPr>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rPr>
      <w:rFonts w:ascii="Times New Roman" w:hAnsi="Times New Roman"/>
      <w:color w:val="000000"/>
      <w:sz w:val="24"/>
    </w:rPr>
  </w:style>
  <w:style w:type="paragraph" w:styleId="BodyText3">
    <w:name w:val="Body Text 3"/>
    <w:basedOn w:val="Normal"/>
    <w:link w:val="BodyText3Char"/>
    <w:uiPriority w:val="99"/>
    <w:unhideWhenUsed/>
    <w:rsid w:val="00AA1D8D"/>
    <w:rPr>
      <w:szCs w:val="16"/>
    </w:rPr>
  </w:style>
  <w:style w:type="character" w:customStyle="1" w:styleId="BodyText3Char">
    <w:name w:val="Body Text 3 Char"/>
    <w:basedOn w:val="DefaultParagraphFont"/>
    <w:link w:val="BodyText3"/>
    <w:uiPriority w:val="99"/>
    <w:rsid w:val="00AA1D8D"/>
    <w:rPr>
      <w:rFonts w:ascii="Times New Roman" w:hAnsi="Times New Roman"/>
      <w:color w:val="000000"/>
      <w:sz w:val="24"/>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cs="Times New Roman"/>
      <w:color w:val="000000"/>
      <w:sz w:val="24"/>
      <w:szCs w:val="20"/>
    </w:rPr>
  </w:style>
  <w:style w:type="character" w:customStyle="1" w:styleId="MacroTextChar">
    <w:name w:val="Macro Text Char"/>
    <w:basedOn w:val="DefaultParagraphFont"/>
    <w:link w:val="MacroText"/>
    <w:uiPriority w:val="99"/>
    <w:rsid w:val="0029639D"/>
    <w:rPr>
      <w:rFonts w:ascii="Times New Roman" w:hAnsi="Times New Roman"/>
      <w:color w:val="000000"/>
      <w:sz w:val="24"/>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rFonts w:ascii="Times New Roman" w:hAnsi="Times New Roman"/>
      <w:i/>
      <w:iCs/>
      <w:color w:val="000000"/>
      <w:sz w:val="24"/>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sz w:val="24"/>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sz w:val="24"/>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sz w:val="24"/>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sz w:val="24"/>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4"/>
      <w:szCs w:val="20"/>
    </w:rPr>
  </w:style>
  <w:style w:type="paragraph" w:styleId="Caption">
    <w:name w:val="caption"/>
    <w:basedOn w:val="Normal"/>
    <w:next w:val="Normal"/>
    <w:uiPriority w:val="35"/>
    <w:semiHidden/>
    <w:unhideWhenUsed/>
    <w:qFormat/>
    <w:rsid w:val="00FC693F"/>
    <w:rPr>
      <w:b/>
      <w:bCs/>
      <w:szCs w:val="18"/>
    </w:rPr>
  </w:style>
  <w:style w:type="character" w:styleId="Strong">
    <w:name w:val="Strong"/>
    <w:basedOn w:val="DefaultParagraphFont"/>
    <w:uiPriority w:val="22"/>
    <w:qFormat/>
    <w:rsid w:val="00FC693F"/>
    <w:rPr>
      <w:rFonts w:ascii="Times New Roman" w:hAnsi="Times New Roman"/>
      <w:b/>
      <w:bCs/>
      <w:color w:val="000000"/>
      <w:sz w:val="24"/>
    </w:rPr>
  </w:style>
  <w:style w:type="character" w:styleId="Emphasis">
    <w:name w:val="Emphasis"/>
    <w:basedOn w:val="DefaultParagraphFont"/>
    <w:uiPriority w:val="20"/>
    <w:qFormat/>
    <w:rsid w:val="00FC693F"/>
    <w:rPr>
      <w:rFonts w:ascii="Times New Roman" w:hAnsi="Times New Roman"/>
      <w:i/>
      <w:iCs/>
      <w:color w:val="000000"/>
      <w:sz w:val="24"/>
    </w:rPr>
  </w:style>
  <w:style w:type="paragraph" w:styleId="IntenseQuote">
    <w:name w:val="Intense Quote"/>
    <w:basedOn w:val="Normal"/>
    <w:next w:val="Normal"/>
    <w:link w:val="IntenseQuoteChar"/>
    <w:uiPriority w:val="30"/>
    <w:qFormat/>
    <w:rsid w:val="00FC693F"/>
    <w:pP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rFonts w:ascii="Times New Roman" w:hAnsi="Times New Roman"/>
      <w:b/>
      <w:bCs/>
      <w:i/>
      <w:iCs/>
      <w:color w:val="000000"/>
      <w:sz w:val="24"/>
    </w:rPr>
  </w:style>
  <w:style w:type="character" w:styleId="SubtleEmphasis">
    <w:name w:val="Subtle Emphasis"/>
    <w:basedOn w:val="DefaultParagraphFont"/>
    <w:uiPriority w:val="19"/>
    <w:qFormat/>
    <w:rsid w:val="00FC693F"/>
    <w:rPr>
      <w:rFonts w:ascii="Times New Roman" w:hAnsi="Times New Roman"/>
      <w:i/>
      <w:iCs/>
      <w:color w:val="000000"/>
      <w:sz w:val="24"/>
    </w:rPr>
  </w:style>
  <w:style w:type="character" w:styleId="IntenseEmphasis">
    <w:name w:val="Intense Emphasis"/>
    <w:basedOn w:val="DefaultParagraphFont"/>
    <w:uiPriority w:val="21"/>
    <w:qFormat/>
    <w:rsid w:val="00FC693F"/>
    <w:rPr>
      <w:rFonts w:ascii="Times New Roman" w:hAnsi="Times New Roman"/>
      <w:b/>
      <w:bCs/>
      <w:i/>
      <w:iCs/>
      <w:color w:val="000000"/>
      <w:sz w:val="24"/>
    </w:rPr>
  </w:style>
  <w:style w:type="character" w:styleId="SubtleReference">
    <w:name w:val="Subtle Reference"/>
    <w:basedOn w:val="DefaultParagraphFont"/>
    <w:uiPriority w:val="31"/>
    <w:qFormat/>
    <w:rsid w:val="00FC693F"/>
    <w:rPr>
      <w:rFonts w:ascii="Times New Roman" w:hAnsi="Times New Roman"/>
      <w:smallCaps/>
      <w:color w:val="000000"/>
      <w:sz w:val="24"/>
      <w:u w:val="single"/>
    </w:rPr>
  </w:style>
  <w:style w:type="character" w:styleId="IntenseReference">
    <w:name w:val="Intense Reference"/>
    <w:basedOn w:val="DefaultParagraphFont"/>
    <w:uiPriority w:val="32"/>
    <w:qFormat/>
    <w:rsid w:val="00FC693F"/>
    <w:rPr>
      <w:rFonts w:ascii="Times New Roman" w:hAnsi="Times New Roman"/>
      <w:b/>
      <w:bCs/>
      <w:smallCaps/>
      <w:color w:val="000000"/>
      <w:spacing w:val="5"/>
      <w:sz w:val="24"/>
      <w:u w:val="single"/>
    </w:rPr>
  </w:style>
  <w:style w:type="character" w:styleId="BookTitle">
    <w:name w:val="Book Title"/>
    <w:basedOn w:val="DefaultParagraphFont"/>
    <w:uiPriority w:val="33"/>
    <w:qFormat/>
    <w:rsid w:val="00FC693F"/>
    <w:rPr>
      <w:rFonts w:ascii="Times New Roman" w:hAnsi="Times New Roman"/>
      <w:b/>
      <w:bCs/>
      <w:smallCaps/>
      <w:color w:val="000000"/>
      <w:spacing w:val="5"/>
      <w:sz w:val="24"/>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15</Pages>
  <Words>5328</Words>
  <Characters>30375</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35632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1166</cp:lastModifiedBy>
  <cp:revision>20</cp:revision>
  <dcterms:created xsi:type="dcterms:W3CDTF">2013-12-23T23:15:00Z</dcterms:created>
  <dcterms:modified xsi:type="dcterms:W3CDTF">2026-10-06T07:50:00Z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996e587581bb16f98869118ad9b299d618601429c775341e8866e96d324f272a</vt:lpwstr>
  </property>
</Properties>
</file>