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9DDB2" w14:textId="77777777" w:rsidR="009242B1" w:rsidRDefault="009242B1" w:rsidP="00E3498E">
      <w:pPr>
        <w:pStyle w:val="Author"/>
        <w:spacing w:line="240" w:lineRule="auto"/>
        <w:jc w:val="both"/>
        <w:rPr>
          <w:rFonts w:ascii="Arial" w:hAnsi="Arial" w:cs="Arial"/>
          <w:bCs/>
          <w:iCs/>
          <w:kern w:val="28"/>
          <w:sz w:val="36"/>
        </w:rPr>
      </w:pPr>
      <w:r w:rsidRPr="009242B1">
        <w:rPr>
          <w:rFonts w:ascii="Arial" w:hAnsi="Arial" w:cs="Arial"/>
          <w:bCs/>
          <w:iCs/>
          <w:kern w:val="28"/>
          <w:sz w:val="36"/>
        </w:rPr>
        <w:t>Original Research Article</w:t>
      </w:r>
    </w:p>
    <w:p w14:paraId="7E771764" w14:textId="77777777" w:rsidR="009242B1" w:rsidRDefault="009242B1" w:rsidP="00E3498E">
      <w:pPr>
        <w:pStyle w:val="Author"/>
        <w:spacing w:line="240" w:lineRule="auto"/>
        <w:jc w:val="both"/>
        <w:rPr>
          <w:rFonts w:ascii="Arial" w:hAnsi="Arial" w:cs="Arial"/>
          <w:bCs/>
          <w:iCs/>
          <w:kern w:val="28"/>
          <w:sz w:val="36"/>
        </w:rPr>
      </w:pPr>
    </w:p>
    <w:p w14:paraId="7D2CC2C5" w14:textId="77777777" w:rsidR="009242B1" w:rsidRDefault="009242B1" w:rsidP="00E3498E">
      <w:pPr>
        <w:pStyle w:val="Author"/>
        <w:spacing w:line="240" w:lineRule="auto"/>
        <w:jc w:val="both"/>
        <w:rPr>
          <w:rFonts w:ascii="Arial" w:hAnsi="Arial" w:cs="Arial"/>
          <w:bCs/>
          <w:iCs/>
          <w:kern w:val="28"/>
          <w:sz w:val="36"/>
        </w:rPr>
      </w:pPr>
    </w:p>
    <w:p w14:paraId="559A1EB9" w14:textId="39C95E20" w:rsidR="00E3498E" w:rsidRPr="00E3498E" w:rsidRDefault="00E3498E" w:rsidP="00E3498E">
      <w:pPr>
        <w:pStyle w:val="Author"/>
        <w:spacing w:line="240" w:lineRule="auto"/>
        <w:jc w:val="both"/>
        <w:rPr>
          <w:rFonts w:ascii="Arial" w:hAnsi="Arial" w:cs="Arial"/>
          <w:bCs/>
          <w:iCs/>
          <w:kern w:val="28"/>
          <w:sz w:val="36"/>
        </w:rPr>
      </w:pPr>
      <w:r w:rsidRPr="00E3498E">
        <w:rPr>
          <w:rFonts w:ascii="Arial" w:hAnsi="Arial" w:cs="Arial"/>
          <w:bCs/>
          <w:iCs/>
          <w:kern w:val="28"/>
          <w:sz w:val="36"/>
        </w:rPr>
        <w:t>RADIOLOGIC ASSESSMENT OF BONE AGE IN NIGERIAN CHILDREN USING THE OSSIFICATION CENTERS OF THE ELBOW REGION</w:t>
      </w:r>
    </w:p>
    <w:p w14:paraId="0C40E4D0" w14:textId="77777777" w:rsidR="00A258C3" w:rsidRPr="00790ADA" w:rsidRDefault="00A258C3" w:rsidP="00441B6F">
      <w:pPr>
        <w:pStyle w:val="Author"/>
        <w:spacing w:line="240" w:lineRule="auto"/>
        <w:jc w:val="both"/>
        <w:rPr>
          <w:rFonts w:ascii="Arial" w:hAnsi="Arial" w:cs="Arial"/>
          <w:sz w:val="36"/>
        </w:rPr>
      </w:pPr>
    </w:p>
    <w:p w14:paraId="751CA73E" w14:textId="77777777" w:rsidR="00790ADA" w:rsidRDefault="00790ADA" w:rsidP="00441B6F">
      <w:pPr>
        <w:pStyle w:val="Affiliation"/>
        <w:spacing w:after="0" w:line="240" w:lineRule="auto"/>
        <w:jc w:val="both"/>
        <w:rPr>
          <w:rFonts w:ascii="Arial" w:hAnsi="Arial" w:cs="Arial"/>
        </w:rPr>
      </w:pPr>
    </w:p>
    <w:p w14:paraId="6748EFCE" w14:textId="77777777" w:rsidR="002C57D2" w:rsidRPr="00FB3A86" w:rsidRDefault="002C57D2" w:rsidP="00441B6F">
      <w:pPr>
        <w:pStyle w:val="Affiliation"/>
        <w:spacing w:after="0" w:line="240" w:lineRule="auto"/>
        <w:jc w:val="both"/>
        <w:rPr>
          <w:rFonts w:ascii="Arial" w:hAnsi="Arial" w:cs="Arial"/>
        </w:rPr>
      </w:pPr>
    </w:p>
    <w:p w14:paraId="74249C75" w14:textId="77777777" w:rsidR="00B01FCD" w:rsidRPr="00FB3A86" w:rsidRDefault="00000000" w:rsidP="00441B6F">
      <w:pPr>
        <w:pStyle w:val="Copyright"/>
        <w:spacing w:after="0" w:line="240" w:lineRule="auto"/>
        <w:jc w:val="both"/>
        <w:rPr>
          <w:rFonts w:ascii="Arial" w:hAnsi="Arial" w:cs="Arial"/>
        </w:rPr>
        <w:sectPr w:rsidR="00B01FCD" w:rsidRPr="00FB3A86" w:rsidSect="00D12D6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B93208D" w14:textId="70FFBAD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142DC2F6" w14:textId="310271B7" w:rsidR="00E3498E" w:rsidRPr="00E3498E" w:rsidRDefault="00E3498E" w:rsidP="00E3498E">
      <w:pPr>
        <w:pStyle w:val="Body"/>
        <w:spacing w:after="0"/>
        <w:rPr>
          <w:rFonts w:ascii="Arial" w:eastAsia="Calibri" w:hAnsi="Arial" w:cs="Arial"/>
          <w:b/>
          <w:szCs w:val="22"/>
        </w:rPr>
      </w:pPr>
      <w:r w:rsidRPr="00E3498E">
        <w:rPr>
          <w:rFonts w:ascii="Arial" w:eastAsia="Calibri" w:hAnsi="Arial" w:cs="Arial"/>
          <w:b/>
          <w:bCs/>
          <w:szCs w:val="22"/>
        </w:rPr>
        <w:t>Background:</w:t>
      </w:r>
      <w:r w:rsidRPr="00E3498E">
        <w:rPr>
          <w:rFonts w:ascii="Arial" w:eastAsia="Calibri" w:hAnsi="Arial" w:cs="Arial"/>
          <w:b/>
          <w:szCs w:val="22"/>
        </w:rPr>
        <w:t xml:space="preserve"> </w:t>
      </w:r>
      <w:r w:rsidRPr="00E3498E">
        <w:rPr>
          <w:rFonts w:ascii="Arial" w:eastAsia="Calibri" w:hAnsi="Arial" w:cs="Arial"/>
          <w:bCs/>
          <w:szCs w:val="22"/>
        </w:rPr>
        <w:t xml:space="preserve">Bone age assessment provides an estimate of skeletal maturity and is useful in </w:t>
      </w:r>
      <w:proofErr w:type="spellStart"/>
      <w:r w:rsidRPr="00E3498E">
        <w:rPr>
          <w:rFonts w:ascii="Arial" w:eastAsia="Calibri" w:hAnsi="Arial" w:cs="Arial"/>
          <w:bCs/>
          <w:szCs w:val="22"/>
        </w:rPr>
        <w:t>paediatric</w:t>
      </w:r>
      <w:proofErr w:type="spellEnd"/>
      <w:r w:rsidRPr="00E3498E">
        <w:rPr>
          <w:rFonts w:ascii="Arial" w:eastAsia="Calibri" w:hAnsi="Arial" w:cs="Arial"/>
          <w:bCs/>
          <w:szCs w:val="22"/>
        </w:rPr>
        <w:t xml:space="preserve"> growth assessment, forensic age estimation, and clinical practice. The timing of appearance of ossification centers may vary according to sex and population, making population-specific data important for accurate interpretation. The aim was to assessed the bone age of Nigerian children using the ossification centers of the elbow region and compared the observed ages of appearance between males and females and with an established reference standard.</w:t>
      </w:r>
      <w:r w:rsidRPr="00E3498E">
        <w:rPr>
          <w:rFonts w:ascii="Arial" w:eastAsia="Calibri" w:hAnsi="Arial" w:cs="Arial"/>
          <w:b/>
          <w:szCs w:val="22"/>
        </w:rPr>
        <w:t xml:space="preserve"> </w:t>
      </w:r>
    </w:p>
    <w:p w14:paraId="2A4612FD" w14:textId="2E04A897" w:rsidR="00E3498E" w:rsidRDefault="00E3498E" w:rsidP="00E3498E">
      <w:pPr>
        <w:pStyle w:val="Body"/>
        <w:spacing w:after="0"/>
        <w:rPr>
          <w:rFonts w:ascii="Arial" w:eastAsia="Calibri" w:hAnsi="Arial" w:cs="Arial"/>
          <w:bCs/>
          <w:szCs w:val="22"/>
        </w:rPr>
      </w:pPr>
      <w:r w:rsidRPr="00E3498E">
        <w:rPr>
          <w:rFonts w:ascii="Arial" w:eastAsia="Calibri" w:hAnsi="Arial" w:cs="Arial"/>
          <w:b/>
          <w:bCs/>
          <w:szCs w:val="22"/>
        </w:rPr>
        <w:t>Methodology:</w:t>
      </w:r>
      <w:r w:rsidRPr="00E3498E">
        <w:rPr>
          <w:rFonts w:ascii="Arial" w:eastAsia="Calibri" w:hAnsi="Arial" w:cs="Arial"/>
          <w:b/>
          <w:szCs w:val="22"/>
        </w:rPr>
        <w:t xml:space="preserve"> </w:t>
      </w:r>
      <w:r w:rsidRPr="00E3498E">
        <w:rPr>
          <w:rFonts w:ascii="Arial" w:eastAsia="Calibri" w:hAnsi="Arial" w:cs="Arial"/>
          <w:bCs/>
          <w:szCs w:val="22"/>
        </w:rPr>
        <w:t xml:space="preserve">A retrospective descriptive study </w:t>
      </w:r>
      <w:r w:rsidR="002B4002">
        <w:rPr>
          <w:rFonts w:ascii="Arial" w:eastAsia="Calibri" w:hAnsi="Arial" w:cs="Arial"/>
          <w:bCs/>
          <w:szCs w:val="22"/>
        </w:rPr>
        <w:t xml:space="preserve">design </w:t>
      </w:r>
      <w:r w:rsidRPr="00E3498E">
        <w:rPr>
          <w:rFonts w:ascii="Arial" w:eastAsia="Calibri" w:hAnsi="Arial" w:cs="Arial"/>
          <w:bCs/>
          <w:szCs w:val="22"/>
        </w:rPr>
        <w:t xml:space="preserve">was conducted using 93 archived elbow radiographs of Nigerian children, comprising 48 males and 45 females, aged 2 months to 11 years. Anteroposterior and lateral radiographs were assessed for the presence of six ossification centers: capitellum, radial head, medial epicondyle, trochlea, olecranon, and lateral epicondyle. The earliest observed age of appearance of each ossification center was recorded for both sexes and compared with the reference standard used in the study. </w:t>
      </w:r>
    </w:p>
    <w:p w14:paraId="45A3BF96" w14:textId="6468F9DA" w:rsidR="00E3498E" w:rsidRDefault="00E3498E" w:rsidP="00E3498E">
      <w:pPr>
        <w:pStyle w:val="Body"/>
        <w:spacing w:after="0"/>
        <w:rPr>
          <w:rFonts w:ascii="Arial" w:eastAsia="Calibri" w:hAnsi="Arial" w:cs="Arial"/>
          <w:bCs/>
          <w:szCs w:val="22"/>
        </w:rPr>
      </w:pPr>
      <w:r w:rsidRPr="00E3498E">
        <w:rPr>
          <w:rFonts w:ascii="Arial" w:eastAsia="Calibri" w:hAnsi="Arial" w:cs="Arial"/>
          <w:b/>
          <w:bCs/>
          <w:szCs w:val="22"/>
        </w:rPr>
        <w:t>Results:</w:t>
      </w:r>
      <w:r w:rsidRPr="00E3498E">
        <w:rPr>
          <w:rFonts w:ascii="Arial" w:eastAsia="Calibri" w:hAnsi="Arial" w:cs="Arial"/>
          <w:b/>
          <w:szCs w:val="22"/>
        </w:rPr>
        <w:t xml:space="preserve"> </w:t>
      </w:r>
      <w:r w:rsidRPr="00E3498E">
        <w:rPr>
          <w:rFonts w:ascii="Arial" w:eastAsia="Calibri" w:hAnsi="Arial" w:cs="Arial"/>
          <w:bCs/>
          <w:szCs w:val="22"/>
        </w:rPr>
        <w:t xml:space="preserve">In males, the earliest observed ages were 2 months for the capitellum, 2 years for the radial head, 5 years for the medial epicondyle, 7 years for the trochlea, 9 years for the olecranon, and 11 years for the lateral epicondyle. In females, the corresponding ages were 3 months, 2 years, 3 years, 5 years, 9 years, and 11 years. Compared with the reference standard, several ossification centers appeared at younger observed ages in the Nigerian sample. </w:t>
      </w:r>
    </w:p>
    <w:p w14:paraId="6B95381D" w14:textId="6E8A2B15" w:rsidR="00E3498E" w:rsidRPr="00E3498E" w:rsidRDefault="00E3498E" w:rsidP="00E3498E">
      <w:pPr>
        <w:pStyle w:val="Body"/>
        <w:spacing w:after="0"/>
        <w:rPr>
          <w:rFonts w:ascii="Arial" w:eastAsia="Calibri" w:hAnsi="Arial" w:cs="Arial"/>
          <w:bCs/>
          <w:szCs w:val="22"/>
        </w:rPr>
      </w:pPr>
      <w:r w:rsidRPr="00E3498E">
        <w:rPr>
          <w:rFonts w:ascii="Arial" w:eastAsia="Calibri" w:hAnsi="Arial" w:cs="Arial"/>
          <w:b/>
          <w:bCs/>
          <w:szCs w:val="22"/>
        </w:rPr>
        <w:t>Conclusion:</w:t>
      </w:r>
      <w:r w:rsidRPr="00E3498E">
        <w:rPr>
          <w:rFonts w:ascii="Arial" w:eastAsia="Calibri" w:hAnsi="Arial" w:cs="Arial"/>
          <w:b/>
          <w:szCs w:val="22"/>
        </w:rPr>
        <w:t xml:space="preserve"> </w:t>
      </w:r>
      <w:r w:rsidRPr="00E3498E">
        <w:rPr>
          <w:rFonts w:ascii="Arial" w:eastAsia="Calibri" w:hAnsi="Arial" w:cs="Arial"/>
          <w:bCs/>
          <w:szCs w:val="22"/>
        </w:rPr>
        <w:t>The findings demonstrate variation in elbow ossification timing between Nigerian children and established standards, with some sex-related differences. Population-specific reference data may improve skeletal age assessment in Nigerian children.</w:t>
      </w:r>
    </w:p>
    <w:p w14:paraId="6DE7BE34" w14:textId="5696B2AF" w:rsidR="00E3498E" w:rsidRDefault="00E3498E" w:rsidP="00D36784">
      <w:pPr>
        <w:pStyle w:val="Body"/>
        <w:spacing w:after="0"/>
        <w:rPr>
          <w:rFonts w:ascii="Arial" w:eastAsia="Calibri" w:hAnsi="Arial" w:cs="Arial"/>
          <w:b/>
          <w:szCs w:val="22"/>
        </w:rPr>
      </w:pPr>
    </w:p>
    <w:p w14:paraId="4AE3C47F" w14:textId="175041AB" w:rsidR="00790ADA" w:rsidRPr="00E3498E" w:rsidRDefault="00A24E7E" w:rsidP="00E3498E">
      <w:pPr>
        <w:pStyle w:val="Body"/>
        <w:rPr>
          <w:rFonts w:ascii="Arial" w:hAnsi="Arial" w:cs="Arial"/>
          <w:i/>
        </w:rPr>
      </w:pPr>
      <w:r>
        <w:rPr>
          <w:rFonts w:ascii="Arial" w:hAnsi="Arial" w:cs="Arial"/>
          <w:i/>
        </w:rPr>
        <w:t xml:space="preserve">Keywords: </w:t>
      </w:r>
      <w:r w:rsidR="00E3498E" w:rsidRPr="00E3498E">
        <w:rPr>
          <w:rFonts w:ascii="Arial" w:hAnsi="Arial" w:cs="Arial"/>
          <w:i/>
        </w:rPr>
        <w:t>Bone age; Skeletal maturation; Ossification centers; Elbow radiography; Nigerian children.</w:t>
      </w:r>
    </w:p>
    <w:p w14:paraId="5539D94B" w14:textId="77777777" w:rsidR="00505F06" w:rsidRDefault="00505F06" w:rsidP="00441B6F">
      <w:pPr>
        <w:pStyle w:val="Body"/>
        <w:spacing w:after="0"/>
        <w:rPr>
          <w:rFonts w:ascii="Arial" w:hAnsi="Arial" w:cs="Arial"/>
          <w:b/>
          <w:i/>
          <w:sz w:val="18"/>
        </w:rPr>
      </w:pPr>
    </w:p>
    <w:p w14:paraId="0D6D6BC0" w14:textId="77777777" w:rsidR="00E3498E" w:rsidRDefault="00E3498E" w:rsidP="00441B6F">
      <w:pPr>
        <w:pStyle w:val="Body"/>
        <w:spacing w:after="0"/>
        <w:rPr>
          <w:rFonts w:ascii="Arial" w:hAnsi="Arial" w:cs="Arial"/>
          <w:b/>
          <w:i/>
          <w:sz w:val="18"/>
        </w:rPr>
      </w:pPr>
    </w:p>
    <w:p w14:paraId="508C6185" w14:textId="77777777" w:rsidR="00E3498E" w:rsidRPr="00A24E7E" w:rsidRDefault="00E3498E" w:rsidP="00441B6F">
      <w:pPr>
        <w:pStyle w:val="Body"/>
        <w:spacing w:after="0"/>
        <w:rPr>
          <w:rFonts w:ascii="Arial" w:hAnsi="Arial" w:cs="Arial"/>
          <w:i/>
        </w:rPr>
      </w:pPr>
    </w:p>
    <w:p w14:paraId="27520005" w14:textId="090863AF"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5A28A985" w14:textId="04BBB42F" w:rsidR="00E3498E" w:rsidRPr="00E3498E" w:rsidRDefault="00E3498E" w:rsidP="00E3498E">
      <w:pPr>
        <w:pStyle w:val="Body"/>
        <w:spacing w:after="0"/>
        <w:rPr>
          <w:rFonts w:ascii="Arial" w:hAnsi="Arial" w:cs="Arial"/>
        </w:rPr>
      </w:pPr>
      <w:r w:rsidRPr="00E3498E">
        <w:rPr>
          <w:rFonts w:ascii="Arial" w:hAnsi="Arial" w:cs="Arial"/>
        </w:rPr>
        <w:t xml:space="preserve">Bone age is an estimate of biological skeletal maturity based on the progressive changes that occur in bones during growth and development. Unlike chronological age, which is determined from an individual's date of birth, bone age reflects the developmental status of the skeleton and may therefore differ between children of the same chronological age. Radiographic assessment is based on recognizable changes in the appearance, size, shape, ossification, and maturation of selected bones. Bone-age assessment has applications in </w:t>
      </w:r>
      <w:proofErr w:type="spellStart"/>
      <w:r w:rsidRPr="00E3498E">
        <w:rPr>
          <w:rFonts w:ascii="Arial" w:hAnsi="Arial" w:cs="Arial"/>
        </w:rPr>
        <w:t>paediatrics</w:t>
      </w:r>
      <w:proofErr w:type="spellEnd"/>
      <w:r w:rsidRPr="00E3498E">
        <w:rPr>
          <w:rFonts w:ascii="Arial" w:hAnsi="Arial" w:cs="Arial"/>
        </w:rPr>
        <w:t xml:space="preserve">, endocrinology, </w:t>
      </w:r>
      <w:proofErr w:type="spellStart"/>
      <w:r w:rsidRPr="00E3498E">
        <w:rPr>
          <w:rFonts w:ascii="Arial" w:hAnsi="Arial" w:cs="Arial"/>
        </w:rPr>
        <w:t>orthopaedics</w:t>
      </w:r>
      <w:proofErr w:type="spellEnd"/>
      <w:r w:rsidRPr="00E3498E">
        <w:rPr>
          <w:rFonts w:ascii="Arial" w:hAnsi="Arial" w:cs="Arial"/>
        </w:rPr>
        <w:t>, growth evaluation, and forensic age estimation. Conventional methods include the Greulich-Pyle and Tanner-Whitehouse methods, although newer computer-assisted and artificial intelligence approaches are increasingly being investigated (Satoh, 2015; Pérez et al., 2023; Gao et al., 2024).</w:t>
      </w:r>
    </w:p>
    <w:p w14:paraId="64FC4475" w14:textId="77777777" w:rsidR="00E3498E" w:rsidRPr="00E3498E" w:rsidRDefault="00E3498E" w:rsidP="00E3498E">
      <w:pPr>
        <w:pStyle w:val="Body"/>
        <w:spacing w:after="0"/>
        <w:rPr>
          <w:rFonts w:ascii="Arial" w:hAnsi="Arial" w:cs="Arial"/>
        </w:rPr>
      </w:pPr>
      <w:r w:rsidRPr="00E3498E">
        <w:rPr>
          <w:rFonts w:ascii="Arial" w:hAnsi="Arial" w:cs="Arial"/>
        </w:rPr>
        <w:t xml:space="preserve">Skeletal maturation is influenced by genetic, hormonal, nutritional, environmental, and socioeconomic factors, and differences in these factors may contribute to variation in the rate of skeletal development. Sex is also an important consideration because maturation may occur at different rates in males and females. Consequently, bone-age standards </w:t>
      </w:r>
      <w:r w:rsidRPr="00E3498E">
        <w:rPr>
          <w:rFonts w:ascii="Arial" w:hAnsi="Arial" w:cs="Arial"/>
        </w:rPr>
        <w:lastRenderedPageBreak/>
        <w:t>developed from one population may not always provide equivalent estimates when applied to children from another population. A systematic review and meta-analysis reported differences in the applicability of the Greulich-Pyle method across ethnic groups, while a more recent systematic review showed that the precision and accuracy of radiological bone-age assessment vary across populations (</w:t>
      </w:r>
      <w:proofErr w:type="spellStart"/>
      <w:r w:rsidRPr="00E3498E">
        <w:rPr>
          <w:rFonts w:ascii="Arial" w:hAnsi="Arial" w:cs="Arial"/>
        </w:rPr>
        <w:t>Alshamrani</w:t>
      </w:r>
      <w:proofErr w:type="spellEnd"/>
      <w:r w:rsidRPr="00E3498E">
        <w:rPr>
          <w:rFonts w:ascii="Arial" w:hAnsi="Arial" w:cs="Arial"/>
        </w:rPr>
        <w:t xml:space="preserve"> et al., 2019; Pérez et al., 2023). These findings emphasize the importance of considering population characteristics when interpreting radiographic skeletal maturity.</w:t>
      </w:r>
    </w:p>
    <w:p w14:paraId="3CDB20FC" w14:textId="77777777" w:rsidR="00E3498E" w:rsidRPr="00E3498E" w:rsidRDefault="00E3498E" w:rsidP="00E3498E">
      <w:pPr>
        <w:pStyle w:val="Body"/>
        <w:spacing w:after="0"/>
        <w:rPr>
          <w:rFonts w:ascii="Arial" w:hAnsi="Arial" w:cs="Arial"/>
        </w:rPr>
      </w:pPr>
      <w:r w:rsidRPr="00E3498E">
        <w:rPr>
          <w:rFonts w:ascii="Arial" w:hAnsi="Arial" w:cs="Arial"/>
        </w:rPr>
        <w:t xml:space="preserve">This issue is particularly relevant to Nigerian children because relatively limited population-specific data are available on skeletal maturation. </w:t>
      </w:r>
      <w:proofErr w:type="spellStart"/>
      <w:r w:rsidRPr="00E3498E">
        <w:rPr>
          <w:rFonts w:ascii="Arial" w:hAnsi="Arial" w:cs="Arial"/>
        </w:rPr>
        <w:t>Udoaka</w:t>
      </w:r>
      <w:proofErr w:type="spellEnd"/>
      <w:r w:rsidRPr="00E3498E">
        <w:rPr>
          <w:rFonts w:ascii="Arial" w:hAnsi="Arial" w:cs="Arial"/>
        </w:rPr>
        <w:t xml:space="preserve"> et al. (2016) evaluated the applicability of the Greulich-Pyle atlas in Nigerian children using normal hand and wrist radiographs. Although the difference between the skeletal ages of the Nigerian children and the atlas standards was not statistically significant, skeletal age was greater than the expected atlas age in 77% of the children. The authors concluded that the Greulich-Pyle atlas could be applied to their study population, but their findings also demonstrate the importance of evaluating established standards against local data. Since the Greulich-Pyle method is based on hand and wrist radiographs, examination of skeletal maturation using another anatomical region may provide complementary information for Nigerian children (</w:t>
      </w:r>
      <w:proofErr w:type="spellStart"/>
      <w:r w:rsidRPr="00E3498E">
        <w:rPr>
          <w:rFonts w:ascii="Arial" w:hAnsi="Arial" w:cs="Arial"/>
        </w:rPr>
        <w:t>Udoaka</w:t>
      </w:r>
      <w:proofErr w:type="spellEnd"/>
      <w:r w:rsidRPr="00E3498E">
        <w:rPr>
          <w:rFonts w:ascii="Arial" w:hAnsi="Arial" w:cs="Arial"/>
        </w:rPr>
        <w:t xml:space="preserve"> et al., 2016).</w:t>
      </w:r>
    </w:p>
    <w:p w14:paraId="3D8D2D47" w14:textId="77777777" w:rsidR="00E3498E" w:rsidRPr="00E3498E" w:rsidRDefault="00E3498E" w:rsidP="00E3498E">
      <w:pPr>
        <w:pStyle w:val="Body"/>
        <w:spacing w:after="0"/>
        <w:rPr>
          <w:rFonts w:ascii="Arial" w:hAnsi="Arial" w:cs="Arial"/>
        </w:rPr>
      </w:pPr>
      <w:r w:rsidRPr="00E3498E">
        <w:rPr>
          <w:rFonts w:ascii="Arial" w:hAnsi="Arial" w:cs="Arial"/>
        </w:rPr>
        <w:t xml:space="preserve">The elbow provides a useful anatomical region for evaluating skeletal development because it contains six major secondary ossification centers: the capitellum, radial head, medial epicondyle, trochlea, olecranon, and lateral epicondyle. Their development generally follows a recognizable sequence, although variations may occur. A retrospective study of 421 </w:t>
      </w:r>
      <w:proofErr w:type="spellStart"/>
      <w:r w:rsidRPr="00E3498E">
        <w:rPr>
          <w:rFonts w:ascii="Arial" w:hAnsi="Arial" w:cs="Arial"/>
        </w:rPr>
        <w:t>paediatric</w:t>
      </w:r>
      <w:proofErr w:type="spellEnd"/>
      <w:r w:rsidRPr="00E3498E">
        <w:rPr>
          <w:rFonts w:ascii="Arial" w:hAnsi="Arial" w:cs="Arial"/>
        </w:rPr>
        <w:t xml:space="preserve"> elbow radiographs found that deviations from the conventional CRITOL sequence occurred in a proportion of children and were significantly more common among girls (Goodwin et al., 2019). Similarly, a Brazilian study of 544 elbow radiographs from 439 children demonstrated that the ages of appearance and fusion of the ossification centers varied considerably and that several centers appeared earlier in girls than boys (Miyazaki et al., 2017). These findings indicate that the timing of elbow ossification is not an inflexible chronological process and may vary according to sex and population.</w:t>
      </w:r>
    </w:p>
    <w:p w14:paraId="6C0ECC70" w14:textId="77777777" w:rsidR="00E3498E" w:rsidRPr="00E3498E" w:rsidRDefault="00E3498E" w:rsidP="00E3498E">
      <w:pPr>
        <w:pStyle w:val="Body"/>
        <w:spacing w:after="0"/>
        <w:rPr>
          <w:rFonts w:ascii="Arial" w:hAnsi="Arial" w:cs="Arial"/>
        </w:rPr>
      </w:pPr>
      <w:r w:rsidRPr="00E3498E">
        <w:rPr>
          <w:rFonts w:ascii="Arial" w:hAnsi="Arial" w:cs="Arial"/>
        </w:rPr>
        <w:t xml:space="preserve">Recent studies have continued to demonstrate substantial age-related variation in the appearance of elbow ossification centers. </w:t>
      </w:r>
      <w:proofErr w:type="spellStart"/>
      <w:r w:rsidRPr="00E3498E">
        <w:rPr>
          <w:rFonts w:ascii="Arial" w:hAnsi="Arial" w:cs="Arial"/>
        </w:rPr>
        <w:t>Stöckell</w:t>
      </w:r>
      <w:proofErr w:type="spellEnd"/>
      <w:r w:rsidRPr="00E3498E">
        <w:rPr>
          <w:rFonts w:ascii="Arial" w:hAnsi="Arial" w:cs="Arial"/>
        </w:rPr>
        <w:t xml:space="preserve"> et al. (2021) demonstrated that assessment of ossification stages around the elbow can provide clinically useful information in the management of adolescent forearm fractures, while Shaowei et al. (2025), in a retrospective study of 8,007 children, reported sex-related differences in the age at which the six major elbow ossification centers became radiographically apparent. In their study, the appearance of the ossification centers occurred earlier in girls than boys in most developmental stages. Knowledge of these age-related patterns is important because normal ossification centers may otherwise be mistaken for fractures or other pathological findings on </w:t>
      </w:r>
      <w:proofErr w:type="spellStart"/>
      <w:r w:rsidRPr="00E3498E">
        <w:rPr>
          <w:rFonts w:ascii="Arial" w:hAnsi="Arial" w:cs="Arial"/>
        </w:rPr>
        <w:t>paediatric</w:t>
      </w:r>
      <w:proofErr w:type="spellEnd"/>
      <w:r w:rsidRPr="00E3498E">
        <w:rPr>
          <w:rFonts w:ascii="Arial" w:hAnsi="Arial" w:cs="Arial"/>
        </w:rPr>
        <w:t xml:space="preserve"> elbow radiographs (</w:t>
      </w:r>
      <w:proofErr w:type="spellStart"/>
      <w:r w:rsidRPr="00E3498E">
        <w:rPr>
          <w:rFonts w:ascii="Arial" w:hAnsi="Arial" w:cs="Arial"/>
        </w:rPr>
        <w:t>Stöckell</w:t>
      </w:r>
      <w:proofErr w:type="spellEnd"/>
      <w:r w:rsidRPr="00E3498E">
        <w:rPr>
          <w:rFonts w:ascii="Arial" w:hAnsi="Arial" w:cs="Arial"/>
        </w:rPr>
        <w:t xml:space="preserve"> et al., 2021; Shaowei et al., 2025).</w:t>
      </w:r>
    </w:p>
    <w:p w14:paraId="0EC5E81D" w14:textId="77777777" w:rsidR="00E3498E" w:rsidRPr="00E3498E" w:rsidRDefault="00E3498E" w:rsidP="00E3498E">
      <w:pPr>
        <w:pStyle w:val="Body"/>
        <w:spacing w:after="0"/>
        <w:rPr>
          <w:rFonts w:ascii="Arial" w:hAnsi="Arial" w:cs="Arial"/>
        </w:rPr>
      </w:pPr>
      <w:r w:rsidRPr="00E3498E">
        <w:rPr>
          <w:rFonts w:ascii="Arial" w:hAnsi="Arial" w:cs="Arial"/>
        </w:rPr>
        <w:t xml:space="preserve">The radiographic assessment of the elbow is therefore relevant not only to the estimation of skeletal maturity but also to the interpretation of normal </w:t>
      </w:r>
      <w:proofErr w:type="spellStart"/>
      <w:r w:rsidRPr="00E3498E">
        <w:rPr>
          <w:rFonts w:ascii="Arial" w:hAnsi="Arial" w:cs="Arial"/>
        </w:rPr>
        <w:t>paediatric</w:t>
      </w:r>
      <w:proofErr w:type="spellEnd"/>
      <w:r w:rsidRPr="00E3498E">
        <w:rPr>
          <w:rFonts w:ascii="Arial" w:hAnsi="Arial" w:cs="Arial"/>
        </w:rPr>
        <w:t xml:space="preserve"> anatomy. The gradual and sometimes irregular development of the ossification centers can create diagnostic challenges, particularly when radiographs are obtained following trauma. Normal developmental variants and differences in the sequence of ossification may mimic pathological findings if the expected age-related appearance is not recognized (Goodwin et al., 2019). Recent literature has also highlighted variations in the morphology of individual ossification centers, including the radial head and epicondyles, reinforcing the need for population-specific knowledge of normal skeletal development (Lee et al., 2020).</w:t>
      </w:r>
    </w:p>
    <w:p w14:paraId="59666B16" w14:textId="77777777" w:rsidR="00E3498E" w:rsidRPr="00E3498E" w:rsidRDefault="00E3498E" w:rsidP="00E3498E">
      <w:pPr>
        <w:pStyle w:val="Body"/>
        <w:spacing w:after="0"/>
        <w:rPr>
          <w:rFonts w:ascii="Arial" w:hAnsi="Arial" w:cs="Arial"/>
        </w:rPr>
      </w:pPr>
      <w:r w:rsidRPr="00E3498E">
        <w:rPr>
          <w:rFonts w:ascii="Arial" w:hAnsi="Arial" w:cs="Arial"/>
        </w:rPr>
        <w:t>Despite the clinical and radiological importance of skeletal maturation, information concerning the development of the elbow ossification centers among Nigerian children remains limited. Available Nigerian research has mainly evaluated skeletal age using hand and wrist radiographs, while relatively little information is available regarding the age-related appearance of the six major ossification centers of the elbow in Nigerian children. Differences reported among populations indicate that established developmental standards should be interpreted with consideration of population and sex. Therefore, the present study was undertaken to assess the radiographic appearance of the capitellum, radial head, medial epicondyle, trochlea, olecranon, and lateral epicondyle in Nigerian children, determine their earliest observed ages of appearance according to sex, and compare the findings with published reference standards. The aim of this study was to radiologically assess bone age in Nigerian children using the ossification centers of the elbow region.</w:t>
      </w:r>
    </w:p>
    <w:p w14:paraId="34C9327C" w14:textId="77777777" w:rsidR="00790ADA" w:rsidRPr="00FB3A86" w:rsidRDefault="00790ADA" w:rsidP="00441B6F">
      <w:pPr>
        <w:pStyle w:val="Body"/>
        <w:spacing w:after="0"/>
        <w:rPr>
          <w:rFonts w:ascii="Arial" w:hAnsi="Arial" w:cs="Arial"/>
        </w:rPr>
      </w:pPr>
    </w:p>
    <w:p w14:paraId="25A29F7B" w14:textId="2717DE51"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6ACD02C1" w14:textId="77777777" w:rsidR="00790ADA" w:rsidRPr="00FB3A86" w:rsidRDefault="00790ADA" w:rsidP="00441B6F">
      <w:pPr>
        <w:pStyle w:val="AbstHead"/>
        <w:spacing w:after="0"/>
        <w:jc w:val="both"/>
        <w:rPr>
          <w:rFonts w:ascii="Arial" w:hAnsi="Arial" w:cs="Arial"/>
        </w:rPr>
      </w:pPr>
    </w:p>
    <w:p w14:paraId="0D7F5B9F" w14:textId="77777777" w:rsidR="00057EA5" w:rsidRPr="00057EA5" w:rsidRDefault="00057EA5" w:rsidP="00057EA5">
      <w:pPr>
        <w:pStyle w:val="Body"/>
        <w:spacing w:after="0"/>
        <w:rPr>
          <w:rFonts w:ascii="Arial" w:hAnsi="Arial" w:cs="Arial"/>
        </w:rPr>
      </w:pPr>
      <w:r w:rsidRPr="00057EA5">
        <w:rPr>
          <w:rFonts w:ascii="Arial" w:hAnsi="Arial" w:cs="Arial"/>
        </w:rPr>
        <w:t xml:space="preserve">A retrospective descriptive study was conducted to assess bone age in Nigerian children using radiographs of the elbow region. The study utilized archived radiographic records obtained from the Radiology Departments of the University of Port Harcourt Teaching Hospital, Braithwaite Memorial Specialist Hospital, Pix Diagnostic Centre, Ebony Hospital, Port Harcourt, Federal Medical Centre, Bayelsa, Federal Medical Centre, Asaba, Delta State University Teaching Hospital, </w:t>
      </w:r>
      <w:proofErr w:type="spellStart"/>
      <w:r w:rsidRPr="00057EA5">
        <w:rPr>
          <w:rFonts w:ascii="Arial" w:hAnsi="Arial" w:cs="Arial"/>
        </w:rPr>
        <w:t>Oghara</w:t>
      </w:r>
      <w:proofErr w:type="spellEnd"/>
      <w:r w:rsidRPr="00057EA5">
        <w:rPr>
          <w:rFonts w:ascii="Arial" w:hAnsi="Arial" w:cs="Arial"/>
        </w:rPr>
        <w:t xml:space="preserve">, University of </w:t>
      </w:r>
      <w:proofErr w:type="spellStart"/>
      <w:r w:rsidRPr="00057EA5">
        <w:rPr>
          <w:rFonts w:ascii="Arial" w:hAnsi="Arial" w:cs="Arial"/>
        </w:rPr>
        <w:t>Uyo</w:t>
      </w:r>
      <w:proofErr w:type="spellEnd"/>
      <w:r w:rsidRPr="00057EA5">
        <w:rPr>
          <w:rFonts w:ascii="Arial" w:hAnsi="Arial" w:cs="Arial"/>
        </w:rPr>
        <w:t xml:space="preserve"> Teaching Hospital, </w:t>
      </w:r>
      <w:proofErr w:type="spellStart"/>
      <w:r w:rsidRPr="00057EA5">
        <w:rPr>
          <w:rFonts w:ascii="Arial" w:hAnsi="Arial" w:cs="Arial"/>
        </w:rPr>
        <w:t>Uyo</w:t>
      </w:r>
      <w:proofErr w:type="spellEnd"/>
      <w:r w:rsidRPr="00057EA5">
        <w:rPr>
          <w:rFonts w:ascii="Arial" w:hAnsi="Arial" w:cs="Arial"/>
        </w:rPr>
        <w:t>, and University of Nigeria Teaching Hospital, Enugu. The radiographs were obtained from the existing archives of these healthcare facilities and constituted secondary data for the study.</w:t>
      </w:r>
    </w:p>
    <w:p w14:paraId="69EA9530" w14:textId="77777777" w:rsidR="00057EA5" w:rsidRPr="00057EA5" w:rsidRDefault="00057EA5" w:rsidP="00057EA5">
      <w:pPr>
        <w:pStyle w:val="Body"/>
        <w:spacing w:after="0"/>
        <w:rPr>
          <w:rFonts w:ascii="Arial" w:hAnsi="Arial" w:cs="Arial"/>
        </w:rPr>
      </w:pPr>
      <w:r w:rsidRPr="00057EA5">
        <w:rPr>
          <w:rFonts w:ascii="Arial" w:hAnsi="Arial" w:cs="Arial"/>
        </w:rPr>
        <w:t xml:space="preserve">A total of 93 elbow radiographs of children comprising 48 males and 45 females, with chronological ages ranging from 2 months day to 11 years, were included in the study. The radiographs consisted of anteroposterior and lateral views of the elbow region and demonstrated the relevant secondary ossification centers of the elbow, including the capitellum, radial head, medial epicondyle, trochlea, olecranon, and lateral epicondyle. The chronological age and sex of each subject were </w:t>
      </w:r>
      <w:r w:rsidRPr="00057EA5">
        <w:rPr>
          <w:rFonts w:ascii="Arial" w:hAnsi="Arial" w:cs="Arial"/>
        </w:rPr>
        <w:lastRenderedPageBreak/>
        <w:t>obtained from the documented demographic information accompanying the radiographic records. Where the date of birth was available, chronological age was determined from the date of birth and the date of radiographic examination.</w:t>
      </w:r>
    </w:p>
    <w:p w14:paraId="676A4CA5" w14:textId="77777777" w:rsidR="00057EA5" w:rsidRPr="00057EA5" w:rsidRDefault="00057EA5" w:rsidP="00057EA5">
      <w:pPr>
        <w:pStyle w:val="Body"/>
        <w:spacing w:after="0"/>
        <w:rPr>
          <w:rFonts w:ascii="Arial" w:hAnsi="Arial" w:cs="Arial"/>
        </w:rPr>
      </w:pPr>
      <w:r w:rsidRPr="00057EA5">
        <w:rPr>
          <w:rFonts w:ascii="Arial" w:hAnsi="Arial" w:cs="Arial"/>
        </w:rPr>
        <w:t>Radiographs were selected using simple random sampling from the available eligible radiographic records. Only radiographs that had been reported as normal by a radiologist and had adequate documentation of the subject's age and sex were considered eligible. Radiographs were excluded if they demonstrated excessive radiation exposure, inadequate radiographic clarity, or lacked documented age or sex. Radiographs showing traumatic, infective, neoplastic, or other pathological osseous abnormalities were also excluded. Radiographs demonstrating dislocation or abnormalities involving the diaphyseal-epiphyseal region were similarly excluded because such abnormalities could interfere with the normal assessment of skeletal maturation.</w:t>
      </w:r>
    </w:p>
    <w:p w14:paraId="740B3998" w14:textId="77777777" w:rsidR="00057EA5" w:rsidRDefault="00057EA5" w:rsidP="00057EA5">
      <w:pPr>
        <w:pStyle w:val="Body"/>
        <w:spacing w:after="0"/>
        <w:rPr>
          <w:rFonts w:ascii="Arial" w:hAnsi="Arial" w:cs="Arial"/>
        </w:rPr>
      </w:pPr>
      <w:r w:rsidRPr="00057EA5">
        <w:rPr>
          <w:rFonts w:ascii="Arial" w:hAnsi="Arial" w:cs="Arial"/>
        </w:rPr>
        <w:t>For the radiographic assessment, the selected films were viewed on an illuminated viewing box under adequate illumination. The ossification centers of the elbow were systematically identified and evaluated on the anteroposterior and lateral radiographic views. The assessment focused on the presence or absence of the radial head, capitellum, medial epicondyle, trochlea, olecranon, and lateral epicondyle ossification centers. These structures were identified based on their characteristic radiopaque appearance on the radiographs. Ossified structures appeared as areas of increased radiodensity, whereas regions in which ossification had not yet occurred appeared relatively radiolucent.</w:t>
      </w:r>
    </w:p>
    <w:p w14:paraId="40C2F302" w14:textId="77777777" w:rsidR="00057EA5" w:rsidRPr="00057EA5" w:rsidRDefault="00057EA5" w:rsidP="00057EA5">
      <w:pPr>
        <w:pStyle w:val="Body"/>
        <w:spacing w:after="0"/>
        <w:rPr>
          <w:rFonts w:ascii="Arial" w:hAnsi="Arial" w:cs="Arial"/>
        </w:rPr>
      </w:pPr>
    </w:p>
    <w:p w14:paraId="6DAD6C62" w14:textId="77777777" w:rsidR="00057EA5" w:rsidRPr="00057EA5" w:rsidRDefault="00057EA5" w:rsidP="00057EA5">
      <w:pPr>
        <w:pStyle w:val="Body"/>
        <w:rPr>
          <w:rFonts w:ascii="Arial" w:hAnsi="Arial" w:cs="Arial"/>
        </w:rPr>
      </w:pPr>
      <w:r w:rsidRPr="00057EA5">
        <w:rPr>
          <w:rFonts w:ascii="Arial" w:hAnsi="Arial" w:cs="Arial"/>
          <w:noProof/>
        </w:rPr>
        <w:drawing>
          <wp:inline distT="0" distB="0" distL="0" distR="0" wp14:anchorId="5030AE95" wp14:editId="76A66803">
            <wp:extent cx="5943600" cy="3195955"/>
            <wp:effectExtent l="0" t="0" r="0" b="4445"/>
            <wp:docPr id="1901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15" name="Picture 19011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195955"/>
                    </a:xfrm>
                    <a:prstGeom prst="rect">
                      <a:avLst/>
                    </a:prstGeom>
                  </pic:spPr>
                </pic:pic>
              </a:graphicData>
            </a:graphic>
          </wp:inline>
        </w:drawing>
      </w:r>
    </w:p>
    <w:p w14:paraId="3123E8A8" w14:textId="77777777" w:rsidR="00057EA5" w:rsidRPr="00057EA5" w:rsidRDefault="00057EA5" w:rsidP="00057EA5">
      <w:pPr>
        <w:pStyle w:val="Body"/>
        <w:spacing w:after="0"/>
        <w:rPr>
          <w:rFonts w:ascii="Arial" w:hAnsi="Arial" w:cs="Arial"/>
        </w:rPr>
      </w:pPr>
      <w:r w:rsidRPr="00057EA5">
        <w:rPr>
          <w:rFonts w:ascii="Arial" w:hAnsi="Arial" w:cs="Arial"/>
          <w:b/>
          <w:bCs/>
        </w:rPr>
        <w:t>Figure 1:</w:t>
      </w:r>
      <w:r w:rsidRPr="00057EA5">
        <w:rPr>
          <w:rFonts w:ascii="Arial" w:hAnsi="Arial" w:cs="Arial"/>
        </w:rPr>
        <w:t xml:space="preserve"> Radiograph of a 5 years old male elbow.</w:t>
      </w:r>
    </w:p>
    <w:p w14:paraId="49A15504" w14:textId="77777777" w:rsidR="00057EA5" w:rsidRPr="00057EA5" w:rsidRDefault="00057EA5" w:rsidP="00057EA5">
      <w:pPr>
        <w:pStyle w:val="Body"/>
        <w:spacing w:after="0"/>
        <w:rPr>
          <w:rFonts w:ascii="Arial" w:hAnsi="Arial" w:cs="Arial"/>
        </w:rPr>
      </w:pPr>
      <w:r w:rsidRPr="00057EA5">
        <w:rPr>
          <w:rFonts w:ascii="Arial" w:hAnsi="Arial" w:cs="Arial"/>
          <w:i/>
          <w:iCs/>
        </w:rPr>
        <w:t>C= Capitulum; ME= Medial Epicondyle; T= Trochlea; LE= Lateral Epicondyle; RH= Radial Head; O= Olecranon</w:t>
      </w:r>
    </w:p>
    <w:p w14:paraId="4D474814" w14:textId="77777777" w:rsidR="00057EA5" w:rsidRPr="00057EA5" w:rsidRDefault="00057EA5" w:rsidP="00057EA5">
      <w:pPr>
        <w:pStyle w:val="Body"/>
        <w:spacing w:after="0"/>
        <w:rPr>
          <w:rFonts w:ascii="Arial" w:hAnsi="Arial" w:cs="Arial"/>
        </w:rPr>
      </w:pPr>
    </w:p>
    <w:p w14:paraId="42A50800" w14:textId="77777777" w:rsidR="00057EA5" w:rsidRPr="00057EA5" w:rsidRDefault="00057EA5" w:rsidP="00057EA5">
      <w:pPr>
        <w:pStyle w:val="Body"/>
        <w:spacing w:after="0"/>
        <w:rPr>
          <w:rFonts w:ascii="Arial" w:hAnsi="Arial" w:cs="Arial"/>
        </w:rPr>
      </w:pPr>
      <w:r w:rsidRPr="00057EA5">
        <w:rPr>
          <w:rFonts w:ascii="Arial" w:hAnsi="Arial" w:cs="Arial"/>
        </w:rPr>
        <w:t>Each ossification center was carefully examined and its presence or absence was recorded. The chronological age and sex corresponding to each radiograph were recorded alongside the observed developmental status of the ossification centers. The appearance of the individual ossification centers was subsequently related to the chronological age and sex of the subjects to assess the pattern of skeletal maturation within the study population. The sequence and age-related appearance of the elbow ossification centers were used as radiographic indicators of skeletal maturation and bone age. The data obtained from the radiographic assessment were recorded systematically for subsequent statistical analysis.</w:t>
      </w:r>
    </w:p>
    <w:p w14:paraId="3E8430C9" w14:textId="77777777" w:rsidR="00057EA5" w:rsidRDefault="00057EA5" w:rsidP="00441B6F">
      <w:pPr>
        <w:pStyle w:val="Body"/>
        <w:spacing w:after="0"/>
        <w:rPr>
          <w:rFonts w:ascii="Arial" w:hAnsi="Arial" w:cs="Arial"/>
        </w:rPr>
      </w:pPr>
    </w:p>
    <w:p w14:paraId="27BA063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68DD6BC" w14:textId="77777777" w:rsidR="00790ADA" w:rsidRPr="00FB3A86" w:rsidRDefault="00790ADA" w:rsidP="00441B6F">
      <w:pPr>
        <w:pStyle w:val="Head1"/>
        <w:spacing w:after="0"/>
        <w:jc w:val="both"/>
        <w:rPr>
          <w:rFonts w:ascii="Arial" w:hAnsi="Arial" w:cs="Arial"/>
        </w:rPr>
      </w:pPr>
    </w:p>
    <w:p w14:paraId="0A56D830" w14:textId="77777777" w:rsidR="00692A75" w:rsidRPr="00692A75" w:rsidRDefault="00692A75" w:rsidP="00692A75">
      <w:pPr>
        <w:pStyle w:val="Body"/>
        <w:spacing w:after="0"/>
        <w:rPr>
          <w:rFonts w:ascii="Arial" w:hAnsi="Arial" w:cs="Arial"/>
        </w:rPr>
      </w:pPr>
      <w:r w:rsidRPr="00692A75">
        <w:rPr>
          <w:rFonts w:ascii="Arial" w:hAnsi="Arial" w:cs="Arial"/>
        </w:rPr>
        <w:t>The results of the study were presented in figures and tables.</w:t>
      </w:r>
    </w:p>
    <w:p w14:paraId="40B06E72" w14:textId="77777777" w:rsidR="00692A75" w:rsidRPr="00692A75" w:rsidRDefault="00692A75" w:rsidP="00692A75">
      <w:pPr>
        <w:pStyle w:val="Body"/>
        <w:spacing w:after="0"/>
        <w:rPr>
          <w:rFonts w:ascii="Arial" w:hAnsi="Arial" w:cs="Arial"/>
        </w:rPr>
      </w:pPr>
      <w:r w:rsidRPr="00692A75">
        <w:rPr>
          <w:rFonts w:ascii="Arial" w:hAnsi="Arial" w:cs="Arial"/>
          <w:noProof/>
        </w:rPr>
        <w:lastRenderedPageBreak/>
        <w:drawing>
          <wp:inline distT="0" distB="0" distL="0" distR="0" wp14:anchorId="20365249" wp14:editId="5EFF7AE2">
            <wp:extent cx="4572000" cy="2743200"/>
            <wp:effectExtent l="0" t="0" r="0" b="0"/>
            <wp:docPr id="870205783" name="Chart 1">
              <a:extLst xmlns:a="http://schemas.openxmlformats.org/drawingml/2006/main">
                <a:ext uri="{FF2B5EF4-FFF2-40B4-BE49-F238E27FC236}">
                  <a16:creationId xmlns:a16="http://schemas.microsoft.com/office/drawing/2014/main" id="{5DB6FD4B-E057-8F61-75A7-3821E5D40B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89F06B" w14:textId="77777777" w:rsidR="00692A75" w:rsidRDefault="00692A75" w:rsidP="00692A75">
      <w:pPr>
        <w:pStyle w:val="Body"/>
        <w:spacing w:after="0"/>
        <w:rPr>
          <w:rFonts w:ascii="Arial" w:hAnsi="Arial" w:cs="Arial"/>
        </w:rPr>
      </w:pPr>
      <w:r w:rsidRPr="00692A75">
        <w:rPr>
          <w:rFonts w:ascii="Arial" w:hAnsi="Arial" w:cs="Arial"/>
          <w:b/>
          <w:bCs/>
        </w:rPr>
        <w:t>Figure 2:</w:t>
      </w:r>
      <w:r w:rsidRPr="00692A75">
        <w:rPr>
          <w:rFonts w:ascii="Arial" w:hAnsi="Arial" w:cs="Arial"/>
        </w:rPr>
        <w:t xml:space="preserve"> Sample size distribution</w:t>
      </w:r>
    </w:p>
    <w:p w14:paraId="27AAA4CB" w14:textId="77777777" w:rsidR="00692A75" w:rsidRPr="00692A75" w:rsidRDefault="00692A75" w:rsidP="00692A75">
      <w:pPr>
        <w:pStyle w:val="Body"/>
        <w:spacing w:after="0"/>
        <w:rPr>
          <w:rFonts w:ascii="Arial" w:hAnsi="Arial" w:cs="Arial"/>
        </w:rPr>
      </w:pPr>
    </w:p>
    <w:p w14:paraId="05D90D05" w14:textId="77777777" w:rsidR="00692A75" w:rsidRPr="00692A75" w:rsidRDefault="00692A75" w:rsidP="00692A75">
      <w:pPr>
        <w:pStyle w:val="Body"/>
        <w:spacing w:after="0"/>
        <w:rPr>
          <w:rFonts w:ascii="Arial" w:hAnsi="Arial" w:cs="Arial"/>
        </w:rPr>
      </w:pPr>
      <w:r w:rsidRPr="00692A75">
        <w:rPr>
          <w:rFonts w:ascii="Arial" w:hAnsi="Arial" w:cs="Arial"/>
          <w:b/>
          <w:bCs/>
        </w:rPr>
        <w:t>Table 1:</w:t>
      </w:r>
      <w:r w:rsidRPr="00692A75">
        <w:rPr>
          <w:rFonts w:ascii="Arial" w:hAnsi="Arial" w:cs="Arial"/>
        </w:rPr>
        <w:t xml:space="preserve"> Distribution of male radiographs of the elbow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68"/>
        <w:gridCol w:w="831"/>
        <w:gridCol w:w="827"/>
        <w:gridCol w:w="824"/>
        <w:gridCol w:w="825"/>
        <w:gridCol w:w="818"/>
        <w:gridCol w:w="832"/>
      </w:tblGrid>
      <w:tr w:rsidR="00692A75" w:rsidRPr="00692A75" w14:paraId="66C4D678" w14:textId="77777777" w:rsidTr="00E15E1F">
        <w:tc>
          <w:tcPr>
            <w:tcW w:w="1560" w:type="dxa"/>
            <w:tcBorders>
              <w:bottom w:val="single" w:sz="4" w:space="0" w:color="auto"/>
            </w:tcBorders>
            <w:vAlign w:val="bottom"/>
          </w:tcPr>
          <w:p w14:paraId="72D52B9D"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Age (years)</w:t>
            </w:r>
          </w:p>
        </w:tc>
        <w:tc>
          <w:tcPr>
            <w:tcW w:w="368" w:type="dxa"/>
            <w:tcBorders>
              <w:bottom w:val="single" w:sz="4" w:space="0" w:color="auto"/>
            </w:tcBorders>
            <w:vAlign w:val="bottom"/>
          </w:tcPr>
          <w:p w14:paraId="76F72C14"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w:t>
            </w:r>
          </w:p>
        </w:tc>
        <w:tc>
          <w:tcPr>
            <w:tcW w:w="831" w:type="dxa"/>
            <w:tcBorders>
              <w:bottom w:val="single" w:sz="4" w:space="0" w:color="auto"/>
            </w:tcBorders>
            <w:vAlign w:val="bottom"/>
          </w:tcPr>
          <w:p w14:paraId="0362F9D3"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C</w:t>
            </w:r>
          </w:p>
        </w:tc>
        <w:tc>
          <w:tcPr>
            <w:tcW w:w="827" w:type="dxa"/>
            <w:tcBorders>
              <w:bottom w:val="single" w:sz="4" w:space="0" w:color="auto"/>
            </w:tcBorders>
            <w:vAlign w:val="bottom"/>
          </w:tcPr>
          <w:p w14:paraId="0716BF3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ME</w:t>
            </w:r>
          </w:p>
        </w:tc>
        <w:tc>
          <w:tcPr>
            <w:tcW w:w="824" w:type="dxa"/>
            <w:tcBorders>
              <w:bottom w:val="single" w:sz="4" w:space="0" w:color="auto"/>
            </w:tcBorders>
            <w:vAlign w:val="bottom"/>
          </w:tcPr>
          <w:p w14:paraId="0EB15C5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T</w:t>
            </w:r>
          </w:p>
        </w:tc>
        <w:tc>
          <w:tcPr>
            <w:tcW w:w="825" w:type="dxa"/>
            <w:tcBorders>
              <w:bottom w:val="single" w:sz="4" w:space="0" w:color="auto"/>
            </w:tcBorders>
            <w:vAlign w:val="bottom"/>
          </w:tcPr>
          <w:p w14:paraId="45316A60"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LE</w:t>
            </w:r>
          </w:p>
        </w:tc>
        <w:tc>
          <w:tcPr>
            <w:tcW w:w="818" w:type="dxa"/>
            <w:tcBorders>
              <w:bottom w:val="single" w:sz="4" w:space="0" w:color="auto"/>
            </w:tcBorders>
            <w:vAlign w:val="bottom"/>
          </w:tcPr>
          <w:p w14:paraId="13CAB1C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RH</w:t>
            </w:r>
          </w:p>
        </w:tc>
        <w:tc>
          <w:tcPr>
            <w:tcW w:w="832" w:type="dxa"/>
            <w:tcBorders>
              <w:bottom w:val="single" w:sz="4" w:space="0" w:color="auto"/>
            </w:tcBorders>
            <w:vAlign w:val="bottom"/>
          </w:tcPr>
          <w:p w14:paraId="6211FA86"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w:t>
            </w:r>
          </w:p>
        </w:tc>
      </w:tr>
      <w:tr w:rsidR="00692A75" w:rsidRPr="00692A75" w14:paraId="5C1708A3" w14:textId="77777777" w:rsidTr="00E15E1F">
        <w:tc>
          <w:tcPr>
            <w:tcW w:w="1560" w:type="dxa"/>
            <w:tcBorders>
              <w:top w:val="single" w:sz="4" w:space="0" w:color="auto"/>
              <w:bottom w:val="nil"/>
            </w:tcBorders>
          </w:tcPr>
          <w:p w14:paraId="2864BA1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0-5m</w:t>
            </w:r>
          </w:p>
        </w:tc>
        <w:tc>
          <w:tcPr>
            <w:tcW w:w="368" w:type="dxa"/>
            <w:tcBorders>
              <w:top w:val="single" w:sz="4" w:space="0" w:color="auto"/>
              <w:bottom w:val="nil"/>
            </w:tcBorders>
          </w:tcPr>
          <w:p w14:paraId="3B44184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Borders>
              <w:top w:val="single" w:sz="4" w:space="0" w:color="auto"/>
              <w:bottom w:val="nil"/>
            </w:tcBorders>
          </w:tcPr>
          <w:p w14:paraId="3E63B19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single" w:sz="4" w:space="0" w:color="auto"/>
              <w:bottom w:val="nil"/>
            </w:tcBorders>
          </w:tcPr>
          <w:p w14:paraId="11A17D6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single" w:sz="4" w:space="0" w:color="auto"/>
              <w:bottom w:val="nil"/>
            </w:tcBorders>
          </w:tcPr>
          <w:p w14:paraId="7B546F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single" w:sz="4" w:space="0" w:color="auto"/>
              <w:bottom w:val="nil"/>
            </w:tcBorders>
          </w:tcPr>
          <w:p w14:paraId="714ED27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single" w:sz="4" w:space="0" w:color="auto"/>
              <w:bottom w:val="nil"/>
            </w:tcBorders>
          </w:tcPr>
          <w:p w14:paraId="77EDEDE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single" w:sz="4" w:space="0" w:color="auto"/>
              <w:bottom w:val="nil"/>
            </w:tcBorders>
          </w:tcPr>
          <w:p w14:paraId="7DCDD2A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974541C" w14:textId="77777777" w:rsidTr="00E15E1F">
        <w:tc>
          <w:tcPr>
            <w:tcW w:w="1560" w:type="dxa"/>
            <w:tcBorders>
              <w:top w:val="nil"/>
            </w:tcBorders>
          </w:tcPr>
          <w:p w14:paraId="7AB3496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6-11m</w:t>
            </w:r>
          </w:p>
        </w:tc>
        <w:tc>
          <w:tcPr>
            <w:tcW w:w="368" w:type="dxa"/>
            <w:tcBorders>
              <w:top w:val="nil"/>
            </w:tcBorders>
          </w:tcPr>
          <w:p w14:paraId="4B14D03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Borders>
              <w:top w:val="nil"/>
            </w:tcBorders>
          </w:tcPr>
          <w:p w14:paraId="78856E8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nil"/>
            </w:tcBorders>
          </w:tcPr>
          <w:p w14:paraId="31EE1DF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nil"/>
            </w:tcBorders>
          </w:tcPr>
          <w:p w14:paraId="170150F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nil"/>
            </w:tcBorders>
          </w:tcPr>
          <w:p w14:paraId="288B2C2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nil"/>
            </w:tcBorders>
          </w:tcPr>
          <w:p w14:paraId="7E2AB97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nil"/>
            </w:tcBorders>
          </w:tcPr>
          <w:p w14:paraId="481B46B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0BC37E4B" w14:textId="77777777" w:rsidTr="00E15E1F">
        <w:tc>
          <w:tcPr>
            <w:tcW w:w="1560" w:type="dxa"/>
          </w:tcPr>
          <w:p w14:paraId="5ECBA58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368" w:type="dxa"/>
          </w:tcPr>
          <w:p w14:paraId="45998FA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2F288CD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1B04DD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23A7890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6D417DE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0488F4D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526C79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13015B87" w14:textId="77777777" w:rsidTr="00E15E1F">
        <w:tc>
          <w:tcPr>
            <w:tcW w:w="1560" w:type="dxa"/>
          </w:tcPr>
          <w:p w14:paraId="65D0AA9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368" w:type="dxa"/>
          </w:tcPr>
          <w:p w14:paraId="112CFDD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061296D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231945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315A0F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3FCCA36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8A6974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2+,4-</w:t>
            </w:r>
          </w:p>
        </w:tc>
        <w:tc>
          <w:tcPr>
            <w:tcW w:w="832" w:type="dxa"/>
          </w:tcPr>
          <w:p w14:paraId="1A06D40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0E90C66" w14:textId="77777777" w:rsidTr="00E15E1F">
        <w:tc>
          <w:tcPr>
            <w:tcW w:w="1560" w:type="dxa"/>
          </w:tcPr>
          <w:p w14:paraId="3620FFF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368" w:type="dxa"/>
          </w:tcPr>
          <w:p w14:paraId="2B0984B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273571B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8576DE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5D1F8E7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1EA8F50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2CD9F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35664EC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CB6FF3D" w14:textId="77777777" w:rsidTr="00E15E1F">
        <w:tc>
          <w:tcPr>
            <w:tcW w:w="1560" w:type="dxa"/>
          </w:tcPr>
          <w:p w14:paraId="778D724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368" w:type="dxa"/>
          </w:tcPr>
          <w:p w14:paraId="0866FE9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831" w:type="dxa"/>
          </w:tcPr>
          <w:p w14:paraId="7241C23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5FC3BBB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306889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5CB312D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CE7E55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4755AC1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6138E78" w14:textId="77777777" w:rsidTr="00E15E1F">
        <w:tc>
          <w:tcPr>
            <w:tcW w:w="1560" w:type="dxa"/>
          </w:tcPr>
          <w:p w14:paraId="536A92B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368" w:type="dxa"/>
          </w:tcPr>
          <w:p w14:paraId="3A8A476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65E0F4C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021A89E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2+,2-</w:t>
            </w:r>
          </w:p>
        </w:tc>
        <w:tc>
          <w:tcPr>
            <w:tcW w:w="824" w:type="dxa"/>
          </w:tcPr>
          <w:p w14:paraId="4F28103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F0316E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44917AB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C1ED66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4FF07E20" w14:textId="77777777" w:rsidTr="00E15E1F">
        <w:tc>
          <w:tcPr>
            <w:tcW w:w="1560" w:type="dxa"/>
          </w:tcPr>
          <w:p w14:paraId="174D912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368" w:type="dxa"/>
          </w:tcPr>
          <w:p w14:paraId="15C531F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831" w:type="dxa"/>
          </w:tcPr>
          <w:p w14:paraId="4919E90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020DA2C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6029D7E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04D64B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741D5AC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25307B2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49F3F384" w14:textId="77777777" w:rsidTr="00E15E1F">
        <w:tc>
          <w:tcPr>
            <w:tcW w:w="1560" w:type="dxa"/>
          </w:tcPr>
          <w:p w14:paraId="582362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w:t>
            </w:r>
          </w:p>
        </w:tc>
        <w:tc>
          <w:tcPr>
            <w:tcW w:w="368" w:type="dxa"/>
          </w:tcPr>
          <w:p w14:paraId="6099B48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831" w:type="dxa"/>
          </w:tcPr>
          <w:p w14:paraId="03AF0AA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D38E60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3ADCDB2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2+,3-</w:t>
            </w:r>
          </w:p>
        </w:tc>
        <w:tc>
          <w:tcPr>
            <w:tcW w:w="825" w:type="dxa"/>
          </w:tcPr>
          <w:p w14:paraId="45D04DE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6349252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082336A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304BB42" w14:textId="77777777" w:rsidTr="00E15E1F">
        <w:tc>
          <w:tcPr>
            <w:tcW w:w="1560" w:type="dxa"/>
          </w:tcPr>
          <w:p w14:paraId="2ED1E2C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w:t>
            </w:r>
          </w:p>
        </w:tc>
        <w:tc>
          <w:tcPr>
            <w:tcW w:w="368" w:type="dxa"/>
          </w:tcPr>
          <w:p w14:paraId="44F68FC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41F61C0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99D4F5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42F9BBE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1AAA46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0A72A7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B98E13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7CFD68AA" w14:textId="77777777" w:rsidTr="00E15E1F">
        <w:tc>
          <w:tcPr>
            <w:tcW w:w="1560" w:type="dxa"/>
          </w:tcPr>
          <w:p w14:paraId="4790BE3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368" w:type="dxa"/>
          </w:tcPr>
          <w:p w14:paraId="16DD819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4AC1809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C6F92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5F5CA9E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0F010D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4C3BC5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341DF99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r>
      <w:tr w:rsidR="00692A75" w:rsidRPr="00692A75" w14:paraId="2E5F9F87" w14:textId="77777777" w:rsidTr="00E15E1F">
        <w:tc>
          <w:tcPr>
            <w:tcW w:w="1560" w:type="dxa"/>
          </w:tcPr>
          <w:p w14:paraId="20A5308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10</w:t>
            </w:r>
          </w:p>
        </w:tc>
        <w:tc>
          <w:tcPr>
            <w:tcW w:w="368" w:type="dxa"/>
          </w:tcPr>
          <w:p w14:paraId="7C43FA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56E3193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14C7D1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4E68018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7102D0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29D39B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34BC143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2F9E66A" w14:textId="77777777" w:rsidTr="00E15E1F">
        <w:tc>
          <w:tcPr>
            <w:tcW w:w="1560" w:type="dxa"/>
          </w:tcPr>
          <w:p w14:paraId="2577BDF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368" w:type="dxa"/>
          </w:tcPr>
          <w:p w14:paraId="7DBF378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2BC1C92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44E9CE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16E7466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184C57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D99581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ED4C0E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bl>
    <w:p w14:paraId="280951B1" w14:textId="77777777" w:rsidR="00692A75" w:rsidRPr="00692A75" w:rsidRDefault="00692A75" w:rsidP="00692A75">
      <w:pPr>
        <w:pStyle w:val="Body"/>
        <w:rPr>
          <w:rFonts w:ascii="Arial" w:hAnsi="Arial" w:cs="Arial"/>
          <w:i/>
          <w:iCs/>
        </w:rPr>
      </w:pPr>
      <w:bookmarkStart w:id="0" w:name="_Hlk241131843"/>
      <w:r w:rsidRPr="00692A75">
        <w:rPr>
          <w:rFonts w:ascii="Arial" w:hAnsi="Arial" w:cs="Arial"/>
          <w:i/>
          <w:iCs/>
        </w:rPr>
        <w:t xml:space="preserve">C= Capitulum; ME= Medial Epicondyle; T= Trochlea; LE= Lateral Epicondyle; RH= Radial Head; O= </w:t>
      </w:r>
      <w:proofErr w:type="gramStart"/>
      <w:r w:rsidRPr="00692A75">
        <w:rPr>
          <w:rFonts w:ascii="Arial" w:hAnsi="Arial" w:cs="Arial"/>
          <w:i/>
          <w:iCs/>
        </w:rPr>
        <w:t>Olecranon ;</w:t>
      </w:r>
      <w:proofErr w:type="gramEnd"/>
      <w:r w:rsidRPr="00692A75">
        <w:rPr>
          <w:rFonts w:ascii="Arial" w:hAnsi="Arial" w:cs="Arial"/>
          <w:i/>
          <w:iCs/>
        </w:rPr>
        <w:t xml:space="preserve"> </w:t>
      </w:r>
      <w:bookmarkEnd w:id="0"/>
      <w:r w:rsidRPr="00692A75">
        <w:rPr>
          <w:rFonts w:ascii="Arial" w:hAnsi="Arial" w:cs="Arial"/>
          <w:i/>
          <w:iCs/>
        </w:rPr>
        <w:t>n= Number of Radiographs; m= Months; += Ossification present in bone; -= Bone not ossified.</w:t>
      </w:r>
    </w:p>
    <w:p w14:paraId="088FBD55" w14:textId="77777777" w:rsidR="00692A75" w:rsidRPr="00692A75" w:rsidRDefault="00692A75" w:rsidP="00692A75">
      <w:pPr>
        <w:pStyle w:val="Body"/>
        <w:spacing w:after="0"/>
        <w:rPr>
          <w:rFonts w:ascii="Arial" w:hAnsi="Arial" w:cs="Arial"/>
        </w:rPr>
      </w:pPr>
    </w:p>
    <w:p w14:paraId="0D5F2B0B" w14:textId="77777777" w:rsidR="00692A75" w:rsidRDefault="00692A75" w:rsidP="00692A75">
      <w:pPr>
        <w:pStyle w:val="Body"/>
        <w:spacing w:after="0"/>
        <w:rPr>
          <w:rFonts w:ascii="Arial" w:hAnsi="Arial" w:cs="Arial"/>
        </w:rPr>
      </w:pPr>
      <w:r w:rsidRPr="00692A75">
        <w:rPr>
          <w:rFonts w:ascii="Arial" w:hAnsi="Arial" w:cs="Arial"/>
        </w:rPr>
        <w:t xml:space="preserve">Earliest observed age of appearance of the ossification </w:t>
      </w:r>
      <w:proofErr w:type="spellStart"/>
      <w:r w:rsidRPr="00692A75">
        <w:rPr>
          <w:rFonts w:ascii="Arial" w:hAnsi="Arial" w:cs="Arial"/>
        </w:rPr>
        <w:t>centre</w:t>
      </w:r>
      <w:proofErr w:type="spellEnd"/>
      <w:r w:rsidRPr="00692A75">
        <w:rPr>
          <w:rFonts w:ascii="Arial" w:hAnsi="Arial" w:cs="Arial"/>
        </w:rPr>
        <w:t xml:space="preserve"> in males; 2 months for Capitulum, 5 years for Medial Epicondyle, 7 years for Trochlea, 11 years for Lateral Epicondyle, 2 years for Radial Head and 9 years for Olecranon.</w:t>
      </w:r>
    </w:p>
    <w:p w14:paraId="0A1D4D9F" w14:textId="77777777" w:rsidR="00692A75" w:rsidRPr="00692A75" w:rsidRDefault="00692A75" w:rsidP="00692A75">
      <w:pPr>
        <w:pStyle w:val="Body"/>
        <w:spacing w:after="0"/>
        <w:rPr>
          <w:rFonts w:ascii="Arial" w:hAnsi="Arial" w:cs="Arial"/>
        </w:rPr>
      </w:pPr>
    </w:p>
    <w:p w14:paraId="1702EB36" w14:textId="77777777" w:rsidR="00692A75" w:rsidRPr="00692A75" w:rsidRDefault="00692A75" w:rsidP="00692A75">
      <w:pPr>
        <w:pStyle w:val="Body"/>
        <w:spacing w:after="0"/>
        <w:rPr>
          <w:rFonts w:ascii="Arial" w:hAnsi="Arial" w:cs="Arial"/>
        </w:rPr>
      </w:pPr>
      <w:r w:rsidRPr="00692A75">
        <w:rPr>
          <w:rFonts w:ascii="Arial" w:hAnsi="Arial" w:cs="Arial"/>
          <w:b/>
          <w:bCs/>
        </w:rPr>
        <w:t>Table 2:</w:t>
      </w:r>
      <w:r w:rsidRPr="00692A75">
        <w:rPr>
          <w:rFonts w:ascii="Arial" w:hAnsi="Arial" w:cs="Arial"/>
        </w:rPr>
        <w:t xml:space="preserve"> Distribution of female radiographs of the elbow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68"/>
        <w:gridCol w:w="831"/>
        <w:gridCol w:w="827"/>
        <w:gridCol w:w="824"/>
        <w:gridCol w:w="825"/>
        <w:gridCol w:w="818"/>
        <w:gridCol w:w="832"/>
      </w:tblGrid>
      <w:tr w:rsidR="00692A75" w:rsidRPr="00692A75" w14:paraId="5C141F9C" w14:textId="77777777" w:rsidTr="00E15E1F">
        <w:tc>
          <w:tcPr>
            <w:tcW w:w="1560" w:type="dxa"/>
            <w:tcBorders>
              <w:bottom w:val="single" w:sz="4" w:space="0" w:color="auto"/>
            </w:tcBorders>
            <w:vAlign w:val="bottom"/>
          </w:tcPr>
          <w:p w14:paraId="66064284"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lastRenderedPageBreak/>
              <w:t>Age (years)</w:t>
            </w:r>
          </w:p>
        </w:tc>
        <w:tc>
          <w:tcPr>
            <w:tcW w:w="368" w:type="dxa"/>
            <w:tcBorders>
              <w:bottom w:val="single" w:sz="4" w:space="0" w:color="auto"/>
            </w:tcBorders>
            <w:vAlign w:val="bottom"/>
          </w:tcPr>
          <w:p w14:paraId="1932C23C"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w:t>
            </w:r>
          </w:p>
        </w:tc>
        <w:tc>
          <w:tcPr>
            <w:tcW w:w="831" w:type="dxa"/>
            <w:tcBorders>
              <w:bottom w:val="single" w:sz="4" w:space="0" w:color="auto"/>
            </w:tcBorders>
            <w:vAlign w:val="bottom"/>
          </w:tcPr>
          <w:p w14:paraId="4B522A13"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C</w:t>
            </w:r>
          </w:p>
        </w:tc>
        <w:tc>
          <w:tcPr>
            <w:tcW w:w="827" w:type="dxa"/>
            <w:tcBorders>
              <w:bottom w:val="single" w:sz="4" w:space="0" w:color="auto"/>
            </w:tcBorders>
            <w:vAlign w:val="bottom"/>
          </w:tcPr>
          <w:p w14:paraId="2A24F02C"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ME</w:t>
            </w:r>
          </w:p>
        </w:tc>
        <w:tc>
          <w:tcPr>
            <w:tcW w:w="824" w:type="dxa"/>
            <w:tcBorders>
              <w:bottom w:val="single" w:sz="4" w:space="0" w:color="auto"/>
            </w:tcBorders>
            <w:vAlign w:val="bottom"/>
          </w:tcPr>
          <w:p w14:paraId="661E9695"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T</w:t>
            </w:r>
          </w:p>
        </w:tc>
        <w:tc>
          <w:tcPr>
            <w:tcW w:w="825" w:type="dxa"/>
            <w:tcBorders>
              <w:bottom w:val="single" w:sz="4" w:space="0" w:color="auto"/>
            </w:tcBorders>
            <w:vAlign w:val="bottom"/>
          </w:tcPr>
          <w:p w14:paraId="3E83C0B9"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LE</w:t>
            </w:r>
          </w:p>
        </w:tc>
        <w:tc>
          <w:tcPr>
            <w:tcW w:w="818" w:type="dxa"/>
            <w:tcBorders>
              <w:bottom w:val="single" w:sz="4" w:space="0" w:color="auto"/>
            </w:tcBorders>
            <w:vAlign w:val="bottom"/>
          </w:tcPr>
          <w:p w14:paraId="5F8556F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RH</w:t>
            </w:r>
          </w:p>
        </w:tc>
        <w:tc>
          <w:tcPr>
            <w:tcW w:w="832" w:type="dxa"/>
            <w:tcBorders>
              <w:bottom w:val="single" w:sz="4" w:space="0" w:color="auto"/>
            </w:tcBorders>
            <w:vAlign w:val="bottom"/>
          </w:tcPr>
          <w:p w14:paraId="19653E4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w:t>
            </w:r>
          </w:p>
        </w:tc>
      </w:tr>
      <w:tr w:rsidR="00692A75" w:rsidRPr="00692A75" w14:paraId="41127C95" w14:textId="77777777" w:rsidTr="00E15E1F">
        <w:tc>
          <w:tcPr>
            <w:tcW w:w="1560" w:type="dxa"/>
            <w:tcBorders>
              <w:top w:val="single" w:sz="4" w:space="0" w:color="auto"/>
              <w:bottom w:val="nil"/>
            </w:tcBorders>
          </w:tcPr>
          <w:p w14:paraId="0B0D856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0-5m</w:t>
            </w:r>
          </w:p>
        </w:tc>
        <w:tc>
          <w:tcPr>
            <w:tcW w:w="368" w:type="dxa"/>
            <w:tcBorders>
              <w:top w:val="single" w:sz="4" w:space="0" w:color="auto"/>
              <w:bottom w:val="nil"/>
            </w:tcBorders>
          </w:tcPr>
          <w:p w14:paraId="20C2AEA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Borders>
              <w:top w:val="single" w:sz="4" w:space="0" w:color="auto"/>
              <w:bottom w:val="nil"/>
            </w:tcBorders>
          </w:tcPr>
          <w:p w14:paraId="67B43E3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single" w:sz="4" w:space="0" w:color="auto"/>
              <w:bottom w:val="nil"/>
            </w:tcBorders>
          </w:tcPr>
          <w:p w14:paraId="08C4EC7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single" w:sz="4" w:space="0" w:color="auto"/>
              <w:bottom w:val="nil"/>
            </w:tcBorders>
          </w:tcPr>
          <w:p w14:paraId="05AFD16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single" w:sz="4" w:space="0" w:color="auto"/>
              <w:bottom w:val="nil"/>
            </w:tcBorders>
          </w:tcPr>
          <w:p w14:paraId="4500CC7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single" w:sz="4" w:space="0" w:color="auto"/>
              <w:bottom w:val="nil"/>
            </w:tcBorders>
          </w:tcPr>
          <w:p w14:paraId="4AB08A4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single" w:sz="4" w:space="0" w:color="auto"/>
              <w:bottom w:val="nil"/>
            </w:tcBorders>
          </w:tcPr>
          <w:p w14:paraId="71B4D31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1D522BB" w14:textId="77777777" w:rsidTr="00E15E1F">
        <w:tc>
          <w:tcPr>
            <w:tcW w:w="1560" w:type="dxa"/>
            <w:tcBorders>
              <w:top w:val="nil"/>
            </w:tcBorders>
          </w:tcPr>
          <w:p w14:paraId="7D42438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6-11m</w:t>
            </w:r>
          </w:p>
        </w:tc>
        <w:tc>
          <w:tcPr>
            <w:tcW w:w="368" w:type="dxa"/>
            <w:tcBorders>
              <w:top w:val="nil"/>
            </w:tcBorders>
          </w:tcPr>
          <w:p w14:paraId="7226A03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Borders>
              <w:top w:val="nil"/>
            </w:tcBorders>
          </w:tcPr>
          <w:p w14:paraId="4EDD1AB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Borders>
              <w:top w:val="nil"/>
            </w:tcBorders>
          </w:tcPr>
          <w:p w14:paraId="1357F73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Borders>
              <w:top w:val="nil"/>
            </w:tcBorders>
          </w:tcPr>
          <w:p w14:paraId="30B3CD0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Borders>
              <w:top w:val="nil"/>
            </w:tcBorders>
          </w:tcPr>
          <w:p w14:paraId="7CCE3DE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Borders>
              <w:top w:val="nil"/>
            </w:tcBorders>
          </w:tcPr>
          <w:p w14:paraId="0F2A442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Borders>
              <w:top w:val="nil"/>
            </w:tcBorders>
          </w:tcPr>
          <w:p w14:paraId="63864A1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BEC5E80" w14:textId="77777777" w:rsidTr="00E15E1F">
        <w:tc>
          <w:tcPr>
            <w:tcW w:w="1560" w:type="dxa"/>
          </w:tcPr>
          <w:p w14:paraId="58A2399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368" w:type="dxa"/>
          </w:tcPr>
          <w:p w14:paraId="628972D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831" w:type="dxa"/>
          </w:tcPr>
          <w:p w14:paraId="4E08438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2E146C1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6082749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7C0538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78500C4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31F3AA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F2D6421" w14:textId="77777777" w:rsidTr="00E15E1F">
        <w:tc>
          <w:tcPr>
            <w:tcW w:w="1560" w:type="dxa"/>
          </w:tcPr>
          <w:p w14:paraId="65F2412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368" w:type="dxa"/>
          </w:tcPr>
          <w:p w14:paraId="19BA10F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1229BC7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663091F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05CEEB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384007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0B782B6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2+,2-</w:t>
            </w:r>
          </w:p>
        </w:tc>
        <w:tc>
          <w:tcPr>
            <w:tcW w:w="832" w:type="dxa"/>
          </w:tcPr>
          <w:p w14:paraId="1C25BF6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18DD8662" w14:textId="77777777" w:rsidTr="00E15E1F">
        <w:tc>
          <w:tcPr>
            <w:tcW w:w="1560" w:type="dxa"/>
          </w:tcPr>
          <w:p w14:paraId="3B67344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368" w:type="dxa"/>
          </w:tcPr>
          <w:p w14:paraId="014D966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188EFA7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02C021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w:t>
            </w:r>
          </w:p>
        </w:tc>
        <w:tc>
          <w:tcPr>
            <w:tcW w:w="824" w:type="dxa"/>
          </w:tcPr>
          <w:p w14:paraId="73594E0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4412B1D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1C3D5C8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79143FB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333A0A5" w14:textId="77777777" w:rsidTr="00E15E1F">
        <w:tc>
          <w:tcPr>
            <w:tcW w:w="1560" w:type="dxa"/>
          </w:tcPr>
          <w:p w14:paraId="05791FE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368" w:type="dxa"/>
          </w:tcPr>
          <w:p w14:paraId="12CA245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Pr>
          <w:p w14:paraId="6FE09FE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764392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w:t>
            </w:r>
          </w:p>
        </w:tc>
        <w:tc>
          <w:tcPr>
            <w:tcW w:w="824" w:type="dxa"/>
          </w:tcPr>
          <w:p w14:paraId="7AF0DF3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5B0F3B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708365B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7BE1DEF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CABF118" w14:textId="77777777" w:rsidTr="00E15E1F">
        <w:tc>
          <w:tcPr>
            <w:tcW w:w="1560" w:type="dxa"/>
          </w:tcPr>
          <w:p w14:paraId="0EA6979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w:t>
            </w:r>
          </w:p>
        </w:tc>
        <w:tc>
          <w:tcPr>
            <w:tcW w:w="368" w:type="dxa"/>
          </w:tcPr>
          <w:p w14:paraId="281301F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831" w:type="dxa"/>
          </w:tcPr>
          <w:p w14:paraId="7C3ED60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11A5324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09863A3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1+,5-</w:t>
            </w:r>
          </w:p>
        </w:tc>
        <w:tc>
          <w:tcPr>
            <w:tcW w:w="825" w:type="dxa"/>
          </w:tcPr>
          <w:p w14:paraId="7D75005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0C9ADCB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2C11A9C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351A4B48" w14:textId="77777777" w:rsidTr="00E15E1F">
        <w:tc>
          <w:tcPr>
            <w:tcW w:w="1560" w:type="dxa"/>
          </w:tcPr>
          <w:p w14:paraId="2B4CF47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w:t>
            </w:r>
          </w:p>
        </w:tc>
        <w:tc>
          <w:tcPr>
            <w:tcW w:w="368" w:type="dxa"/>
          </w:tcPr>
          <w:p w14:paraId="424B75C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63F18F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4514936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4166F8D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825" w:type="dxa"/>
          </w:tcPr>
          <w:p w14:paraId="2664E23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0748165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738E4C8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562FA74" w14:textId="77777777" w:rsidTr="00E15E1F">
        <w:tc>
          <w:tcPr>
            <w:tcW w:w="1560" w:type="dxa"/>
          </w:tcPr>
          <w:p w14:paraId="4CC6CF3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w:t>
            </w:r>
          </w:p>
        </w:tc>
        <w:tc>
          <w:tcPr>
            <w:tcW w:w="368" w:type="dxa"/>
          </w:tcPr>
          <w:p w14:paraId="0208447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1236D6F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5CE12D0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458A377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825" w:type="dxa"/>
          </w:tcPr>
          <w:p w14:paraId="627ED81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373436C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92757D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B8C58FC" w14:textId="77777777" w:rsidTr="00E15E1F">
        <w:tc>
          <w:tcPr>
            <w:tcW w:w="1560" w:type="dxa"/>
          </w:tcPr>
          <w:p w14:paraId="612EF1F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w:t>
            </w:r>
          </w:p>
        </w:tc>
        <w:tc>
          <w:tcPr>
            <w:tcW w:w="368" w:type="dxa"/>
          </w:tcPr>
          <w:p w14:paraId="6105183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w:t>
            </w:r>
          </w:p>
        </w:tc>
        <w:tc>
          <w:tcPr>
            <w:tcW w:w="831" w:type="dxa"/>
          </w:tcPr>
          <w:p w14:paraId="1B7F22D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7686DA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C44119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2+,1-</w:t>
            </w:r>
          </w:p>
        </w:tc>
        <w:tc>
          <w:tcPr>
            <w:tcW w:w="825" w:type="dxa"/>
          </w:tcPr>
          <w:p w14:paraId="5A647B7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5BE07BE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4DFF708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287784BC" w14:textId="77777777" w:rsidTr="00E15E1F">
        <w:tc>
          <w:tcPr>
            <w:tcW w:w="1560" w:type="dxa"/>
          </w:tcPr>
          <w:p w14:paraId="323E9E0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w:t>
            </w:r>
          </w:p>
        </w:tc>
        <w:tc>
          <w:tcPr>
            <w:tcW w:w="368" w:type="dxa"/>
          </w:tcPr>
          <w:p w14:paraId="274059C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w:t>
            </w:r>
          </w:p>
        </w:tc>
        <w:tc>
          <w:tcPr>
            <w:tcW w:w="831" w:type="dxa"/>
          </w:tcPr>
          <w:p w14:paraId="6AC0800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5FC85D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3A7D8F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093B040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3817207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6A465D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50932E22" w14:textId="77777777" w:rsidTr="00E15E1F">
        <w:tc>
          <w:tcPr>
            <w:tcW w:w="1560" w:type="dxa"/>
          </w:tcPr>
          <w:p w14:paraId="0C2BE7A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10</w:t>
            </w:r>
          </w:p>
        </w:tc>
        <w:tc>
          <w:tcPr>
            <w:tcW w:w="368" w:type="dxa"/>
          </w:tcPr>
          <w:p w14:paraId="0B61E25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w:t>
            </w:r>
          </w:p>
        </w:tc>
        <w:tc>
          <w:tcPr>
            <w:tcW w:w="831" w:type="dxa"/>
          </w:tcPr>
          <w:p w14:paraId="45349E5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0EAC143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7A8FCE2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79E3AD8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E847F9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2C1F873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r w:rsidR="00692A75" w:rsidRPr="00692A75" w14:paraId="6B1AF134" w14:textId="77777777" w:rsidTr="00E15E1F">
        <w:tc>
          <w:tcPr>
            <w:tcW w:w="1560" w:type="dxa"/>
          </w:tcPr>
          <w:p w14:paraId="395DB06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w:t>
            </w:r>
          </w:p>
        </w:tc>
        <w:tc>
          <w:tcPr>
            <w:tcW w:w="368" w:type="dxa"/>
          </w:tcPr>
          <w:p w14:paraId="5A46633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w:t>
            </w:r>
          </w:p>
        </w:tc>
        <w:tc>
          <w:tcPr>
            <w:tcW w:w="831" w:type="dxa"/>
          </w:tcPr>
          <w:p w14:paraId="595A485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7" w:type="dxa"/>
          </w:tcPr>
          <w:p w14:paraId="779542D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4" w:type="dxa"/>
          </w:tcPr>
          <w:p w14:paraId="3432E04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25" w:type="dxa"/>
          </w:tcPr>
          <w:p w14:paraId="1ED3662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18" w:type="dxa"/>
          </w:tcPr>
          <w:p w14:paraId="2F02B5E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c>
          <w:tcPr>
            <w:tcW w:w="832" w:type="dxa"/>
          </w:tcPr>
          <w:p w14:paraId="1608CFD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w:t>
            </w:r>
          </w:p>
        </w:tc>
      </w:tr>
    </w:tbl>
    <w:p w14:paraId="03A44045" w14:textId="77777777" w:rsidR="00692A75" w:rsidRPr="00692A75" w:rsidRDefault="00692A75" w:rsidP="00692A75">
      <w:pPr>
        <w:pStyle w:val="Body"/>
        <w:rPr>
          <w:rFonts w:ascii="Arial" w:hAnsi="Arial" w:cs="Arial"/>
          <w:i/>
          <w:iCs/>
        </w:rPr>
      </w:pPr>
      <w:r w:rsidRPr="00692A75">
        <w:rPr>
          <w:rFonts w:ascii="Arial" w:hAnsi="Arial" w:cs="Arial"/>
          <w:i/>
          <w:iCs/>
        </w:rPr>
        <w:t xml:space="preserve">C= Capitulum; ME= Medial Epicondyle; T= Trochlea; LE= Lateral Epicondyle; RH= Radial Head; O= </w:t>
      </w:r>
      <w:proofErr w:type="gramStart"/>
      <w:r w:rsidRPr="00692A75">
        <w:rPr>
          <w:rFonts w:ascii="Arial" w:hAnsi="Arial" w:cs="Arial"/>
          <w:i/>
          <w:iCs/>
        </w:rPr>
        <w:t>Olecranon ;</w:t>
      </w:r>
      <w:proofErr w:type="gramEnd"/>
      <w:r w:rsidRPr="00692A75">
        <w:rPr>
          <w:rFonts w:ascii="Arial" w:hAnsi="Arial" w:cs="Arial"/>
          <w:i/>
          <w:iCs/>
        </w:rPr>
        <w:t xml:space="preserve"> n= Number of Radiographs; m= Months; += Ossification present in bone; -= Bone not ossified.</w:t>
      </w:r>
    </w:p>
    <w:p w14:paraId="3D5AC65C" w14:textId="77777777" w:rsidR="00692A75" w:rsidRDefault="00692A75" w:rsidP="00692A75">
      <w:pPr>
        <w:pStyle w:val="Body"/>
        <w:spacing w:after="0"/>
        <w:rPr>
          <w:rFonts w:ascii="Arial" w:hAnsi="Arial" w:cs="Arial"/>
        </w:rPr>
      </w:pPr>
      <w:r w:rsidRPr="00692A75">
        <w:rPr>
          <w:rFonts w:ascii="Arial" w:hAnsi="Arial" w:cs="Arial"/>
        </w:rPr>
        <w:t xml:space="preserve">Earliest observed age of appearance of the ossification </w:t>
      </w:r>
      <w:proofErr w:type="spellStart"/>
      <w:r w:rsidRPr="00692A75">
        <w:rPr>
          <w:rFonts w:ascii="Arial" w:hAnsi="Arial" w:cs="Arial"/>
        </w:rPr>
        <w:t>centre</w:t>
      </w:r>
      <w:proofErr w:type="spellEnd"/>
      <w:r w:rsidRPr="00692A75">
        <w:rPr>
          <w:rFonts w:ascii="Arial" w:hAnsi="Arial" w:cs="Arial"/>
        </w:rPr>
        <w:t xml:space="preserve"> in males; 3 months for Capitulum, 3 years for Medial Epicondyle, 5 years for Trochlea, 11 years for Lateral Epicondyle, 2 years for Radial Head and 9 years for Olecranon.</w:t>
      </w:r>
    </w:p>
    <w:p w14:paraId="1ECAF6BD" w14:textId="77777777" w:rsidR="00692A75" w:rsidRPr="00692A75" w:rsidRDefault="00692A75" w:rsidP="00692A75">
      <w:pPr>
        <w:pStyle w:val="Body"/>
        <w:spacing w:after="0"/>
        <w:rPr>
          <w:rFonts w:ascii="Arial" w:hAnsi="Arial" w:cs="Arial"/>
        </w:rPr>
      </w:pPr>
    </w:p>
    <w:p w14:paraId="5E787D7A" w14:textId="77777777" w:rsidR="00692A75" w:rsidRPr="00692A75" w:rsidRDefault="00692A75" w:rsidP="00692A75">
      <w:pPr>
        <w:pStyle w:val="Body"/>
        <w:spacing w:after="0"/>
        <w:rPr>
          <w:rFonts w:ascii="Arial" w:hAnsi="Arial" w:cs="Arial"/>
        </w:rPr>
      </w:pPr>
      <w:r w:rsidRPr="00692A75">
        <w:rPr>
          <w:rFonts w:ascii="Arial" w:hAnsi="Arial" w:cs="Arial"/>
          <w:b/>
          <w:bCs/>
        </w:rPr>
        <w:t>Table 3:</w:t>
      </w:r>
      <w:r w:rsidRPr="00692A75">
        <w:rPr>
          <w:rFonts w:ascii="Arial" w:hAnsi="Arial" w:cs="Arial"/>
        </w:rPr>
        <w:t xml:space="preserve"> Earliest observed age of appearance of each ossification </w:t>
      </w:r>
      <w:proofErr w:type="spellStart"/>
      <w:r w:rsidRPr="00692A75">
        <w:rPr>
          <w:rFonts w:ascii="Arial" w:hAnsi="Arial" w:cs="Arial"/>
        </w:rPr>
        <w:t>centre</w:t>
      </w:r>
      <w:proofErr w:type="spellEnd"/>
      <w:r w:rsidRPr="00692A75">
        <w:rPr>
          <w:rFonts w:ascii="Arial" w:hAnsi="Arial" w:cs="Arial"/>
        </w:rPr>
        <w:t xml:space="preserve"> by sex.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1985"/>
        <w:gridCol w:w="1276"/>
      </w:tblGrid>
      <w:tr w:rsidR="00692A75" w:rsidRPr="00692A75" w14:paraId="7F36C1FB" w14:textId="77777777" w:rsidTr="00E15E1F">
        <w:trPr>
          <w:tblHeader/>
          <w:tblCellSpacing w:w="15" w:type="dxa"/>
        </w:trPr>
        <w:tc>
          <w:tcPr>
            <w:tcW w:w="2790" w:type="dxa"/>
            <w:tcBorders>
              <w:top w:val="single" w:sz="4" w:space="0" w:color="auto"/>
              <w:bottom w:val="single" w:sz="4" w:space="0" w:color="auto"/>
            </w:tcBorders>
            <w:vAlign w:val="center"/>
            <w:hideMark/>
          </w:tcPr>
          <w:p w14:paraId="4F72AB27" w14:textId="77777777" w:rsidR="00692A75" w:rsidRPr="00692A75" w:rsidRDefault="00692A75" w:rsidP="00692A75">
            <w:pPr>
              <w:pStyle w:val="Body"/>
              <w:spacing w:after="0"/>
              <w:rPr>
                <w:rFonts w:ascii="Arial" w:hAnsi="Arial" w:cs="Arial"/>
                <w:b/>
                <w:bCs/>
              </w:rPr>
            </w:pPr>
            <w:r w:rsidRPr="00692A75">
              <w:rPr>
                <w:rFonts w:ascii="Arial" w:hAnsi="Arial" w:cs="Arial"/>
                <w:b/>
                <w:bCs/>
              </w:rPr>
              <w:t xml:space="preserve">Ossification </w:t>
            </w:r>
            <w:proofErr w:type="spellStart"/>
            <w:r w:rsidRPr="00692A75">
              <w:rPr>
                <w:rFonts w:ascii="Arial" w:hAnsi="Arial" w:cs="Arial"/>
                <w:b/>
                <w:bCs/>
              </w:rPr>
              <w:t>centre</w:t>
            </w:r>
            <w:proofErr w:type="spellEnd"/>
          </w:p>
        </w:tc>
        <w:tc>
          <w:tcPr>
            <w:tcW w:w="1955" w:type="dxa"/>
            <w:tcBorders>
              <w:top w:val="single" w:sz="4" w:space="0" w:color="auto"/>
              <w:bottom w:val="single" w:sz="4" w:space="0" w:color="auto"/>
            </w:tcBorders>
            <w:vAlign w:val="center"/>
            <w:hideMark/>
          </w:tcPr>
          <w:p w14:paraId="7D1CDE57" w14:textId="77777777" w:rsidR="00692A75" w:rsidRPr="00692A75" w:rsidRDefault="00692A75" w:rsidP="00692A75">
            <w:pPr>
              <w:pStyle w:val="Body"/>
              <w:spacing w:after="0"/>
              <w:rPr>
                <w:rFonts w:ascii="Arial" w:hAnsi="Arial" w:cs="Arial"/>
                <w:b/>
                <w:bCs/>
              </w:rPr>
            </w:pPr>
            <w:r w:rsidRPr="00692A75">
              <w:rPr>
                <w:rFonts w:ascii="Arial" w:hAnsi="Arial" w:cs="Arial"/>
                <w:b/>
                <w:bCs/>
              </w:rPr>
              <w:t>Male</w:t>
            </w:r>
          </w:p>
        </w:tc>
        <w:tc>
          <w:tcPr>
            <w:tcW w:w="1231" w:type="dxa"/>
            <w:tcBorders>
              <w:top w:val="single" w:sz="4" w:space="0" w:color="auto"/>
              <w:bottom w:val="single" w:sz="4" w:space="0" w:color="auto"/>
            </w:tcBorders>
            <w:vAlign w:val="center"/>
            <w:hideMark/>
          </w:tcPr>
          <w:p w14:paraId="578AB461" w14:textId="77777777" w:rsidR="00692A75" w:rsidRPr="00692A75" w:rsidRDefault="00692A75" w:rsidP="00692A75">
            <w:pPr>
              <w:pStyle w:val="Body"/>
              <w:spacing w:after="0"/>
              <w:rPr>
                <w:rFonts w:ascii="Arial" w:hAnsi="Arial" w:cs="Arial"/>
                <w:b/>
                <w:bCs/>
              </w:rPr>
            </w:pPr>
            <w:r w:rsidRPr="00692A75">
              <w:rPr>
                <w:rFonts w:ascii="Arial" w:hAnsi="Arial" w:cs="Arial"/>
                <w:b/>
                <w:bCs/>
              </w:rPr>
              <w:t>Female</w:t>
            </w:r>
          </w:p>
        </w:tc>
      </w:tr>
      <w:tr w:rsidR="00692A75" w:rsidRPr="00692A75" w14:paraId="6C7C6095" w14:textId="77777777" w:rsidTr="00E15E1F">
        <w:trPr>
          <w:tblCellSpacing w:w="15" w:type="dxa"/>
        </w:trPr>
        <w:tc>
          <w:tcPr>
            <w:tcW w:w="2790" w:type="dxa"/>
            <w:vAlign w:val="center"/>
            <w:hideMark/>
          </w:tcPr>
          <w:p w14:paraId="72BCA4BB" w14:textId="77777777" w:rsidR="00692A75" w:rsidRPr="00692A75" w:rsidRDefault="00692A75" w:rsidP="00692A75">
            <w:pPr>
              <w:pStyle w:val="Body"/>
              <w:spacing w:after="0"/>
              <w:rPr>
                <w:rFonts w:ascii="Arial" w:hAnsi="Arial" w:cs="Arial"/>
              </w:rPr>
            </w:pPr>
            <w:r w:rsidRPr="00692A75">
              <w:rPr>
                <w:rFonts w:ascii="Arial" w:hAnsi="Arial" w:cs="Arial"/>
              </w:rPr>
              <w:t>Capitulum</w:t>
            </w:r>
          </w:p>
        </w:tc>
        <w:tc>
          <w:tcPr>
            <w:tcW w:w="1955" w:type="dxa"/>
            <w:vAlign w:val="center"/>
            <w:hideMark/>
          </w:tcPr>
          <w:p w14:paraId="4A087F29" w14:textId="77777777" w:rsidR="00692A75" w:rsidRPr="00692A75" w:rsidRDefault="00692A75" w:rsidP="00692A75">
            <w:pPr>
              <w:pStyle w:val="Body"/>
              <w:spacing w:after="0"/>
              <w:rPr>
                <w:rFonts w:ascii="Arial" w:hAnsi="Arial" w:cs="Arial"/>
              </w:rPr>
            </w:pPr>
            <w:r w:rsidRPr="00692A75">
              <w:rPr>
                <w:rFonts w:ascii="Arial" w:hAnsi="Arial" w:cs="Arial"/>
              </w:rPr>
              <w:t>2 months</w:t>
            </w:r>
          </w:p>
        </w:tc>
        <w:tc>
          <w:tcPr>
            <w:tcW w:w="1231" w:type="dxa"/>
            <w:vAlign w:val="center"/>
            <w:hideMark/>
          </w:tcPr>
          <w:p w14:paraId="43033105" w14:textId="77777777" w:rsidR="00692A75" w:rsidRPr="00692A75" w:rsidRDefault="00692A75" w:rsidP="00692A75">
            <w:pPr>
              <w:pStyle w:val="Body"/>
              <w:spacing w:after="0"/>
              <w:rPr>
                <w:rFonts w:ascii="Arial" w:hAnsi="Arial" w:cs="Arial"/>
              </w:rPr>
            </w:pPr>
            <w:r w:rsidRPr="00692A75">
              <w:rPr>
                <w:rFonts w:ascii="Arial" w:hAnsi="Arial" w:cs="Arial"/>
              </w:rPr>
              <w:t>3 months</w:t>
            </w:r>
          </w:p>
        </w:tc>
      </w:tr>
      <w:tr w:rsidR="00692A75" w:rsidRPr="00692A75" w14:paraId="7D96DAB9" w14:textId="77777777" w:rsidTr="00E15E1F">
        <w:trPr>
          <w:tblCellSpacing w:w="15" w:type="dxa"/>
        </w:trPr>
        <w:tc>
          <w:tcPr>
            <w:tcW w:w="2790" w:type="dxa"/>
            <w:vAlign w:val="center"/>
            <w:hideMark/>
          </w:tcPr>
          <w:p w14:paraId="7A92372D" w14:textId="77777777" w:rsidR="00692A75" w:rsidRPr="00692A75" w:rsidRDefault="00692A75" w:rsidP="00692A75">
            <w:pPr>
              <w:pStyle w:val="Body"/>
              <w:spacing w:after="0"/>
              <w:rPr>
                <w:rFonts w:ascii="Arial" w:hAnsi="Arial" w:cs="Arial"/>
              </w:rPr>
            </w:pPr>
            <w:r w:rsidRPr="00692A75">
              <w:rPr>
                <w:rFonts w:ascii="Arial" w:hAnsi="Arial" w:cs="Arial"/>
              </w:rPr>
              <w:t>Medial Epicondyle</w:t>
            </w:r>
          </w:p>
        </w:tc>
        <w:tc>
          <w:tcPr>
            <w:tcW w:w="1955" w:type="dxa"/>
            <w:vAlign w:val="center"/>
            <w:hideMark/>
          </w:tcPr>
          <w:p w14:paraId="565BADB6" w14:textId="77777777" w:rsidR="00692A75" w:rsidRPr="00692A75" w:rsidRDefault="00692A75" w:rsidP="00692A75">
            <w:pPr>
              <w:pStyle w:val="Body"/>
              <w:spacing w:after="0"/>
              <w:rPr>
                <w:rFonts w:ascii="Arial" w:hAnsi="Arial" w:cs="Arial"/>
              </w:rPr>
            </w:pPr>
            <w:r w:rsidRPr="00692A75">
              <w:rPr>
                <w:rFonts w:ascii="Arial" w:hAnsi="Arial" w:cs="Arial"/>
              </w:rPr>
              <w:t>5 years</w:t>
            </w:r>
          </w:p>
        </w:tc>
        <w:tc>
          <w:tcPr>
            <w:tcW w:w="1231" w:type="dxa"/>
            <w:vAlign w:val="center"/>
            <w:hideMark/>
          </w:tcPr>
          <w:p w14:paraId="1623FC68" w14:textId="77777777" w:rsidR="00692A75" w:rsidRPr="00692A75" w:rsidRDefault="00692A75" w:rsidP="00692A75">
            <w:pPr>
              <w:pStyle w:val="Body"/>
              <w:spacing w:after="0"/>
              <w:rPr>
                <w:rFonts w:ascii="Arial" w:hAnsi="Arial" w:cs="Arial"/>
              </w:rPr>
            </w:pPr>
            <w:r w:rsidRPr="00692A75">
              <w:rPr>
                <w:rFonts w:ascii="Arial" w:hAnsi="Arial" w:cs="Arial"/>
              </w:rPr>
              <w:t xml:space="preserve">3 years </w:t>
            </w:r>
          </w:p>
        </w:tc>
      </w:tr>
      <w:tr w:rsidR="00692A75" w:rsidRPr="00692A75" w14:paraId="23A9CB69" w14:textId="77777777" w:rsidTr="00E15E1F">
        <w:trPr>
          <w:tblCellSpacing w:w="15" w:type="dxa"/>
        </w:trPr>
        <w:tc>
          <w:tcPr>
            <w:tcW w:w="2790" w:type="dxa"/>
            <w:vAlign w:val="center"/>
            <w:hideMark/>
          </w:tcPr>
          <w:p w14:paraId="1F51ED36" w14:textId="77777777" w:rsidR="00692A75" w:rsidRPr="00692A75" w:rsidRDefault="00692A75" w:rsidP="00692A75">
            <w:pPr>
              <w:pStyle w:val="Body"/>
              <w:spacing w:after="0"/>
              <w:rPr>
                <w:rFonts w:ascii="Arial" w:hAnsi="Arial" w:cs="Arial"/>
              </w:rPr>
            </w:pPr>
            <w:r w:rsidRPr="00692A75">
              <w:rPr>
                <w:rFonts w:ascii="Arial" w:hAnsi="Arial" w:cs="Arial"/>
              </w:rPr>
              <w:t>Trochlea</w:t>
            </w:r>
          </w:p>
        </w:tc>
        <w:tc>
          <w:tcPr>
            <w:tcW w:w="1955" w:type="dxa"/>
            <w:vAlign w:val="center"/>
            <w:hideMark/>
          </w:tcPr>
          <w:p w14:paraId="2505E9CA" w14:textId="77777777" w:rsidR="00692A75" w:rsidRPr="00692A75" w:rsidRDefault="00692A75" w:rsidP="00692A75">
            <w:pPr>
              <w:pStyle w:val="Body"/>
              <w:spacing w:after="0"/>
              <w:rPr>
                <w:rFonts w:ascii="Arial" w:hAnsi="Arial" w:cs="Arial"/>
              </w:rPr>
            </w:pPr>
            <w:r w:rsidRPr="00692A75">
              <w:rPr>
                <w:rFonts w:ascii="Arial" w:hAnsi="Arial" w:cs="Arial"/>
              </w:rPr>
              <w:t>7 years</w:t>
            </w:r>
          </w:p>
        </w:tc>
        <w:tc>
          <w:tcPr>
            <w:tcW w:w="1231" w:type="dxa"/>
            <w:vAlign w:val="center"/>
            <w:hideMark/>
          </w:tcPr>
          <w:p w14:paraId="6EE6B48F" w14:textId="77777777" w:rsidR="00692A75" w:rsidRPr="00692A75" w:rsidRDefault="00692A75" w:rsidP="00692A75">
            <w:pPr>
              <w:pStyle w:val="Body"/>
              <w:spacing w:after="0"/>
              <w:rPr>
                <w:rFonts w:ascii="Arial" w:hAnsi="Arial" w:cs="Arial"/>
              </w:rPr>
            </w:pPr>
            <w:r w:rsidRPr="00692A75">
              <w:rPr>
                <w:rFonts w:ascii="Arial" w:hAnsi="Arial" w:cs="Arial"/>
              </w:rPr>
              <w:t>5 years</w:t>
            </w:r>
          </w:p>
        </w:tc>
      </w:tr>
      <w:tr w:rsidR="00692A75" w:rsidRPr="00692A75" w14:paraId="40A72A9B" w14:textId="77777777" w:rsidTr="00E15E1F">
        <w:trPr>
          <w:tblCellSpacing w:w="15" w:type="dxa"/>
        </w:trPr>
        <w:tc>
          <w:tcPr>
            <w:tcW w:w="2790" w:type="dxa"/>
            <w:vAlign w:val="center"/>
            <w:hideMark/>
          </w:tcPr>
          <w:p w14:paraId="43ED3F8E" w14:textId="77777777" w:rsidR="00692A75" w:rsidRPr="00692A75" w:rsidRDefault="00692A75" w:rsidP="00692A75">
            <w:pPr>
              <w:pStyle w:val="Body"/>
              <w:spacing w:after="0"/>
              <w:rPr>
                <w:rFonts w:ascii="Arial" w:hAnsi="Arial" w:cs="Arial"/>
              </w:rPr>
            </w:pPr>
            <w:r w:rsidRPr="00692A75">
              <w:rPr>
                <w:rFonts w:ascii="Arial" w:hAnsi="Arial" w:cs="Arial"/>
              </w:rPr>
              <w:t>Lateral Epicondyle</w:t>
            </w:r>
          </w:p>
        </w:tc>
        <w:tc>
          <w:tcPr>
            <w:tcW w:w="1955" w:type="dxa"/>
            <w:vAlign w:val="center"/>
            <w:hideMark/>
          </w:tcPr>
          <w:p w14:paraId="7FABFE34" w14:textId="77777777" w:rsidR="00692A75" w:rsidRPr="00692A75" w:rsidRDefault="00692A75" w:rsidP="00692A75">
            <w:pPr>
              <w:pStyle w:val="Body"/>
              <w:spacing w:after="0"/>
              <w:rPr>
                <w:rFonts w:ascii="Arial" w:hAnsi="Arial" w:cs="Arial"/>
              </w:rPr>
            </w:pPr>
            <w:r w:rsidRPr="00692A75">
              <w:rPr>
                <w:rFonts w:ascii="Arial" w:hAnsi="Arial" w:cs="Arial"/>
              </w:rPr>
              <w:t>11 years</w:t>
            </w:r>
          </w:p>
        </w:tc>
        <w:tc>
          <w:tcPr>
            <w:tcW w:w="1231" w:type="dxa"/>
            <w:vAlign w:val="center"/>
            <w:hideMark/>
          </w:tcPr>
          <w:p w14:paraId="04440602" w14:textId="77777777" w:rsidR="00692A75" w:rsidRPr="00692A75" w:rsidRDefault="00692A75" w:rsidP="00692A75">
            <w:pPr>
              <w:pStyle w:val="Body"/>
              <w:spacing w:after="0"/>
              <w:rPr>
                <w:rFonts w:ascii="Arial" w:hAnsi="Arial" w:cs="Arial"/>
              </w:rPr>
            </w:pPr>
            <w:r w:rsidRPr="00692A75">
              <w:rPr>
                <w:rFonts w:ascii="Arial" w:hAnsi="Arial" w:cs="Arial"/>
              </w:rPr>
              <w:t>11 years</w:t>
            </w:r>
          </w:p>
        </w:tc>
      </w:tr>
      <w:tr w:rsidR="00692A75" w:rsidRPr="00692A75" w14:paraId="2EBF9171" w14:textId="77777777" w:rsidTr="00E15E1F">
        <w:trPr>
          <w:tblCellSpacing w:w="15" w:type="dxa"/>
        </w:trPr>
        <w:tc>
          <w:tcPr>
            <w:tcW w:w="2790" w:type="dxa"/>
            <w:vAlign w:val="center"/>
            <w:hideMark/>
          </w:tcPr>
          <w:p w14:paraId="681A58C5" w14:textId="77777777" w:rsidR="00692A75" w:rsidRPr="00692A75" w:rsidRDefault="00692A75" w:rsidP="00692A75">
            <w:pPr>
              <w:pStyle w:val="Body"/>
              <w:spacing w:after="0"/>
              <w:rPr>
                <w:rFonts w:ascii="Arial" w:hAnsi="Arial" w:cs="Arial"/>
              </w:rPr>
            </w:pPr>
            <w:r w:rsidRPr="00692A75">
              <w:rPr>
                <w:rFonts w:ascii="Arial" w:hAnsi="Arial" w:cs="Arial"/>
              </w:rPr>
              <w:t>Radial Head</w:t>
            </w:r>
          </w:p>
        </w:tc>
        <w:tc>
          <w:tcPr>
            <w:tcW w:w="1955" w:type="dxa"/>
            <w:vAlign w:val="center"/>
            <w:hideMark/>
          </w:tcPr>
          <w:p w14:paraId="55CC5CF3" w14:textId="77777777" w:rsidR="00692A75" w:rsidRPr="00692A75" w:rsidRDefault="00692A75" w:rsidP="00692A75">
            <w:pPr>
              <w:pStyle w:val="Body"/>
              <w:spacing w:after="0"/>
              <w:rPr>
                <w:rFonts w:ascii="Arial" w:hAnsi="Arial" w:cs="Arial"/>
              </w:rPr>
            </w:pPr>
            <w:r w:rsidRPr="00692A75">
              <w:rPr>
                <w:rFonts w:ascii="Arial" w:hAnsi="Arial" w:cs="Arial"/>
              </w:rPr>
              <w:t>2 years</w:t>
            </w:r>
          </w:p>
        </w:tc>
        <w:tc>
          <w:tcPr>
            <w:tcW w:w="1231" w:type="dxa"/>
            <w:vAlign w:val="center"/>
            <w:hideMark/>
          </w:tcPr>
          <w:p w14:paraId="1C16B8E3" w14:textId="77777777" w:rsidR="00692A75" w:rsidRPr="00692A75" w:rsidRDefault="00692A75" w:rsidP="00692A75">
            <w:pPr>
              <w:pStyle w:val="Body"/>
              <w:spacing w:after="0"/>
              <w:rPr>
                <w:rFonts w:ascii="Arial" w:hAnsi="Arial" w:cs="Arial"/>
              </w:rPr>
            </w:pPr>
            <w:r w:rsidRPr="00692A75">
              <w:rPr>
                <w:rFonts w:ascii="Arial" w:hAnsi="Arial" w:cs="Arial"/>
              </w:rPr>
              <w:t>2 years</w:t>
            </w:r>
          </w:p>
        </w:tc>
      </w:tr>
      <w:tr w:rsidR="00692A75" w:rsidRPr="00692A75" w14:paraId="70D39CD4" w14:textId="77777777" w:rsidTr="00E15E1F">
        <w:trPr>
          <w:tblCellSpacing w:w="15" w:type="dxa"/>
        </w:trPr>
        <w:tc>
          <w:tcPr>
            <w:tcW w:w="2790" w:type="dxa"/>
            <w:tcBorders>
              <w:bottom w:val="single" w:sz="4" w:space="0" w:color="auto"/>
            </w:tcBorders>
            <w:vAlign w:val="center"/>
            <w:hideMark/>
          </w:tcPr>
          <w:p w14:paraId="063B5FA4" w14:textId="77777777" w:rsidR="00692A75" w:rsidRPr="00692A75" w:rsidRDefault="00692A75" w:rsidP="00692A75">
            <w:pPr>
              <w:pStyle w:val="Body"/>
              <w:spacing w:after="0"/>
              <w:rPr>
                <w:rFonts w:ascii="Arial" w:hAnsi="Arial" w:cs="Arial"/>
              </w:rPr>
            </w:pPr>
            <w:r w:rsidRPr="00692A75">
              <w:rPr>
                <w:rFonts w:ascii="Arial" w:hAnsi="Arial" w:cs="Arial"/>
              </w:rPr>
              <w:t>Olecranon</w:t>
            </w:r>
          </w:p>
        </w:tc>
        <w:tc>
          <w:tcPr>
            <w:tcW w:w="1955" w:type="dxa"/>
            <w:tcBorders>
              <w:bottom w:val="single" w:sz="4" w:space="0" w:color="auto"/>
            </w:tcBorders>
            <w:vAlign w:val="center"/>
            <w:hideMark/>
          </w:tcPr>
          <w:p w14:paraId="2ED0C3E9" w14:textId="77777777" w:rsidR="00692A75" w:rsidRPr="00692A75" w:rsidRDefault="00692A75" w:rsidP="00692A75">
            <w:pPr>
              <w:pStyle w:val="Body"/>
              <w:spacing w:after="0"/>
              <w:rPr>
                <w:rFonts w:ascii="Arial" w:hAnsi="Arial" w:cs="Arial"/>
              </w:rPr>
            </w:pPr>
            <w:r w:rsidRPr="00692A75">
              <w:rPr>
                <w:rFonts w:ascii="Arial" w:hAnsi="Arial" w:cs="Arial"/>
              </w:rPr>
              <w:t>9 years</w:t>
            </w:r>
          </w:p>
        </w:tc>
        <w:tc>
          <w:tcPr>
            <w:tcW w:w="1231" w:type="dxa"/>
            <w:tcBorders>
              <w:bottom w:val="single" w:sz="4" w:space="0" w:color="auto"/>
            </w:tcBorders>
            <w:vAlign w:val="center"/>
            <w:hideMark/>
          </w:tcPr>
          <w:p w14:paraId="19F8975D" w14:textId="77777777" w:rsidR="00692A75" w:rsidRPr="00692A75" w:rsidRDefault="00692A75" w:rsidP="00692A75">
            <w:pPr>
              <w:pStyle w:val="Body"/>
              <w:spacing w:after="0"/>
              <w:rPr>
                <w:rFonts w:ascii="Arial" w:hAnsi="Arial" w:cs="Arial"/>
              </w:rPr>
            </w:pPr>
            <w:r w:rsidRPr="00692A75">
              <w:rPr>
                <w:rFonts w:ascii="Arial" w:hAnsi="Arial" w:cs="Arial"/>
              </w:rPr>
              <w:t>9 years</w:t>
            </w:r>
          </w:p>
        </w:tc>
      </w:tr>
    </w:tbl>
    <w:p w14:paraId="01346D40" w14:textId="77777777" w:rsidR="00692A75" w:rsidRPr="00692A75" w:rsidRDefault="00692A75" w:rsidP="00692A75">
      <w:pPr>
        <w:pStyle w:val="Body"/>
        <w:spacing w:after="0"/>
        <w:rPr>
          <w:rFonts w:ascii="Arial" w:hAnsi="Arial" w:cs="Arial"/>
        </w:rPr>
      </w:pPr>
    </w:p>
    <w:p w14:paraId="534FEA05" w14:textId="77777777" w:rsidR="00692A75" w:rsidRPr="00692A75" w:rsidRDefault="00692A75" w:rsidP="00692A75">
      <w:pPr>
        <w:pStyle w:val="Body"/>
        <w:spacing w:after="0"/>
        <w:rPr>
          <w:rFonts w:ascii="Arial" w:hAnsi="Arial" w:cs="Arial"/>
        </w:rPr>
      </w:pPr>
      <w:r w:rsidRPr="00692A75">
        <w:rPr>
          <w:rFonts w:ascii="Arial" w:hAnsi="Arial" w:cs="Arial"/>
          <w:b/>
          <w:bCs/>
        </w:rPr>
        <w:t>Table 4:</w:t>
      </w:r>
      <w:r w:rsidRPr="00692A75">
        <w:rPr>
          <w:rFonts w:ascii="Arial" w:hAnsi="Arial" w:cs="Arial"/>
        </w:rPr>
        <w:t xml:space="preserve"> Comparison of the present study observations with published reference standards in 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5"/>
        <w:gridCol w:w="2835"/>
        <w:gridCol w:w="2405"/>
      </w:tblGrid>
      <w:tr w:rsidR="00692A75" w:rsidRPr="00692A75" w14:paraId="067F93BC" w14:textId="77777777" w:rsidTr="00E15E1F">
        <w:tc>
          <w:tcPr>
            <w:tcW w:w="2268" w:type="dxa"/>
            <w:tcBorders>
              <w:bottom w:val="single" w:sz="4" w:space="0" w:color="auto"/>
            </w:tcBorders>
          </w:tcPr>
          <w:p w14:paraId="3BD19D6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Ossification Centre</w:t>
            </w:r>
          </w:p>
        </w:tc>
        <w:tc>
          <w:tcPr>
            <w:tcW w:w="1985" w:type="dxa"/>
            <w:tcBorders>
              <w:bottom w:val="single" w:sz="4" w:space="0" w:color="auto"/>
            </w:tcBorders>
          </w:tcPr>
          <w:p w14:paraId="738F7631"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Nigerians</w:t>
            </w:r>
          </w:p>
          <w:p w14:paraId="61B61B7A"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Present Study</w:t>
            </w:r>
          </w:p>
        </w:tc>
        <w:tc>
          <w:tcPr>
            <w:tcW w:w="2835" w:type="dxa"/>
            <w:tcBorders>
              <w:bottom w:val="single" w:sz="4" w:space="0" w:color="auto"/>
            </w:tcBorders>
          </w:tcPr>
          <w:p w14:paraId="224903E5"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 xml:space="preserve">Standard (Vogt and </w:t>
            </w:r>
            <w:proofErr w:type="spellStart"/>
            <w:r w:rsidRPr="00692A75">
              <w:rPr>
                <w:rFonts w:ascii="Arial" w:eastAsia="Times New Roman" w:hAnsi="Arial" w:cs="Arial"/>
                <w:b/>
                <w:bCs/>
                <w:sz w:val="20"/>
              </w:rPr>
              <w:t>Vikers</w:t>
            </w:r>
            <w:proofErr w:type="spellEnd"/>
            <w:r w:rsidRPr="00692A75">
              <w:rPr>
                <w:rFonts w:ascii="Arial" w:eastAsia="Times New Roman" w:hAnsi="Arial" w:cs="Arial"/>
                <w:b/>
                <w:bCs/>
                <w:sz w:val="20"/>
              </w:rPr>
              <w:t>, 1938)</w:t>
            </w:r>
          </w:p>
        </w:tc>
        <w:tc>
          <w:tcPr>
            <w:tcW w:w="2405" w:type="dxa"/>
            <w:tcBorders>
              <w:bottom w:val="single" w:sz="4" w:space="0" w:color="auto"/>
            </w:tcBorders>
          </w:tcPr>
          <w:p w14:paraId="6627233C"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Differences</w:t>
            </w:r>
          </w:p>
        </w:tc>
      </w:tr>
      <w:tr w:rsidR="00692A75" w:rsidRPr="00692A75" w14:paraId="1F26870C" w14:textId="77777777" w:rsidTr="00E15E1F">
        <w:tc>
          <w:tcPr>
            <w:tcW w:w="2268" w:type="dxa"/>
            <w:tcBorders>
              <w:top w:val="single" w:sz="4" w:space="0" w:color="auto"/>
              <w:bottom w:val="nil"/>
            </w:tcBorders>
            <w:vAlign w:val="center"/>
          </w:tcPr>
          <w:p w14:paraId="67534C1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Capitulum</w:t>
            </w:r>
          </w:p>
        </w:tc>
        <w:tc>
          <w:tcPr>
            <w:tcW w:w="1985" w:type="dxa"/>
            <w:tcBorders>
              <w:top w:val="single" w:sz="4" w:space="0" w:color="auto"/>
              <w:bottom w:val="nil"/>
            </w:tcBorders>
          </w:tcPr>
          <w:p w14:paraId="019B026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months</w:t>
            </w:r>
          </w:p>
        </w:tc>
        <w:tc>
          <w:tcPr>
            <w:tcW w:w="2835" w:type="dxa"/>
            <w:tcBorders>
              <w:top w:val="single" w:sz="4" w:space="0" w:color="auto"/>
              <w:bottom w:val="nil"/>
            </w:tcBorders>
          </w:tcPr>
          <w:p w14:paraId="32B8AA9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8-12 months</w:t>
            </w:r>
          </w:p>
        </w:tc>
        <w:tc>
          <w:tcPr>
            <w:tcW w:w="2405" w:type="dxa"/>
            <w:tcBorders>
              <w:top w:val="single" w:sz="4" w:space="0" w:color="auto"/>
              <w:bottom w:val="nil"/>
            </w:tcBorders>
          </w:tcPr>
          <w:p w14:paraId="71748BD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6-10 months</w:t>
            </w:r>
          </w:p>
        </w:tc>
      </w:tr>
      <w:tr w:rsidR="00692A75" w:rsidRPr="00692A75" w14:paraId="2766B2EF" w14:textId="77777777" w:rsidTr="00E15E1F">
        <w:tc>
          <w:tcPr>
            <w:tcW w:w="2268" w:type="dxa"/>
            <w:tcBorders>
              <w:top w:val="nil"/>
            </w:tcBorders>
            <w:vAlign w:val="center"/>
          </w:tcPr>
          <w:p w14:paraId="2417ACD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Medial Epicondyle</w:t>
            </w:r>
          </w:p>
        </w:tc>
        <w:tc>
          <w:tcPr>
            <w:tcW w:w="1985" w:type="dxa"/>
            <w:tcBorders>
              <w:top w:val="nil"/>
            </w:tcBorders>
          </w:tcPr>
          <w:p w14:paraId="3B4F0AB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 years</w:t>
            </w:r>
          </w:p>
        </w:tc>
        <w:tc>
          <w:tcPr>
            <w:tcW w:w="2835" w:type="dxa"/>
            <w:tcBorders>
              <w:top w:val="nil"/>
            </w:tcBorders>
          </w:tcPr>
          <w:p w14:paraId="625A574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5-7 years</w:t>
            </w:r>
          </w:p>
        </w:tc>
        <w:tc>
          <w:tcPr>
            <w:tcW w:w="2405" w:type="dxa"/>
            <w:tcBorders>
              <w:top w:val="nil"/>
            </w:tcBorders>
          </w:tcPr>
          <w:p w14:paraId="3ED25DD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r w:rsidR="00692A75" w:rsidRPr="00692A75" w14:paraId="1D8ACF02" w14:textId="77777777" w:rsidTr="00E15E1F">
        <w:tc>
          <w:tcPr>
            <w:tcW w:w="2268" w:type="dxa"/>
            <w:vAlign w:val="center"/>
          </w:tcPr>
          <w:p w14:paraId="29EB4CA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Trochlea</w:t>
            </w:r>
          </w:p>
        </w:tc>
        <w:tc>
          <w:tcPr>
            <w:tcW w:w="1985" w:type="dxa"/>
          </w:tcPr>
          <w:p w14:paraId="42E83D4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 years</w:t>
            </w:r>
          </w:p>
        </w:tc>
        <w:tc>
          <w:tcPr>
            <w:tcW w:w="2835" w:type="dxa"/>
          </w:tcPr>
          <w:p w14:paraId="6283460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8-9 years</w:t>
            </w:r>
          </w:p>
        </w:tc>
        <w:tc>
          <w:tcPr>
            <w:tcW w:w="2405" w:type="dxa"/>
          </w:tcPr>
          <w:p w14:paraId="61232D3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 years</w:t>
            </w:r>
          </w:p>
        </w:tc>
      </w:tr>
      <w:tr w:rsidR="00692A75" w:rsidRPr="00692A75" w14:paraId="3CCAD878" w14:textId="77777777" w:rsidTr="00E15E1F">
        <w:tc>
          <w:tcPr>
            <w:tcW w:w="2268" w:type="dxa"/>
            <w:vAlign w:val="center"/>
          </w:tcPr>
          <w:p w14:paraId="7134376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Lateral Epicondyle</w:t>
            </w:r>
          </w:p>
        </w:tc>
        <w:tc>
          <w:tcPr>
            <w:tcW w:w="1985" w:type="dxa"/>
          </w:tcPr>
          <w:p w14:paraId="7B3E1C5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11 years</w:t>
            </w:r>
          </w:p>
        </w:tc>
        <w:tc>
          <w:tcPr>
            <w:tcW w:w="2835" w:type="dxa"/>
          </w:tcPr>
          <w:p w14:paraId="18D14EB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12-14 years</w:t>
            </w:r>
          </w:p>
        </w:tc>
        <w:tc>
          <w:tcPr>
            <w:tcW w:w="2405" w:type="dxa"/>
          </w:tcPr>
          <w:p w14:paraId="30C626C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0A8709B2" w14:textId="77777777" w:rsidTr="00E15E1F">
        <w:tc>
          <w:tcPr>
            <w:tcW w:w="2268" w:type="dxa"/>
            <w:vAlign w:val="center"/>
          </w:tcPr>
          <w:p w14:paraId="4CDF3934"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lastRenderedPageBreak/>
              <w:t>Radial Head</w:t>
            </w:r>
          </w:p>
        </w:tc>
        <w:tc>
          <w:tcPr>
            <w:tcW w:w="1985" w:type="dxa"/>
          </w:tcPr>
          <w:p w14:paraId="2AA24FE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years</w:t>
            </w:r>
          </w:p>
        </w:tc>
        <w:tc>
          <w:tcPr>
            <w:tcW w:w="2835" w:type="dxa"/>
          </w:tcPr>
          <w:p w14:paraId="2FE09D8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4-5 years</w:t>
            </w:r>
          </w:p>
        </w:tc>
        <w:tc>
          <w:tcPr>
            <w:tcW w:w="2405" w:type="dxa"/>
          </w:tcPr>
          <w:p w14:paraId="5708E005"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2-3 years</w:t>
            </w:r>
          </w:p>
        </w:tc>
      </w:tr>
      <w:tr w:rsidR="00692A75" w:rsidRPr="00692A75" w14:paraId="079DAD48" w14:textId="77777777" w:rsidTr="00E15E1F">
        <w:tc>
          <w:tcPr>
            <w:tcW w:w="2268" w:type="dxa"/>
            <w:vAlign w:val="center"/>
          </w:tcPr>
          <w:p w14:paraId="798B980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Olecranon</w:t>
            </w:r>
          </w:p>
        </w:tc>
        <w:tc>
          <w:tcPr>
            <w:tcW w:w="1985" w:type="dxa"/>
          </w:tcPr>
          <w:p w14:paraId="7B541E6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 years</w:t>
            </w:r>
          </w:p>
        </w:tc>
        <w:tc>
          <w:tcPr>
            <w:tcW w:w="2835" w:type="dxa"/>
          </w:tcPr>
          <w:p w14:paraId="651E675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9-11 years</w:t>
            </w:r>
          </w:p>
        </w:tc>
        <w:tc>
          <w:tcPr>
            <w:tcW w:w="2405" w:type="dxa"/>
          </w:tcPr>
          <w:p w14:paraId="5A6FA1C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bl>
    <w:p w14:paraId="470D44CD" w14:textId="77777777" w:rsidR="00692A75" w:rsidRPr="00692A75" w:rsidRDefault="00692A75" w:rsidP="00692A75">
      <w:pPr>
        <w:pStyle w:val="Body"/>
        <w:spacing w:after="0"/>
        <w:rPr>
          <w:rFonts w:ascii="Arial" w:hAnsi="Arial" w:cs="Arial"/>
        </w:rPr>
      </w:pPr>
    </w:p>
    <w:p w14:paraId="6315354D" w14:textId="77777777" w:rsidR="00692A75" w:rsidRPr="00692A75" w:rsidRDefault="00692A75" w:rsidP="00692A75">
      <w:pPr>
        <w:pStyle w:val="Body"/>
        <w:spacing w:after="0"/>
        <w:rPr>
          <w:rFonts w:ascii="Arial" w:hAnsi="Arial" w:cs="Arial"/>
        </w:rPr>
      </w:pPr>
      <w:r w:rsidRPr="00692A75">
        <w:rPr>
          <w:rFonts w:ascii="Arial" w:hAnsi="Arial" w:cs="Arial"/>
          <w:b/>
          <w:bCs/>
        </w:rPr>
        <w:t>Table 5:</w:t>
      </w:r>
      <w:r w:rsidRPr="00692A75">
        <w:rPr>
          <w:rFonts w:ascii="Arial" w:hAnsi="Arial" w:cs="Arial"/>
        </w:rPr>
        <w:t xml:space="preserve"> Comparison of the present study observations with published reference standards in females.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92"/>
        <w:gridCol w:w="3211"/>
        <w:gridCol w:w="1701"/>
      </w:tblGrid>
      <w:tr w:rsidR="00692A75" w:rsidRPr="00692A75" w14:paraId="463182FF" w14:textId="77777777" w:rsidTr="00E15E1F">
        <w:tc>
          <w:tcPr>
            <w:tcW w:w="2689" w:type="dxa"/>
            <w:tcBorders>
              <w:bottom w:val="single" w:sz="4" w:space="0" w:color="auto"/>
            </w:tcBorders>
          </w:tcPr>
          <w:p w14:paraId="3FAABA17"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Ossification Centre</w:t>
            </w:r>
          </w:p>
        </w:tc>
        <w:tc>
          <w:tcPr>
            <w:tcW w:w="1892" w:type="dxa"/>
            <w:tcBorders>
              <w:bottom w:val="single" w:sz="4" w:space="0" w:color="auto"/>
            </w:tcBorders>
          </w:tcPr>
          <w:p w14:paraId="13B1EC82"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Nigerians</w:t>
            </w:r>
          </w:p>
          <w:p w14:paraId="2BCAFD23"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Present Study</w:t>
            </w:r>
          </w:p>
        </w:tc>
        <w:tc>
          <w:tcPr>
            <w:tcW w:w="3211" w:type="dxa"/>
            <w:tcBorders>
              <w:bottom w:val="single" w:sz="4" w:space="0" w:color="auto"/>
            </w:tcBorders>
          </w:tcPr>
          <w:p w14:paraId="255DED40"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 xml:space="preserve">Standard (Vogt and </w:t>
            </w:r>
            <w:proofErr w:type="spellStart"/>
            <w:r w:rsidRPr="00692A75">
              <w:rPr>
                <w:rFonts w:ascii="Arial" w:eastAsia="Times New Roman" w:hAnsi="Arial" w:cs="Arial"/>
                <w:b/>
                <w:bCs/>
                <w:sz w:val="20"/>
              </w:rPr>
              <w:t>Vikers</w:t>
            </w:r>
            <w:proofErr w:type="spellEnd"/>
            <w:r w:rsidRPr="00692A75">
              <w:rPr>
                <w:rFonts w:ascii="Arial" w:eastAsia="Times New Roman" w:hAnsi="Arial" w:cs="Arial"/>
                <w:b/>
                <w:bCs/>
                <w:sz w:val="20"/>
              </w:rPr>
              <w:t>, 1938)</w:t>
            </w:r>
          </w:p>
        </w:tc>
        <w:tc>
          <w:tcPr>
            <w:tcW w:w="1701" w:type="dxa"/>
            <w:tcBorders>
              <w:bottom w:val="single" w:sz="4" w:space="0" w:color="auto"/>
            </w:tcBorders>
          </w:tcPr>
          <w:p w14:paraId="1F63794F" w14:textId="77777777" w:rsidR="00692A75" w:rsidRPr="00692A75" w:rsidRDefault="00692A75" w:rsidP="00692A75">
            <w:pPr>
              <w:pStyle w:val="Body"/>
              <w:rPr>
                <w:rFonts w:ascii="Arial" w:eastAsia="Times New Roman" w:hAnsi="Arial" w:cs="Arial"/>
                <w:b/>
                <w:bCs/>
                <w:sz w:val="20"/>
              </w:rPr>
            </w:pPr>
            <w:r w:rsidRPr="00692A75">
              <w:rPr>
                <w:rFonts w:ascii="Arial" w:eastAsia="Times New Roman" w:hAnsi="Arial" w:cs="Arial"/>
                <w:b/>
                <w:bCs/>
                <w:sz w:val="20"/>
              </w:rPr>
              <w:t>Differences</w:t>
            </w:r>
          </w:p>
        </w:tc>
      </w:tr>
      <w:tr w:rsidR="00692A75" w:rsidRPr="00692A75" w14:paraId="7C89120A" w14:textId="77777777" w:rsidTr="00E15E1F">
        <w:tc>
          <w:tcPr>
            <w:tcW w:w="2689" w:type="dxa"/>
            <w:tcBorders>
              <w:top w:val="single" w:sz="4" w:space="0" w:color="auto"/>
              <w:bottom w:val="nil"/>
            </w:tcBorders>
            <w:vAlign w:val="center"/>
          </w:tcPr>
          <w:p w14:paraId="747B4C6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Capitulum</w:t>
            </w:r>
          </w:p>
        </w:tc>
        <w:tc>
          <w:tcPr>
            <w:tcW w:w="1892" w:type="dxa"/>
            <w:tcBorders>
              <w:top w:val="single" w:sz="4" w:space="0" w:color="auto"/>
              <w:bottom w:val="nil"/>
            </w:tcBorders>
          </w:tcPr>
          <w:p w14:paraId="392FB8A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 months</w:t>
            </w:r>
          </w:p>
        </w:tc>
        <w:tc>
          <w:tcPr>
            <w:tcW w:w="3211" w:type="dxa"/>
            <w:tcBorders>
              <w:top w:val="single" w:sz="4" w:space="0" w:color="auto"/>
              <w:bottom w:val="nil"/>
            </w:tcBorders>
          </w:tcPr>
          <w:p w14:paraId="76CAD9D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6-8 months</w:t>
            </w:r>
          </w:p>
        </w:tc>
        <w:tc>
          <w:tcPr>
            <w:tcW w:w="1701" w:type="dxa"/>
            <w:tcBorders>
              <w:top w:val="single" w:sz="4" w:space="0" w:color="auto"/>
              <w:bottom w:val="nil"/>
            </w:tcBorders>
          </w:tcPr>
          <w:p w14:paraId="5F132541"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months</w:t>
            </w:r>
          </w:p>
        </w:tc>
      </w:tr>
      <w:tr w:rsidR="00692A75" w:rsidRPr="00692A75" w14:paraId="3705CC91" w14:textId="77777777" w:rsidTr="00E15E1F">
        <w:tc>
          <w:tcPr>
            <w:tcW w:w="2689" w:type="dxa"/>
            <w:tcBorders>
              <w:top w:val="nil"/>
            </w:tcBorders>
            <w:vAlign w:val="center"/>
          </w:tcPr>
          <w:p w14:paraId="31860B4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Medial Epicondyle</w:t>
            </w:r>
          </w:p>
        </w:tc>
        <w:tc>
          <w:tcPr>
            <w:tcW w:w="1892" w:type="dxa"/>
            <w:tcBorders>
              <w:top w:val="nil"/>
            </w:tcBorders>
          </w:tcPr>
          <w:p w14:paraId="7E6AC61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 years</w:t>
            </w:r>
          </w:p>
        </w:tc>
        <w:tc>
          <w:tcPr>
            <w:tcW w:w="3211" w:type="dxa"/>
            <w:tcBorders>
              <w:top w:val="nil"/>
            </w:tcBorders>
          </w:tcPr>
          <w:p w14:paraId="613EDF8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years</w:t>
            </w:r>
          </w:p>
        </w:tc>
        <w:tc>
          <w:tcPr>
            <w:tcW w:w="1701" w:type="dxa"/>
            <w:tcBorders>
              <w:top w:val="nil"/>
            </w:tcBorders>
          </w:tcPr>
          <w:p w14:paraId="44136490"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r w:rsidR="00692A75" w:rsidRPr="00692A75" w14:paraId="354DAB1B" w14:textId="77777777" w:rsidTr="00E15E1F">
        <w:tc>
          <w:tcPr>
            <w:tcW w:w="2689" w:type="dxa"/>
            <w:vAlign w:val="center"/>
          </w:tcPr>
          <w:p w14:paraId="7485B1D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Trochlea</w:t>
            </w:r>
          </w:p>
        </w:tc>
        <w:tc>
          <w:tcPr>
            <w:tcW w:w="1892" w:type="dxa"/>
          </w:tcPr>
          <w:p w14:paraId="4805474C"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5 years</w:t>
            </w:r>
          </w:p>
        </w:tc>
        <w:tc>
          <w:tcPr>
            <w:tcW w:w="3211" w:type="dxa"/>
          </w:tcPr>
          <w:p w14:paraId="0D8D0A8D"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7-9 years</w:t>
            </w:r>
          </w:p>
        </w:tc>
        <w:tc>
          <w:tcPr>
            <w:tcW w:w="1701" w:type="dxa"/>
          </w:tcPr>
          <w:p w14:paraId="76DA71D3"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2-4 years</w:t>
            </w:r>
          </w:p>
        </w:tc>
      </w:tr>
      <w:tr w:rsidR="00692A75" w:rsidRPr="00692A75" w14:paraId="5CF51D0E" w14:textId="77777777" w:rsidTr="00E15E1F">
        <w:tc>
          <w:tcPr>
            <w:tcW w:w="2689" w:type="dxa"/>
            <w:vAlign w:val="center"/>
          </w:tcPr>
          <w:p w14:paraId="7FAA039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Lateral Epicondyle</w:t>
            </w:r>
          </w:p>
        </w:tc>
        <w:tc>
          <w:tcPr>
            <w:tcW w:w="1892" w:type="dxa"/>
          </w:tcPr>
          <w:p w14:paraId="3858E7C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 xml:space="preserve">11 years </w:t>
            </w:r>
          </w:p>
        </w:tc>
        <w:tc>
          <w:tcPr>
            <w:tcW w:w="3211" w:type="dxa"/>
          </w:tcPr>
          <w:p w14:paraId="45C0F6BE"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12-14 years</w:t>
            </w:r>
          </w:p>
        </w:tc>
        <w:tc>
          <w:tcPr>
            <w:tcW w:w="1701" w:type="dxa"/>
          </w:tcPr>
          <w:p w14:paraId="16C6A002"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2681FB14" w14:textId="77777777" w:rsidTr="00E15E1F">
        <w:tc>
          <w:tcPr>
            <w:tcW w:w="2689" w:type="dxa"/>
            <w:vAlign w:val="center"/>
          </w:tcPr>
          <w:p w14:paraId="426881F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Radial Head</w:t>
            </w:r>
          </w:p>
        </w:tc>
        <w:tc>
          <w:tcPr>
            <w:tcW w:w="1892" w:type="dxa"/>
          </w:tcPr>
          <w:p w14:paraId="3E4FDA4B"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2 years</w:t>
            </w:r>
          </w:p>
        </w:tc>
        <w:tc>
          <w:tcPr>
            <w:tcW w:w="3211" w:type="dxa"/>
          </w:tcPr>
          <w:p w14:paraId="1876541A"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3-5 years</w:t>
            </w:r>
          </w:p>
        </w:tc>
        <w:tc>
          <w:tcPr>
            <w:tcW w:w="1701" w:type="dxa"/>
          </w:tcPr>
          <w:p w14:paraId="0E852FA8"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1-3 years</w:t>
            </w:r>
          </w:p>
        </w:tc>
      </w:tr>
      <w:tr w:rsidR="00692A75" w:rsidRPr="00692A75" w14:paraId="073241E9" w14:textId="77777777" w:rsidTr="00E15E1F">
        <w:tc>
          <w:tcPr>
            <w:tcW w:w="2689" w:type="dxa"/>
            <w:vAlign w:val="center"/>
          </w:tcPr>
          <w:p w14:paraId="6389E6D6"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Olecranon</w:t>
            </w:r>
          </w:p>
        </w:tc>
        <w:tc>
          <w:tcPr>
            <w:tcW w:w="1892" w:type="dxa"/>
          </w:tcPr>
          <w:p w14:paraId="3C697EE7"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9 years</w:t>
            </w:r>
          </w:p>
        </w:tc>
        <w:tc>
          <w:tcPr>
            <w:tcW w:w="3211" w:type="dxa"/>
          </w:tcPr>
          <w:p w14:paraId="3636319F"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8-11 years</w:t>
            </w:r>
          </w:p>
        </w:tc>
        <w:tc>
          <w:tcPr>
            <w:tcW w:w="1701" w:type="dxa"/>
          </w:tcPr>
          <w:p w14:paraId="581A6219" w14:textId="77777777" w:rsidR="00692A75" w:rsidRPr="00692A75" w:rsidRDefault="00692A75" w:rsidP="00692A75">
            <w:pPr>
              <w:pStyle w:val="Body"/>
              <w:rPr>
                <w:rFonts w:ascii="Arial" w:eastAsia="Times New Roman" w:hAnsi="Arial" w:cs="Arial"/>
                <w:sz w:val="20"/>
              </w:rPr>
            </w:pPr>
            <w:r w:rsidRPr="00692A75">
              <w:rPr>
                <w:rFonts w:ascii="Arial" w:eastAsia="Times New Roman" w:hAnsi="Arial" w:cs="Arial"/>
                <w:sz w:val="20"/>
              </w:rPr>
              <w:t>0-2 years</w:t>
            </w:r>
          </w:p>
        </w:tc>
      </w:tr>
    </w:tbl>
    <w:p w14:paraId="2E173F8B" w14:textId="77777777" w:rsidR="00692A75" w:rsidRPr="00692A75" w:rsidRDefault="00692A75" w:rsidP="00692A75">
      <w:pPr>
        <w:pStyle w:val="Body"/>
        <w:spacing w:after="0"/>
        <w:rPr>
          <w:rFonts w:ascii="Arial" w:hAnsi="Arial" w:cs="Arial"/>
        </w:rPr>
      </w:pPr>
    </w:p>
    <w:p w14:paraId="4E1342C3" w14:textId="77777777" w:rsidR="00692A75" w:rsidRPr="00692A75" w:rsidRDefault="00692A75" w:rsidP="00692A75">
      <w:pPr>
        <w:pStyle w:val="Body"/>
        <w:spacing w:after="0"/>
        <w:rPr>
          <w:rFonts w:ascii="Arial" w:hAnsi="Arial" w:cs="Arial"/>
        </w:rPr>
      </w:pPr>
      <w:r w:rsidRPr="00692A75">
        <w:rPr>
          <w:rFonts w:ascii="Arial" w:hAnsi="Arial" w:cs="Arial"/>
        </w:rPr>
        <w:t>The present study assessed the radiographic appearance of six secondary ossification centers of the elbow in 93 Nigerian children, comprising 48 males and 45 females. The earliest observed appearance of the capitellum was 2 months in males and 3 months in females, followed by the radial head at 2 years in both sexes. The medial epicondyle was first observed at 5 years in males and 3 years in females, while the trochlea appeared at 7 years in males and 5 years in females. The olecranon was observed at 9 years in both sexes, whereas the lateral epicondyle was observed at 11 years in both sexes. The overall pattern was broadly consistent with the recognized progressive development of the elbow ossification centers, although the observed ages differed for some centers from those reported in other populations. Miyazaki et al. (2017), in a Brazilian study of 544 elbow radiographs, reported appearance intervals of 0–1 year for the capitellum, 2–6 years for the radial head, 2–8 years for the medial epicondyle, 5–11 years for the trochlea, 6–11 years for the olecranon, and 8–13 years for the lateral epicondyle. Thus, most of the earliest observed ages in the present Nigerian sample fall within the broader developmental ranges reported in the Brazilian population, although the capitellum and radial head were observed earlier in the present sample. Such differences may reflect variation in sample composition, population characteristics, and the cross-sectional nature of the present study rather than differences in the biological onset of ossification alone (Miyazaki et al., 2017).</w:t>
      </w:r>
    </w:p>
    <w:p w14:paraId="53F5172B" w14:textId="77777777" w:rsidR="00692A75" w:rsidRPr="00692A75" w:rsidRDefault="00692A75" w:rsidP="00692A75">
      <w:pPr>
        <w:pStyle w:val="Body"/>
        <w:spacing w:after="0"/>
        <w:rPr>
          <w:rFonts w:ascii="Arial" w:hAnsi="Arial" w:cs="Arial"/>
        </w:rPr>
      </w:pPr>
      <w:r w:rsidRPr="00692A75">
        <w:rPr>
          <w:rFonts w:ascii="Arial" w:hAnsi="Arial" w:cs="Arial"/>
        </w:rPr>
        <w:t xml:space="preserve">Sex-related differences were observed in the present study, particularly for the medial epicondyle and trochlea. The medial epicondyle was first observed at 3 years in females compared with 5 years in males, while the trochlea was observed at 5 years in females compared with 7 years in males. In contrast, the capitellum, radial head, olecranon, and lateral epicondyle </w:t>
      </w:r>
      <w:proofErr w:type="gramStart"/>
      <w:r w:rsidRPr="00692A75">
        <w:rPr>
          <w:rFonts w:ascii="Arial" w:hAnsi="Arial" w:cs="Arial"/>
        </w:rPr>
        <w:t>had</w:t>
      </w:r>
      <w:proofErr w:type="gramEnd"/>
      <w:r w:rsidRPr="00692A75">
        <w:rPr>
          <w:rFonts w:ascii="Arial" w:hAnsi="Arial" w:cs="Arial"/>
        </w:rPr>
        <w:t xml:space="preserve"> the same or very similar earliest observed ages in both sexes. The earlier appearance of some ossification centers in females is consistent with evidence that skeletal maturation generally occurs earlier in girls than boys. Miyazaki et al. (2017) reported that the appearance and fusion of most elbow ossification centers occurred earlier in girls than boys, although the capitellum and radial head showed exceptions. Similarly, Goodwin et al. (2019) demonstrated sex-related differences in the sequence of elbow ossification, with variations from the conventional CRITOL sequence occurring significantly more frequently in girls. A large recent Chinese study involving 8,007 children also found that the age at which the six elbow ossification centers became visible was generally earlier in girls than boys. These findings support the observation in the present study that sex should be considered when interpreting elbow skeletal maturation in children (Goodwin et al., 2019; Shaowei et al., 2025).</w:t>
      </w:r>
    </w:p>
    <w:p w14:paraId="7C86AEC6" w14:textId="77777777" w:rsidR="00692A75" w:rsidRPr="00692A75" w:rsidRDefault="00692A75" w:rsidP="00692A75">
      <w:pPr>
        <w:pStyle w:val="Body"/>
        <w:spacing w:after="0"/>
        <w:rPr>
          <w:rFonts w:ascii="Arial" w:hAnsi="Arial" w:cs="Arial"/>
        </w:rPr>
      </w:pPr>
      <w:r w:rsidRPr="00692A75">
        <w:rPr>
          <w:rFonts w:ascii="Arial" w:hAnsi="Arial" w:cs="Arial"/>
        </w:rPr>
        <w:t xml:space="preserve">Comparison with the reference standard presented in the present study revealed that the Nigerian children generally demonstrated earlier observed appearance of the elbow ossification centers than the cited Vogt and </w:t>
      </w:r>
      <w:proofErr w:type="spellStart"/>
      <w:r w:rsidRPr="00692A75">
        <w:rPr>
          <w:rFonts w:ascii="Arial" w:hAnsi="Arial" w:cs="Arial"/>
        </w:rPr>
        <w:t>Vikers</w:t>
      </w:r>
      <w:proofErr w:type="spellEnd"/>
      <w:r w:rsidRPr="00692A75">
        <w:rPr>
          <w:rFonts w:ascii="Arial" w:hAnsi="Arial" w:cs="Arial"/>
        </w:rPr>
        <w:t xml:space="preserve"> standard. Among males, the capitellum was observed at 2 months compared with the reference range of 8–12 months, the radial head at 2 years compared with 4–5 years, the trochlea at 7 years compared with 8–9 years, and the lateral epicondyle at 11 years compared with 12–14 years. The medial epicondyle and olecranon showed smaller differences. A similar pattern was observed among females, with the capitellum, medial epicondyle, trochlea, lateral epicondyle, and radial head appearing at younger observed ages than the corresponding reference ranges, while the olecranon fell within the reported standard range. These findings should, however, be interpreted cautiously because the present study identifies the earliest observed appearance in a relatively small retrospective sample rather than the age at which 50% or another defined proportion of children develop an ossification center. Nevertheless, the differences are consistent with evidence </w:t>
      </w:r>
      <w:r w:rsidRPr="00692A75">
        <w:rPr>
          <w:rFonts w:ascii="Arial" w:hAnsi="Arial" w:cs="Arial"/>
        </w:rPr>
        <w:lastRenderedPageBreak/>
        <w:t xml:space="preserve">that skeletal maturation standards may vary between populations. A systematic review and meta-analysis by </w:t>
      </w:r>
      <w:proofErr w:type="spellStart"/>
      <w:r w:rsidRPr="00692A75">
        <w:rPr>
          <w:rFonts w:ascii="Arial" w:hAnsi="Arial" w:cs="Arial"/>
        </w:rPr>
        <w:t>Alshamrani</w:t>
      </w:r>
      <w:proofErr w:type="spellEnd"/>
      <w:r w:rsidRPr="00692A75">
        <w:rPr>
          <w:rFonts w:ascii="Arial" w:hAnsi="Arial" w:cs="Arial"/>
        </w:rPr>
        <w:t xml:space="preserve"> et al. (2019) demonstrated that the Greulich-Pyle standard does not perform identically across ethnic populations, while Grgic et al. (2020) found that children of African ancestry had, on average, more advanced skeletal age than children of European ancestry in the Generation R cohort. These findings reinforce the importance of considering population-specific variation when interpreting skeletal maturation.</w:t>
      </w:r>
    </w:p>
    <w:p w14:paraId="55EBE02F" w14:textId="77777777" w:rsidR="00692A75" w:rsidRPr="00692A75" w:rsidRDefault="00692A75" w:rsidP="00692A75">
      <w:pPr>
        <w:pStyle w:val="Body"/>
        <w:spacing w:after="0"/>
        <w:rPr>
          <w:rFonts w:ascii="Arial" w:hAnsi="Arial" w:cs="Arial"/>
        </w:rPr>
      </w:pPr>
      <w:r w:rsidRPr="00692A75">
        <w:rPr>
          <w:rFonts w:ascii="Arial" w:hAnsi="Arial" w:cs="Arial"/>
        </w:rPr>
        <w:t xml:space="preserve">The findings of the present study also differ in some respects from observations reported in other populations. In the Brazilian population studied by Miyazaki et al. (2017), the radial head appeared between 2 and 6 years, the medial epicondyle between 2 and 8 years, the trochlea between 5 and 11 years, and the olecranon between 6 and 11 years. The present Nigerian observations of 2 years for the radial head, 3–5 years for the medial epicondyle, 5–7 years for the trochlea, and 9 years for the olecranon fall within or toward the younger part of these Brazilian ranges. In a recent Chinese study of 8,007 children, the ages at which more than 50% of children demonstrated visible ossification were considerably later than the earliest ages observed in the present study; for example, the capitellum occurred at 19 months in boys and 13 months in girls, while the radial head occurred at 82 months in boys and 71 months in girls (Shaowei et al., 2025). The differences between these findings and the present study highlight the distinction between an </w:t>
      </w:r>
      <w:r w:rsidRPr="00692A75">
        <w:rPr>
          <w:rFonts w:ascii="Arial" w:hAnsi="Arial" w:cs="Arial"/>
          <w:i/>
          <w:iCs/>
        </w:rPr>
        <w:t>earliest observed age</w:t>
      </w:r>
      <w:r w:rsidRPr="00692A75">
        <w:rPr>
          <w:rFonts w:ascii="Arial" w:hAnsi="Arial" w:cs="Arial"/>
        </w:rPr>
        <w:t xml:space="preserve"> and a population age at which a specified proportion of children demonstrate ossification. They also suggest that ethnicity, sex, environmental influences, and methodological differences can contribute to variation in skeletal maturation patterns. Studies of skeletal maturation in African populations similarly demonstrate that ethnicity and sex can influence the tempo and pattern of skeletal development (Grgic et al., 2020; Cousins et al., 2015).</w:t>
      </w:r>
    </w:p>
    <w:p w14:paraId="55044776" w14:textId="77777777" w:rsidR="00692A75" w:rsidRPr="00692A75" w:rsidRDefault="00692A75" w:rsidP="00692A75">
      <w:pPr>
        <w:pStyle w:val="Body"/>
        <w:spacing w:after="0"/>
        <w:rPr>
          <w:rFonts w:ascii="Arial" w:hAnsi="Arial" w:cs="Arial"/>
        </w:rPr>
      </w:pPr>
      <w:r w:rsidRPr="00692A75">
        <w:rPr>
          <w:rFonts w:ascii="Arial" w:hAnsi="Arial" w:cs="Arial"/>
        </w:rPr>
        <w:t xml:space="preserve">The findings are relevant to the interpretation of </w:t>
      </w:r>
      <w:proofErr w:type="spellStart"/>
      <w:r w:rsidRPr="00692A75">
        <w:rPr>
          <w:rFonts w:ascii="Arial" w:hAnsi="Arial" w:cs="Arial"/>
        </w:rPr>
        <w:t>paediatric</w:t>
      </w:r>
      <w:proofErr w:type="spellEnd"/>
      <w:r w:rsidRPr="00692A75">
        <w:rPr>
          <w:rFonts w:ascii="Arial" w:hAnsi="Arial" w:cs="Arial"/>
        </w:rPr>
        <w:t xml:space="preserve"> elbow radiographs in Nigerian children because recognition of the normal developmental appearance of the ossification centers is essential for distinguishing skeletal maturation from pathological abnormalities. The present study demonstrates that the six major elbow ossification centers were already radiographically identifiable at different stages of childhood and that the timing of their earliest observed appearance varied according to sex for some centers. The observed differences from the historical reference standard and from other populations support the need for caution when applying external skeletal-age standards directly to Nigerian children. This is particularly relevant because previous Nigerian research has primarily examined skeletal age using hand and wrist radiographs; </w:t>
      </w:r>
      <w:proofErr w:type="spellStart"/>
      <w:r w:rsidRPr="00692A75">
        <w:rPr>
          <w:rFonts w:ascii="Arial" w:hAnsi="Arial" w:cs="Arial"/>
        </w:rPr>
        <w:t>Udoaka</w:t>
      </w:r>
      <w:proofErr w:type="spellEnd"/>
      <w:r w:rsidRPr="00692A75">
        <w:rPr>
          <w:rFonts w:ascii="Arial" w:hAnsi="Arial" w:cs="Arial"/>
        </w:rPr>
        <w:t xml:space="preserve"> et al. (2016), for example, reported a small positive difference between skeletal age assessed with the Greulich-Pyle atlas and chronological age in Nigerian children, although the difference was not statistically significant. The present study therefore provides complementary information by examining the elbow rather than the hand and wrist. However, because of the relatively small sample size and retrospective cross-sectional design, the present findings should be regarded as preliminary population-specific observations rather than definitive normative ages for elbow ossification. Larger studies involving balanced age groups, adequate representation of both sexes, and statistical estimation of age-specific ossification probabilities would be useful for establishing more robust Nigerian reference data (</w:t>
      </w:r>
      <w:proofErr w:type="spellStart"/>
      <w:r w:rsidRPr="00692A75">
        <w:rPr>
          <w:rFonts w:ascii="Arial" w:hAnsi="Arial" w:cs="Arial"/>
        </w:rPr>
        <w:t>Udoaka</w:t>
      </w:r>
      <w:proofErr w:type="spellEnd"/>
      <w:r w:rsidRPr="00692A75">
        <w:rPr>
          <w:rFonts w:ascii="Arial" w:hAnsi="Arial" w:cs="Arial"/>
        </w:rPr>
        <w:t xml:space="preserve"> et al., 2016; </w:t>
      </w:r>
      <w:proofErr w:type="spellStart"/>
      <w:r w:rsidRPr="00692A75">
        <w:rPr>
          <w:rFonts w:ascii="Arial" w:hAnsi="Arial" w:cs="Arial"/>
        </w:rPr>
        <w:t>Alshamrani</w:t>
      </w:r>
      <w:proofErr w:type="spellEnd"/>
      <w:r w:rsidRPr="00692A75">
        <w:rPr>
          <w:rFonts w:ascii="Arial" w:hAnsi="Arial" w:cs="Arial"/>
        </w:rPr>
        <w:t xml:space="preserve"> et al., 2019).</w:t>
      </w:r>
    </w:p>
    <w:p w14:paraId="56F1E6F6" w14:textId="77777777" w:rsidR="00057EA5" w:rsidRDefault="00057EA5" w:rsidP="00441B6F">
      <w:pPr>
        <w:pStyle w:val="Body"/>
        <w:spacing w:after="0"/>
        <w:rPr>
          <w:rFonts w:ascii="Arial" w:hAnsi="Arial" w:cs="Arial"/>
        </w:rPr>
      </w:pPr>
    </w:p>
    <w:p w14:paraId="23B49D98"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30E9394" w14:textId="77777777" w:rsidR="00790ADA" w:rsidRPr="00FB3A86" w:rsidRDefault="00790ADA" w:rsidP="00441B6F">
      <w:pPr>
        <w:pStyle w:val="ConcHead"/>
        <w:spacing w:after="0"/>
        <w:jc w:val="both"/>
        <w:rPr>
          <w:rFonts w:ascii="Arial" w:hAnsi="Arial" w:cs="Arial"/>
        </w:rPr>
      </w:pPr>
    </w:p>
    <w:p w14:paraId="68753856" w14:textId="77777777" w:rsidR="00692A75" w:rsidRPr="00692A75" w:rsidRDefault="00692A75" w:rsidP="00692A75">
      <w:pPr>
        <w:pStyle w:val="Body"/>
        <w:spacing w:after="0"/>
        <w:rPr>
          <w:rFonts w:ascii="Arial" w:hAnsi="Arial" w:cs="Arial"/>
        </w:rPr>
      </w:pPr>
      <w:r w:rsidRPr="00692A75">
        <w:rPr>
          <w:rFonts w:ascii="Arial" w:hAnsi="Arial" w:cs="Arial"/>
        </w:rPr>
        <w:t xml:space="preserve">This study demonstrates that the ossification centers of the elbow region can provide useful indicators of skeletal maturation in Nigerian children. Differences were observed in the earliest observed ages of ossification between males and females, with females showing earlier appearance of the medial epicondyle and trochlea, while the other centers showed similar or only minor differences between sexes. Comparison with the reference standard also showed variations in the timing of ossification, indicating that established standards may not fully reflect the pattern observed in Nigerian children. The findings provide useful baseline information on elbow ossification in this population and support the need for larger </w:t>
      </w:r>
      <w:proofErr w:type="spellStart"/>
      <w:r w:rsidRPr="00692A75">
        <w:rPr>
          <w:rFonts w:ascii="Arial" w:hAnsi="Arial" w:cs="Arial"/>
        </w:rPr>
        <w:t>multicentre</w:t>
      </w:r>
      <w:proofErr w:type="spellEnd"/>
      <w:r w:rsidRPr="00692A75">
        <w:rPr>
          <w:rFonts w:ascii="Arial" w:hAnsi="Arial" w:cs="Arial"/>
        </w:rPr>
        <w:t xml:space="preserve"> studies to establish more representative Nigerian reference standards for skeletal age assessment.</w:t>
      </w:r>
    </w:p>
    <w:p w14:paraId="302769DB" w14:textId="77777777" w:rsidR="00692A75" w:rsidRDefault="00692A75" w:rsidP="00441B6F">
      <w:pPr>
        <w:pStyle w:val="Body"/>
        <w:spacing w:after="0"/>
        <w:rPr>
          <w:rFonts w:ascii="Arial" w:hAnsi="Arial" w:cs="Arial"/>
        </w:rPr>
      </w:pPr>
    </w:p>
    <w:p w14:paraId="449321BC" w14:textId="77777777" w:rsidR="00692A75" w:rsidRDefault="00692A75" w:rsidP="00441B6F">
      <w:pPr>
        <w:pStyle w:val="Body"/>
        <w:spacing w:after="0"/>
        <w:rPr>
          <w:rFonts w:ascii="Arial" w:hAnsi="Arial" w:cs="Arial"/>
        </w:rPr>
      </w:pPr>
    </w:p>
    <w:p w14:paraId="6C91A773" w14:textId="77777777" w:rsidR="00315186" w:rsidRPr="00315186" w:rsidRDefault="00315186" w:rsidP="00441B6F"/>
    <w:p w14:paraId="2AD1DA18"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4FA8932C" w14:textId="77777777" w:rsidR="00860000" w:rsidRPr="00786D36" w:rsidRDefault="00860000" w:rsidP="00441B6F">
      <w:pPr>
        <w:pStyle w:val="ReferHead"/>
        <w:spacing w:after="0"/>
        <w:jc w:val="both"/>
        <w:rPr>
          <w:rFonts w:ascii="Arial" w:hAnsi="Arial" w:cs="Arial"/>
        </w:rPr>
      </w:pPr>
    </w:p>
    <w:p w14:paraId="5C374881" w14:textId="4582586C" w:rsidR="00FE056F" w:rsidRDefault="00FE056F" w:rsidP="00441B6F">
      <w:pPr>
        <w:pStyle w:val="ReferHead"/>
        <w:spacing w:after="0"/>
        <w:jc w:val="both"/>
        <w:rPr>
          <w:rFonts w:ascii="Arial" w:hAnsi="Arial" w:cs="Arial"/>
          <w:b w:val="0"/>
          <w:caps w:val="0"/>
          <w:sz w:val="20"/>
        </w:rPr>
      </w:pPr>
      <w:r w:rsidRPr="00FE056F">
        <w:rPr>
          <w:rFonts w:ascii="Arial" w:hAnsi="Arial" w:cs="Arial"/>
          <w:b w:val="0"/>
          <w:caps w:val="0"/>
          <w:sz w:val="20"/>
        </w:rPr>
        <w:t>The authors declare that they have no co</w:t>
      </w:r>
      <w:r w:rsidR="00C51D3A">
        <w:rPr>
          <w:rFonts w:ascii="Arial" w:hAnsi="Arial" w:cs="Arial"/>
          <w:b w:val="0"/>
          <w:caps w:val="0"/>
          <w:sz w:val="20"/>
        </w:rPr>
        <w:t xml:space="preserve">mpeting </w:t>
      </w:r>
      <w:r w:rsidRPr="00FE056F">
        <w:rPr>
          <w:rFonts w:ascii="Arial" w:hAnsi="Arial" w:cs="Arial"/>
          <w:b w:val="0"/>
          <w:caps w:val="0"/>
          <w:sz w:val="20"/>
        </w:rPr>
        <w:t>interest related to the conduct, analysis, or publication of this study.</w:t>
      </w:r>
    </w:p>
    <w:p w14:paraId="049C5D85" w14:textId="77777777" w:rsidR="00371FB6" w:rsidRDefault="00371FB6" w:rsidP="00441B6F">
      <w:pPr>
        <w:pStyle w:val="ReferHead"/>
        <w:spacing w:after="0"/>
        <w:jc w:val="both"/>
        <w:rPr>
          <w:rFonts w:ascii="Arial" w:hAnsi="Arial" w:cs="Arial"/>
          <w:b w:val="0"/>
          <w:caps w:val="0"/>
          <w:sz w:val="20"/>
        </w:rPr>
      </w:pPr>
    </w:p>
    <w:p w14:paraId="607F063F" w14:textId="77777777" w:rsidR="002B685A" w:rsidRDefault="002B685A" w:rsidP="00441B6F">
      <w:pPr>
        <w:pStyle w:val="ReferHead"/>
        <w:spacing w:after="0"/>
        <w:jc w:val="both"/>
        <w:rPr>
          <w:rFonts w:ascii="Arial" w:hAnsi="Arial" w:cs="Arial"/>
          <w:b w:val="0"/>
          <w:caps w:val="0"/>
          <w:sz w:val="20"/>
        </w:rPr>
      </w:pPr>
    </w:p>
    <w:p w14:paraId="058657A5" w14:textId="2DFBBB59" w:rsidR="005C784C" w:rsidRDefault="005C784C" w:rsidP="00441B6F">
      <w:pPr>
        <w:pStyle w:val="ReferHead"/>
        <w:spacing w:after="0"/>
        <w:jc w:val="both"/>
        <w:rPr>
          <w:rFonts w:ascii="Arial" w:hAnsi="Arial" w:cs="Arial"/>
          <w:bCs/>
        </w:rPr>
      </w:pPr>
      <w:r>
        <w:rPr>
          <w:rFonts w:ascii="Arial" w:hAnsi="Arial" w:cs="Arial"/>
          <w:bCs/>
        </w:rPr>
        <w:t>Ethical approval</w:t>
      </w:r>
    </w:p>
    <w:p w14:paraId="364E6D85" w14:textId="40D430B1" w:rsidR="00AB7A0E" w:rsidRDefault="00AB7A0E" w:rsidP="00441B6F">
      <w:pPr>
        <w:pStyle w:val="ReferHead"/>
        <w:spacing w:after="0"/>
        <w:jc w:val="both"/>
        <w:rPr>
          <w:rFonts w:ascii="Arial" w:hAnsi="Arial" w:cs="Arial"/>
          <w:b w:val="0"/>
          <w:caps w:val="0"/>
          <w:sz w:val="20"/>
        </w:rPr>
      </w:pPr>
      <w:r w:rsidRPr="00AB7A0E">
        <w:rPr>
          <w:rFonts w:ascii="Arial" w:hAnsi="Arial" w:cs="Arial"/>
          <w:b w:val="0"/>
          <w:caps w:val="0"/>
          <w:sz w:val="20"/>
        </w:rPr>
        <w:t>This study was approved by the Research Ethics Committee of the University of Port Harcourt, with the reference number: UPH/R&amp;D/REC/04</w:t>
      </w:r>
    </w:p>
    <w:p w14:paraId="6B814ADB" w14:textId="77777777" w:rsidR="002E07DC" w:rsidRDefault="002E07DC" w:rsidP="002E07DC">
      <w:pPr>
        <w:rPr>
          <w:rFonts w:ascii="Times New Roman" w:hAnsi="Times New Roman"/>
          <w:b/>
        </w:rPr>
      </w:pPr>
      <w:r w:rsidRPr="000839CE">
        <w:rPr>
          <w:rFonts w:ascii="Times New Roman" w:hAnsi="Times New Roman"/>
          <w:b/>
        </w:rPr>
        <w:t>Declaration of AI Use</w:t>
      </w:r>
    </w:p>
    <w:p w14:paraId="5A21AD64" w14:textId="77777777" w:rsidR="002E07DC" w:rsidRDefault="002E07DC" w:rsidP="002E07DC">
      <w:pPr>
        <w:rPr>
          <w:rFonts w:ascii="Times New Roman" w:hAnsi="Times New Roman"/>
          <w:b/>
        </w:rPr>
      </w:pPr>
    </w:p>
    <w:p w14:paraId="5905BCA7" w14:textId="77777777" w:rsidR="002E07DC" w:rsidRDefault="002E07DC" w:rsidP="002E07DC">
      <w:pPr>
        <w:rPr>
          <w:rFonts w:ascii="Times New Roman" w:hAnsi="Times New Roman"/>
          <w:b/>
        </w:rPr>
      </w:pPr>
    </w:p>
    <w:p w14:paraId="4C233F04" w14:textId="77777777" w:rsidR="002E07DC" w:rsidRDefault="002E07DC" w:rsidP="002E07DC">
      <w:pPr>
        <w:rPr>
          <w:rFonts w:ascii="Times New Roman" w:hAnsi="Times New Roman"/>
          <w:b/>
        </w:rPr>
      </w:pPr>
    </w:p>
    <w:p w14:paraId="7F3548F4" w14:textId="77777777" w:rsidR="002E07DC" w:rsidRPr="002D08AC" w:rsidRDefault="002E07DC" w:rsidP="002E07DC">
      <w:pPr>
        <w:rPr>
          <w:rFonts w:ascii="Arial" w:hAnsi="Arial" w:cs="Arial"/>
        </w:rPr>
      </w:pPr>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w:t>
      </w:r>
      <w:r w:rsidRPr="002D08AC">
        <w:rPr>
          <w:rFonts w:ascii="Arial" w:hAnsi="Arial" w:cs="Arial"/>
        </w:rPr>
        <w:lastRenderedPageBreak/>
        <w:t>refinement and reference formatting during manuscript revision. The author(s) accept full responsibility for the accuracy, integrity, and final content of the manuscript.</w:t>
      </w:r>
    </w:p>
    <w:p w14:paraId="45551130" w14:textId="77777777" w:rsidR="002E07DC" w:rsidRDefault="002E07DC" w:rsidP="00441B6F">
      <w:pPr>
        <w:pStyle w:val="ReferHead"/>
        <w:spacing w:after="0"/>
        <w:jc w:val="both"/>
        <w:rPr>
          <w:rFonts w:ascii="Arial" w:hAnsi="Arial" w:cs="Arial"/>
          <w:b w:val="0"/>
          <w:caps w:val="0"/>
          <w:sz w:val="20"/>
        </w:rPr>
      </w:pPr>
    </w:p>
    <w:p w14:paraId="4D96EBC6" w14:textId="77777777" w:rsidR="00AB7A0E" w:rsidRDefault="00AB7A0E" w:rsidP="00441B6F">
      <w:pPr>
        <w:pStyle w:val="ReferHead"/>
        <w:spacing w:after="0"/>
        <w:jc w:val="both"/>
        <w:rPr>
          <w:rFonts w:ascii="Arial" w:hAnsi="Arial" w:cs="Arial"/>
          <w:b w:val="0"/>
          <w:caps w:val="0"/>
          <w:sz w:val="20"/>
        </w:rPr>
      </w:pPr>
    </w:p>
    <w:p w14:paraId="38418B6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DD752F6" w14:textId="77777777" w:rsidR="00A950B3" w:rsidRPr="00A950B3" w:rsidRDefault="00A950B3" w:rsidP="00A950B3">
      <w:pPr>
        <w:pStyle w:val="Body"/>
        <w:spacing w:after="0"/>
        <w:rPr>
          <w:rFonts w:ascii="Arial" w:hAnsi="Arial" w:cs="Arial"/>
        </w:rPr>
      </w:pPr>
      <w:proofErr w:type="spellStart"/>
      <w:r w:rsidRPr="00A950B3">
        <w:rPr>
          <w:rFonts w:ascii="Arial" w:hAnsi="Arial" w:cs="Arial"/>
        </w:rPr>
        <w:t>Alshamrani</w:t>
      </w:r>
      <w:proofErr w:type="spellEnd"/>
      <w:r w:rsidRPr="00A950B3">
        <w:rPr>
          <w:rFonts w:ascii="Arial" w:hAnsi="Arial" w:cs="Arial"/>
        </w:rPr>
        <w:t>, K., Messina, F., &amp; Offiah, A. C. (2019). Is the Greulich and Pyle atlas applicable to all ethnicities? A systematic review and meta-analysis. European radiology, 29(6), 2910-2923.</w:t>
      </w:r>
    </w:p>
    <w:p w14:paraId="589675AB" w14:textId="77777777" w:rsidR="00A950B3" w:rsidRPr="00A950B3" w:rsidRDefault="00A950B3" w:rsidP="00A950B3">
      <w:pPr>
        <w:pStyle w:val="Body"/>
        <w:spacing w:after="0"/>
        <w:rPr>
          <w:rFonts w:ascii="Arial" w:hAnsi="Arial" w:cs="Arial"/>
        </w:rPr>
      </w:pPr>
      <w:r w:rsidRPr="00A950B3">
        <w:rPr>
          <w:rFonts w:ascii="Arial" w:hAnsi="Arial" w:cs="Arial"/>
        </w:rPr>
        <w:t xml:space="preserve">Gao, C., Hu, C., Qian, Q., Li, Y., Xing, X., Gong, P., Lin, M., &amp; Ding, Z. (2024). Artificial intelligence model system for bone age assessment of preschool children. Pediatric Research, 96 (7), 1822–1828. </w:t>
      </w:r>
    </w:p>
    <w:p w14:paraId="1F2CF3D8" w14:textId="77777777" w:rsidR="00A950B3" w:rsidRPr="00A950B3" w:rsidRDefault="00A950B3" w:rsidP="00A950B3">
      <w:pPr>
        <w:pStyle w:val="Body"/>
        <w:spacing w:after="0"/>
        <w:rPr>
          <w:rFonts w:ascii="Arial" w:hAnsi="Arial" w:cs="Arial"/>
        </w:rPr>
      </w:pPr>
      <w:r w:rsidRPr="00A950B3">
        <w:rPr>
          <w:rFonts w:ascii="Arial" w:hAnsi="Arial" w:cs="Arial"/>
        </w:rPr>
        <w:t xml:space="preserve">Goodwin, S. J., Irwin, L. J., &amp; Irwin, G. J. (2019). Gender differences in the order of appearance of elbow ossification </w:t>
      </w:r>
      <w:proofErr w:type="spellStart"/>
      <w:r w:rsidRPr="00A950B3">
        <w:rPr>
          <w:rFonts w:ascii="Arial" w:hAnsi="Arial" w:cs="Arial"/>
        </w:rPr>
        <w:t>centres</w:t>
      </w:r>
      <w:proofErr w:type="spellEnd"/>
      <w:r w:rsidRPr="00A950B3">
        <w:rPr>
          <w:rFonts w:ascii="Arial" w:hAnsi="Arial" w:cs="Arial"/>
        </w:rPr>
        <w:t>. Scottish Medical Journal, 64(1), 2-9.</w:t>
      </w:r>
    </w:p>
    <w:p w14:paraId="1A936D54" w14:textId="77777777" w:rsidR="00A950B3" w:rsidRPr="00A950B3" w:rsidRDefault="00A950B3" w:rsidP="00A950B3">
      <w:pPr>
        <w:pStyle w:val="Body"/>
        <w:spacing w:after="0"/>
        <w:rPr>
          <w:rFonts w:ascii="Arial" w:hAnsi="Arial" w:cs="Arial"/>
        </w:rPr>
      </w:pPr>
      <w:r w:rsidRPr="00A950B3">
        <w:rPr>
          <w:rFonts w:ascii="Arial" w:hAnsi="Arial" w:cs="Arial"/>
        </w:rPr>
        <w:t xml:space="preserve">Grgic, O., </w:t>
      </w:r>
      <w:proofErr w:type="spellStart"/>
      <w:r w:rsidRPr="00A950B3">
        <w:rPr>
          <w:rFonts w:ascii="Arial" w:hAnsi="Arial" w:cs="Arial"/>
        </w:rPr>
        <w:t>Shevroja</w:t>
      </w:r>
      <w:proofErr w:type="spellEnd"/>
      <w:r w:rsidRPr="00A950B3">
        <w:rPr>
          <w:rFonts w:ascii="Arial" w:hAnsi="Arial" w:cs="Arial"/>
        </w:rPr>
        <w:t xml:space="preserve">, E., Dhamo, B., </w:t>
      </w:r>
      <w:proofErr w:type="spellStart"/>
      <w:r w:rsidRPr="00A950B3">
        <w:rPr>
          <w:rFonts w:ascii="Arial" w:hAnsi="Arial" w:cs="Arial"/>
        </w:rPr>
        <w:t>Uitterlinden</w:t>
      </w:r>
      <w:proofErr w:type="spellEnd"/>
      <w:r w:rsidRPr="00A950B3">
        <w:rPr>
          <w:rFonts w:ascii="Arial" w:hAnsi="Arial" w:cs="Arial"/>
        </w:rPr>
        <w:t>, A. G., Wolvius, E. B., Rivadeneira, F., &amp; Medina-Gomez, C. (2020). Skeletal maturation in relation to ethnic background in children of school age: the Generation R Study. Bone, 132, 115180.</w:t>
      </w:r>
    </w:p>
    <w:p w14:paraId="24D5EA69" w14:textId="77777777" w:rsidR="00A950B3" w:rsidRPr="00A950B3" w:rsidRDefault="00A950B3" w:rsidP="00A950B3">
      <w:pPr>
        <w:pStyle w:val="Body"/>
        <w:spacing w:after="0"/>
        <w:rPr>
          <w:rFonts w:ascii="Arial" w:hAnsi="Arial" w:cs="Arial"/>
        </w:rPr>
      </w:pPr>
      <w:r w:rsidRPr="00A950B3">
        <w:rPr>
          <w:rFonts w:ascii="Arial" w:hAnsi="Arial" w:cs="Arial"/>
        </w:rPr>
        <w:t xml:space="preserve">Lee, J., Cha, Y., Kang, M. S., &amp; Park, S. S. (2020). Growth of the capitellar ossification center and its relationship within the lateral condyle of the distal humerus in skeletally immature elbows: a study using MR images. Journal of Pediatric </w:t>
      </w:r>
      <w:proofErr w:type="spellStart"/>
      <w:r w:rsidRPr="00A950B3">
        <w:rPr>
          <w:rFonts w:ascii="Arial" w:hAnsi="Arial" w:cs="Arial"/>
        </w:rPr>
        <w:t>Orthopaedics</w:t>
      </w:r>
      <w:proofErr w:type="spellEnd"/>
      <w:r w:rsidRPr="00A950B3">
        <w:rPr>
          <w:rFonts w:ascii="Arial" w:hAnsi="Arial" w:cs="Arial"/>
        </w:rPr>
        <w:t xml:space="preserve"> B, 29(2), 187-194.</w:t>
      </w:r>
    </w:p>
    <w:p w14:paraId="3D8E8F24" w14:textId="77777777" w:rsidR="00A950B3" w:rsidRPr="00A950B3" w:rsidRDefault="00A950B3" w:rsidP="00A950B3">
      <w:pPr>
        <w:pStyle w:val="Body"/>
        <w:spacing w:after="0"/>
        <w:rPr>
          <w:rFonts w:ascii="Arial" w:hAnsi="Arial" w:cs="Arial"/>
        </w:rPr>
      </w:pPr>
      <w:r w:rsidRPr="00A950B3">
        <w:rPr>
          <w:rFonts w:ascii="Arial" w:hAnsi="Arial" w:cs="Arial"/>
        </w:rPr>
        <w:t>Martín Pérez, S. E., Martín Pérez, I. M., Vega González, J. M., Molina Suárez, R., León Hernández, C., Rodríguez Hernández, F., &amp; Herrera Perez, M. (2023). Precision and Accuracy of Radiological Bone Age Assessment in Children among Different Ethnic Groups: A Systematic Review. Diagnostics, 13(19), 3124. https://doi.org/10.3390/diagnostics13193124</w:t>
      </w:r>
    </w:p>
    <w:p w14:paraId="21163F7B" w14:textId="77777777" w:rsidR="00A950B3" w:rsidRPr="00A950B3" w:rsidRDefault="00A950B3" w:rsidP="00A950B3">
      <w:pPr>
        <w:pStyle w:val="Body"/>
        <w:spacing w:after="0"/>
        <w:rPr>
          <w:rFonts w:ascii="Arial" w:hAnsi="Arial" w:cs="Arial"/>
        </w:rPr>
      </w:pPr>
      <w:r w:rsidRPr="00A950B3">
        <w:rPr>
          <w:rFonts w:ascii="Arial" w:hAnsi="Arial" w:cs="Arial"/>
        </w:rPr>
        <w:t xml:space="preserve">Miyazaki, C. S., </w:t>
      </w:r>
      <w:proofErr w:type="spellStart"/>
      <w:r w:rsidRPr="00A950B3">
        <w:rPr>
          <w:rFonts w:ascii="Arial" w:hAnsi="Arial" w:cs="Arial"/>
        </w:rPr>
        <w:t>Maranho</w:t>
      </w:r>
      <w:proofErr w:type="spellEnd"/>
      <w:r w:rsidRPr="00A950B3">
        <w:rPr>
          <w:rFonts w:ascii="Arial" w:hAnsi="Arial" w:cs="Arial"/>
        </w:rPr>
        <w:t xml:space="preserve">, D. A., </w:t>
      </w:r>
      <w:proofErr w:type="spellStart"/>
      <w:r w:rsidRPr="00A950B3">
        <w:rPr>
          <w:rFonts w:ascii="Arial" w:hAnsi="Arial" w:cs="Arial"/>
        </w:rPr>
        <w:t>Agnollitto</w:t>
      </w:r>
      <w:proofErr w:type="spellEnd"/>
      <w:r w:rsidRPr="00A950B3">
        <w:rPr>
          <w:rFonts w:ascii="Arial" w:hAnsi="Arial" w:cs="Arial"/>
        </w:rPr>
        <w:t xml:space="preserve">, P. M., &amp; Nogueira-Barbosa, M. H. (2017). Study of secondary ossification centers of the elbow in the Brazilian population. Acta </w:t>
      </w:r>
      <w:proofErr w:type="spellStart"/>
      <w:r w:rsidRPr="00A950B3">
        <w:rPr>
          <w:rFonts w:ascii="Arial" w:hAnsi="Arial" w:cs="Arial"/>
        </w:rPr>
        <w:t>ortopedica</w:t>
      </w:r>
      <w:proofErr w:type="spellEnd"/>
      <w:r w:rsidRPr="00A950B3">
        <w:rPr>
          <w:rFonts w:ascii="Arial" w:hAnsi="Arial" w:cs="Arial"/>
        </w:rPr>
        <w:t xml:space="preserve"> </w:t>
      </w:r>
      <w:proofErr w:type="spellStart"/>
      <w:r w:rsidRPr="00A950B3">
        <w:rPr>
          <w:rFonts w:ascii="Arial" w:hAnsi="Arial" w:cs="Arial"/>
        </w:rPr>
        <w:t>brasileira</w:t>
      </w:r>
      <w:proofErr w:type="spellEnd"/>
      <w:r w:rsidRPr="00A950B3">
        <w:rPr>
          <w:rFonts w:ascii="Arial" w:hAnsi="Arial" w:cs="Arial"/>
        </w:rPr>
        <w:t>, 25(06), 279-282.</w:t>
      </w:r>
    </w:p>
    <w:p w14:paraId="6D8E1EA2" w14:textId="77777777" w:rsidR="00A950B3" w:rsidRPr="00A950B3" w:rsidRDefault="00A950B3" w:rsidP="00A950B3">
      <w:pPr>
        <w:pStyle w:val="Body"/>
        <w:spacing w:after="0"/>
        <w:rPr>
          <w:rFonts w:ascii="Arial" w:hAnsi="Arial" w:cs="Arial"/>
        </w:rPr>
      </w:pPr>
      <w:r w:rsidRPr="00A950B3">
        <w:rPr>
          <w:rFonts w:ascii="Arial" w:hAnsi="Arial" w:cs="Arial"/>
        </w:rPr>
        <w:t xml:space="preserve">Satoh, M. (2015). Bone age: Assessment methods and clinical applications. </w:t>
      </w:r>
      <w:r w:rsidRPr="00A950B3">
        <w:rPr>
          <w:rFonts w:ascii="Arial" w:hAnsi="Arial" w:cs="Arial"/>
          <w:i/>
          <w:iCs/>
        </w:rPr>
        <w:t>Clinical Pediatric Endocrinology, 24</w:t>
      </w:r>
      <w:r w:rsidRPr="00A950B3">
        <w:rPr>
          <w:rFonts w:ascii="Arial" w:hAnsi="Arial" w:cs="Arial"/>
        </w:rPr>
        <w:t>(4), 143–152.</w:t>
      </w:r>
    </w:p>
    <w:p w14:paraId="003A1B9A" w14:textId="77777777" w:rsidR="00A950B3" w:rsidRPr="00A950B3" w:rsidRDefault="00A950B3" w:rsidP="00A950B3">
      <w:pPr>
        <w:pStyle w:val="Body"/>
        <w:spacing w:after="0"/>
        <w:rPr>
          <w:rFonts w:ascii="Arial" w:hAnsi="Arial" w:cs="Arial"/>
        </w:rPr>
      </w:pPr>
      <w:r w:rsidRPr="00A950B3">
        <w:rPr>
          <w:rFonts w:ascii="Arial" w:hAnsi="Arial" w:cs="Arial"/>
        </w:rPr>
        <w:t xml:space="preserve">Shaowei, Y., </w:t>
      </w:r>
      <w:proofErr w:type="spellStart"/>
      <w:r w:rsidRPr="00A950B3">
        <w:rPr>
          <w:rFonts w:ascii="Arial" w:hAnsi="Arial" w:cs="Arial"/>
        </w:rPr>
        <w:t>Jianbo</w:t>
      </w:r>
      <w:proofErr w:type="spellEnd"/>
      <w:r w:rsidRPr="00A950B3">
        <w:rPr>
          <w:rFonts w:ascii="Arial" w:hAnsi="Arial" w:cs="Arial"/>
        </w:rPr>
        <w:t xml:space="preserve">, S., </w:t>
      </w:r>
      <w:proofErr w:type="spellStart"/>
      <w:r w:rsidRPr="00A950B3">
        <w:rPr>
          <w:rFonts w:ascii="Arial" w:hAnsi="Arial" w:cs="Arial"/>
        </w:rPr>
        <w:t>Xuehua</w:t>
      </w:r>
      <w:proofErr w:type="spellEnd"/>
      <w:r w:rsidRPr="00A950B3">
        <w:rPr>
          <w:rFonts w:ascii="Arial" w:hAnsi="Arial" w:cs="Arial"/>
        </w:rPr>
        <w:t xml:space="preserve">, P., Yu, G., &amp; </w:t>
      </w:r>
      <w:proofErr w:type="spellStart"/>
      <w:r w:rsidRPr="00A950B3">
        <w:rPr>
          <w:rFonts w:ascii="Arial" w:hAnsi="Arial" w:cs="Arial"/>
        </w:rPr>
        <w:t>Liangbo</w:t>
      </w:r>
      <w:proofErr w:type="spellEnd"/>
      <w:r w:rsidRPr="00A950B3">
        <w:rPr>
          <w:rFonts w:ascii="Arial" w:hAnsi="Arial" w:cs="Arial"/>
        </w:rPr>
        <w:t>, X. (2025). A retrospective study on the appearance time of secondary ossification centers of elbow in children. Chinese Journal of Clinical Anatomy, 43(5), 589-594.</w:t>
      </w:r>
    </w:p>
    <w:p w14:paraId="5041820A" w14:textId="77777777" w:rsidR="00A950B3" w:rsidRPr="00A950B3" w:rsidRDefault="00A950B3" w:rsidP="00A950B3">
      <w:pPr>
        <w:pStyle w:val="Body"/>
        <w:spacing w:after="0"/>
        <w:rPr>
          <w:rFonts w:ascii="Arial" w:hAnsi="Arial" w:cs="Arial"/>
        </w:rPr>
      </w:pPr>
      <w:proofErr w:type="spellStart"/>
      <w:r w:rsidRPr="00A950B3">
        <w:rPr>
          <w:rFonts w:ascii="Arial" w:hAnsi="Arial" w:cs="Arial"/>
        </w:rPr>
        <w:t>Stöckell</w:t>
      </w:r>
      <w:proofErr w:type="spellEnd"/>
      <w:r w:rsidRPr="00A950B3">
        <w:rPr>
          <w:rFonts w:ascii="Arial" w:hAnsi="Arial" w:cs="Arial"/>
        </w:rPr>
        <w:t xml:space="preserve">, M., Pokka, T., Lutz, N., &amp; </w:t>
      </w:r>
      <w:proofErr w:type="spellStart"/>
      <w:r w:rsidRPr="00A950B3">
        <w:rPr>
          <w:rFonts w:ascii="Arial" w:hAnsi="Arial" w:cs="Arial"/>
        </w:rPr>
        <w:t>Sinikumpu</w:t>
      </w:r>
      <w:proofErr w:type="spellEnd"/>
      <w:r w:rsidRPr="00A950B3">
        <w:rPr>
          <w:rFonts w:ascii="Arial" w:hAnsi="Arial" w:cs="Arial"/>
        </w:rPr>
        <w:t xml:space="preserve">, J. J. (2021). Determining the development stage of the ossification centers around the elbow may aid in deciding whether to use ESIN or not in adolescents’ forearm shaft fractures. Acta </w:t>
      </w:r>
      <w:proofErr w:type="spellStart"/>
      <w:r w:rsidRPr="00A950B3">
        <w:rPr>
          <w:rFonts w:ascii="Arial" w:hAnsi="Arial" w:cs="Arial"/>
        </w:rPr>
        <w:t>orthopaedica</w:t>
      </w:r>
      <w:proofErr w:type="spellEnd"/>
      <w:r w:rsidRPr="00A950B3">
        <w:rPr>
          <w:rFonts w:ascii="Arial" w:hAnsi="Arial" w:cs="Arial"/>
        </w:rPr>
        <w:t>, 92(4), 461-467.</w:t>
      </w:r>
    </w:p>
    <w:p w14:paraId="36D9DDEE" w14:textId="4A641481" w:rsidR="00B01FCD" w:rsidRPr="00A950B3" w:rsidRDefault="00A950B3" w:rsidP="00A950B3">
      <w:pPr>
        <w:pStyle w:val="Body"/>
        <w:spacing w:after="0"/>
        <w:rPr>
          <w:rFonts w:ascii="Arial" w:hAnsi="Arial" w:cs="Arial"/>
        </w:rPr>
      </w:pPr>
      <w:proofErr w:type="spellStart"/>
      <w:r w:rsidRPr="00A950B3">
        <w:rPr>
          <w:rFonts w:ascii="Arial" w:hAnsi="Arial" w:cs="Arial"/>
        </w:rPr>
        <w:t>Udoaka</w:t>
      </w:r>
      <w:proofErr w:type="spellEnd"/>
      <w:r w:rsidRPr="00A950B3">
        <w:rPr>
          <w:rFonts w:ascii="Arial" w:hAnsi="Arial" w:cs="Arial"/>
        </w:rPr>
        <w:t xml:space="preserve">, A., Blessing, D., &amp; Madueke, C. (2016). Determination of skeletal age in Nigerian children: </w:t>
      </w:r>
      <w:proofErr w:type="spellStart"/>
      <w:r w:rsidRPr="00A950B3">
        <w:rPr>
          <w:rFonts w:ascii="Arial" w:hAnsi="Arial" w:cs="Arial"/>
        </w:rPr>
        <w:t>applicalibility</w:t>
      </w:r>
      <w:proofErr w:type="spellEnd"/>
      <w:r w:rsidRPr="00A950B3">
        <w:rPr>
          <w:rFonts w:ascii="Arial" w:hAnsi="Arial" w:cs="Arial"/>
        </w:rPr>
        <w:t xml:space="preserve"> of the Greulich and Pyle Atlas. J Forensic Sci, 1, 13-16.</w:t>
      </w:r>
    </w:p>
    <w:sectPr w:rsidR="00B01FCD" w:rsidRPr="00A950B3" w:rsidSect="00D12D64">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7F0C" w14:textId="77777777" w:rsidR="000576E2" w:rsidRDefault="000576E2" w:rsidP="00C37E61">
      <w:r>
        <w:separator/>
      </w:r>
    </w:p>
  </w:endnote>
  <w:endnote w:type="continuationSeparator" w:id="0">
    <w:p w14:paraId="6503ABF0" w14:textId="77777777" w:rsidR="000576E2" w:rsidRDefault="000576E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1DF5" w14:textId="77777777" w:rsidR="00616803" w:rsidRDefault="00616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1264" w14:textId="77777777" w:rsidR="00616803" w:rsidRDefault="00616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10627216" w:rsidR="00754C9A" w:rsidRPr="00616803" w:rsidRDefault="00754C9A" w:rsidP="00616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CE096" w14:textId="77777777" w:rsidR="000576E2" w:rsidRDefault="000576E2" w:rsidP="00C37E61">
      <w:r>
        <w:separator/>
      </w:r>
    </w:p>
  </w:footnote>
  <w:footnote w:type="continuationSeparator" w:id="0">
    <w:p w14:paraId="2FF6E1E3" w14:textId="77777777" w:rsidR="000576E2" w:rsidRDefault="000576E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33C7" w14:textId="292B7736" w:rsidR="00616803" w:rsidRDefault="00616803">
    <w:pPr>
      <w:pStyle w:val="Header"/>
    </w:pPr>
    <w:r>
      <w:rPr>
        <w:noProof/>
      </w:rPr>
      <w:pict w14:anchorId="618AE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10B2" w14:textId="14C7FA60" w:rsidR="00616803" w:rsidRDefault="00616803">
    <w:pPr>
      <w:pStyle w:val="Header"/>
    </w:pPr>
    <w:r>
      <w:rPr>
        <w:noProof/>
      </w:rPr>
      <w:pict w14:anchorId="7F665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1EC7CADA" w:rsidR="00296529" w:rsidRPr="00296529" w:rsidRDefault="00616803" w:rsidP="00296529">
    <w:pPr>
      <w:ind w:left="2160"/>
      <w:jc w:val="center"/>
      <w:rPr>
        <w:rFonts w:ascii="Times New Roman" w:eastAsia="Calibri" w:hAnsi="Times New Roman"/>
        <w:i/>
        <w:sz w:val="18"/>
        <w:szCs w:val="22"/>
      </w:rPr>
    </w:pPr>
    <w:r>
      <w:rPr>
        <w:noProof/>
      </w:rPr>
      <w:pict w14:anchorId="38333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B82B" w14:textId="1E68B4FA" w:rsidR="00616803" w:rsidRDefault="00616803">
    <w:pPr>
      <w:pStyle w:val="Header"/>
    </w:pPr>
    <w:r>
      <w:rPr>
        <w:noProof/>
      </w:rPr>
      <w:pict w14:anchorId="409B3C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4"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0D7BF03">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4454" w14:textId="36630924" w:rsidR="00616803" w:rsidRDefault="00616803">
    <w:pPr>
      <w:pStyle w:val="Header"/>
    </w:pPr>
    <w:r>
      <w:rPr>
        <w:noProof/>
      </w:rPr>
      <w:pict w14:anchorId="61DB5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5"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F932A6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F67C" w14:textId="08B73898" w:rsidR="00616803" w:rsidRPr="00296529" w:rsidRDefault="00616803" w:rsidP="00296529">
    <w:pPr>
      <w:ind w:left="2160"/>
      <w:jc w:val="center"/>
      <w:rPr>
        <w:rFonts w:ascii="Times New Roman" w:eastAsia="Calibri" w:hAnsi="Times New Roman"/>
        <w:i/>
        <w:sz w:val="18"/>
        <w:szCs w:val="22"/>
      </w:rPr>
    </w:pPr>
    <w:r>
      <w:rPr>
        <w:noProof/>
      </w:rPr>
      <w:pict w14:anchorId="6DDE6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7700753"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B7B14D5">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A2EDB5A" w14:textId="77777777" w:rsidR="00616803" w:rsidRPr="00296529" w:rsidRDefault="0061680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2A1B92E" w14:textId="77777777" w:rsidR="00616803" w:rsidRPr="00296529" w:rsidRDefault="0061680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149D700" w14:textId="77777777" w:rsidR="00616803" w:rsidRPr="00296529" w:rsidRDefault="0061680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8CA0B2A" w14:textId="77777777" w:rsidR="00616803" w:rsidRDefault="0061680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A1B473D" w14:textId="77777777" w:rsidR="00616803" w:rsidRDefault="0061680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388C819" w14:textId="77777777" w:rsidR="00616803" w:rsidRDefault="0061680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4603"/>
    <w:rsid w:val="00030174"/>
    <w:rsid w:val="0004579C"/>
    <w:rsid w:val="000576E2"/>
    <w:rsid w:val="00057EA5"/>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D6E27"/>
    <w:rsid w:val="001E10D2"/>
    <w:rsid w:val="001E25B4"/>
    <w:rsid w:val="001E44FE"/>
    <w:rsid w:val="00200595"/>
    <w:rsid w:val="00204835"/>
    <w:rsid w:val="00231615"/>
    <w:rsid w:val="00231920"/>
    <w:rsid w:val="0023195C"/>
    <w:rsid w:val="0024282C"/>
    <w:rsid w:val="002460DC"/>
    <w:rsid w:val="00250985"/>
    <w:rsid w:val="002556F6"/>
    <w:rsid w:val="00283105"/>
    <w:rsid w:val="00284C4C"/>
    <w:rsid w:val="00287E68"/>
    <w:rsid w:val="00296529"/>
    <w:rsid w:val="00297885"/>
    <w:rsid w:val="002B27FB"/>
    <w:rsid w:val="002B4002"/>
    <w:rsid w:val="002B685A"/>
    <w:rsid w:val="002C57D2"/>
    <w:rsid w:val="002D6283"/>
    <w:rsid w:val="002E07DC"/>
    <w:rsid w:val="002E0D56"/>
    <w:rsid w:val="00315186"/>
    <w:rsid w:val="00332E69"/>
    <w:rsid w:val="0033343E"/>
    <w:rsid w:val="003512C2"/>
    <w:rsid w:val="00371FB6"/>
    <w:rsid w:val="003755E0"/>
    <w:rsid w:val="003763C1"/>
    <w:rsid w:val="00376BBE"/>
    <w:rsid w:val="00386231"/>
    <w:rsid w:val="0039224F"/>
    <w:rsid w:val="003A43A4"/>
    <w:rsid w:val="003A5A9F"/>
    <w:rsid w:val="003A7E18"/>
    <w:rsid w:val="003C4C86"/>
    <w:rsid w:val="003C6258"/>
    <w:rsid w:val="003E2904"/>
    <w:rsid w:val="00401927"/>
    <w:rsid w:val="0041027F"/>
    <w:rsid w:val="00412475"/>
    <w:rsid w:val="00422A40"/>
    <w:rsid w:val="00423789"/>
    <w:rsid w:val="00440F43"/>
    <w:rsid w:val="00441B6F"/>
    <w:rsid w:val="00446221"/>
    <w:rsid w:val="00450E62"/>
    <w:rsid w:val="004539DB"/>
    <w:rsid w:val="00471A80"/>
    <w:rsid w:val="00487400"/>
    <w:rsid w:val="004C2232"/>
    <w:rsid w:val="004D305E"/>
    <w:rsid w:val="004D4277"/>
    <w:rsid w:val="00502516"/>
    <w:rsid w:val="00505F06"/>
    <w:rsid w:val="00506828"/>
    <w:rsid w:val="00527E73"/>
    <w:rsid w:val="0053056E"/>
    <w:rsid w:val="00534BAA"/>
    <w:rsid w:val="00554FDA"/>
    <w:rsid w:val="005C784C"/>
    <w:rsid w:val="005D17F6"/>
    <w:rsid w:val="005E5539"/>
    <w:rsid w:val="00602BF5"/>
    <w:rsid w:val="00616803"/>
    <w:rsid w:val="00617FDD"/>
    <w:rsid w:val="00633614"/>
    <w:rsid w:val="00633F68"/>
    <w:rsid w:val="00636EB2"/>
    <w:rsid w:val="006375B8"/>
    <w:rsid w:val="00664AFA"/>
    <w:rsid w:val="0066510A"/>
    <w:rsid w:val="00673F9F"/>
    <w:rsid w:val="00686953"/>
    <w:rsid w:val="00687DEA"/>
    <w:rsid w:val="00687E67"/>
    <w:rsid w:val="00692A75"/>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0CEC"/>
    <w:rsid w:val="007F7B32"/>
    <w:rsid w:val="00803D59"/>
    <w:rsid w:val="00804BC2"/>
    <w:rsid w:val="0081431A"/>
    <w:rsid w:val="0083216F"/>
    <w:rsid w:val="00860000"/>
    <w:rsid w:val="00863BD3"/>
    <w:rsid w:val="008641ED"/>
    <w:rsid w:val="00866D66"/>
    <w:rsid w:val="008671C6"/>
    <w:rsid w:val="00875803"/>
    <w:rsid w:val="00881D19"/>
    <w:rsid w:val="008B0B93"/>
    <w:rsid w:val="008B459E"/>
    <w:rsid w:val="008E13AE"/>
    <w:rsid w:val="008E1506"/>
    <w:rsid w:val="008E710C"/>
    <w:rsid w:val="008F34B0"/>
    <w:rsid w:val="008F69D6"/>
    <w:rsid w:val="00902823"/>
    <w:rsid w:val="00915CA6"/>
    <w:rsid w:val="009242B1"/>
    <w:rsid w:val="00927834"/>
    <w:rsid w:val="009500A6"/>
    <w:rsid w:val="00957C18"/>
    <w:rsid w:val="009659BA"/>
    <w:rsid w:val="00983040"/>
    <w:rsid w:val="009A5321"/>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950B3"/>
    <w:rsid w:val="00AA6219"/>
    <w:rsid w:val="00AA74E0"/>
    <w:rsid w:val="00AB703F"/>
    <w:rsid w:val="00AB7A0E"/>
    <w:rsid w:val="00AC062E"/>
    <w:rsid w:val="00AC6BB8"/>
    <w:rsid w:val="00AE008F"/>
    <w:rsid w:val="00B01FCD"/>
    <w:rsid w:val="00B10C83"/>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51D3A"/>
    <w:rsid w:val="00C70F1B"/>
    <w:rsid w:val="00C71A47"/>
    <w:rsid w:val="00C7464C"/>
    <w:rsid w:val="00C85588"/>
    <w:rsid w:val="00C93CAA"/>
    <w:rsid w:val="00CD6755"/>
    <w:rsid w:val="00CD6856"/>
    <w:rsid w:val="00CD7760"/>
    <w:rsid w:val="00CE0089"/>
    <w:rsid w:val="00CE793C"/>
    <w:rsid w:val="00CF193C"/>
    <w:rsid w:val="00D12D64"/>
    <w:rsid w:val="00D173F1"/>
    <w:rsid w:val="00D36784"/>
    <w:rsid w:val="00D74CB0"/>
    <w:rsid w:val="00D8295D"/>
    <w:rsid w:val="00DC2A65"/>
    <w:rsid w:val="00DE15F0"/>
    <w:rsid w:val="00DE5663"/>
    <w:rsid w:val="00DE78AA"/>
    <w:rsid w:val="00E053D0"/>
    <w:rsid w:val="00E15994"/>
    <w:rsid w:val="00E3114E"/>
    <w:rsid w:val="00E31A70"/>
    <w:rsid w:val="00E3498E"/>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B3A86"/>
    <w:rsid w:val="00FD36C8"/>
    <w:rsid w:val="00FE0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377-4542-9DE1-8EBDE4023C8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377-4542-9DE1-8EBDE4023C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NG"/>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Sheet1!$B$11:$C$11</c:f>
              <c:strCache>
                <c:ptCount val="2"/>
                <c:pt idx="0">
                  <c:v>Males</c:v>
                </c:pt>
                <c:pt idx="1">
                  <c:v>Females</c:v>
                </c:pt>
              </c:strCache>
            </c:strRef>
          </c:cat>
          <c:val>
            <c:numRef>
              <c:f>Sheet1!$B$12:$C$12</c:f>
              <c:numCache>
                <c:formatCode>General</c:formatCode>
                <c:ptCount val="2"/>
                <c:pt idx="0">
                  <c:v>48</c:v>
                </c:pt>
                <c:pt idx="1">
                  <c:v>45</c:v>
                </c:pt>
              </c:numCache>
            </c:numRef>
          </c:val>
          <c:extLst>
            <c:ext xmlns:c16="http://schemas.microsoft.com/office/drawing/2014/chart" uri="{C3380CC4-5D6E-409C-BE32-E72D297353CC}">
              <c16:uniqueId val="{00000004-4377-4542-9DE1-8EBDE4023C8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103</TotalTime>
  <Pages>8</Pages>
  <Words>4051</Words>
  <Characters>23093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27090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48</cp:revision>
  <cp:lastPrinted>1999-07-06T11:00:00Z</cp:lastPrinted>
  <dcterms:created xsi:type="dcterms:W3CDTF">2014-10-25T14:34:00Z</dcterms:created>
  <dcterms:modified xsi:type="dcterms:W3CDTF">2026-09-29T13:20:00Z</dcterms:modified>
</cp:coreProperties>
</file>