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31" w14:textId="77777777" w:rsidR="00754C9A" w:rsidRPr="00CE3C86" w:rsidRDefault="00754C9A" w:rsidP="00441B6F">
      <w:pPr>
        <w:pStyle w:val="Title"/>
        <w:spacing w:after="0"/>
        <w:jc w:val="both"/>
        <w:rPr>
          <w:rFonts w:ascii="Arial" w:hAnsi="Arial" w:cs="Arial"/>
          <w:sz w:val="18"/>
          <w:szCs w:val="18"/>
        </w:rPr>
      </w:pPr>
    </w:p>
    <w:p w14:paraId="44EE8020" w14:textId="77777777" w:rsidR="00CE3C86" w:rsidRPr="00CE3C86" w:rsidRDefault="00CE3C86" w:rsidP="00CE3C86">
      <w:pPr>
        <w:pStyle w:val="Author"/>
        <w:jc w:val="both"/>
        <w:rPr>
          <w:rFonts w:ascii="Arial" w:hAnsi="Arial" w:cs="Arial"/>
          <w:bCs/>
          <w:i/>
          <w:iCs/>
          <w:kern w:val="28"/>
          <w:sz w:val="18"/>
          <w:szCs w:val="18"/>
          <w:u w:val="single"/>
        </w:rPr>
      </w:pPr>
      <w:r w:rsidRPr="00CE3C86">
        <w:rPr>
          <w:rFonts w:ascii="Arial" w:hAnsi="Arial" w:cs="Arial"/>
          <w:bCs/>
          <w:i/>
          <w:iCs/>
          <w:kern w:val="28"/>
          <w:sz w:val="18"/>
          <w:szCs w:val="18"/>
          <w:u w:val="single"/>
        </w:rPr>
        <w:t>Original Research Article</w:t>
      </w:r>
    </w:p>
    <w:p w14:paraId="3F5BC498" w14:textId="77777777" w:rsidR="000C61C3" w:rsidRPr="000C61C3" w:rsidRDefault="000C61C3" w:rsidP="000C61C3">
      <w:pPr>
        <w:pStyle w:val="Author"/>
        <w:spacing w:line="240" w:lineRule="auto"/>
        <w:jc w:val="both"/>
        <w:rPr>
          <w:rFonts w:ascii="Arial" w:hAnsi="Arial" w:cs="Arial"/>
          <w:bCs/>
          <w:iCs/>
          <w:kern w:val="28"/>
          <w:sz w:val="36"/>
          <w:lang w:val="en-GB"/>
        </w:rPr>
      </w:pPr>
      <w:r w:rsidRPr="000C61C3">
        <w:rPr>
          <w:rFonts w:ascii="Arial" w:hAnsi="Arial" w:cs="Arial"/>
          <w:bCs/>
          <w:iCs/>
          <w:kern w:val="28"/>
          <w:sz w:val="36"/>
          <w:lang w:val="en-GB"/>
        </w:rPr>
        <w:t>Root colonization but no growth response in African eggplant (</w:t>
      </w:r>
      <w:r w:rsidRPr="000C61C3">
        <w:rPr>
          <w:rFonts w:ascii="Arial" w:hAnsi="Arial" w:cs="Arial"/>
          <w:bCs/>
          <w:i/>
          <w:iCs/>
          <w:kern w:val="28"/>
          <w:sz w:val="36"/>
          <w:lang w:val="en-GB"/>
        </w:rPr>
        <w:t xml:space="preserve">Solanum </w:t>
      </w:r>
      <w:proofErr w:type="spellStart"/>
      <w:r w:rsidRPr="000C61C3">
        <w:rPr>
          <w:rFonts w:ascii="Arial" w:hAnsi="Arial" w:cs="Arial"/>
          <w:bCs/>
          <w:i/>
          <w:iCs/>
          <w:kern w:val="28"/>
          <w:sz w:val="36"/>
          <w:lang w:val="en-GB"/>
        </w:rPr>
        <w:t>aethiopicum</w:t>
      </w:r>
      <w:proofErr w:type="spellEnd"/>
      <w:r w:rsidRPr="000C61C3">
        <w:rPr>
          <w:rFonts w:ascii="Arial" w:hAnsi="Arial" w:cs="Arial"/>
          <w:bCs/>
          <w:iCs/>
          <w:kern w:val="28"/>
          <w:sz w:val="36"/>
          <w:lang w:val="en-GB"/>
        </w:rPr>
        <w:t xml:space="preserve"> L.) inoculated with two indigenous and one commercial arbuscular mycorrhizal fungal </w:t>
      </w:r>
      <w:proofErr w:type="gramStart"/>
      <w:r w:rsidRPr="000C61C3">
        <w:rPr>
          <w:rFonts w:ascii="Arial" w:hAnsi="Arial" w:cs="Arial"/>
          <w:bCs/>
          <w:iCs/>
          <w:kern w:val="28"/>
          <w:sz w:val="36"/>
          <w:lang w:val="en-GB"/>
        </w:rPr>
        <w:t>inoculants</w:t>
      </w:r>
      <w:proofErr w:type="gramEnd"/>
    </w:p>
    <w:p w14:paraId="0C40E4D0" w14:textId="77777777" w:rsidR="00A258C3" w:rsidRPr="000C61C3" w:rsidRDefault="00A258C3" w:rsidP="00441B6F">
      <w:pPr>
        <w:pStyle w:val="Author"/>
        <w:spacing w:line="240" w:lineRule="auto"/>
        <w:jc w:val="both"/>
        <w:rPr>
          <w:rFonts w:ascii="Arial" w:hAnsi="Arial" w:cs="Arial"/>
          <w:sz w:val="36"/>
          <w:lang w:val="en-GB"/>
        </w:rPr>
      </w:pPr>
    </w:p>
    <w:p w14:paraId="751CA73E" w14:textId="77777777" w:rsidR="00790ADA" w:rsidRDefault="00790ADA" w:rsidP="00441B6F">
      <w:pPr>
        <w:pStyle w:val="Affiliation"/>
        <w:spacing w:after="0" w:line="240" w:lineRule="auto"/>
        <w:jc w:val="both"/>
        <w:rPr>
          <w:rFonts w:ascii="Arial" w:hAnsi="Arial" w:cs="Arial"/>
        </w:rPr>
      </w:pPr>
    </w:p>
    <w:p w14:paraId="5ED143A7" w14:textId="77777777" w:rsidR="003A5F65" w:rsidRDefault="003A5F65" w:rsidP="00441B6F">
      <w:pPr>
        <w:pStyle w:val="Affiliation"/>
        <w:spacing w:after="0" w:line="240" w:lineRule="auto"/>
        <w:jc w:val="both"/>
        <w:rPr>
          <w:rFonts w:ascii="Arial" w:hAnsi="Arial" w:cs="Arial"/>
        </w:rPr>
      </w:pPr>
    </w:p>
    <w:p w14:paraId="6748EFCE" w14:textId="77777777" w:rsidR="002C57D2" w:rsidRPr="00FB3A86" w:rsidRDefault="002C57D2" w:rsidP="00441B6F">
      <w:pPr>
        <w:pStyle w:val="Affiliation"/>
        <w:spacing w:after="0" w:line="240" w:lineRule="auto"/>
        <w:jc w:val="both"/>
        <w:rPr>
          <w:rFonts w:ascii="Arial" w:hAnsi="Arial" w:cs="Arial"/>
        </w:rPr>
      </w:pPr>
    </w:p>
    <w:p w14:paraId="74249C75" w14:textId="77777777" w:rsidR="00B01FCD" w:rsidRPr="00FB3A86" w:rsidRDefault="00000000" w:rsidP="00441B6F">
      <w:pPr>
        <w:pStyle w:val="Copyright"/>
        <w:spacing w:after="0" w:line="240" w:lineRule="auto"/>
        <w:jc w:val="both"/>
        <w:rPr>
          <w:rFonts w:ascii="Arial" w:hAnsi="Arial" w:cs="Arial"/>
        </w:rPr>
        <w:sectPr w:rsidR="00B01FCD" w:rsidRPr="00FB3A86" w:rsidSect="00BE11BE">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B93208D" w14:textId="54207F32" w:rsidR="00B01FCD" w:rsidRDefault="00B01FCD" w:rsidP="00441B6F">
      <w:pPr>
        <w:pStyle w:val="AbstHead"/>
        <w:spacing w:after="0"/>
        <w:jc w:val="both"/>
        <w:rPr>
          <w:rFonts w:ascii="Arial" w:hAnsi="Arial" w:cs="Arial"/>
        </w:rPr>
      </w:pPr>
      <w:r w:rsidRPr="00FB3A86">
        <w:rPr>
          <w:rFonts w:ascii="Arial" w:hAnsi="Arial" w:cs="Arial"/>
        </w:rPr>
        <w:t>ABSTRACT</w:t>
      </w:r>
    </w:p>
    <w:p w14:paraId="6D80C238" w14:textId="77777777" w:rsidR="00D36784" w:rsidRDefault="00D36784" w:rsidP="00D36784">
      <w:pPr>
        <w:pStyle w:val="Body"/>
        <w:spacing w:after="0"/>
        <w:rPr>
          <w:rFonts w:ascii="Arial" w:eastAsia="Calibri" w:hAnsi="Arial" w:cs="Arial"/>
          <w:b/>
          <w:szCs w:val="22"/>
        </w:rPr>
      </w:pPr>
    </w:p>
    <w:p w14:paraId="7FA7C537" w14:textId="6ADAFCEE" w:rsidR="00D36784" w:rsidRDefault="00B97033" w:rsidP="00D36784">
      <w:pPr>
        <w:pStyle w:val="Body"/>
        <w:spacing w:after="0"/>
        <w:rPr>
          <w:rFonts w:ascii="Arial" w:eastAsia="Calibri" w:hAnsi="Arial" w:cs="Arial"/>
          <w:szCs w:val="22"/>
          <w:lang w:val="en-GB"/>
        </w:rPr>
      </w:pPr>
      <w:r>
        <w:rPr>
          <w:rFonts w:ascii="Arial" w:eastAsia="Calibri" w:hAnsi="Arial" w:cs="Arial"/>
          <w:b/>
          <w:szCs w:val="22"/>
        </w:rPr>
        <w:t>Background</w:t>
      </w:r>
      <w:r w:rsidR="00D36784" w:rsidRPr="00BA1B01">
        <w:rPr>
          <w:rFonts w:ascii="Arial" w:eastAsia="Calibri" w:hAnsi="Arial" w:cs="Arial"/>
          <w:b/>
          <w:szCs w:val="22"/>
        </w:rPr>
        <w:t xml:space="preserve">: </w:t>
      </w:r>
      <w:r w:rsidRPr="00B97033">
        <w:rPr>
          <w:rFonts w:ascii="Arial" w:eastAsia="Calibri" w:hAnsi="Arial" w:cs="Arial"/>
          <w:szCs w:val="22"/>
          <w:lang w:val="en-GB"/>
        </w:rPr>
        <w:t>African eggplant (</w:t>
      </w:r>
      <w:r w:rsidRPr="00B97033">
        <w:rPr>
          <w:rFonts w:ascii="Arial" w:eastAsia="Calibri" w:hAnsi="Arial" w:cs="Arial"/>
          <w:i/>
          <w:iCs/>
          <w:szCs w:val="22"/>
          <w:lang w:val="en-GB"/>
        </w:rPr>
        <w:t xml:space="preserve">Solanum </w:t>
      </w:r>
      <w:proofErr w:type="spellStart"/>
      <w:r w:rsidRPr="00B97033">
        <w:rPr>
          <w:rFonts w:ascii="Arial" w:eastAsia="Calibri" w:hAnsi="Arial" w:cs="Arial"/>
          <w:i/>
          <w:iCs/>
          <w:szCs w:val="22"/>
          <w:lang w:val="en-GB"/>
        </w:rPr>
        <w:t>aethiopicum</w:t>
      </w:r>
      <w:proofErr w:type="spellEnd"/>
      <w:r w:rsidRPr="00B97033">
        <w:rPr>
          <w:rFonts w:ascii="Arial" w:eastAsia="Calibri" w:hAnsi="Arial" w:cs="Arial"/>
          <w:szCs w:val="22"/>
          <w:lang w:val="en-GB"/>
        </w:rPr>
        <w:t xml:space="preserve"> L.) is an important vegetable crop in sub-Saharan Africa, but its productivity is constrained by declining soil fertility and increasing reliance on chemical inputs. Arbuscular mycorrhizal fungi (AMF) represent a potential sustainable biofertilization strategy, although the effectiveness of commercial and indigenous inoculants may vary depending on environmental conditions and plant–fungus interactions.</w:t>
      </w:r>
    </w:p>
    <w:p w14:paraId="31AAB6F9" w14:textId="50346DD4" w:rsidR="00B97033" w:rsidRPr="00BA1B01" w:rsidRDefault="00B97033" w:rsidP="00D36784">
      <w:pPr>
        <w:pStyle w:val="Body"/>
        <w:spacing w:after="0"/>
        <w:rPr>
          <w:rFonts w:ascii="Arial" w:eastAsia="Calibri" w:hAnsi="Arial" w:cs="Arial"/>
          <w:szCs w:val="22"/>
        </w:rPr>
      </w:pPr>
      <w:r w:rsidRPr="00BA1B01">
        <w:rPr>
          <w:rFonts w:ascii="Arial" w:eastAsia="Calibri" w:hAnsi="Arial" w:cs="Arial"/>
          <w:b/>
          <w:szCs w:val="22"/>
        </w:rPr>
        <w:t xml:space="preserve">Aims: </w:t>
      </w:r>
      <w:r w:rsidRPr="00724E76">
        <w:rPr>
          <w:rFonts w:ascii="Arial" w:eastAsia="Calibri" w:hAnsi="Arial" w:cs="Arial"/>
          <w:szCs w:val="22"/>
          <w:lang w:val="en-GB"/>
        </w:rPr>
        <w:t>This study evaluated</w:t>
      </w:r>
      <w:r>
        <w:rPr>
          <w:rFonts w:ascii="Arial" w:eastAsia="Calibri" w:hAnsi="Arial" w:cs="Arial"/>
          <w:szCs w:val="22"/>
          <w:lang w:val="en-GB"/>
        </w:rPr>
        <w:t xml:space="preserve"> </w:t>
      </w:r>
      <w:r w:rsidRPr="00724E76">
        <w:rPr>
          <w:rFonts w:ascii="Arial" w:eastAsia="Calibri" w:hAnsi="Arial" w:cs="Arial"/>
          <w:szCs w:val="22"/>
          <w:lang w:val="en-GB"/>
        </w:rPr>
        <w:t xml:space="preserve">the ability of one commercial and two indigenous AMF inoculants originating from cassava- and maize-associated rhizospheres to colonize </w:t>
      </w:r>
      <w:r w:rsidRPr="00724E76">
        <w:rPr>
          <w:rFonts w:ascii="Arial" w:eastAsia="Calibri" w:hAnsi="Arial" w:cs="Arial"/>
          <w:i/>
          <w:iCs/>
          <w:szCs w:val="22"/>
          <w:lang w:val="en-GB"/>
        </w:rPr>
        <w:t xml:space="preserve">S. </w:t>
      </w:r>
      <w:proofErr w:type="spellStart"/>
      <w:r w:rsidRPr="00724E76">
        <w:rPr>
          <w:rFonts w:ascii="Arial" w:eastAsia="Calibri" w:hAnsi="Arial" w:cs="Arial"/>
          <w:i/>
          <w:iCs/>
          <w:szCs w:val="22"/>
          <w:lang w:val="en-GB"/>
        </w:rPr>
        <w:t>aethiopicum</w:t>
      </w:r>
      <w:proofErr w:type="spellEnd"/>
      <w:r w:rsidRPr="00724E76">
        <w:rPr>
          <w:rFonts w:ascii="Arial" w:eastAsia="Calibri" w:hAnsi="Arial" w:cs="Arial"/>
          <w:szCs w:val="22"/>
          <w:lang w:val="en-GB"/>
        </w:rPr>
        <w:t xml:space="preserve"> roots and influence plant growth.</w:t>
      </w:r>
    </w:p>
    <w:p w14:paraId="6245DE51" w14:textId="14DD1A77" w:rsidR="00D36784" w:rsidRPr="00BA1B01" w:rsidRDefault="00D36784" w:rsidP="00D36784">
      <w:pPr>
        <w:pStyle w:val="Body"/>
        <w:spacing w:after="0"/>
        <w:rPr>
          <w:rFonts w:ascii="Arial" w:eastAsia="Calibri" w:hAnsi="Arial" w:cs="Arial"/>
          <w:szCs w:val="22"/>
        </w:rPr>
      </w:pPr>
      <w:r w:rsidRPr="00BA1B01">
        <w:rPr>
          <w:rFonts w:ascii="Arial" w:eastAsia="Calibri" w:hAnsi="Arial" w:cs="Arial"/>
          <w:b/>
          <w:szCs w:val="22"/>
        </w:rPr>
        <w:t>Study design:</w:t>
      </w:r>
      <w:r w:rsidRPr="00BA1B01">
        <w:rPr>
          <w:rFonts w:ascii="Arial" w:eastAsia="Calibri" w:hAnsi="Arial" w:cs="Arial"/>
          <w:szCs w:val="22"/>
        </w:rPr>
        <w:t xml:space="preserve">  </w:t>
      </w:r>
      <w:r w:rsidR="00724E76">
        <w:rPr>
          <w:rFonts w:ascii="Arial" w:eastAsia="Calibri" w:hAnsi="Arial" w:cs="Arial"/>
          <w:szCs w:val="22"/>
          <w:lang w:val="en-GB"/>
        </w:rPr>
        <w:t>G</w:t>
      </w:r>
      <w:r w:rsidR="00724E76" w:rsidRPr="00724E76">
        <w:rPr>
          <w:rFonts w:ascii="Arial" w:eastAsia="Calibri" w:hAnsi="Arial" w:cs="Arial"/>
          <w:szCs w:val="22"/>
          <w:lang w:val="en-GB"/>
        </w:rPr>
        <w:t xml:space="preserve">reenhouse conditions in </w:t>
      </w:r>
      <w:proofErr w:type="spellStart"/>
      <w:r w:rsidR="00724E76" w:rsidRPr="00724E76">
        <w:rPr>
          <w:rFonts w:ascii="Arial" w:eastAsia="Calibri" w:hAnsi="Arial" w:cs="Arial"/>
          <w:szCs w:val="22"/>
          <w:lang w:val="en-GB"/>
        </w:rPr>
        <w:t>Daloa</w:t>
      </w:r>
      <w:proofErr w:type="spellEnd"/>
      <w:r w:rsidR="00724E76" w:rsidRPr="00724E76">
        <w:rPr>
          <w:rFonts w:ascii="Arial" w:eastAsia="Calibri" w:hAnsi="Arial" w:cs="Arial"/>
          <w:szCs w:val="22"/>
          <w:lang w:val="en-GB"/>
        </w:rPr>
        <w:t>, Côte d’Ivoire</w:t>
      </w:r>
      <w:r w:rsidRPr="00BA1B01">
        <w:rPr>
          <w:rFonts w:ascii="Arial" w:eastAsia="Calibri" w:hAnsi="Arial" w:cs="Arial"/>
          <w:szCs w:val="22"/>
        </w:rPr>
        <w:t>.</w:t>
      </w:r>
    </w:p>
    <w:p w14:paraId="2D6EB5B3" w14:textId="6E9451E5" w:rsidR="00D36784" w:rsidRPr="00BA1B01" w:rsidRDefault="00D36784" w:rsidP="00D36784">
      <w:pPr>
        <w:pStyle w:val="Body"/>
        <w:spacing w:after="0"/>
        <w:rPr>
          <w:rFonts w:ascii="Arial" w:eastAsia="Calibri" w:hAnsi="Arial" w:cs="Arial"/>
          <w:szCs w:val="22"/>
        </w:rPr>
      </w:pPr>
      <w:r w:rsidRPr="00BA1B01">
        <w:rPr>
          <w:rFonts w:ascii="Arial" w:eastAsia="Calibri" w:hAnsi="Arial" w:cs="Arial"/>
          <w:b/>
          <w:szCs w:val="22"/>
        </w:rPr>
        <w:t>Place and Duration of Study:</w:t>
      </w:r>
      <w:r w:rsidRPr="00BA1B01">
        <w:rPr>
          <w:rFonts w:ascii="Arial" w:eastAsia="Calibri" w:hAnsi="Arial" w:cs="Arial"/>
          <w:szCs w:val="22"/>
        </w:rPr>
        <w:t xml:space="preserve"> </w:t>
      </w:r>
      <w:r w:rsidR="00B97033">
        <w:rPr>
          <w:rFonts w:ascii="Arial" w:eastAsia="Calibri" w:hAnsi="Arial" w:cs="Arial"/>
          <w:szCs w:val="22"/>
        </w:rPr>
        <w:t xml:space="preserve">Jean LOROUGNON GUEDE University, Department of plant biology, between </w:t>
      </w:r>
      <w:r w:rsidR="00FE339B">
        <w:rPr>
          <w:rFonts w:ascii="Arial" w:eastAsia="Calibri" w:hAnsi="Arial" w:cs="Arial"/>
          <w:szCs w:val="22"/>
        </w:rPr>
        <w:t>April</w:t>
      </w:r>
      <w:r w:rsidR="00B97033">
        <w:rPr>
          <w:rFonts w:ascii="Arial" w:eastAsia="Calibri" w:hAnsi="Arial" w:cs="Arial"/>
          <w:szCs w:val="22"/>
        </w:rPr>
        <w:t xml:space="preserve"> and June 2024</w:t>
      </w:r>
      <w:r w:rsidRPr="00BA1B01">
        <w:rPr>
          <w:rFonts w:ascii="Arial" w:eastAsia="Calibri" w:hAnsi="Arial" w:cs="Arial"/>
          <w:szCs w:val="22"/>
        </w:rPr>
        <w:t>.</w:t>
      </w:r>
    </w:p>
    <w:p w14:paraId="4BA1B25E" w14:textId="0A4717D3" w:rsidR="00D36784" w:rsidRPr="00BA1B01" w:rsidRDefault="00D36784" w:rsidP="00D36784">
      <w:pPr>
        <w:pStyle w:val="Body"/>
        <w:spacing w:after="0"/>
        <w:rPr>
          <w:rFonts w:ascii="Arial" w:eastAsia="Calibri" w:hAnsi="Arial" w:cs="Arial"/>
          <w:b/>
          <w:bCs/>
          <w:szCs w:val="22"/>
        </w:rPr>
      </w:pPr>
      <w:r w:rsidRPr="00BA1B01">
        <w:rPr>
          <w:rFonts w:ascii="Arial" w:eastAsia="Calibri" w:hAnsi="Arial" w:cs="Arial"/>
          <w:b/>
          <w:bCs/>
          <w:szCs w:val="22"/>
        </w:rPr>
        <w:t>Methodology:</w:t>
      </w:r>
      <w:r w:rsidRPr="00BA1B01">
        <w:rPr>
          <w:rFonts w:ascii="Arial" w:eastAsia="Calibri" w:hAnsi="Arial" w:cs="Arial"/>
          <w:szCs w:val="22"/>
        </w:rPr>
        <w:t xml:space="preserve"> </w:t>
      </w:r>
      <w:r w:rsidR="00B97033" w:rsidRPr="00B97033">
        <w:rPr>
          <w:rFonts w:ascii="Arial" w:eastAsia="Calibri" w:hAnsi="Arial" w:cs="Arial"/>
          <w:szCs w:val="22"/>
          <w:lang w:val="en-GB"/>
        </w:rPr>
        <w:t>A completely randomized design with four treatments and seven replicates was used: a commercial inoculant (</w:t>
      </w:r>
      <w:proofErr w:type="spellStart"/>
      <w:r w:rsidR="00B97033" w:rsidRPr="00B97033">
        <w:rPr>
          <w:rFonts w:ascii="Arial" w:eastAsia="Calibri" w:hAnsi="Arial" w:cs="Arial"/>
          <w:szCs w:val="22"/>
          <w:lang w:val="en-GB"/>
        </w:rPr>
        <w:t>CoM</w:t>
      </w:r>
      <w:proofErr w:type="spellEnd"/>
      <w:r w:rsidR="00B97033" w:rsidRPr="00B97033">
        <w:rPr>
          <w:rFonts w:ascii="Arial" w:eastAsia="Calibri" w:hAnsi="Arial" w:cs="Arial"/>
          <w:szCs w:val="22"/>
          <w:lang w:val="en-GB"/>
        </w:rPr>
        <w:t>), an indigenous cassava-derived inoculant (</w:t>
      </w:r>
      <w:proofErr w:type="spellStart"/>
      <w:r w:rsidR="00B97033" w:rsidRPr="00B97033">
        <w:rPr>
          <w:rFonts w:ascii="Arial" w:eastAsia="Calibri" w:hAnsi="Arial" w:cs="Arial"/>
          <w:szCs w:val="22"/>
          <w:lang w:val="en-GB"/>
        </w:rPr>
        <w:t>CaM</w:t>
      </w:r>
      <w:proofErr w:type="spellEnd"/>
      <w:r w:rsidR="00B97033" w:rsidRPr="00B97033">
        <w:rPr>
          <w:rFonts w:ascii="Arial" w:eastAsia="Calibri" w:hAnsi="Arial" w:cs="Arial"/>
          <w:szCs w:val="22"/>
          <w:lang w:val="en-GB"/>
        </w:rPr>
        <w:t>), an indigenous maize-derived inoculant (</w:t>
      </w:r>
      <w:proofErr w:type="spellStart"/>
      <w:r w:rsidR="00B97033" w:rsidRPr="00B97033">
        <w:rPr>
          <w:rFonts w:ascii="Arial" w:eastAsia="Calibri" w:hAnsi="Arial" w:cs="Arial"/>
          <w:szCs w:val="22"/>
          <w:lang w:val="en-GB"/>
        </w:rPr>
        <w:t>MaM</w:t>
      </w:r>
      <w:proofErr w:type="spellEnd"/>
      <w:r w:rsidR="00B97033" w:rsidRPr="00B97033">
        <w:rPr>
          <w:rFonts w:ascii="Arial" w:eastAsia="Calibri" w:hAnsi="Arial" w:cs="Arial"/>
          <w:szCs w:val="22"/>
          <w:lang w:val="en-GB"/>
        </w:rPr>
        <w:t xml:space="preserve">), and a non-inoculated control. Mycorrhizal colonization frequency and intensity were assessed 40 days after transplanting, while plant growth and biomass production were monitored for 60 days. </w:t>
      </w:r>
      <w:r w:rsidRPr="00BA1B01">
        <w:rPr>
          <w:rFonts w:ascii="Arial" w:eastAsia="Calibri" w:hAnsi="Arial" w:cs="Arial"/>
          <w:b/>
          <w:bCs/>
          <w:szCs w:val="22"/>
        </w:rPr>
        <w:t>Results:</w:t>
      </w:r>
      <w:r w:rsidRPr="00BA1B01">
        <w:rPr>
          <w:rFonts w:ascii="Arial" w:eastAsia="Calibri" w:hAnsi="Arial" w:cs="Arial"/>
          <w:szCs w:val="22"/>
        </w:rPr>
        <w:t xml:space="preserve"> </w:t>
      </w:r>
      <w:r w:rsidR="00B97033" w:rsidRPr="00B97033">
        <w:rPr>
          <w:rFonts w:ascii="Arial" w:eastAsia="Calibri" w:hAnsi="Arial" w:cs="Arial"/>
          <w:szCs w:val="22"/>
          <w:lang w:val="en-GB"/>
        </w:rPr>
        <w:t>All three inoculants established mycorrhizal colonization, with colonization frequencies exceeding 50%, whereas no colonization was detected in the non-inoculated control. However, colonization intensity remained low (≤10%), and no significant differences were observed among the commercial and indigenous inoculants. Similarly, no significant treatment effects were detected for plant height, collar diameter, number of leaves, flower-bud production, or fresh aboveground and belowground biomass</w:t>
      </w:r>
      <w:r w:rsidRPr="00BA1B01">
        <w:rPr>
          <w:rFonts w:ascii="Arial" w:eastAsia="Calibri" w:hAnsi="Arial" w:cs="Arial"/>
          <w:szCs w:val="22"/>
        </w:rPr>
        <w:t>.</w:t>
      </w:r>
    </w:p>
    <w:p w14:paraId="1654985E" w14:textId="149F7CAC" w:rsidR="00790ADA" w:rsidRPr="00C93CAA" w:rsidRDefault="00D36784" w:rsidP="00C93CAA">
      <w:pPr>
        <w:pStyle w:val="Body"/>
        <w:spacing w:after="0"/>
        <w:rPr>
          <w:rFonts w:ascii="Arial" w:hAnsi="Arial" w:cs="Arial"/>
          <w:b/>
          <w:bCs/>
        </w:rPr>
      </w:pPr>
      <w:r w:rsidRPr="00BA1B01">
        <w:rPr>
          <w:rFonts w:ascii="Arial" w:eastAsia="Calibri" w:hAnsi="Arial" w:cs="Arial"/>
          <w:b/>
          <w:bCs/>
          <w:szCs w:val="22"/>
        </w:rPr>
        <w:t>Conclusion:</w:t>
      </w:r>
      <w:r w:rsidRPr="00BA1B01">
        <w:rPr>
          <w:rFonts w:ascii="Arial" w:eastAsia="Calibri" w:hAnsi="Arial" w:cs="Arial"/>
          <w:szCs w:val="22"/>
        </w:rPr>
        <w:t xml:space="preserve"> </w:t>
      </w:r>
      <w:r w:rsidR="00B97033" w:rsidRPr="00B97033">
        <w:rPr>
          <w:rFonts w:ascii="Arial" w:eastAsia="Calibri" w:hAnsi="Arial" w:cs="Arial"/>
          <w:szCs w:val="22"/>
          <w:lang w:val="en-GB"/>
        </w:rPr>
        <w:t xml:space="preserve">These findings indicate that the indigenous inoculants evaluated were capable of colonizing </w:t>
      </w:r>
      <w:r w:rsidR="00B97033" w:rsidRPr="00B97033">
        <w:rPr>
          <w:rFonts w:ascii="Arial" w:eastAsia="Calibri" w:hAnsi="Arial" w:cs="Arial"/>
          <w:i/>
          <w:iCs/>
          <w:szCs w:val="22"/>
          <w:lang w:val="en-GB"/>
        </w:rPr>
        <w:t xml:space="preserve">S. </w:t>
      </w:r>
      <w:proofErr w:type="spellStart"/>
      <w:r w:rsidR="00B97033" w:rsidRPr="00B97033">
        <w:rPr>
          <w:rFonts w:ascii="Arial" w:eastAsia="Calibri" w:hAnsi="Arial" w:cs="Arial"/>
          <w:i/>
          <w:iCs/>
          <w:szCs w:val="22"/>
          <w:lang w:val="en-GB"/>
        </w:rPr>
        <w:t>aethiopicum</w:t>
      </w:r>
      <w:proofErr w:type="spellEnd"/>
      <w:r w:rsidR="00B97033" w:rsidRPr="00B97033">
        <w:rPr>
          <w:rFonts w:ascii="Arial" w:eastAsia="Calibri" w:hAnsi="Arial" w:cs="Arial"/>
          <w:szCs w:val="22"/>
          <w:lang w:val="en-GB"/>
        </w:rPr>
        <w:t xml:space="preserve"> roots at levels comparable to the commercial inoculant, but that this colonization did not result in measurable agronomic benefits under the experimental conditions.</w:t>
      </w:r>
      <w:r w:rsidR="00B97033" w:rsidRPr="00B97033">
        <w:rPr>
          <w:rFonts w:ascii="Times New Roman" w:eastAsiaTheme="minorHAnsi" w:hAnsi="Times New Roman"/>
          <w:kern w:val="2"/>
          <w:sz w:val="24"/>
          <w:szCs w:val="24"/>
          <w:lang w:val="en-GB"/>
          <w14:ligatures w14:val="standardContextual"/>
        </w:rPr>
        <w:t xml:space="preserve"> </w:t>
      </w:r>
      <w:r w:rsidR="00B97033" w:rsidRPr="00B97033">
        <w:rPr>
          <w:rFonts w:ascii="Arial" w:eastAsia="Calibri" w:hAnsi="Arial" w:cs="Arial"/>
          <w:szCs w:val="22"/>
          <w:lang w:val="en-GB"/>
        </w:rPr>
        <w:t>Longer-term experiments using larger root-zone volumes and contrasting water conditions, together with field trials, are needed to determine the agronomic potential of these indigenous inoculants for sustainable biofertilization of African eggplant in Côte d’Ivoire.</w:t>
      </w:r>
    </w:p>
    <w:p w14:paraId="6B5773D6" w14:textId="77777777" w:rsidR="00636EB2" w:rsidRDefault="00636EB2" w:rsidP="00441B6F">
      <w:pPr>
        <w:pStyle w:val="Body"/>
        <w:spacing w:after="0"/>
        <w:rPr>
          <w:rFonts w:ascii="Arial" w:hAnsi="Arial" w:cs="Arial"/>
          <w:i/>
        </w:rPr>
      </w:pPr>
    </w:p>
    <w:p w14:paraId="28FB8C15" w14:textId="110F6BF2" w:rsidR="0024282C" w:rsidRPr="003A7C92" w:rsidRDefault="00A24E7E" w:rsidP="003A7C92">
      <w:pPr>
        <w:pStyle w:val="Body"/>
        <w:rPr>
          <w:rFonts w:ascii="Arial" w:hAnsi="Arial" w:cs="Arial"/>
          <w:i/>
          <w:lang w:val="en-GB"/>
        </w:rPr>
      </w:pPr>
      <w:r>
        <w:rPr>
          <w:rFonts w:ascii="Arial" w:hAnsi="Arial" w:cs="Arial"/>
          <w:i/>
        </w:rPr>
        <w:t xml:space="preserve">Keywords: </w:t>
      </w:r>
      <w:r w:rsidR="00FE339B" w:rsidRPr="00FE339B">
        <w:rPr>
          <w:rFonts w:ascii="Arial" w:hAnsi="Arial" w:cs="Arial"/>
          <w:i/>
          <w:lang w:val="en"/>
        </w:rPr>
        <w:t>Sustainable agriculture, Biofertilizer, Arbuscular mycorrhizae, Mycorrhizal colonization</w:t>
      </w:r>
      <w:r w:rsidR="0066510A">
        <w:rPr>
          <w:rFonts w:ascii="Arial" w:hAnsi="Arial" w:cs="Arial"/>
          <w:i/>
        </w:rPr>
        <w:t xml:space="preserve"> </w:t>
      </w:r>
    </w:p>
    <w:p w14:paraId="5539D94B" w14:textId="77777777" w:rsidR="00505F06" w:rsidRPr="00A24E7E" w:rsidRDefault="00505F06" w:rsidP="00441B6F">
      <w:pPr>
        <w:pStyle w:val="Body"/>
        <w:spacing w:after="0"/>
        <w:rPr>
          <w:rFonts w:ascii="Arial" w:hAnsi="Arial" w:cs="Arial"/>
          <w:i/>
        </w:rPr>
      </w:pPr>
    </w:p>
    <w:p w14:paraId="27520005" w14:textId="56F962B8"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r w:rsidR="007F7B32">
        <w:rPr>
          <w:rFonts w:ascii="Arial" w:hAnsi="Arial" w:cs="Arial"/>
        </w:rPr>
        <w:t xml:space="preserve"> </w:t>
      </w:r>
    </w:p>
    <w:p w14:paraId="0FD77744" w14:textId="77777777" w:rsidR="00790ADA" w:rsidRPr="00FB3A86" w:rsidRDefault="00790ADA" w:rsidP="00441B6F">
      <w:pPr>
        <w:pStyle w:val="AbstHead"/>
        <w:spacing w:after="0"/>
        <w:jc w:val="both"/>
        <w:rPr>
          <w:rFonts w:ascii="Arial" w:hAnsi="Arial" w:cs="Arial"/>
        </w:rPr>
      </w:pPr>
    </w:p>
    <w:p w14:paraId="43212416" w14:textId="6045333A" w:rsidR="00FE339B" w:rsidRPr="003A7C92" w:rsidRDefault="00FE339B" w:rsidP="003A7C92">
      <w:pPr>
        <w:jc w:val="both"/>
        <w:rPr>
          <w:rFonts w:ascii="Arial" w:hAnsi="Arial" w:cs="Arial"/>
        </w:rPr>
      </w:pPr>
      <w:r w:rsidRPr="003A7C92">
        <w:rPr>
          <w:rFonts w:ascii="Arial" w:hAnsi="Arial" w:cs="Arial"/>
        </w:rPr>
        <w:t>African eggplant (</w:t>
      </w:r>
      <w:r w:rsidRPr="003A7C92">
        <w:rPr>
          <w:rFonts w:ascii="Arial" w:hAnsi="Arial" w:cs="Arial"/>
          <w:i/>
          <w:iCs/>
        </w:rPr>
        <w:t xml:space="preserve">Solanum </w:t>
      </w:r>
      <w:proofErr w:type="spellStart"/>
      <w:r w:rsidRPr="003A7C92">
        <w:rPr>
          <w:rFonts w:ascii="Arial" w:hAnsi="Arial" w:cs="Arial"/>
          <w:i/>
          <w:iCs/>
        </w:rPr>
        <w:t>aethiopicum</w:t>
      </w:r>
      <w:proofErr w:type="spellEnd"/>
      <w:r w:rsidRPr="003A7C92">
        <w:rPr>
          <w:rFonts w:ascii="Arial" w:hAnsi="Arial" w:cs="Arial"/>
        </w:rPr>
        <w:t xml:space="preserve"> L.) is one of the most widely cultivated indigenous vegetables in sub-Saharan Africa and constitutes an essential component of local food systems. The crop is valued for its edible fruits and leaves, which provide dietary fiber, vitamins, minerals, and bioactive compounds with recognized nutritional and health-promoting properties</w:t>
      </w:r>
      <w:r w:rsidR="00657C39">
        <w:rPr>
          <w:rFonts w:ascii="Arial" w:hAnsi="Arial" w:cs="Arial"/>
        </w:rPr>
        <w:t xml:space="preserve"> </w:t>
      </w:r>
      <w:r w:rsidRPr="003A7C92">
        <w:rPr>
          <w:rFonts w:ascii="Arial" w:hAnsi="Arial" w:cs="Arial"/>
        </w:rPr>
        <w:fldChar w:fldCharType="begin"/>
      </w:r>
      <w:r w:rsidRPr="003A7C92">
        <w:rPr>
          <w:rFonts w:ascii="Arial" w:hAnsi="Arial" w:cs="Arial"/>
        </w:rPr>
        <w:instrText xml:space="preserve"> ADDIN ZOTERO_ITEM CSL_CITATION {"citationID":"cHAJgCy5","properties":{"unsorted":false,"formattedCitation":"(Choi &amp; Choi, 2024)","plainCitation":"(Choi &amp; Choi, 2024)","noteIndex":0},"citationItems":[{"id":7,"uris":["http://zotero.org/users/local/qoGpGwOM/items/587495BF"],"itemData":{"id":7,"type":"article-journal","abstract":"Natural product therapy has been used to treat illness for thousands of years, and modern-day medicines, such as various anticancer, antihypertensive, and antimigraine drugs, have been developed from natural products. Natural medicines are advantageous as they tend to have fewer side effects and are considered a relatively safe option. Solanum aethiopicum L. (S. aethiopicum) is a vegetable crop of the Solanaceae family and is considered one of the five most important crops in sub-Saharan Africa, alongside tomatoes, onions, peppers, and okra. S. aethiopicum has many health benefits as it contains the three major macronutrients (carbohydrates, proteins, and fats) as well as fiber and many essential vitamins. Additionally, much research has been conducted on the medicinal value of S. aethiopicum over the past few decades. S. aethiopicum has been found to have many pharmacological properties including anti-inflammatory, antibacterial, antidiabetic, anti-obesity, and antioxidant effects. Currently, to our knowledge, there are no comprehensive reviews of the numerous studies on S. aethiopicum. Therefore, in this review, we summarize the nutritional, phytochemical, and pharmacological analyses of S. aethiopicum, identify notable effects, and review the results.","container-title":"Nutrients","DOI":"10.3390/nu16234228","ISSN":"2072-6643","issue":"23","language":"en","license":"http://creativecommons.org/licenses/by/3.0/","page":"4228","publisher":"Multidisciplinary Digital Publishing Institute","source":"www.mdpi.com","title":"Nutritional Composition, Phytochemical Profiles, and Pharmacological Effects of Ethiopian Eggplant (Solanum aethiopicum L.)","volume":"16","author":[{"family":"Choi","given":"Seung Min"},{"family":"Choi","given":"Chang-Ik"}],"issued":{"date-parts":[["2024",1]]}}}],"schema":"https://github.com/citation-style-language/schema/raw/master/csl-citation.json"} </w:instrText>
      </w:r>
      <w:r w:rsidRPr="003A7C92">
        <w:rPr>
          <w:rFonts w:ascii="Arial" w:hAnsi="Arial" w:cs="Arial"/>
        </w:rPr>
        <w:fldChar w:fldCharType="separate"/>
      </w:r>
      <w:r w:rsidRPr="003A7C92">
        <w:rPr>
          <w:rFonts w:ascii="Arial" w:hAnsi="Arial" w:cs="Arial"/>
        </w:rPr>
        <w:t>(Choi &amp; Choi, 2024)</w:t>
      </w:r>
      <w:r w:rsidRPr="003A7C92">
        <w:rPr>
          <w:rFonts w:ascii="Arial" w:hAnsi="Arial" w:cs="Arial"/>
        </w:rPr>
        <w:fldChar w:fldCharType="end"/>
      </w:r>
      <w:r w:rsidRPr="003A7C92">
        <w:rPr>
          <w:rFonts w:ascii="Arial" w:hAnsi="Arial" w:cs="Arial"/>
        </w:rPr>
        <w:t>. In addition to its contribution to household nutrition, African eggplant has an important economic role in smallholder farming systems, providing a source of income through commercial production and contributing to farmers’</w:t>
      </w:r>
      <w:r w:rsidR="00657C39">
        <w:rPr>
          <w:rFonts w:ascii="Arial" w:hAnsi="Arial" w:cs="Arial"/>
        </w:rPr>
        <w:t xml:space="preserve"> </w:t>
      </w:r>
      <w:r w:rsidRPr="003A7C92">
        <w:rPr>
          <w:rFonts w:ascii="Arial" w:hAnsi="Arial" w:cs="Arial"/>
        </w:rPr>
        <w:t xml:space="preserve">livelihoods </w:t>
      </w:r>
      <w:r w:rsidRPr="003A7C92">
        <w:rPr>
          <w:rFonts w:ascii="Arial" w:hAnsi="Arial" w:cs="Arial"/>
        </w:rPr>
        <w:fldChar w:fldCharType="begin"/>
      </w:r>
      <w:r w:rsidRPr="003A7C92">
        <w:rPr>
          <w:rFonts w:ascii="Arial" w:hAnsi="Arial" w:cs="Arial"/>
        </w:rPr>
        <w:instrText xml:space="preserve"> ADDIN ZOTERO_ITEM CSL_CITATION {"citationID":"Rb5p4Psb","properties":{"unsorted":false,"formattedCitation":"(Kasharu et al., 2019; Mvungi et al., 2025)","plainCitation":"(Kasharu et al., 2019; Mvungi et al., 2025)","noteIndex":0},"citationItems":[{"id":5,"uris":["http://zotero.org/users/local/qoGpGwOM/items/N8UJJ9GF"],"itemData":{"id":5,"type":"article-journal","abstract":"Quantifying Physical and Economic Losses of African Indigenous Vegetable Solanum aethiopicum Along the Commercial Supply Value Chain","container-title":"Journal of Economics and Sustainable Development","ISSN":"2222-2855","issue":"2","language":"en","page":"67","source":"www.iiste.org","title":"Quantifying Physical and Economic Losses of African Indigenous Vegetable Solanum aethiopicum Along the Commercial Supply Value Chain","volume":"10","author":[{"family":"Kasharu","given":"A.k"},{"family":"Kizito","given":"E. B."},{"family":"Masanza","given":"M."},{"family":"Jjagwe","given":"J."},{"family":"Namutebi","given":"A."}],"issued":{"date-parts":[["2019"]]}}},{"id":3,"uris":["http://zotero.org/users/local/qoGpGwOM/items/VNMSTDIQ"],"itemData":{"id":3,"type":"article-journal","abstract":"African eggplant (Solanum aethiopicum) is one of the most popular traditional African vegetables in Tanzania and other countries in sub-Saharan Africa, but there is very limited information about production practices and constraints in the literature. The objective of this study was to quantify the adoption of improved African eggplant varieties and related agricultural practices, and to describe challenges associated with the production of this crop in Tanzania. To do this, we conducted interviews on a random sample of 404 farm households producing African eggplant in Tanzania. Three commonly grown African eggplant varieties identified in this study were “DB3” (adopted by 73% of households), “Tengeru White” (25%), and “Manyire Green” (8%), all of which were developed by the World Vegetable Center in Tanzania. Farmers had a preference for varieties with high yield, good market demand and good taste. Farmers earned a profit of USD 6.13 for each dollar invested in the production of African eggplant. Production of the crop is mainly constrained by pests and diseases, and low market price. Development and promotion of varieties tolerant to pests and diseases, coupled with good agronomic practices are likely to improve productivity. Promoting consumer demand for the crop could also create a more reliable market for farmers, thus increasing their income and diversifying the diets of consumers.","container-title":"Frontiers in Sustainable Food Systems","DOI":"10.3389/fsufs.2025.1461851","ISSN":"2571-581X","journalAbbreviation":"Front. Sustain. Food Syst.","language":"English","publisher":"Frontiers","source":"Frontiers","title":"Production of African eggplant in Tanzania: varieties, practices, profitability, and constraints","title-short":"Production of African eggplant in Tanzania","URL":"https://www.frontiersin.org/journals/sustainable-food-systems/articles/10.3389/fsufs.2025.1461851/full","volume":"9","author":[{"family":"Mvungi","given":"Henry-Hussein Aziz"},{"family":"Wanyama","given":"Rosina"},{"family":"Dinssa","given":"Fekadu Fufa"},{"family":"Ngoteya","given":"Godfrey"},{"family":"Sigalla","given":"Jeremiah"},{"family":"Minja","given":"Ruth"},{"family":"Bishop","given":"Gerard"},{"family":"Schreinemachers","given":"Pepijn"}],"accessed":{"date-parts":[["2026",9,7]]},"issued":{"date-parts":[["2025",4,25]]}}}],"schema":"https://github.com/citation-style-language/schema/raw/master/csl-citation.json"} </w:instrText>
      </w:r>
      <w:r w:rsidRPr="003A7C92">
        <w:rPr>
          <w:rFonts w:ascii="Arial" w:hAnsi="Arial" w:cs="Arial"/>
        </w:rPr>
        <w:fldChar w:fldCharType="separate"/>
      </w:r>
      <w:r w:rsidRPr="003A7C92">
        <w:rPr>
          <w:rFonts w:ascii="Arial" w:hAnsi="Arial" w:cs="Arial"/>
        </w:rPr>
        <w:t>(Kasharu et al., 2019; Mvungi et al., 2025)</w:t>
      </w:r>
      <w:r w:rsidRPr="003A7C92">
        <w:rPr>
          <w:rFonts w:ascii="Arial" w:hAnsi="Arial" w:cs="Arial"/>
        </w:rPr>
        <w:fldChar w:fldCharType="end"/>
      </w:r>
      <w:r w:rsidRPr="003A7C92">
        <w:rPr>
          <w:rFonts w:ascii="Arial" w:hAnsi="Arial" w:cs="Arial"/>
        </w:rPr>
        <w:t xml:space="preserve">. </w:t>
      </w:r>
      <w:r w:rsidR="00DA702E" w:rsidRPr="00DA702E">
        <w:rPr>
          <w:rFonts w:ascii="Arial" w:hAnsi="Arial" w:cs="Arial"/>
        </w:rPr>
        <w:t>Consequently, contributing to the improvement of the cultivation of this indigenous vegetable is considered an important strategy for strengthening food security, improving nutrition, and supporting rural livelihoods while promoting sustainable agricultural development.</w:t>
      </w:r>
    </w:p>
    <w:p w14:paraId="69722F1D" w14:textId="77777777" w:rsidR="00FE339B" w:rsidRPr="003A7C92" w:rsidRDefault="00FE339B" w:rsidP="003A7C92">
      <w:pPr>
        <w:jc w:val="both"/>
        <w:rPr>
          <w:rFonts w:ascii="Arial" w:hAnsi="Arial" w:cs="Arial"/>
        </w:rPr>
      </w:pPr>
    </w:p>
    <w:p w14:paraId="5C86648B" w14:textId="2FD00D23" w:rsidR="00FE339B" w:rsidRPr="003A7C92" w:rsidRDefault="007765CD" w:rsidP="003A7C92">
      <w:pPr>
        <w:jc w:val="both"/>
        <w:rPr>
          <w:rFonts w:ascii="Arial" w:hAnsi="Arial" w:cs="Arial"/>
        </w:rPr>
      </w:pPr>
      <w:r w:rsidRPr="007765CD">
        <w:rPr>
          <w:rFonts w:ascii="Arial" w:hAnsi="Arial" w:cs="Arial"/>
        </w:rPr>
        <w:t xml:space="preserve">Despite its importance, </w:t>
      </w:r>
      <w:r w:rsidRPr="007765CD">
        <w:rPr>
          <w:rFonts w:ascii="Arial" w:hAnsi="Arial" w:cs="Arial"/>
          <w:i/>
          <w:iCs/>
        </w:rPr>
        <w:t xml:space="preserve">S. </w:t>
      </w:r>
      <w:proofErr w:type="spellStart"/>
      <w:r w:rsidRPr="007765CD">
        <w:rPr>
          <w:rFonts w:ascii="Arial" w:hAnsi="Arial" w:cs="Arial"/>
          <w:i/>
          <w:iCs/>
        </w:rPr>
        <w:t>aethiopicum</w:t>
      </w:r>
      <w:proofErr w:type="spellEnd"/>
      <w:r w:rsidRPr="007765CD">
        <w:rPr>
          <w:rFonts w:ascii="Arial" w:hAnsi="Arial" w:cs="Arial"/>
        </w:rPr>
        <w:t xml:space="preserve"> cultivation faces several constraints, including declining soil fertility, inadequate nutrient management, and increasing pest and disease pressures.</w:t>
      </w:r>
      <w:r w:rsidR="00FE339B" w:rsidRPr="003A7C92">
        <w:rPr>
          <w:rFonts w:ascii="Arial" w:hAnsi="Arial" w:cs="Arial"/>
        </w:rPr>
        <w:t xml:space="preserve"> However, in Côte d'Ivoire, to compensate for these constraints, farmers frequently rely on chemical pesticides and mineral fertilizers. Although mineral fertilization can rapidly improve crop performance and chemical pesticides allow crop protection, their long-term sustainability is increasingly questioned because of rising input costs and adverse environmental impacts. These limitations have stimulated growing interest in environmentally friendly alternatives capable of </w:t>
      </w:r>
      <w:r w:rsidRPr="007765CD">
        <w:rPr>
          <w:rFonts w:ascii="Arial" w:hAnsi="Arial" w:cs="Arial"/>
        </w:rPr>
        <w:t>sustaining crop growth while restoring soil biological functions</w:t>
      </w:r>
      <w:r w:rsidR="00FE339B" w:rsidRPr="003A7C92">
        <w:rPr>
          <w:rFonts w:ascii="Arial" w:hAnsi="Arial" w:cs="Arial"/>
        </w:rPr>
        <w:t>.</w:t>
      </w:r>
    </w:p>
    <w:p w14:paraId="2ACC0FC0" w14:textId="77777777" w:rsidR="00FE339B" w:rsidRPr="003A7C92" w:rsidRDefault="00FE339B" w:rsidP="003A7C92">
      <w:pPr>
        <w:jc w:val="both"/>
        <w:rPr>
          <w:rFonts w:ascii="Arial" w:hAnsi="Arial" w:cs="Arial"/>
        </w:rPr>
      </w:pPr>
    </w:p>
    <w:p w14:paraId="7184F7C3" w14:textId="35E11B91" w:rsidR="00FE339B" w:rsidRPr="003A7C92" w:rsidRDefault="00FE339B" w:rsidP="003A7C92">
      <w:pPr>
        <w:jc w:val="both"/>
        <w:rPr>
          <w:rFonts w:ascii="Arial" w:hAnsi="Arial" w:cs="Arial"/>
        </w:rPr>
      </w:pPr>
      <w:r w:rsidRPr="003A7C92">
        <w:rPr>
          <w:rFonts w:ascii="Arial" w:hAnsi="Arial" w:cs="Arial"/>
        </w:rPr>
        <w:t xml:space="preserve">Among the biological approaches proposed for sustainable </w:t>
      </w:r>
      <w:r w:rsidR="00DA702E">
        <w:rPr>
          <w:rFonts w:ascii="Arial" w:hAnsi="Arial" w:cs="Arial"/>
        </w:rPr>
        <w:t>agriculture</w:t>
      </w:r>
      <w:r w:rsidRPr="003A7C92">
        <w:rPr>
          <w:rFonts w:ascii="Arial" w:hAnsi="Arial" w:cs="Arial"/>
        </w:rPr>
        <w:t xml:space="preserve">, arbuscular mycorrhizal fungi (AMF) have attracted considerable attention because of their capacity to simultaneously influence </w:t>
      </w:r>
      <w:r w:rsidR="00DA702E" w:rsidRPr="003A7C92">
        <w:rPr>
          <w:rFonts w:ascii="Arial" w:hAnsi="Arial" w:cs="Arial"/>
        </w:rPr>
        <w:t>plant nutrition, growth, and stress resilience</w:t>
      </w:r>
      <w:r w:rsidRPr="003A7C92">
        <w:rPr>
          <w:rFonts w:ascii="Arial" w:hAnsi="Arial" w:cs="Arial"/>
        </w:rPr>
        <w:t xml:space="preserve">. AMF establish mutualistic associations with approximately 80% of terrestrial plant species, in which carbon compounds supplied by the host plant support fungal growth, while the extraradical mycelial network enhances the acquisition of mineral nutrients and water </w:t>
      </w:r>
      <w:r w:rsidRPr="003A7C92">
        <w:rPr>
          <w:rFonts w:ascii="Arial" w:hAnsi="Arial" w:cs="Arial"/>
        </w:rPr>
        <w:fldChar w:fldCharType="begin"/>
      </w:r>
      <w:r w:rsidRPr="003A7C92">
        <w:rPr>
          <w:rFonts w:ascii="Arial" w:hAnsi="Arial" w:cs="Arial"/>
        </w:rPr>
        <w:instrText xml:space="preserve"> ADDIN ZOTERO_ITEM CSL_CITATION {"citationID":"CawMjV4O","properties":{"unsorted":false,"formattedCitation":"(Zhang et al., 2024)","plainCitation":"(Zhang et al., 2024)","noteIndex":0},"citationItems":[{"id":9,"uris":["http://zotero.org/users/local/qoGpGwOM/items/MCCH4D2T"],"itemData":{"id":9,"type":"article-journal","abstract":"Soil health is an important component of “One Health”. Soils provide habitat to diverse and abundant organisms. Understanding microbial diversity and functions is essential for building healthy soils towards sustainable agriculture. Arbuscular mycorrhizal fungi (AMF) form potentially symbiotic associations with approximately 80% of land plant species that are well recognized for carbon flux and nutrient cycling. In addition to disentangling the signaling pathways and regulatory mechanisms between the two partners, recent advances in hyphosphere research highlight some emerging roles of AMF and associated microbes in the delivery of soil functions. This paper reviews the contribution of AMF to soil health in agroecosystems, with a major focus on recent progress in the contribution of hyphosphere microbiome to nutrient cycling, carbon sequestration, and soil aggregation. The hyphosphere microbiome and fungal stimulants open avenues for developing new fertilizer formulas to promote AMF benefits. In practice, developing AMF-friendly management strategies will have long-term positive effects on sustainable agriculture aiming at simultaneously providing food security, increasing resource use efficiency, and maintaining environment integrity.","container-title":"Pedosphere","DOI":"10.1016/j.pedsph.2024.02.002","ISSN":"1002-0160","issue":"2","journalAbbreviation":"Pedosphere","page":"279-288","source":"ScienceDirect","title":"Potential of arbuscular mycorrhizal fungi for soil health: A review","title-short":"Potential of arbuscular mycorrhizal fungi for soil health","volume":"34","author":[{"family":"Zhang","given":"Junling"},{"family":"Zhao","given":"Ruotong"},{"family":"Li","given":"Xia"},{"family":"Zhang","given":"Jiangzhou"}],"issued":{"date-parts":[["2024",4,1]]}}}],"schema":"https://github.com/citation-style-language/schema/raw/master/csl-citation.json"} </w:instrText>
      </w:r>
      <w:r w:rsidRPr="003A7C92">
        <w:rPr>
          <w:rFonts w:ascii="Arial" w:hAnsi="Arial" w:cs="Arial"/>
        </w:rPr>
        <w:fldChar w:fldCharType="separate"/>
      </w:r>
      <w:r w:rsidRPr="003A7C92">
        <w:rPr>
          <w:rFonts w:ascii="Arial" w:hAnsi="Arial" w:cs="Arial"/>
        </w:rPr>
        <w:t>(Zhang et al., 2024)</w:t>
      </w:r>
      <w:r w:rsidRPr="003A7C92">
        <w:rPr>
          <w:rFonts w:ascii="Arial" w:hAnsi="Arial" w:cs="Arial"/>
        </w:rPr>
        <w:fldChar w:fldCharType="end"/>
      </w:r>
      <w:r w:rsidRPr="003A7C92">
        <w:rPr>
          <w:rFonts w:ascii="Arial" w:hAnsi="Arial" w:cs="Arial"/>
        </w:rPr>
        <w:t xml:space="preserve">. Meta-analytical evidence indicates that AMF inoculation can substantially improve plant biomass and nitrogen and phosphorus nutrition, although the magnitude of these effects depends on plant, fungal, and environmental factors </w:t>
      </w:r>
      <w:r w:rsidRPr="003A7C92">
        <w:rPr>
          <w:rFonts w:ascii="Arial" w:hAnsi="Arial" w:cs="Arial"/>
        </w:rPr>
        <w:fldChar w:fldCharType="begin"/>
      </w:r>
      <w:r w:rsidRPr="003A7C92">
        <w:rPr>
          <w:rFonts w:ascii="Arial" w:hAnsi="Arial" w:cs="Arial"/>
        </w:rPr>
        <w:instrText xml:space="preserve"> ADDIN ZOTERO_ITEM CSL_CITATION {"citationID":"lieqSCuS","properties":{"unsorted":false,"formattedCitation":"(Wu et al., 2024)","plainCitation":"(Wu et al., 2024)","noteIndex":0},"citationItems":[{"id":11,"uris":["http://zotero.org/users/local/qoGpGwOM/items/689CR78D"],"itemData":{"id":11,"type":"article-journal","abstract":"Arbuscular mycorrhizal fungi (AMF) have profound effects on plant growth and nitrogen (N) and phosphorus (P) nutrition. However, a comprehensive evaluation of how plant N and P respond to AMF inoculation is still unavailable. Here, we complied data from 187 original researches and carried out a meta-analysis to assess the effects of AMF inoculation on plant growth and N and P nutrition. We observe overall positive effects of AMF inoculation on plant performance. The mean increases of plant biomass, N concentration, P concentration, N and P uptake of whole plant are 47%, 16%, 27%, 67%, and 105%, respectively. AMF inoculation induces more increases in plant concentrations and storage of P than N. Plant responses to AMF inoculation are substantially higher with single AMF species than with mixed AMF species, in laboratory experiments than in field experiments, and in legumes than in non-legumes. The response ratios of plant N and P nutrition are positively correlated with AMF colonization rate, N addition, P addition, and water condition, while unvaried with experiment duration. The biggest and smallest effect sizes of AMF inoculation on plant performance are observed in the application of nitrate and ammonium, respectively. Accordingly, this meta-analysis study clearly suggests that AMF inoculation improves both plant N and P nutrients and systematically clarifies the variation patterns in AMF effects with various biotic and abiotic factors. These findings highlight the important role of AMF inoculation in enhancing plant N and P resource acquisitions and provide useful references for evaluating the AMF functions under the future global changes.","container-title":"BMC Plant Biology","DOI":"10.1186/s12870-024-05638-9","ISSN":"1471-2229","issue":"1","journalAbbreviation":"BMC Plant Biol","language":"en","page":"960","source":"Springer Link","title":"Inoculation with arbuscular mycorrhizal fungi improves plant biomass and nitrogen and phosphorus nutrients: a meta-analysis","title-short":"Inoculation with arbuscular mycorrhizal fungi improves plant biomass and nitrogen and phosphorus nutrients","volume":"24","author":[{"family":"Wu","given":"Yingjie"},{"family":"Chen","given":"Chongjuan"},{"family":"Wang","given":"Guoan"}],"issued":{"date-parts":[["2024",10,14]]}}}],"schema":"https://github.com/citation-style-language/schema/raw/master/csl-citation.json"} </w:instrText>
      </w:r>
      <w:r w:rsidRPr="003A7C92">
        <w:rPr>
          <w:rFonts w:ascii="Arial" w:hAnsi="Arial" w:cs="Arial"/>
        </w:rPr>
        <w:fldChar w:fldCharType="separate"/>
      </w:r>
      <w:r w:rsidRPr="003A7C92">
        <w:rPr>
          <w:rFonts w:ascii="Arial" w:hAnsi="Arial" w:cs="Arial"/>
        </w:rPr>
        <w:t>(Wu et al., 2024)</w:t>
      </w:r>
      <w:r w:rsidRPr="003A7C92">
        <w:rPr>
          <w:rFonts w:ascii="Arial" w:hAnsi="Arial" w:cs="Arial"/>
        </w:rPr>
        <w:fldChar w:fldCharType="end"/>
      </w:r>
      <w:r w:rsidRPr="003A7C92">
        <w:rPr>
          <w:rFonts w:ascii="Arial" w:hAnsi="Arial" w:cs="Arial"/>
        </w:rPr>
        <w:t xml:space="preserve">. Beyond nutritional benefits, AMF can improve soil structure and water-use efficiency and enhance plant tolerance to drought, salinity, and temperature stress through coordinated physiological, biochemical, and molecular responses </w:t>
      </w:r>
      <w:r w:rsidRPr="003A7C92">
        <w:rPr>
          <w:rFonts w:ascii="Arial" w:hAnsi="Arial" w:cs="Arial"/>
        </w:rPr>
        <w:fldChar w:fldCharType="begin"/>
      </w:r>
      <w:r w:rsidRPr="003A7C92">
        <w:rPr>
          <w:rFonts w:ascii="Arial" w:hAnsi="Arial" w:cs="Arial"/>
        </w:rPr>
        <w:instrText xml:space="preserve"> ADDIN ZOTERO_ITEM CSL_CITATION {"citationID":"LBIP0MPc","properties":{"unsorted":false,"formattedCitation":"(Nie et al., 2024)","plainCitation":"(Nie et al., 2024)","noteIndex":0},"citationItems":[{"id":13,"uris":["http://zotero.org/users/local/qoGpGwOM/items/RBGQRZTA"],"itemData":{"id":13,"type":"article-journal","abstract":"Amid escalating challenges from global climate change and increasing environmental degradation, agricultural systems worldwide face a multitude of abiotic stresses, including drought, salinity, elevated temperatures, heavy metal pollution, and flooding. These factors critically impair crop productivity and yield. Simultaneously, biotic pressures such as pathogen invasions intensify the vulnerability of agricultural outputs. At the heart of mitigating these challenges, Arbuscular Mycorrhizal Fungi (AM fungi) form a crucial symbiotic relationship with most terrestrial plants, significantly enhancing their stress resilience. AM fungi improve nutrient uptake, particularly that of nitrogen and phosphorus, through their extensive mycelial networks. Additionally, they enhance soil structure, increase water use efficiency, and strengthen antioxidant defense mechanisms, particularly in environments stressed by drought, salinity, extreme temperatures, heavy metal contamination, and flooding. Beyond mitigating abiotic stress, AM fungi bolster plant defenses against pathogens and pests by competing for colonization sites and enhancing plant immune responses. They also facilitate plant adaptation to extreme environmental conditions by altering root morphology, modulating gene expression, and promoting the accumulation of osmotic adjustment compounds. This review discusses the role of AM fungi in enhancing plant growth and performance under environmental stress.","container-title":"Microorganisms","DOI":"10.3390/microorganisms12122448","ISSN":"2076-2607","issue":"12","language":"en","license":"http://creativecommons.org/licenses/by/3.0/","page":"2448","publisher":"Multidisciplinary Digital Publishing Institute","source":"www.mdpi.com","title":"Arbuscular Mycorrhizal Fungi: Boosting Crop Resilience to Environmental Stresses","title-short":"Arbuscular Mycorrhizal Fungi","volume":"12","author":[{"family":"Nie","given":"Wenjing"},{"family":"He","given":"Qinghai"},{"family":"Guo","given":"Hongen"},{"family":"Zhang","given":"Wenjun"},{"family":"Ma","given":"Lan"},{"family":"Li","given":"Junlin"},{"family":"Wen","given":"Dan"}],"issued":{"date-parts":[["2024",12]]}}}],"schema":"https://github.com/citation-style-language/schema/raw/master/csl-citation.json"} </w:instrText>
      </w:r>
      <w:r w:rsidRPr="003A7C92">
        <w:rPr>
          <w:rFonts w:ascii="Arial" w:hAnsi="Arial" w:cs="Arial"/>
        </w:rPr>
        <w:fldChar w:fldCharType="separate"/>
      </w:r>
      <w:r w:rsidRPr="003A7C92">
        <w:rPr>
          <w:rFonts w:ascii="Arial" w:hAnsi="Arial" w:cs="Arial"/>
        </w:rPr>
        <w:t>(Nie et al., 2024)</w:t>
      </w:r>
      <w:r w:rsidRPr="003A7C92">
        <w:rPr>
          <w:rFonts w:ascii="Arial" w:hAnsi="Arial" w:cs="Arial"/>
        </w:rPr>
        <w:fldChar w:fldCharType="end"/>
      </w:r>
      <w:r w:rsidRPr="003A7C92">
        <w:rPr>
          <w:rFonts w:ascii="Arial" w:hAnsi="Arial" w:cs="Arial"/>
        </w:rPr>
        <w:t xml:space="preserve">. They may also contribute to plant protection against soil-borne pathogens by stimulating host defense mechanisms and modifying the rhizosphere environment </w:t>
      </w:r>
      <w:r w:rsidRPr="003A7C92">
        <w:rPr>
          <w:rFonts w:ascii="Arial" w:hAnsi="Arial" w:cs="Arial"/>
        </w:rPr>
        <w:fldChar w:fldCharType="begin"/>
      </w:r>
      <w:r w:rsidRPr="003A7C92">
        <w:rPr>
          <w:rFonts w:ascii="Arial" w:hAnsi="Arial" w:cs="Arial"/>
        </w:rPr>
        <w:instrText xml:space="preserve"> ADDIN ZOTERO_ITEM CSL_CITATION {"citationID":"MqC567Vf","properties":{"unsorted":false,"formattedCitation":"(Nie et al., 2024)","plainCitation":"(Nie et al., 2024)","noteIndex":0},"citationItems":[{"id":13,"uris":["http://zotero.org/users/local/qoGpGwOM/items/RBGQRZTA"],"itemData":{"id":13,"type":"article-journal","abstract":"Amid escalating challenges from global climate change and increasing environmental degradation, agricultural systems worldwide face a multitude of abiotic stresses, including drought, salinity, elevated temperatures, heavy metal pollution, and flooding. These factors critically impair crop productivity and yield. Simultaneously, biotic pressures such as pathogen invasions intensify the vulnerability of agricultural outputs. At the heart of mitigating these challenges, Arbuscular Mycorrhizal Fungi (AM fungi) form a crucial symbiotic relationship with most terrestrial plants, significantly enhancing their stress resilience. AM fungi improve nutrient uptake, particularly that of nitrogen and phosphorus, through their extensive mycelial networks. Additionally, they enhance soil structure, increase water use efficiency, and strengthen antioxidant defense mechanisms, particularly in environments stressed by drought, salinity, extreme temperatures, heavy metal contamination, and flooding. Beyond mitigating abiotic stress, AM fungi bolster plant defenses against pathogens and pests by competing for colonization sites and enhancing plant immune responses. They also facilitate plant adaptation to extreme environmental conditions by altering root morphology, modulating gene expression, and promoting the accumulation of osmotic adjustment compounds. This review discusses the role of AM fungi in enhancing plant growth and performance under environmental stress.","container-title":"Microorganisms","DOI":"10.3390/microorganisms12122448","ISSN":"2076-2607","issue":"12","language":"en","license":"http://creativecommons.org/licenses/by/3.0/","page":"2448","publisher":"Multidisciplinary Digital Publishing Institute","source":"www.mdpi.com","title":"Arbuscular Mycorrhizal Fungi: Boosting Crop Resilience to Environmental Stresses","title-short":"Arbuscular Mycorrhizal Fungi","volume":"12","author":[{"family":"Nie","given":"Wenjing"},{"family":"He","given":"Qinghai"},{"family":"Guo","given":"Hongen"},{"family":"Zhang","given":"Wenjun"},{"family":"Ma","given":"Lan"},{"family":"Li","given":"Junlin"},{"family":"Wen","given":"Dan"}],"issued":{"date-parts":[["2024",12]]}}}],"schema":"https://github.com/citation-style-language/schema/raw/master/csl-citation.json"} </w:instrText>
      </w:r>
      <w:r w:rsidRPr="003A7C92">
        <w:rPr>
          <w:rFonts w:ascii="Arial" w:hAnsi="Arial" w:cs="Arial"/>
        </w:rPr>
        <w:fldChar w:fldCharType="separate"/>
      </w:r>
      <w:r w:rsidRPr="003A7C92">
        <w:rPr>
          <w:rFonts w:ascii="Arial" w:hAnsi="Arial" w:cs="Arial"/>
        </w:rPr>
        <w:t>(Nie et al., 2024)</w:t>
      </w:r>
      <w:r w:rsidRPr="003A7C92">
        <w:rPr>
          <w:rFonts w:ascii="Arial" w:hAnsi="Arial" w:cs="Arial"/>
        </w:rPr>
        <w:fldChar w:fldCharType="end"/>
      </w:r>
      <w:r w:rsidRPr="003A7C92">
        <w:rPr>
          <w:rFonts w:ascii="Arial" w:hAnsi="Arial" w:cs="Arial"/>
        </w:rPr>
        <w:t xml:space="preserve">. </w:t>
      </w:r>
    </w:p>
    <w:p w14:paraId="1521EAD4" w14:textId="77777777" w:rsidR="00FE339B" w:rsidRPr="003A7C92" w:rsidRDefault="00FE339B" w:rsidP="003A7C92">
      <w:pPr>
        <w:jc w:val="both"/>
        <w:rPr>
          <w:rFonts w:ascii="Arial" w:hAnsi="Arial" w:cs="Arial"/>
        </w:rPr>
      </w:pPr>
      <w:r w:rsidRPr="003A7C92">
        <w:rPr>
          <w:rFonts w:ascii="Arial" w:hAnsi="Arial" w:cs="Arial"/>
        </w:rPr>
        <w:t xml:space="preserve">These multiple ecosystem services have positioned AMF as key components of sustainable agriculture and have contributed to the development of numerous industries producing commercial mycorrhizal inoculants worldwide </w:t>
      </w:r>
      <w:r w:rsidRPr="003A7C92">
        <w:rPr>
          <w:rFonts w:ascii="Arial" w:hAnsi="Arial" w:cs="Arial"/>
        </w:rPr>
        <w:fldChar w:fldCharType="begin"/>
      </w:r>
      <w:r w:rsidRPr="003A7C92">
        <w:rPr>
          <w:rFonts w:ascii="Arial" w:hAnsi="Arial" w:cs="Arial"/>
        </w:rPr>
        <w:instrText xml:space="preserve"> ADDIN ZOTERO_ITEM CSL_CITATION {"citationID":"lga5O7DO","properties":{"unsorted":false,"formattedCitation":"(Vos\\uc0\\u225{}tka et al., 2012)","plainCitation":"(Vosátka et al., 2012)","noteIndex":0},"citationItems":[{"id":15,"uris":["http://zotero.org/users/local/qoGpGwOM/items/M8M7FHXA"],"itemData":{"id":15,"type":"article-journal","abstract":"Advanced scientific knowledge on arbuscular mycorrhizal symbioses recently enhanced potential for implementation of mycorrhizal biotechnology in horticulture and agriculture plant production, landscaping, phytoremediation and other segments of the plant market. The advances consist in significant findings regarding:—new molecular detection tools for tracing inoculated fungi in the field;—the coexistence mechanisms of various fungi in the single root system;—new knowledge on in vitro physiology of the AM fungi grown in root organ cultures;—mechanisms of synergistic interactions with other microbes like PGPR or saprotrophic fungi; discovery of mycorrhiza supportive compounds such as strigolactones. Scientific knowledge has been followed by technological developments like novel formulations for liquid applications or seed coating, mycorrhiza stimulating compounds or new application modes. Still the missing components of biotechnology are appropriate, cheap, highly reproducible and effective methods for inocula purity testing and quality control. Also there is a weak traceability of the origin of the mycorrhizal fungi strains used in commercial inocula. Numerous poor quality products can still be found on the markets claiming effective formation mycorrhiza which have very low capacity to do so. These products usually rely in their effects on plant growth not on support of host plants via formation of effective mycorrhizal symbiosis but on fertilizing compounds added to products. There is growing number of enterprises producing mycorrhiza based inocula recently not only in developed world but increasingly in emerging markets. Also collaboration between private sector and scientific community has an improving trend as the development of private sector can fuel further research activities. Last but not least there is apparent growing pull of the market and increasing tendency of reduction of agrochemical inputs and employment of alternative strategies in planting and plant production. These circumstances support further developments of mycorrhizal inocula production and applications and maturation of the industry.","container-title":"Symbiosis","DOI":"10.1007/s13199-012-0208-9","ISSN":"1878-7665","issue":"1","journalAbbreviation":"Symbiosis","language":"en","page":"29-37","source":"Springer Link","title":"Development of arbuscular mycorrhizal biotechnology and industry: current achievements and bottlenecks","title-short":"Development of arbuscular mycorrhizal biotechnology and industry","volume":"58","author":[{"family":"Vosátka","given":"Miroslav"},{"family":"Látr","given":"Aleš"},{"family":"Gianinazzi","given":"Silvio"},{"family":"Albrechtová","given":"Jana"}],"issued":{"date-parts":[["2012",12,1]]}}}],"schema":"https://github.com/citation-style-language/schema/raw/master/csl-citation.json"} </w:instrText>
      </w:r>
      <w:r w:rsidRPr="003A7C92">
        <w:rPr>
          <w:rFonts w:ascii="Arial" w:hAnsi="Arial" w:cs="Arial"/>
        </w:rPr>
        <w:fldChar w:fldCharType="separate"/>
      </w:r>
      <w:r w:rsidRPr="003A7C92">
        <w:rPr>
          <w:rFonts w:ascii="Arial" w:hAnsi="Arial" w:cs="Arial"/>
        </w:rPr>
        <w:t>(Vosátka et al., 2012)</w:t>
      </w:r>
      <w:r w:rsidRPr="003A7C92">
        <w:rPr>
          <w:rFonts w:ascii="Arial" w:hAnsi="Arial" w:cs="Arial"/>
        </w:rPr>
        <w:fldChar w:fldCharType="end"/>
      </w:r>
      <w:r w:rsidRPr="003A7C92">
        <w:rPr>
          <w:rFonts w:ascii="Arial" w:hAnsi="Arial" w:cs="Arial"/>
        </w:rPr>
        <w:t xml:space="preserve">. However, the effectiveness of mycorrhizal inoculation may vary depending on the origin of the fungal inoculum. In particular, indigenous AMF isolates may be better adapted to local soil and environmental conditions than exotic or commercial strains, potentially influencing their ability to establish symbiosis with host plants and to promote plant growth </w:t>
      </w:r>
      <w:r w:rsidRPr="003A7C92">
        <w:rPr>
          <w:rFonts w:ascii="Arial" w:hAnsi="Arial" w:cs="Arial"/>
        </w:rPr>
        <w:fldChar w:fldCharType="begin"/>
      </w:r>
      <w:r w:rsidRPr="003A7C92">
        <w:rPr>
          <w:rFonts w:ascii="Arial" w:hAnsi="Arial" w:cs="Arial"/>
        </w:rPr>
        <w:instrText xml:space="preserve"> ADDIN ZOTERO_ITEM CSL_CITATION {"citationID":"0U3KCzaC","properties":{"unsorted":false,"formattedCitation":"(Berruti et al., 2016a)","plainCitation":"(Berruti et al., 2016a)","noteIndex":0},"citationItems":[{"id":16,"uris":["http://zotero.org/users/local/qoGpGwOM/items/ILJTNSHP"],"itemData":{"id":16,"type":"article-journal","abstract":"Arbuscular Mycorrhizal Fungi (AMF) constitute a group of root obligate biotrophs that exchange mutual benefits with about 80% of plants. They are considered natural biofertilizers, since they provide the host with water, nutrients and pathogen protection, in exchange for photosynthetic products. Thus, AMF are primary biotic soil components which, when missing or impoverished, can lead to a less efficient ecosystem functioning. The process of re-establishing the natural level of AMF richness can represent a valid alternative to conventional fertilization practices, with a view to sustainable agriculture. The main strategy that can be adopted to achieve this goal is the direct re-introduction of AMF propagules (inoculum) into a target soil.Originally, AMF were described to generally lack host- and niche-specificity, and therefore suggested as agriculturally suitable for a wide range of plants and environmental conditions. Unfortunately, the assumptions that have been made and the results that have been obtained so far are often worlds apart. The problem is that success is unpredictable since different plant species vary their response to the same AMF species mix. Many factors can affect the success of inoculation and AMF persistence in soil, including species compatibility with the target environment, the degree of spatial competition with other soil organisms in the target niche and the timing of inoculation. Thus, it is preferable to take these factors into account when “tuning” an inoculum to a target environment in order to avoid failure of the inoculation process.Genomics and transcriptomics have led to a giant step forward in the research field of AMF, with consequent major advances in the current knowledge on the processes involved in their interaction with the host-plant and other soil organisms. The history of AMF applications in controlled and open-field conditions is now long. A review of biofertilization experiments, based on the use of AMF, has here been proposed, focusing on a few important factors that could increase the odds or jeopardize the success of the inoculation process.","container-title":"Frontiers in Microbiology","DOI":"10.3389/fmicb.2015.01559","ISSN":"1664-302X","journalAbbreviation":"Front. Microbiol.","language":"English","publisher":"Frontiers","source":"Frontiers","title":"Arbuscular Mycorrhizal Fungi as Natural Biofertilizers: Let's Benefit from Past Successes","title-short":"Arbuscular Mycorrhizal Fungi as Natural Biofertilizers","URL":"https://www.frontiersin.org/journals/microbiology/articles/10.3389/fmicb.2015.01559/full","volume":"6","author":[{"family":"Berruti","given":"Andrea"},{"family":"Lumini","given":"Erica"},{"family":"Balestrini","given":"Raffaella"},{"family":"Bianciotto","given":"Valeria"}],"accessed":{"date-parts":[["2026",9,11]]},"issued":{"date-parts":[["2016",1,19]]}}}],"schema":"https://github.com/citation-style-language/schema/raw/master/csl-citation.json"} </w:instrText>
      </w:r>
      <w:r w:rsidRPr="003A7C92">
        <w:rPr>
          <w:rFonts w:ascii="Arial" w:hAnsi="Arial" w:cs="Arial"/>
        </w:rPr>
        <w:fldChar w:fldCharType="separate"/>
      </w:r>
      <w:r w:rsidRPr="003A7C92">
        <w:rPr>
          <w:rFonts w:ascii="Arial" w:hAnsi="Arial" w:cs="Arial"/>
        </w:rPr>
        <w:t>(Berruti et al., 2016a)</w:t>
      </w:r>
      <w:r w:rsidRPr="003A7C92">
        <w:rPr>
          <w:rFonts w:ascii="Arial" w:hAnsi="Arial" w:cs="Arial"/>
        </w:rPr>
        <w:fldChar w:fldCharType="end"/>
      </w:r>
      <w:r w:rsidRPr="003A7C92">
        <w:rPr>
          <w:rFonts w:ascii="Arial" w:hAnsi="Arial" w:cs="Arial"/>
        </w:rPr>
        <w:t xml:space="preserve">. Although considerable progress has been made in understanding AMF–plant interactions, important knowledge gaps remain for indigenous vegetable production systems in West Africa. Furthermore, information on the agronomic performance of locally produced AMF inoculants is not abundant </w:t>
      </w:r>
      <w:r w:rsidRPr="003A7C92">
        <w:rPr>
          <w:rFonts w:ascii="Arial" w:hAnsi="Arial" w:cs="Arial"/>
        </w:rPr>
        <w:fldChar w:fldCharType="begin"/>
      </w:r>
      <w:r w:rsidRPr="003A7C92">
        <w:rPr>
          <w:rFonts w:ascii="Arial" w:hAnsi="Arial" w:cs="Arial"/>
        </w:rPr>
        <w:instrText xml:space="preserve"> ADDIN ZOTERO_ITEM CSL_CITATION {"citationID":"lCIioVtG","properties":{"unsorted":false,"formattedCitation":"(Kouadio et al., 2017; S\\uc0\\u233{}ry et al., 2016)","plainCitation":"(Kouadio et al., 2017; Séry et al., 2016)","noteIndex":0},"citationItems":[{"id":20,"uris":["http://zotero.org/users/local/qoGpGwOM/items/BWK5L4ZM"],"itemData":{"id":20,"type":"article-journal","abstract":"This study aimed to assess the performance of an indigenous arbuscular mycorrhizal fungus (AMF) inoculant isolated from yam rhizosphere on yam (Dioscorea rotundata Poir.) growth and yield in field conditions. For this purpose, a factorial experiment was carried out in two contrasting agricultural soils located in Duokro and INP-HB in Yamoussoukro, Côte d'Ivoire. The Duokro soil was neutral sandy loam with high nutrient content and an established AMF community dominated by Glomeraceae whereas the INP-HB soil was acidic sand with low nutrient content and codominance of Glomeraceae and Paraglomeraceae. The inoculation treatments were two native AMF species, namely Rhizophagus irregularis (Blaszk., Wubet, Renker &amp; Buscot) isolated from yam rhizosphere and Acaulospora colombiana (Spain &amp; N.C. Schenck) isolated from cassava rhizosphere, applied singly or together, and Rhizophagus intraradices (N.C. Schenck &amp; G.S. Sm.), an exotic commercial species. Mycorrhizal colonization frequencies of inoculated yam plants were substantially higher at Duokro than INP-HB. As consequence, all the growth and yield parameters measured were higher at Duokro than at INP-HB. Plants inoculated with the native inoculant R. irregularis had the highest mycorrhizal frequencies, the best growth and tuber production at both sites. Moreover, the exotic commercial inoculant was outcompeted by the native inoculants. R. irregularis appeared therefore to be a good candidate for commercialization as an inoculant for yam crops.","container-title":"Rhizosphere","DOI":"10.1016/j.rhisph.2017.10.001","note":"ADS Bibcode: 2017Rhizo...4..112K","page":"112-118","publisher":"Elsevier","source":"NASA ADS","title":"A native arbuscular mycorrhizal fungus inoculant outcompetes an exotic commercial species under two contrasting yam field conditions","volume":"4","author":[{"family":"Kouadio","given":"Aka Niangoran Marie-Stéphanie"},{"family":"Nandjui","given":"Jacob"},{"family":"Krou","given":"Serge Martial"},{"family":"Séry","given":"Drolet Jean-Marc"},{"family":"Nelson","given":"Paul N."},{"family":"Zézé","given":"Adolphe"}],"issued":{"date-parts":[["2017",12,1]]}}},{"id":22,"uris":["http://zotero.org/users/local/qoGpGwOM/items/6V86KKKS"],"itemData":{"id":22,"type":"article-journal","abstract":"The use of arbuscular mycorrhizal fungal (AMF) inoculation in sustainable agriculture is now widespread worldwide. Although the use of inoculants consisting of native AMF is highly recommended as an alternative to commercial ones, there is no strategy to allow the selection of efﬁcient fungal species from natural communities. The objective of this study was (i) to select efﬁcient native AMF species (ii) evaluate their impact on nematode and water stresses, and (iii) evaluate their impact on cassava yield, an important food security crop in tropical and subtropical regions. Firstly, native AMF communities associated with cassava rhizospheres in ﬁelds were collected from different areas and 7 AMF species were selected, based upon their ubiquity and abundance. Using these criteria, two morphotypes (LBVM01 and LBVM02) out of the seven AMF species selected were persistently dominant when cassava was used as a trap plant. LBVM01 and LBVM02 were identiﬁed as Acaulospora colombiana (most abundant) and Ambispora appendicula, respectively, after phylogenetic analyses of LSU-ITS-SSU PCR ampliﬁed products. Secondly, the potential of these two native AMF species to promote growth and enhance tolerance to root-knot nematode and water stresses of cassava (Yavo variety) was evaluated using single and dual inoculation in greenhouse conditions. Of the two AMF species, it was shown that A. colombiana signiﬁcantly improved the growth of the cassava and enhanced tolerance to water stress. However, both A. colombiana and A. appendicula conferred bioprotective effects to cassava plants against the nematode Meloidogyne spp., ranging from resistance (suppression or reduction of the nematode reproduction) or tolerance (low or no suppression in cassava growth). Thirdly, the potential of these selected native AMF to improve cassava growth and yield was evaluated under ﬁeld conditions, compared to a commercial inoculant. In these conditions, the A. colombiana single inoculation and the dual inoculation signiﬁcantly improved cassava yield compared to the commercial inoculant. This is the ﬁrst report on native AMF species exhibiting multiple beneﬁts for cassava crop productivity, namely improved plant growth and yield, water stress tolerance and nematode resistance.","container-title":"Frontiers in Microbiology","DOI":"10.3389/fmicb.2016.02063","ISSN":"1664-302X","journalAbbreviation":"Front. Microbiol.","language":"en","source":"DOI.org (Crossref)","title":"Selecting Native Arbuscular Mycorrhizal Fungi to Promote Cassava Growth and Increase Yield under Field Conditions","URL":"http://journal.frontiersin.org/article/10.3389/fmicb.2016.02063/full","volume":"7","author":[{"family":"Séry","given":"D. Jean-Marc"},{"family":"Kouadjo","given":"Z. G. Claude"},{"family":"Voko","given":"B. R. Rodrigue"},{"family":"Zézé","given":"Adolphe"}],"accessed":{"date-parts":[["2026",9,11]]},"issued":{"date-parts":[["2016",12,22]]}}}],"schema":"https://github.com/citation-style-language/schema/raw/master/csl-citation.json"} </w:instrText>
      </w:r>
      <w:r w:rsidRPr="003A7C92">
        <w:rPr>
          <w:rFonts w:ascii="Arial" w:hAnsi="Arial" w:cs="Arial"/>
        </w:rPr>
        <w:fldChar w:fldCharType="separate"/>
      </w:r>
      <w:r w:rsidRPr="003A7C92">
        <w:rPr>
          <w:rFonts w:ascii="Arial" w:hAnsi="Arial" w:cs="Arial"/>
        </w:rPr>
        <w:t>(Kouadio et al., 2017; Séry et al., 2016)</w:t>
      </w:r>
      <w:r w:rsidRPr="003A7C92">
        <w:rPr>
          <w:rFonts w:ascii="Arial" w:hAnsi="Arial" w:cs="Arial"/>
        </w:rPr>
        <w:fldChar w:fldCharType="end"/>
      </w:r>
      <w:r w:rsidRPr="003A7C92">
        <w:rPr>
          <w:rFonts w:ascii="Arial" w:hAnsi="Arial" w:cs="Arial"/>
        </w:rPr>
        <w:t xml:space="preserve">, despite their potential advantages in terms of adaptation to local soils, lower production costs, and wider accessibility for smallholder farmers. Therefore, comparing commercial inoculants with indigenous </w:t>
      </w:r>
      <w:proofErr w:type="spellStart"/>
      <w:r w:rsidRPr="003A7C92">
        <w:rPr>
          <w:rFonts w:ascii="Arial" w:hAnsi="Arial" w:cs="Arial"/>
        </w:rPr>
        <w:t>inocula</w:t>
      </w:r>
      <w:proofErr w:type="spellEnd"/>
      <w:r w:rsidRPr="003A7C92">
        <w:rPr>
          <w:rFonts w:ascii="Arial" w:hAnsi="Arial" w:cs="Arial"/>
        </w:rPr>
        <w:t xml:space="preserve"> is important for determining whether locally sourced AMF can provide an effective alternative to commercially available products.</w:t>
      </w:r>
    </w:p>
    <w:p w14:paraId="3112AED0" w14:textId="2E99D4D3" w:rsidR="00B01FCD" w:rsidRPr="003A7C92" w:rsidRDefault="00FE339B" w:rsidP="003A7C92">
      <w:pPr>
        <w:pStyle w:val="Body"/>
        <w:spacing w:after="0"/>
        <w:rPr>
          <w:rFonts w:ascii="Arial" w:hAnsi="Arial" w:cs="Arial"/>
        </w:rPr>
      </w:pPr>
      <w:r w:rsidRPr="003A7C92">
        <w:rPr>
          <w:rFonts w:ascii="Arial" w:hAnsi="Arial" w:cs="Arial"/>
        </w:rPr>
        <w:lastRenderedPageBreak/>
        <w:t xml:space="preserve">The present study was designed to assess the effects of one commercial and two locally produced AMF inoculants on </w:t>
      </w:r>
      <w:r w:rsidRPr="003A7C92">
        <w:rPr>
          <w:rFonts w:ascii="Arial" w:hAnsi="Arial" w:cs="Arial"/>
          <w:i/>
          <w:iCs/>
        </w:rPr>
        <w:t xml:space="preserve">Solanum </w:t>
      </w:r>
      <w:proofErr w:type="spellStart"/>
      <w:r w:rsidRPr="003A7C92">
        <w:rPr>
          <w:rFonts w:ascii="Arial" w:hAnsi="Arial" w:cs="Arial"/>
          <w:i/>
          <w:iCs/>
        </w:rPr>
        <w:t>aethiopicum</w:t>
      </w:r>
      <w:proofErr w:type="spellEnd"/>
      <w:r w:rsidRPr="003A7C92">
        <w:rPr>
          <w:rFonts w:ascii="Arial" w:hAnsi="Arial" w:cs="Arial"/>
        </w:rPr>
        <w:t xml:space="preserve"> root mycorrhizal colonization and growth under greenhouse conditions in </w:t>
      </w:r>
      <w:proofErr w:type="spellStart"/>
      <w:r w:rsidRPr="003A7C92">
        <w:rPr>
          <w:rFonts w:ascii="Arial" w:hAnsi="Arial" w:cs="Arial"/>
        </w:rPr>
        <w:t>Daloa</w:t>
      </w:r>
      <w:proofErr w:type="spellEnd"/>
      <w:r w:rsidRPr="003A7C92">
        <w:rPr>
          <w:rFonts w:ascii="Arial" w:hAnsi="Arial" w:cs="Arial"/>
        </w:rPr>
        <w:t>, Côte d'Ivoire.</w:t>
      </w:r>
      <w:r w:rsidR="00260BF7">
        <w:rPr>
          <w:rFonts w:ascii="Arial" w:hAnsi="Arial" w:cs="Arial"/>
        </w:rPr>
        <w:t xml:space="preserve"> </w:t>
      </w:r>
      <w:r w:rsidRPr="003A7C92">
        <w:rPr>
          <w:rFonts w:ascii="Arial" w:hAnsi="Arial" w:cs="Arial"/>
        </w:rPr>
        <w:t xml:space="preserve">By comparing commercial and indigenous inoculants under standardized conditions, this study provides new evidence regarding the context-dependent effectiveness of AMF inoculation and contributes to the development of sustainable biofertilization strategies for African eggplant </w:t>
      </w:r>
      <w:r w:rsidR="00260BF7">
        <w:rPr>
          <w:rFonts w:ascii="Arial" w:hAnsi="Arial" w:cs="Arial"/>
        </w:rPr>
        <w:t>cultiva</w:t>
      </w:r>
      <w:r w:rsidRPr="003A7C92">
        <w:rPr>
          <w:rFonts w:ascii="Arial" w:hAnsi="Arial" w:cs="Arial"/>
        </w:rPr>
        <w:t>tion in West Africa</w:t>
      </w:r>
      <w:r w:rsidR="006B57D0" w:rsidRPr="003A7C92">
        <w:rPr>
          <w:rFonts w:ascii="Arial" w:hAnsi="Arial" w:cs="Arial"/>
        </w:rPr>
        <w:t>.</w:t>
      </w:r>
    </w:p>
    <w:p w14:paraId="34C9327C" w14:textId="77777777" w:rsidR="00790ADA" w:rsidRPr="00FB3A86" w:rsidRDefault="00790ADA" w:rsidP="00441B6F">
      <w:pPr>
        <w:pStyle w:val="Body"/>
        <w:spacing w:after="0"/>
        <w:rPr>
          <w:rFonts w:ascii="Arial" w:hAnsi="Arial" w:cs="Arial"/>
        </w:rPr>
      </w:pPr>
    </w:p>
    <w:p w14:paraId="25A29F7B" w14:textId="7563F3C6"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s</w:t>
      </w:r>
    </w:p>
    <w:p w14:paraId="6ACD02C1" w14:textId="77777777" w:rsidR="00790ADA" w:rsidRPr="00FB3A86" w:rsidRDefault="00790ADA" w:rsidP="00441B6F">
      <w:pPr>
        <w:pStyle w:val="AbstHead"/>
        <w:spacing w:after="0"/>
        <w:jc w:val="both"/>
        <w:rPr>
          <w:rFonts w:ascii="Arial" w:hAnsi="Arial" w:cs="Arial"/>
        </w:rPr>
      </w:pPr>
    </w:p>
    <w:p w14:paraId="5D7AF8B4" w14:textId="77777777" w:rsidR="00025C23" w:rsidRDefault="00025C23" w:rsidP="00441B6F">
      <w:pPr>
        <w:pStyle w:val="Body"/>
        <w:spacing w:after="0"/>
        <w:rPr>
          <w:rFonts w:ascii="Arial" w:hAnsi="Arial" w:cs="Arial"/>
        </w:rPr>
      </w:pPr>
    </w:p>
    <w:p w14:paraId="15E506BE" w14:textId="1C9DA321" w:rsidR="00025C23" w:rsidRPr="00025C23" w:rsidRDefault="00025C23" w:rsidP="00025C23">
      <w:pPr>
        <w:spacing w:line="360" w:lineRule="auto"/>
        <w:jc w:val="both"/>
        <w:rPr>
          <w:b/>
          <w:bCs/>
          <w:i/>
          <w:iCs/>
        </w:rPr>
      </w:pPr>
      <w:r w:rsidRPr="00C30A0F">
        <w:rPr>
          <w:rFonts w:ascii="Arial" w:hAnsi="Arial" w:cs="Arial"/>
          <w:b/>
          <w:caps/>
          <w:sz w:val="22"/>
        </w:rPr>
        <w:t xml:space="preserve">2.1 </w:t>
      </w:r>
      <w:r w:rsidRPr="00025C23">
        <w:rPr>
          <w:rFonts w:ascii="Arial" w:hAnsi="Arial" w:cs="Arial"/>
          <w:b/>
          <w:bCs/>
          <w:sz w:val="22"/>
          <w:szCs w:val="22"/>
        </w:rPr>
        <w:t>Plant material</w:t>
      </w:r>
    </w:p>
    <w:p w14:paraId="632021F3" w14:textId="77777777" w:rsidR="00790ADA" w:rsidRDefault="00790ADA" w:rsidP="00441B6F">
      <w:pPr>
        <w:pStyle w:val="Body"/>
        <w:spacing w:after="0"/>
        <w:rPr>
          <w:rFonts w:ascii="Arial" w:hAnsi="Arial" w:cs="Arial"/>
        </w:rPr>
      </w:pPr>
    </w:p>
    <w:p w14:paraId="42FD7837" w14:textId="77777777" w:rsidR="00025C23" w:rsidRDefault="00025C23" w:rsidP="003A7C92">
      <w:pPr>
        <w:jc w:val="both"/>
        <w:rPr>
          <w:rFonts w:ascii="Arial" w:hAnsi="Arial" w:cs="Arial"/>
        </w:rPr>
      </w:pPr>
      <w:r w:rsidRPr="00025C23">
        <w:rPr>
          <w:rFonts w:ascii="Arial" w:hAnsi="Arial" w:cs="Arial"/>
        </w:rPr>
        <w:t xml:space="preserve">The eggplant seeds used in the experiment belonged to the BELLO variety. BELLO is an African eggplant cultivar belonging to the </w:t>
      </w:r>
      <w:r w:rsidRPr="00025C23">
        <w:rPr>
          <w:rFonts w:ascii="Arial" w:hAnsi="Arial" w:cs="Arial"/>
          <w:i/>
          <w:iCs/>
        </w:rPr>
        <w:t>Solanaceae</w:t>
      </w:r>
      <w:r w:rsidRPr="00025C23">
        <w:rPr>
          <w:rFonts w:ascii="Arial" w:hAnsi="Arial" w:cs="Arial"/>
        </w:rPr>
        <w:t xml:space="preserve"> family, characterized by a mild flavor and early maturity, with the first harvest occurring approximately 60 days after planting and a total crop cycle of about 85 days. The fruits are globular in shape and weigh approximately 50 g on average. At maturity, they are cream-colored with green stripes. The seeds were purchased from </w:t>
      </w:r>
      <w:proofErr w:type="spellStart"/>
      <w:r w:rsidRPr="00025C23">
        <w:rPr>
          <w:rFonts w:ascii="Arial" w:hAnsi="Arial" w:cs="Arial"/>
        </w:rPr>
        <w:t>Semivoire</w:t>
      </w:r>
      <w:proofErr w:type="spellEnd"/>
      <w:r w:rsidRPr="00025C23">
        <w:rPr>
          <w:rFonts w:ascii="Arial" w:hAnsi="Arial" w:cs="Arial"/>
        </w:rPr>
        <w:t>, a commercial seed supplier.</w:t>
      </w:r>
    </w:p>
    <w:p w14:paraId="3F87B5EB" w14:textId="77777777" w:rsidR="00025C23" w:rsidRDefault="00025C23" w:rsidP="00025C23">
      <w:pPr>
        <w:spacing w:line="360" w:lineRule="auto"/>
        <w:jc w:val="both"/>
        <w:rPr>
          <w:rFonts w:ascii="Arial" w:hAnsi="Arial" w:cs="Arial"/>
        </w:rPr>
      </w:pPr>
    </w:p>
    <w:p w14:paraId="7D8F155A" w14:textId="77777777" w:rsidR="00025C23" w:rsidRPr="00025C23" w:rsidRDefault="00025C23" w:rsidP="00025C23">
      <w:pPr>
        <w:spacing w:line="360" w:lineRule="auto"/>
        <w:jc w:val="both"/>
        <w:rPr>
          <w:rFonts w:ascii="Arial" w:hAnsi="Arial" w:cs="Arial"/>
          <w:b/>
          <w:bCs/>
          <w:i/>
          <w:iCs/>
          <w:sz w:val="22"/>
          <w:szCs w:val="22"/>
          <w:lang w:val="en-GB"/>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sidRPr="00025C23">
        <w:rPr>
          <w:rFonts w:ascii="Arial" w:hAnsi="Arial" w:cs="Arial"/>
          <w:b/>
          <w:bCs/>
          <w:sz w:val="22"/>
          <w:szCs w:val="22"/>
          <w:lang w:val="en-GB"/>
        </w:rPr>
        <w:t>Arbuscular mycorrhizal Fungi inoculants</w:t>
      </w:r>
    </w:p>
    <w:p w14:paraId="29E16A94" w14:textId="77777777" w:rsidR="00025C23" w:rsidRDefault="00025C23" w:rsidP="003A7C92">
      <w:pPr>
        <w:jc w:val="both"/>
        <w:rPr>
          <w:rFonts w:ascii="Arial" w:hAnsi="Arial" w:cs="Arial"/>
        </w:rPr>
      </w:pPr>
      <w:r w:rsidRPr="00025C23">
        <w:rPr>
          <w:rFonts w:ascii="Arial" w:hAnsi="Arial" w:cs="Arial"/>
        </w:rPr>
        <w:t xml:space="preserve">The fungal material used consisted of three mycorrhizal inoculants belonging to two categories: commercial and indigenous inoculants. The indigenous </w:t>
      </w:r>
      <w:proofErr w:type="spellStart"/>
      <w:r w:rsidRPr="00025C23">
        <w:rPr>
          <w:rFonts w:ascii="Arial" w:hAnsi="Arial" w:cs="Arial"/>
        </w:rPr>
        <w:t>inocula</w:t>
      </w:r>
      <w:proofErr w:type="spellEnd"/>
      <w:r w:rsidRPr="00025C23">
        <w:rPr>
          <w:rFonts w:ascii="Arial" w:hAnsi="Arial" w:cs="Arial"/>
        </w:rPr>
        <w:t xml:space="preserve"> consisted of mixtures of soil, AMF spores, and root fragments collected from the rhizosphere of cassava and maize fields. The commercial inoculant was supplied by the Quebec-based company Premier Tech Biotechnologies (PTB), which is recognized as one of the world’s leading producers and suppliers of mycorrhizal inoculants.</w:t>
      </w:r>
    </w:p>
    <w:p w14:paraId="2684405C" w14:textId="77777777" w:rsidR="00025C23" w:rsidRDefault="00025C23" w:rsidP="00025C23">
      <w:pPr>
        <w:spacing w:line="360" w:lineRule="auto"/>
        <w:jc w:val="both"/>
        <w:rPr>
          <w:rFonts w:ascii="Arial" w:hAnsi="Arial" w:cs="Arial"/>
        </w:rPr>
      </w:pPr>
    </w:p>
    <w:p w14:paraId="259FF112" w14:textId="77777777" w:rsidR="00025C23" w:rsidRPr="00025C23" w:rsidRDefault="00025C23" w:rsidP="00025C23">
      <w:pPr>
        <w:spacing w:line="360" w:lineRule="auto"/>
        <w:jc w:val="both"/>
        <w:rPr>
          <w:rFonts w:ascii="Arial" w:hAnsi="Arial" w:cs="Arial"/>
          <w:b/>
          <w:bCs/>
          <w:i/>
          <w:iCs/>
          <w:sz w:val="22"/>
          <w:szCs w:val="22"/>
          <w:lang w:val="en-GB"/>
        </w:rPr>
      </w:pPr>
      <w:r w:rsidRPr="00C30A0F">
        <w:rPr>
          <w:rFonts w:ascii="Arial" w:hAnsi="Arial" w:cs="Arial"/>
          <w:b/>
          <w:caps/>
          <w:sz w:val="22"/>
        </w:rPr>
        <w:t>2.</w:t>
      </w:r>
      <w:r>
        <w:rPr>
          <w:rFonts w:ascii="Arial" w:hAnsi="Arial" w:cs="Arial"/>
          <w:b/>
          <w:caps/>
          <w:sz w:val="22"/>
        </w:rPr>
        <w:t>3</w:t>
      </w:r>
      <w:r w:rsidRPr="00C30A0F">
        <w:rPr>
          <w:rFonts w:ascii="Arial" w:hAnsi="Arial" w:cs="Arial"/>
          <w:b/>
          <w:caps/>
          <w:sz w:val="22"/>
        </w:rPr>
        <w:t xml:space="preserve"> </w:t>
      </w:r>
      <w:r w:rsidRPr="00025C23">
        <w:rPr>
          <w:rFonts w:ascii="Arial" w:hAnsi="Arial" w:cs="Arial"/>
          <w:b/>
          <w:bCs/>
          <w:sz w:val="22"/>
          <w:szCs w:val="22"/>
          <w:lang w:val="en-GB"/>
        </w:rPr>
        <w:t>Experimental design, culture condition and data collection</w:t>
      </w:r>
    </w:p>
    <w:p w14:paraId="745A041B" w14:textId="77777777" w:rsidR="00025C23" w:rsidRDefault="00025C23" w:rsidP="003A7C92">
      <w:pPr>
        <w:jc w:val="both"/>
        <w:rPr>
          <w:rFonts w:ascii="Arial" w:hAnsi="Arial" w:cs="Arial"/>
        </w:rPr>
      </w:pPr>
      <w:r w:rsidRPr="00025C23">
        <w:rPr>
          <w:rFonts w:ascii="Arial" w:hAnsi="Arial" w:cs="Arial"/>
        </w:rPr>
        <w:t xml:space="preserve">To establish the nursery, eggplant seeds of the ‘Bello’ cultivar obtained from </w:t>
      </w:r>
      <w:proofErr w:type="spellStart"/>
      <w:r w:rsidRPr="00025C23">
        <w:rPr>
          <w:rFonts w:ascii="Arial" w:hAnsi="Arial" w:cs="Arial"/>
        </w:rPr>
        <w:t>Semivoire</w:t>
      </w:r>
      <w:proofErr w:type="spellEnd"/>
      <w:r w:rsidRPr="00025C23">
        <w:rPr>
          <w:rFonts w:ascii="Arial" w:hAnsi="Arial" w:cs="Arial"/>
        </w:rPr>
        <w:t xml:space="preserve"> were sown in perforated plastic trays to allow excess irrigation water to drain. The trays were filled with previously sterilized potting soil. The seedlings were watered once every two days. After reaching the four leaves stage, each plant was transplanted into a 3-L pot containing a substrate consisting of a mixture of sand and potting soil (1:2, v/v). The substrate was previously sterilized by autoclaving at 121 °C for 15 min, twice at a 24-h interval. </w:t>
      </w:r>
    </w:p>
    <w:p w14:paraId="5AD8C0F2" w14:textId="77777777" w:rsidR="00025C23" w:rsidRPr="00025C23" w:rsidRDefault="00025C23" w:rsidP="003A7C92">
      <w:pPr>
        <w:jc w:val="both"/>
        <w:rPr>
          <w:rFonts w:ascii="Arial" w:hAnsi="Arial" w:cs="Arial"/>
        </w:rPr>
      </w:pPr>
    </w:p>
    <w:p w14:paraId="3C5C68EF" w14:textId="77777777" w:rsidR="00025C23" w:rsidRDefault="00025C23" w:rsidP="003A7C92">
      <w:pPr>
        <w:jc w:val="both"/>
        <w:rPr>
          <w:rFonts w:ascii="Arial" w:hAnsi="Arial" w:cs="Arial"/>
        </w:rPr>
      </w:pPr>
      <w:r w:rsidRPr="00025C23">
        <w:rPr>
          <w:rFonts w:ascii="Arial" w:hAnsi="Arial" w:cs="Arial"/>
        </w:rPr>
        <w:t>Seedlings were inoculated with AMF at the time of transplanting. Plants were inoculated with 200 g plant</w:t>
      </w:r>
      <w:r w:rsidRPr="00025C23">
        <w:rPr>
          <w:rFonts w:ascii="Cambria Math" w:hAnsi="Cambria Math" w:cs="Cambria Math"/>
        </w:rPr>
        <w:t>⁻</w:t>
      </w:r>
      <w:r w:rsidRPr="00025C23">
        <w:rPr>
          <w:rFonts w:ascii="Arial" w:hAnsi="Arial" w:cs="Arial"/>
        </w:rPr>
        <w:t xml:space="preserve">¹ of the indigenous </w:t>
      </w:r>
      <w:proofErr w:type="spellStart"/>
      <w:r w:rsidRPr="00025C23">
        <w:rPr>
          <w:rFonts w:ascii="Arial" w:hAnsi="Arial" w:cs="Arial"/>
        </w:rPr>
        <w:t>inocula</w:t>
      </w:r>
      <w:proofErr w:type="spellEnd"/>
      <w:r w:rsidRPr="00025C23">
        <w:rPr>
          <w:rFonts w:ascii="Arial" w:hAnsi="Arial" w:cs="Arial"/>
        </w:rPr>
        <w:t>, containing 200 AMF spores along with unquantified mycorrhizal propagules per plant. For the commercial inoculant, 15 g plant</w:t>
      </w:r>
      <w:r w:rsidRPr="00025C23">
        <w:rPr>
          <w:rFonts w:ascii="Cambria Math" w:hAnsi="Cambria Math" w:cs="Cambria Math"/>
        </w:rPr>
        <w:t>⁻</w:t>
      </w:r>
      <w:r w:rsidRPr="00025C23">
        <w:rPr>
          <w:rFonts w:ascii="Arial" w:hAnsi="Arial" w:cs="Arial"/>
        </w:rPr>
        <w:t xml:space="preserve">¹ was applied, containing 7500 AMF spores along with unquantified mycorrhizal propagules per plant. The inoculants were placed in the planting holes in close proximity to the roots, following the application instructions provided for the commercial mycorrhizal inoculant supplied by Premier Tech Biotechnologies (PTB). </w:t>
      </w:r>
    </w:p>
    <w:p w14:paraId="5D846831" w14:textId="77777777" w:rsidR="00025C23" w:rsidRPr="00025C23" w:rsidRDefault="00025C23" w:rsidP="003A7C92">
      <w:pPr>
        <w:jc w:val="both"/>
        <w:rPr>
          <w:rFonts w:ascii="Arial" w:hAnsi="Arial" w:cs="Arial"/>
        </w:rPr>
      </w:pPr>
    </w:p>
    <w:p w14:paraId="40326CAB" w14:textId="77777777" w:rsidR="00025C23" w:rsidRDefault="00025C23" w:rsidP="003A7C92">
      <w:pPr>
        <w:jc w:val="both"/>
        <w:rPr>
          <w:rFonts w:ascii="Arial" w:hAnsi="Arial" w:cs="Arial"/>
        </w:rPr>
      </w:pPr>
      <w:r w:rsidRPr="00025C23">
        <w:rPr>
          <w:rFonts w:ascii="Arial" w:hAnsi="Arial" w:cs="Arial"/>
        </w:rPr>
        <w:t>For this experiment, a completely randomized design was used, with seven replicates and four treatments: the commercial mycorrhizal inoculant (</w:t>
      </w:r>
      <w:proofErr w:type="spellStart"/>
      <w:r w:rsidRPr="00025C23">
        <w:rPr>
          <w:rFonts w:ascii="Arial" w:hAnsi="Arial" w:cs="Arial"/>
        </w:rPr>
        <w:t>CoM</w:t>
      </w:r>
      <w:proofErr w:type="spellEnd"/>
      <w:r w:rsidRPr="00025C23">
        <w:rPr>
          <w:rFonts w:ascii="Arial" w:hAnsi="Arial" w:cs="Arial"/>
        </w:rPr>
        <w:t>), the indigenous mycorrhizal inoculum from a cassava field (</w:t>
      </w:r>
      <w:proofErr w:type="spellStart"/>
      <w:r w:rsidRPr="00025C23">
        <w:rPr>
          <w:rFonts w:ascii="Arial" w:hAnsi="Arial" w:cs="Arial"/>
        </w:rPr>
        <w:t>CaM</w:t>
      </w:r>
      <w:proofErr w:type="spellEnd"/>
      <w:r w:rsidRPr="00025C23">
        <w:rPr>
          <w:rFonts w:ascii="Arial" w:hAnsi="Arial" w:cs="Arial"/>
        </w:rPr>
        <w:t>), the indigenous mycorrhizal inoculum from a maize field (</w:t>
      </w:r>
      <w:proofErr w:type="spellStart"/>
      <w:r w:rsidRPr="00025C23">
        <w:rPr>
          <w:rFonts w:ascii="Arial" w:hAnsi="Arial" w:cs="Arial"/>
        </w:rPr>
        <w:t>MaM</w:t>
      </w:r>
      <w:proofErr w:type="spellEnd"/>
      <w:r w:rsidRPr="00025C23">
        <w:rPr>
          <w:rFonts w:ascii="Arial" w:hAnsi="Arial" w:cs="Arial"/>
        </w:rPr>
        <w:t>), and an uninoculated control.</w:t>
      </w:r>
    </w:p>
    <w:p w14:paraId="77B44F8E" w14:textId="77777777" w:rsidR="00025C23" w:rsidRPr="00025C23" w:rsidRDefault="00025C23" w:rsidP="003A7C92">
      <w:pPr>
        <w:jc w:val="both"/>
        <w:rPr>
          <w:rFonts w:ascii="Arial" w:hAnsi="Arial" w:cs="Arial"/>
        </w:rPr>
      </w:pPr>
    </w:p>
    <w:p w14:paraId="697FBFC6" w14:textId="77777777" w:rsidR="00025C23" w:rsidRPr="00025C23" w:rsidRDefault="00025C23" w:rsidP="003A7C92">
      <w:pPr>
        <w:jc w:val="both"/>
        <w:rPr>
          <w:rFonts w:ascii="Arial" w:hAnsi="Arial" w:cs="Arial"/>
        </w:rPr>
      </w:pPr>
      <w:r w:rsidRPr="00025C23">
        <w:rPr>
          <w:rFonts w:ascii="Arial" w:hAnsi="Arial" w:cs="Arial"/>
        </w:rPr>
        <w:lastRenderedPageBreak/>
        <w:t xml:space="preserve">Following transplanting, the plants were irrigated once every two days and maintained under greenhouse conditions for 60 days until flowering. Agronomic data such as plant height, collar diameter, number of leaves were recorded at seven-day intervals. At the end of the experiment, the number of flower buds and fresh aboveground and belowground biomass </w:t>
      </w:r>
      <w:proofErr w:type="gramStart"/>
      <w:r w:rsidRPr="00025C23">
        <w:rPr>
          <w:rFonts w:ascii="Arial" w:hAnsi="Arial" w:cs="Arial"/>
        </w:rPr>
        <w:t>were</w:t>
      </w:r>
      <w:proofErr w:type="gramEnd"/>
      <w:r w:rsidRPr="00025C23">
        <w:rPr>
          <w:rFonts w:ascii="Arial" w:hAnsi="Arial" w:cs="Arial"/>
        </w:rPr>
        <w:t xml:space="preserve"> also recorded. Mycorrhizal colonization frequency and intensity were assessed 40 days after transplanting.</w:t>
      </w:r>
    </w:p>
    <w:p w14:paraId="427099F8" w14:textId="03F01483" w:rsidR="00025C23" w:rsidRDefault="00025C23" w:rsidP="00025C23">
      <w:pPr>
        <w:spacing w:line="360" w:lineRule="auto"/>
        <w:jc w:val="both"/>
        <w:rPr>
          <w:rFonts w:ascii="Arial" w:hAnsi="Arial" w:cs="Arial"/>
          <w:b/>
          <w:bCs/>
          <w:sz w:val="22"/>
          <w:szCs w:val="22"/>
        </w:rPr>
      </w:pPr>
    </w:p>
    <w:p w14:paraId="46C28D01" w14:textId="77777777" w:rsidR="00025C23" w:rsidRPr="00025C23" w:rsidRDefault="00025C23" w:rsidP="00025C23">
      <w:pPr>
        <w:spacing w:line="360" w:lineRule="auto"/>
        <w:jc w:val="both"/>
        <w:rPr>
          <w:rFonts w:ascii="Arial" w:hAnsi="Arial" w:cs="Arial"/>
          <w:b/>
          <w:bCs/>
          <w:i/>
          <w:iCs/>
          <w:sz w:val="22"/>
          <w:szCs w:val="22"/>
          <w:lang w:val="en-GB"/>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025C23">
        <w:rPr>
          <w:rFonts w:ascii="Arial" w:hAnsi="Arial" w:cs="Arial"/>
          <w:b/>
          <w:bCs/>
          <w:sz w:val="22"/>
          <w:szCs w:val="22"/>
          <w:lang w:val="en-GB"/>
        </w:rPr>
        <w:t>Statistical analysis</w:t>
      </w:r>
    </w:p>
    <w:p w14:paraId="4E641B80" w14:textId="142EE6CD" w:rsidR="00025C23" w:rsidRPr="00025C23" w:rsidRDefault="00025C23" w:rsidP="003A7C92">
      <w:pPr>
        <w:jc w:val="both"/>
        <w:rPr>
          <w:rFonts w:ascii="Arial" w:hAnsi="Arial" w:cs="Arial"/>
        </w:rPr>
      </w:pPr>
      <w:r w:rsidRPr="00025C23">
        <w:rPr>
          <w:rFonts w:ascii="Arial" w:hAnsi="Arial" w:cs="Arial"/>
        </w:rPr>
        <w:t>Statistical analyses were performed using Statistica software, version 7.1. The effects of the treatments on agronomic and mycorrhizal colonization parameters were assessed using a one-way analysis of variance (ANOVA). The assumptions of normality of model residuals and homogeneity of variances were assessed before analysis. When the ANOVA indicated a significant treatment effect, means were compared using Fisher’s least significant difference (LSD) test at the 5% significance level.</w:t>
      </w:r>
    </w:p>
    <w:p w14:paraId="64D813E6" w14:textId="0E0257EC" w:rsidR="00E66E10" w:rsidRDefault="00E66E10" w:rsidP="00441B6F">
      <w:pPr>
        <w:pStyle w:val="Body"/>
        <w:spacing w:after="0"/>
        <w:rPr>
          <w:rFonts w:ascii="Arial" w:hAnsi="Arial" w:cs="Arial"/>
        </w:rPr>
      </w:pPr>
    </w:p>
    <w:p w14:paraId="61201B09" w14:textId="77777777" w:rsidR="00790ADA" w:rsidRPr="00FB3A86" w:rsidRDefault="00790ADA" w:rsidP="00441B6F">
      <w:pPr>
        <w:pStyle w:val="Body"/>
        <w:spacing w:after="0"/>
        <w:rPr>
          <w:rFonts w:ascii="Arial" w:hAnsi="Arial" w:cs="Arial"/>
        </w:rPr>
      </w:pPr>
    </w:p>
    <w:p w14:paraId="27BA063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68DD6BC" w14:textId="77777777" w:rsidR="00790ADA" w:rsidRPr="00FB3A86" w:rsidRDefault="00790ADA" w:rsidP="00441B6F">
      <w:pPr>
        <w:pStyle w:val="Head1"/>
        <w:spacing w:after="0"/>
        <w:jc w:val="both"/>
        <w:rPr>
          <w:rFonts w:ascii="Arial" w:hAnsi="Arial" w:cs="Arial"/>
        </w:rPr>
      </w:pPr>
    </w:p>
    <w:p w14:paraId="30EE614D" w14:textId="67A2D71F" w:rsidR="00790ADA" w:rsidRPr="00F5714A" w:rsidRDefault="00025C23" w:rsidP="00F5714A">
      <w:pPr>
        <w:pStyle w:val="Body"/>
        <w:rPr>
          <w:rFonts w:ascii="Arial" w:hAnsi="Arial" w:cs="Arial"/>
          <w:b/>
          <w:bCs/>
          <w:i/>
          <w:iCs/>
          <w:sz w:val="22"/>
          <w:lang w:val="en-GB"/>
        </w:rPr>
      </w:pPr>
      <w:r>
        <w:rPr>
          <w:rFonts w:ascii="Arial" w:hAnsi="Arial" w:cs="Arial"/>
          <w:b/>
          <w:caps/>
          <w:sz w:val="22"/>
        </w:rPr>
        <w:t>3</w:t>
      </w:r>
      <w:r w:rsidRPr="00C30A0F">
        <w:rPr>
          <w:rFonts w:ascii="Arial" w:hAnsi="Arial" w:cs="Arial"/>
          <w:b/>
          <w:caps/>
          <w:sz w:val="22"/>
        </w:rPr>
        <w:t xml:space="preserve">.1 </w:t>
      </w:r>
      <w:r w:rsidRPr="00025C23">
        <w:rPr>
          <w:rFonts w:ascii="Arial" w:hAnsi="Arial" w:cs="Arial"/>
          <w:b/>
          <w:bCs/>
          <w:sz w:val="22"/>
          <w:lang w:val="en-GB"/>
        </w:rPr>
        <w:t>Mycorrhizal colonization frequency and intensity</w:t>
      </w:r>
    </w:p>
    <w:p w14:paraId="441790DA" w14:textId="18709AE6" w:rsidR="00502516" w:rsidRDefault="00F5714A" w:rsidP="00441B6F">
      <w:pPr>
        <w:pStyle w:val="Body"/>
        <w:spacing w:after="0"/>
        <w:rPr>
          <w:rFonts w:ascii="Arial" w:hAnsi="Arial" w:cs="Arial"/>
          <w:lang w:val="en-GB"/>
        </w:rPr>
      </w:pPr>
      <w:r w:rsidRPr="00F5714A">
        <w:rPr>
          <w:rFonts w:ascii="Arial" w:hAnsi="Arial" w:cs="Arial"/>
          <w:lang w:val="en-GB"/>
        </w:rPr>
        <w:t>Significant differences were observed among treatments in terms of mycorrhizal colonization frequency and intensity (</w:t>
      </w:r>
      <w:r w:rsidRPr="00F5714A">
        <w:rPr>
          <w:rFonts w:ascii="Arial" w:hAnsi="Arial" w:cs="Arial"/>
          <w:lang w:val="en-GB"/>
        </w:rPr>
        <w:fldChar w:fldCharType="begin"/>
      </w:r>
      <w:r w:rsidRPr="00F5714A">
        <w:rPr>
          <w:rFonts w:ascii="Arial" w:hAnsi="Arial" w:cs="Arial"/>
          <w:lang w:val="en-GB"/>
        </w:rPr>
        <w:instrText xml:space="preserve"> REF _Ref240466320 \h  \* MERGEFORMAT </w:instrText>
      </w:r>
      <w:r w:rsidRPr="00F5714A">
        <w:rPr>
          <w:rFonts w:ascii="Arial" w:hAnsi="Arial" w:cs="Arial"/>
          <w:lang w:val="en-GB"/>
        </w:rPr>
      </w:r>
      <w:r w:rsidRPr="00F5714A">
        <w:rPr>
          <w:rFonts w:ascii="Arial" w:hAnsi="Arial" w:cs="Arial"/>
          <w:lang w:val="en-GB"/>
        </w:rPr>
        <w:fldChar w:fldCharType="separate"/>
      </w:r>
      <w:r w:rsidRPr="00F5714A">
        <w:rPr>
          <w:rFonts w:ascii="Arial" w:hAnsi="Arial" w:cs="Arial"/>
          <w:lang w:val="en-GB"/>
        </w:rPr>
        <w:t>Figure 1</w:t>
      </w:r>
      <w:r w:rsidRPr="00F5714A">
        <w:rPr>
          <w:rFonts w:ascii="Arial" w:hAnsi="Arial" w:cs="Arial"/>
        </w:rPr>
        <w:fldChar w:fldCharType="end"/>
      </w:r>
      <w:r w:rsidRPr="00F5714A">
        <w:rPr>
          <w:rFonts w:ascii="Arial" w:hAnsi="Arial" w:cs="Arial"/>
          <w:lang w:val="en-GB"/>
        </w:rPr>
        <w:t>). Complete absence of mycorrhizal colonization was observed in the roots of non-inoculated plants. In contrast, all inoculated plants were successfully colonized by AMF 40 days after transplanting, with mycorrhizal colonization frequencies exceeding 50% across all inoculated treatments</w:t>
      </w:r>
      <w:r>
        <w:rPr>
          <w:rFonts w:ascii="Arial" w:hAnsi="Arial" w:cs="Arial"/>
          <w:lang w:val="en-GB"/>
        </w:rPr>
        <w:t xml:space="preserve"> </w:t>
      </w:r>
      <w:r w:rsidRPr="00F5714A">
        <w:rPr>
          <w:rFonts w:ascii="Arial" w:hAnsi="Arial" w:cs="Arial"/>
          <w:lang w:val="en-GB"/>
        </w:rPr>
        <w:t>(</w:t>
      </w:r>
      <w:r w:rsidRPr="00F5714A">
        <w:rPr>
          <w:rFonts w:ascii="Arial" w:hAnsi="Arial" w:cs="Arial"/>
          <w:lang w:val="en-GB"/>
        </w:rPr>
        <w:fldChar w:fldCharType="begin"/>
      </w:r>
      <w:r w:rsidRPr="00F5714A">
        <w:rPr>
          <w:rFonts w:ascii="Arial" w:hAnsi="Arial" w:cs="Arial"/>
          <w:lang w:val="en-GB"/>
        </w:rPr>
        <w:instrText xml:space="preserve"> REF _Ref240466320 \h  \* MERGEFORMAT </w:instrText>
      </w:r>
      <w:r w:rsidRPr="00F5714A">
        <w:rPr>
          <w:rFonts w:ascii="Arial" w:hAnsi="Arial" w:cs="Arial"/>
          <w:lang w:val="en-GB"/>
        </w:rPr>
      </w:r>
      <w:r w:rsidRPr="00F5714A">
        <w:rPr>
          <w:rFonts w:ascii="Arial" w:hAnsi="Arial" w:cs="Arial"/>
          <w:lang w:val="en-GB"/>
        </w:rPr>
        <w:fldChar w:fldCharType="separate"/>
      </w:r>
      <w:r w:rsidRPr="00F5714A">
        <w:rPr>
          <w:rFonts w:ascii="Arial" w:hAnsi="Arial" w:cs="Arial"/>
          <w:lang w:val="en-GB"/>
        </w:rPr>
        <w:t>Figure 1</w:t>
      </w:r>
      <w:r w:rsidRPr="00F5714A">
        <w:rPr>
          <w:rFonts w:ascii="Arial" w:hAnsi="Arial" w:cs="Arial"/>
        </w:rPr>
        <w:fldChar w:fldCharType="end"/>
      </w:r>
      <w:r w:rsidRPr="00F5714A">
        <w:rPr>
          <w:rFonts w:ascii="Arial" w:hAnsi="Arial" w:cs="Arial"/>
          <w:lang w:val="en-GB"/>
        </w:rPr>
        <w:t>). Fisher’s LSD post hoc test showed no significant differences among the three inoculated treatments, indicating that the significant overall treatment effect was primarily attributable to the absence of mycorrhizal colonization in the non-inoculated control</w:t>
      </w:r>
      <w:r>
        <w:rPr>
          <w:rFonts w:ascii="Arial" w:hAnsi="Arial" w:cs="Arial"/>
          <w:lang w:val="en-GB"/>
        </w:rPr>
        <w:t xml:space="preserve"> </w:t>
      </w:r>
      <w:r w:rsidRPr="00F5714A">
        <w:rPr>
          <w:rFonts w:ascii="Arial" w:hAnsi="Arial" w:cs="Arial"/>
          <w:lang w:val="en-GB"/>
        </w:rPr>
        <w:t>(</w:t>
      </w:r>
      <w:r w:rsidRPr="00F5714A">
        <w:rPr>
          <w:rFonts w:ascii="Arial" w:hAnsi="Arial" w:cs="Arial"/>
          <w:lang w:val="en-GB"/>
        </w:rPr>
        <w:fldChar w:fldCharType="begin"/>
      </w:r>
      <w:r w:rsidRPr="00F5714A">
        <w:rPr>
          <w:rFonts w:ascii="Arial" w:hAnsi="Arial" w:cs="Arial"/>
          <w:lang w:val="en-GB"/>
        </w:rPr>
        <w:instrText xml:space="preserve"> REF _Ref240466320 \h  \* MERGEFORMAT </w:instrText>
      </w:r>
      <w:r w:rsidRPr="00F5714A">
        <w:rPr>
          <w:rFonts w:ascii="Arial" w:hAnsi="Arial" w:cs="Arial"/>
          <w:lang w:val="en-GB"/>
        </w:rPr>
      </w:r>
      <w:r w:rsidRPr="00F5714A">
        <w:rPr>
          <w:rFonts w:ascii="Arial" w:hAnsi="Arial" w:cs="Arial"/>
          <w:lang w:val="en-GB"/>
        </w:rPr>
        <w:fldChar w:fldCharType="separate"/>
      </w:r>
      <w:r w:rsidRPr="00F5714A">
        <w:rPr>
          <w:rFonts w:ascii="Arial" w:hAnsi="Arial" w:cs="Arial"/>
          <w:lang w:val="en-GB"/>
        </w:rPr>
        <w:t>Figure 1</w:t>
      </w:r>
      <w:r w:rsidRPr="00F5714A">
        <w:rPr>
          <w:rFonts w:ascii="Arial" w:hAnsi="Arial" w:cs="Arial"/>
        </w:rPr>
        <w:fldChar w:fldCharType="end"/>
      </w:r>
      <w:r w:rsidRPr="00F5714A">
        <w:rPr>
          <w:rFonts w:ascii="Arial" w:hAnsi="Arial" w:cs="Arial"/>
          <w:lang w:val="en-GB"/>
        </w:rPr>
        <w:t>). A similar pattern was observed for mycorrhizal colonization intensity, with no significant differences among the inoculated treatments. However, colonization intensity was generally low (&lt;10%).</w:t>
      </w:r>
    </w:p>
    <w:p w14:paraId="75CF3F38" w14:textId="77777777" w:rsidR="00F5714A" w:rsidRDefault="00F5714A" w:rsidP="00441B6F">
      <w:pPr>
        <w:pStyle w:val="Body"/>
        <w:spacing w:after="0"/>
        <w:rPr>
          <w:rFonts w:ascii="Arial" w:hAnsi="Arial" w:cs="Arial"/>
          <w:lang w:val="en-GB"/>
        </w:rPr>
      </w:pPr>
    </w:p>
    <w:p w14:paraId="07432EDF" w14:textId="63CA0CE2" w:rsidR="00F5714A" w:rsidRDefault="00F5714A" w:rsidP="00441B6F">
      <w:pPr>
        <w:pStyle w:val="Body"/>
        <w:spacing w:after="0"/>
        <w:rPr>
          <w:rFonts w:ascii="Arial" w:hAnsi="Arial" w:cs="Arial"/>
          <w:lang w:val="en-GB"/>
        </w:rPr>
      </w:pPr>
      <w:r w:rsidRPr="00022245">
        <w:rPr>
          <w:noProof/>
        </w:rPr>
        <w:lastRenderedPageBreak/>
        <w:drawing>
          <wp:inline distT="0" distB="0" distL="0" distR="0" wp14:anchorId="595D1A9C" wp14:editId="63D2AAB6">
            <wp:extent cx="4618120" cy="5433531"/>
            <wp:effectExtent l="0" t="0" r="0" b="0"/>
            <wp:docPr id="30212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2290" name=""/>
                    <pic:cNvPicPr/>
                  </pic:nvPicPr>
                  <pic:blipFill>
                    <a:blip r:embed="rId14"/>
                    <a:stretch>
                      <a:fillRect/>
                    </a:stretch>
                  </pic:blipFill>
                  <pic:spPr>
                    <a:xfrm>
                      <a:off x="0" y="0"/>
                      <a:ext cx="4618120" cy="5433531"/>
                    </a:xfrm>
                    <a:prstGeom prst="rect">
                      <a:avLst/>
                    </a:prstGeom>
                  </pic:spPr>
                </pic:pic>
              </a:graphicData>
            </a:graphic>
          </wp:inline>
        </w:drawing>
      </w:r>
    </w:p>
    <w:p w14:paraId="24995B08" w14:textId="11FD207B" w:rsidR="00F5714A" w:rsidRPr="00DF0275" w:rsidRDefault="00F5714A" w:rsidP="00DF0275">
      <w:pPr>
        <w:autoSpaceDE w:val="0"/>
        <w:autoSpaceDN w:val="0"/>
        <w:adjustRightInd w:val="0"/>
        <w:jc w:val="both"/>
        <w:rPr>
          <w:rFonts w:ascii="Arial" w:hAnsi="Arial" w:cs="Arial"/>
          <w:b/>
          <w:bCs/>
          <w:szCs w:val="22"/>
        </w:rPr>
      </w:pPr>
      <w:bookmarkStart w:id="0" w:name="_Ref240466320"/>
      <w:bookmarkStart w:id="1" w:name="_Ref172840764"/>
      <w:bookmarkStart w:id="2" w:name="_Toc173959045"/>
      <w:r w:rsidRPr="00DF0275">
        <w:rPr>
          <w:rFonts w:ascii="Arial" w:hAnsi="Arial" w:cs="Arial"/>
          <w:b/>
          <w:bCs/>
          <w:szCs w:val="22"/>
        </w:rPr>
        <w:t>Fig</w:t>
      </w:r>
      <w:r w:rsidR="00DF0275">
        <w:rPr>
          <w:rFonts w:ascii="Arial" w:hAnsi="Arial" w:cs="Arial"/>
          <w:b/>
          <w:bCs/>
          <w:szCs w:val="22"/>
        </w:rPr>
        <w:t>.</w:t>
      </w:r>
      <w:r w:rsidRPr="00DF0275">
        <w:rPr>
          <w:rFonts w:ascii="Arial" w:hAnsi="Arial" w:cs="Arial"/>
          <w:b/>
          <w:bCs/>
          <w:szCs w:val="22"/>
        </w:rPr>
        <w:t xml:space="preserve"> </w:t>
      </w:r>
      <w:r w:rsidRPr="00DF0275">
        <w:rPr>
          <w:rFonts w:ascii="Arial" w:hAnsi="Arial" w:cs="Arial"/>
          <w:b/>
          <w:bCs/>
          <w:szCs w:val="22"/>
        </w:rPr>
        <w:fldChar w:fldCharType="begin"/>
      </w:r>
      <w:r w:rsidRPr="00DF0275">
        <w:rPr>
          <w:rFonts w:ascii="Arial" w:hAnsi="Arial" w:cs="Arial"/>
          <w:b/>
          <w:bCs/>
          <w:szCs w:val="22"/>
        </w:rPr>
        <w:instrText xml:space="preserve"> SEQ Figure \* ARABIC </w:instrText>
      </w:r>
      <w:r w:rsidRPr="00DF0275">
        <w:rPr>
          <w:rFonts w:ascii="Arial" w:hAnsi="Arial" w:cs="Arial"/>
          <w:b/>
          <w:bCs/>
          <w:szCs w:val="22"/>
        </w:rPr>
        <w:fldChar w:fldCharType="separate"/>
      </w:r>
      <w:r w:rsidRPr="00DF0275">
        <w:rPr>
          <w:rFonts w:ascii="Arial" w:hAnsi="Arial" w:cs="Arial"/>
          <w:b/>
          <w:bCs/>
          <w:szCs w:val="22"/>
        </w:rPr>
        <w:t>1</w:t>
      </w:r>
      <w:r w:rsidRPr="00DF0275">
        <w:rPr>
          <w:rFonts w:ascii="Arial" w:hAnsi="Arial" w:cs="Arial"/>
          <w:b/>
          <w:bCs/>
          <w:szCs w:val="22"/>
        </w:rPr>
        <w:fldChar w:fldCharType="end"/>
      </w:r>
      <w:bookmarkEnd w:id="0"/>
      <w:r w:rsidRPr="00DF0275">
        <w:rPr>
          <w:rFonts w:ascii="Arial" w:hAnsi="Arial" w:cs="Arial"/>
          <w:b/>
          <w:bCs/>
          <w:szCs w:val="22"/>
        </w:rPr>
        <w:t>:  Mycorrhizal colonization frequency (A). and intensity (B)</w:t>
      </w:r>
    </w:p>
    <w:bookmarkEnd w:id="1"/>
    <w:bookmarkEnd w:id="2"/>
    <w:p w14:paraId="0FB7AAE1" w14:textId="2A46178D" w:rsidR="00F5714A" w:rsidRPr="00F5714A" w:rsidRDefault="00F5714A" w:rsidP="00F5714A">
      <w:pPr>
        <w:pStyle w:val="Body"/>
        <w:spacing w:after="0"/>
        <w:rPr>
          <w:rFonts w:ascii="Arial" w:hAnsi="Arial" w:cs="Arial"/>
          <w:lang w:val="en-GB"/>
        </w:rPr>
      </w:pPr>
      <w:r w:rsidRPr="0068030B">
        <w:t xml:space="preserve">Bar graphs following the same letter in each graph are not significantly different at </w:t>
      </w:r>
      <w:r w:rsidRPr="00F83A88">
        <w:t>the 5% significance level</w:t>
      </w:r>
      <w:r>
        <w:t xml:space="preserve">. </w:t>
      </w:r>
      <w:proofErr w:type="spellStart"/>
      <w:r>
        <w:t>MaM</w:t>
      </w:r>
      <w:proofErr w:type="spellEnd"/>
      <w:r>
        <w:t xml:space="preserve">: Maize mycorrhizal inoculum; </w:t>
      </w:r>
      <w:proofErr w:type="spellStart"/>
      <w:r>
        <w:t>CoM</w:t>
      </w:r>
      <w:proofErr w:type="spellEnd"/>
      <w:r>
        <w:t xml:space="preserve">: Commercial mycorrhizal inoculant; </w:t>
      </w:r>
      <w:proofErr w:type="spellStart"/>
      <w:r>
        <w:t>CaM</w:t>
      </w:r>
      <w:proofErr w:type="spellEnd"/>
      <w:r>
        <w:t xml:space="preserve">: Cassava mycorrhizal inoculum; C: </w:t>
      </w:r>
      <w:proofErr w:type="gramStart"/>
      <w:r>
        <w:t>Control  with</w:t>
      </w:r>
      <w:proofErr w:type="gramEnd"/>
      <w:r>
        <w:t xml:space="preserve"> no mycorrhizal inoculum</w:t>
      </w:r>
    </w:p>
    <w:p w14:paraId="571CD8C8" w14:textId="77777777" w:rsidR="00790ADA" w:rsidRDefault="00790ADA" w:rsidP="00441B6F">
      <w:pPr>
        <w:pStyle w:val="Body"/>
        <w:spacing w:after="0"/>
        <w:rPr>
          <w:rFonts w:ascii="Arial" w:hAnsi="Arial" w:cs="Arial"/>
        </w:rPr>
      </w:pPr>
    </w:p>
    <w:p w14:paraId="48B3E448" w14:textId="77777777" w:rsidR="00F5714A" w:rsidRDefault="00F5714A" w:rsidP="00441B6F">
      <w:pPr>
        <w:pStyle w:val="Body"/>
        <w:spacing w:after="0"/>
        <w:rPr>
          <w:rFonts w:ascii="Arial" w:hAnsi="Arial" w:cs="Arial"/>
        </w:rPr>
      </w:pPr>
    </w:p>
    <w:p w14:paraId="18770471" w14:textId="77777777" w:rsidR="00F5714A" w:rsidRPr="00F5714A" w:rsidRDefault="00F5714A" w:rsidP="00F5714A">
      <w:pPr>
        <w:pStyle w:val="Body"/>
        <w:rPr>
          <w:rFonts w:ascii="Arial" w:hAnsi="Arial" w:cs="Arial"/>
          <w:b/>
          <w:bCs/>
          <w:i/>
          <w:iCs/>
          <w:sz w:val="22"/>
          <w:lang w:val="en-GB"/>
        </w:rPr>
      </w:pPr>
      <w:r>
        <w:rPr>
          <w:rFonts w:ascii="Arial" w:hAnsi="Arial" w:cs="Arial"/>
          <w:b/>
          <w:caps/>
          <w:sz w:val="22"/>
        </w:rPr>
        <w:t>3</w:t>
      </w:r>
      <w:r w:rsidRPr="00C30A0F">
        <w:rPr>
          <w:rFonts w:ascii="Arial" w:hAnsi="Arial" w:cs="Arial"/>
          <w:b/>
          <w:caps/>
          <w:sz w:val="22"/>
        </w:rPr>
        <w:t>.</w:t>
      </w:r>
      <w:r>
        <w:rPr>
          <w:rFonts w:ascii="Arial" w:hAnsi="Arial" w:cs="Arial"/>
          <w:b/>
          <w:caps/>
          <w:sz w:val="22"/>
        </w:rPr>
        <w:t>2</w:t>
      </w:r>
      <w:r w:rsidRPr="00C30A0F">
        <w:rPr>
          <w:rFonts w:ascii="Arial" w:hAnsi="Arial" w:cs="Arial"/>
          <w:b/>
          <w:caps/>
          <w:sz w:val="22"/>
        </w:rPr>
        <w:t xml:space="preserve"> </w:t>
      </w:r>
      <w:r w:rsidRPr="00F5714A">
        <w:rPr>
          <w:rFonts w:ascii="Arial" w:hAnsi="Arial" w:cs="Arial"/>
          <w:b/>
          <w:bCs/>
          <w:sz w:val="22"/>
          <w:lang w:val="en-GB"/>
        </w:rPr>
        <w:t>Plant height, collar diameter and number of leaves</w:t>
      </w:r>
    </w:p>
    <w:p w14:paraId="31854BB0" w14:textId="77777777" w:rsidR="00F5714A" w:rsidRDefault="00F5714A" w:rsidP="003A7C92">
      <w:pPr>
        <w:jc w:val="both"/>
        <w:rPr>
          <w:rFonts w:ascii="Arial" w:hAnsi="Arial" w:cs="Arial"/>
        </w:rPr>
      </w:pPr>
      <w:r w:rsidRPr="00F5714A">
        <w:rPr>
          <w:rFonts w:ascii="Arial" w:hAnsi="Arial" w:cs="Arial"/>
        </w:rPr>
        <w:t xml:space="preserve">No significant differences among treatments were observed in the effects of AMF inoculation on plant height, collar diameter, or number of leaves throughout the experimental period (Figure 2). The mean height of plants inoculated with the commercial inoculant </w:t>
      </w:r>
      <w:proofErr w:type="spellStart"/>
      <w:r w:rsidRPr="00F5714A">
        <w:rPr>
          <w:rFonts w:ascii="Arial" w:hAnsi="Arial" w:cs="Arial"/>
        </w:rPr>
        <w:t>CoM</w:t>
      </w:r>
      <w:proofErr w:type="spellEnd"/>
      <w:r w:rsidRPr="00F5714A">
        <w:rPr>
          <w:rFonts w:ascii="Arial" w:hAnsi="Arial" w:cs="Arial"/>
        </w:rPr>
        <w:t xml:space="preserve"> increased from 13.71 ± 2.49 cm during the first week of measurements to 36.29 ± 6.76 cm during the final week of measurements (Figure 2A). For plants inoculated with the indigenous inoculants </w:t>
      </w:r>
      <w:proofErr w:type="spellStart"/>
      <w:r w:rsidRPr="00F5714A">
        <w:rPr>
          <w:rFonts w:ascii="Arial" w:hAnsi="Arial" w:cs="Arial"/>
        </w:rPr>
        <w:t>CaM</w:t>
      </w:r>
      <w:proofErr w:type="spellEnd"/>
      <w:r w:rsidRPr="00F5714A">
        <w:rPr>
          <w:rFonts w:ascii="Arial" w:hAnsi="Arial" w:cs="Arial"/>
        </w:rPr>
        <w:t xml:space="preserve"> and </w:t>
      </w:r>
      <w:proofErr w:type="spellStart"/>
      <w:r w:rsidRPr="00F5714A">
        <w:rPr>
          <w:rFonts w:ascii="Arial" w:hAnsi="Arial" w:cs="Arial"/>
        </w:rPr>
        <w:t>MaM</w:t>
      </w:r>
      <w:proofErr w:type="spellEnd"/>
      <w:r w:rsidRPr="00F5714A">
        <w:rPr>
          <w:rFonts w:ascii="Arial" w:hAnsi="Arial" w:cs="Arial"/>
        </w:rPr>
        <w:t>, mean plant height increased from 13.81 ± 1.73 cm and 13.00 ± 2.49 cm, respectively, during the first week of measurements to 30.63 ± 6.88 cm and 34.13 ± 8.17 cm, respectively, during the final week of measurements (Figure 2A). Non-</w:t>
      </w:r>
      <w:r w:rsidRPr="00F5714A">
        <w:rPr>
          <w:rFonts w:ascii="Arial" w:hAnsi="Arial" w:cs="Arial"/>
        </w:rPr>
        <w:lastRenderedPageBreak/>
        <w:t>inoculated plants increased from 13.43 ± 1.59 cm during the first week of measurements to 34.00 ± 5.53 cm during the final week of measurements (Figure 2A).</w:t>
      </w:r>
    </w:p>
    <w:p w14:paraId="019B822D" w14:textId="77777777" w:rsidR="003A7C92" w:rsidRPr="00F5714A" w:rsidRDefault="003A7C92" w:rsidP="003A7C92">
      <w:pPr>
        <w:jc w:val="both"/>
        <w:rPr>
          <w:rFonts w:ascii="Arial" w:hAnsi="Arial" w:cs="Arial"/>
        </w:rPr>
      </w:pPr>
    </w:p>
    <w:p w14:paraId="61B5642B" w14:textId="77777777" w:rsidR="00F5714A" w:rsidRDefault="00F5714A" w:rsidP="003A7C92">
      <w:pPr>
        <w:jc w:val="both"/>
        <w:rPr>
          <w:rFonts w:ascii="Arial" w:hAnsi="Arial" w:cs="Arial"/>
        </w:rPr>
      </w:pPr>
      <w:r w:rsidRPr="00F5714A">
        <w:rPr>
          <w:rFonts w:ascii="Arial" w:hAnsi="Arial" w:cs="Arial"/>
        </w:rPr>
        <w:t xml:space="preserve">The collar diameter of plants inoculated with the commercial inoculant </w:t>
      </w:r>
      <w:proofErr w:type="spellStart"/>
      <w:r w:rsidRPr="00F5714A">
        <w:rPr>
          <w:rFonts w:ascii="Arial" w:hAnsi="Arial" w:cs="Arial"/>
        </w:rPr>
        <w:t>CoM</w:t>
      </w:r>
      <w:proofErr w:type="spellEnd"/>
      <w:r w:rsidRPr="00F5714A">
        <w:rPr>
          <w:rFonts w:ascii="Arial" w:hAnsi="Arial" w:cs="Arial"/>
        </w:rPr>
        <w:t xml:space="preserve"> increased from 3.67 ± 0.67 mm during the first week of measurements to 5.59 ± 0.61 mm during the final week of measurements (Figure 2B). For plants inoculated with the indigenous inoculants </w:t>
      </w:r>
      <w:proofErr w:type="spellStart"/>
      <w:r w:rsidRPr="00F5714A">
        <w:rPr>
          <w:rFonts w:ascii="Arial" w:hAnsi="Arial" w:cs="Arial"/>
        </w:rPr>
        <w:t>CaM</w:t>
      </w:r>
      <w:proofErr w:type="spellEnd"/>
      <w:r w:rsidRPr="00F5714A">
        <w:rPr>
          <w:rFonts w:ascii="Arial" w:hAnsi="Arial" w:cs="Arial"/>
        </w:rPr>
        <w:t xml:space="preserve"> and </w:t>
      </w:r>
      <w:proofErr w:type="spellStart"/>
      <w:r w:rsidRPr="00F5714A">
        <w:rPr>
          <w:rFonts w:ascii="Arial" w:hAnsi="Arial" w:cs="Arial"/>
        </w:rPr>
        <w:t>MaM</w:t>
      </w:r>
      <w:proofErr w:type="spellEnd"/>
      <w:r w:rsidRPr="00F5714A">
        <w:rPr>
          <w:rFonts w:ascii="Arial" w:hAnsi="Arial" w:cs="Arial"/>
        </w:rPr>
        <w:t>, collar diameter increased from 3.15 ± 0.36 mm and 3.55 ± 0.28 mm, respectively, during the first week of measurements to 5.43 ± 0.47 mm and 5.73 ± 0.36 mm, respectively, during the final week of measurements (Figure 2B). Non-inoculated plants increased from 3.20 ± 0.37 mm during the first week of measurements to 5.87 ± 0.61 mm during the final week of measurements (Figure 2B).</w:t>
      </w:r>
    </w:p>
    <w:p w14:paraId="07455D76" w14:textId="77777777" w:rsidR="003A7C92" w:rsidRPr="00F5714A" w:rsidRDefault="003A7C92" w:rsidP="003A7C92">
      <w:pPr>
        <w:jc w:val="both"/>
        <w:rPr>
          <w:rFonts w:ascii="Arial" w:hAnsi="Arial" w:cs="Arial"/>
        </w:rPr>
      </w:pPr>
    </w:p>
    <w:p w14:paraId="06D0BF89" w14:textId="77777777" w:rsidR="00F5714A" w:rsidRPr="00F5714A" w:rsidRDefault="00F5714A" w:rsidP="003A7C92">
      <w:pPr>
        <w:jc w:val="both"/>
        <w:rPr>
          <w:rFonts w:ascii="Arial" w:hAnsi="Arial" w:cs="Arial"/>
        </w:rPr>
      </w:pPr>
      <w:r w:rsidRPr="00F5714A">
        <w:rPr>
          <w:rFonts w:ascii="Arial" w:hAnsi="Arial" w:cs="Arial"/>
        </w:rPr>
        <w:t xml:space="preserve">The number of leaves of plants inoculated with the commercial inoculant </w:t>
      </w:r>
      <w:proofErr w:type="spellStart"/>
      <w:r w:rsidRPr="00F5714A">
        <w:rPr>
          <w:rFonts w:ascii="Arial" w:hAnsi="Arial" w:cs="Arial"/>
        </w:rPr>
        <w:t>CoM</w:t>
      </w:r>
      <w:proofErr w:type="spellEnd"/>
      <w:r w:rsidRPr="00F5714A">
        <w:rPr>
          <w:rFonts w:ascii="Arial" w:hAnsi="Arial" w:cs="Arial"/>
        </w:rPr>
        <w:t xml:space="preserve"> increased from 6.00 ± 0.73 during the first week of measurements to 17.00 ± 5.36 during the final week of measurements (Figure 2C). For plants inoculated with the indigenous inoculants </w:t>
      </w:r>
      <w:proofErr w:type="spellStart"/>
      <w:r w:rsidRPr="00F5714A">
        <w:rPr>
          <w:rFonts w:ascii="Arial" w:hAnsi="Arial" w:cs="Arial"/>
        </w:rPr>
        <w:t>CaM</w:t>
      </w:r>
      <w:proofErr w:type="spellEnd"/>
      <w:r w:rsidRPr="00F5714A">
        <w:rPr>
          <w:rFonts w:ascii="Arial" w:hAnsi="Arial" w:cs="Arial"/>
        </w:rPr>
        <w:t xml:space="preserve"> and </w:t>
      </w:r>
      <w:proofErr w:type="spellStart"/>
      <w:r w:rsidRPr="00F5714A">
        <w:rPr>
          <w:rFonts w:ascii="Arial" w:hAnsi="Arial" w:cs="Arial"/>
        </w:rPr>
        <w:t>MaM</w:t>
      </w:r>
      <w:proofErr w:type="spellEnd"/>
      <w:r w:rsidRPr="00F5714A">
        <w:rPr>
          <w:rFonts w:ascii="Arial" w:hAnsi="Arial" w:cs="Arial"/>
        </w:rPr>
        <w:t>, the mean number of leaves increased from 5.00 ± 0.66 and 5.00 ± 0.60, respectively, during the first week of measurements to 16.00 ± 1.79 and 16.00 ± 2.38, respectively, during the final week of measurements (Figure 2C). Non-inoculated plants increased from 5.00 ± 0.64 during the first week of measurements to 15.00 ± 1.68 during the final week of measurements (Figure 2C).</w:t>
      </w:r>
    </w:p>
    <w:p w14:paraId="11508C31" w14:textId="77777777" w:rsidR="00F5714A" w:rsidRPr="00F5714A" w:rsidRDefault="00F5714A" w:rsidP="003A7C92">
      <w:pPr>
        <w:jc w:val="both"/>
        <w:rPr>
          <w:rFonts w:ascii="Arial" w:hAnsi="Arial" w:cs="Arial"/>
        </w:rPr>
      </w:pPr>
      <w:r w:rsidRPr="00F5714A">
        <w:rPr>
          <w:rFonts w:ascii="Arial" w:hAnsi="Arial" w:cs="Arial"/>
        </w:rPr>
        <w:t>Overall, mycorrhizal inoculation did not significantly affect plant growth parameters compared with the non-inoculated control throughout the experimental period (Figure 2).</w:t>
      </w:r>
    </w:p>
    <w:p w14:paraId="48A54D09" w14:textId="28F223DE" w:rsidR="00F5714A" w:rsidRDefault="00F5714A" w:rsidP="00F5714A">
      <w:pPr>
        <w:pStyle w:val="Body"/>
        <w:rPr>
          <w:rFonts w:ascii="Arial" w:hAnsi="Arial" w:cs="Arial"/>
          <w:b/>
          <w:bCs/>
          <w:sz w:val="22"/>
        </w:rPr>
      </w:pPr>
    </w:p>
    <w:p w14:paraId="1E2D5B77" w14:textId="558058A4" w:rsidR="00DF0275" w:rsidRDefault="00DF0275" w:rsidP="00F5714A">
      <w:pPr>
        <w:pStyle w:val="Body"/>
        <w:rPr>
          <w:rFonts w:ascii="Arial" w:hAnsi="Arial" w:cs="Arial"/>
          <w:b/>
          <w:bCs/>
          <w:sz w:val="22"/>
        </w:rPr>
      </w:pPr>
      <w:r>
        <w:rPr>
          <w:b/>
          <w:bCs/>
          <w:noProof/>
        </w:rPr>
        <w:lastRenderedPageBreak/>
        <w:drawing>
          <wp:inline distT="0" distB="0" distL="0" distR="0" wp14:anchorId="67D94768" wp14:editId="67D2A549">
            <wp:extent cx="3492500" cy="2296978"/>
            <wp:effectExtent l="0" t="0" r="0" b="0"/>
            <wp:docPr id="80511174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24401" cy="2317959"/>
                    </a:xfrm>
                    <a:prstGeom prst="rect">
                      <a:avLst/>
                    </a:prstGeom>
                    <a:noFill/>
                  </pic:spPr>
                </pic:pic>
              </a:graphicData>
            </a:graphic>
          </wp:inline>
        </w:drawing>
      </w:r>
      <w:r>
        <w:rPr>
          <w:b/>
          <w:bCs/>
          <w:noProof/>
        </w:rPr>
        <w:drawing>
          <wp:inline distT="0" distB="0" distL="0" distR="0" wp14:anchorId="2BD22ABD" wp14:editId="7D24E7CF">
            <wp:extent cx="3492500" cy="2347239"/>
            <wp:effectExtent l="0" t="0" r="0" b="0"/>
            <wp:docPr id="3672902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12107" cy="2360417"/>
                    </a:xfrm>
                    <a:prstGeom prst="rect">
                      <a:avLst/>
                    </a:prstGeom>
                    <a:noFill/>
                  </pic:spPr>
                </pic:pic>
              </a:graphicData>
            </a:graphic>
          </wp:inline>
        </w:drawing>
      </w:r>
      <w:r>
        <w:rPr>
          <w:b/>
          <w:bCs/>
          <w:noProof/>
        </w:rPr>
        <w:drawing>
          <wp:inline distT="0" distB="0" distL="0" distR="0" wp14:anchorId="37D57035" wp14:editId="149FDAC6">
            <wp:extent cx="3492500" cy="2303455"/>
            <wp:effectExtent l="0" t="0" r="0" b="0"/>
            <wp:docPr id="9947485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13727" cy="2317455"/>
                    </a:xfrm>
                    <a:prstGeom prst="rect">
                      <a:avLst/>
                    </a:prstGeom>
                    <a:noFill/>
                  </pic:spPr>
                </pic:pic>
              </a:graphicData>
            </a:graphic>
          </wp:inline>
        </w:drawing>
      </w:r>
    </w:p>
    <w:p w14:paraId="3133E577" w14:textId="4B65BAB1" w:rsidR="00DF0275" w:rsidRPr="00DF0275" w:rsidRDefault="00DF0275" w:rsidP="00DF0275">
      <w:pPr>
        <w:autoSpaceDE w:val="0"/>
        <w:autoSpaceDN w:val="0"/>
        <w:adjustRightInd w:val="0"/>
        <w:jc w:val="both"/>
        <w:rPr>
          <w:rFonts w:ascii="Arial" w:hAnsi="Arial" w:cs="Arial"/>
          <w:b/>
          <w:bCs/>
          <w:szCs w:val="22"/>
        </w:rPr>
      </w:pPr>
      <w:r w:rsidRPr="00DF0275">
        <w:rPr>
          <w:rFonts w:ascii="Arial" w:hAnsi="Arial" w:cs="Arial"/>
          <w:b/>
          <w:bCs/>
          <w:szCs w:val="22"/>
        </w:rPr>
        <w:t>Fig</w:t>
      </w:r>
      <w:r>
        <w:rPr>
          <w:rFonts w:ascii="Arial" w:hAnsi="Arial" w:cs="Arial"/>
          <w:b/>
          <w:bCs/>
          <w:szCs w:val="22"/>
        </w:rPr>
        <w:t>.</w:t>
      </w:r>
      <w:r w:rsidRPr="00DF0275">
        <w:rPr>
          <w:rFonts w:ascii="Arial" w:hAnsi="Arial" w:cs="Arial"/>
          <w:b/>
          <w:bCs/>
          <w:szCs w:val="22"/>
        </w:rPr>
        <w:t xml:space="preserve"> </w:t>
      </w:r>
      <w:r w:rsidRPr="00DF0275">
        <w:rPr>
          <w:rFonts w:ascii="Arial" w:hAnsi="Arial" w:cs="Arial"/>
          <w:b/>
          <w:bCs/>
          <w:szCs w:val="22"/>
        </w:rPr>
        <w:fldChar w:fldCharType="begin"/>
      </w:r>
      <w:r w:rsidRPr="00DF0275">
        <w:rPr>
          <w:rFonts w:ascii="Arial" w:hAnsi="Arial" w:cs="Arial"/>
          <w:b/>
          <w:bCs/>
          <w:szCs w:val="22"/>
        </w:rPr>
        <w:instrText xml:space="preserve"> SEQ Figure \* ARABIC </w:instrText>
      </w:r>
      <w:r w:rsidRPr="00DF0275">
        <w:rPr>
          <w:rFonts w:ascii="Arial" w:hAnsi="Arial" w:cs="Arial"/>
          <w:b/>
          <w:bCs/>
          <w:szCs w:val="22"/>
        </w:rPr>
        <w:fldChar w:fldCharType="separate"/>
      </w:r>
      <w:r w:rsidRPr="00DF0275">
        <w:rPr>
          <w:rFonts w:ascii="Arial" w:hAnsi="Arial" w:cs="Arial"/>
          <w:b/>
          <w:bCs/>
          <w:szCs w:val="22"/>
        </w:rPr>
        <w:t>2</w:t>
      </w:r>
      <w:r w:rsidRPr="00DF0275">
        <w:rPr>
          <w:rFonts w:ascii="Arial" w:hAnsi="Arial" w:cs="Arial"/>
          <w:b/>
          <w:bCs/>
          <w:szCs w:val="22"/>
        </w:rPr>
        <w:fldChar w:fldCharType="end"/>
      </w:r>
      <w:r w:rsidRPr="00DF0275">
        <w:rPr>
          <w:rFonts w:ascii="Arial" w:hAnsi="Arial" w:cs="Arial"/>
          <w:b/>
          <w:bCs/>
          <w:szCs w:val="22"/>
        </w:rPr>
        <w:t>: Plant height, collar diameter and number of leaves from week 1 to week 7</w:t>
      </w:r>
    </w:p>
    <w:p w14:paraId="2EF6D4E8" w14:textId="77777777" w:rsidR="00DF0275" w:rsidRPr="009A3521" w:rsidRDefault="00DF0275" w:rsidP="00DF0275">
      <w:r w:rsidRPr="0068030B">
        <w:t xml:space="preserve">Bar graphs following the same letter in each </w:t>
      </w:r>
      <w:r>
        <w:t>week</w:t>
      </w:r>
      <w:r w:rsidRPr="0068030B">
        <w:t xml:space="preserve"> are not significantly different at </w:t>
      </w:r>
      <w:r w:rsidRPr="00F83A88">
        <w:t>the 5% significance level</w:t>
      </w:r>
      <w:r>
        <w:t xml:space="preserve">. </w:t>
      </w:r>
      <w:proofErr w:type="spellStart"/>
      <w:r>
        <w:t>MaM</w:t>
      </w:r>
      <w:proofErr w:type="spellEnd"/>
      <w:r>
        <w:t xml:space="preserve">: Maize mycorrhizal inoculum; </w:t>
      </w:r>
      <w:proofErr w:type="spellStart"/>
      <w:r>
        <w:t>CoM</w:t>
      </w:r>
      <w:proofErr w:type="spellEnd"/>
      <w:r>
        <w:t xml:space="preserve">: Commercial mycorrhizal inoculant; </w:t>
      </w:r>
      <w:proofErr w:type="spellStart"/>
      <w:r>
        <w:t>CaM</w:t>
      </w:r>
      <w:proofErr w:type="spellEnd"/>
      <w:r>
        <w:t>: Cassava mycorrhizal inoculum; C: Control with no mycorrhizal inoculum</w:t>
      </w:r>
    </w:p>
    <w:p w14:paraId="57967D95" w14:textId="77777777" w:rsidR="00DF0275" w:rsidRPr="00F5714A" w:rsidRDefault="00DF0275" w:rsidP="00F5714A">
      <w:pPr>
        <w:pStyle w:val="Body"/>
        <w:rPr>
          <w:rFonts w:ascii="Arial" w:hAnsi="Arial" w:cs="Arial"/>
          <w:b/>
          <w:bCs/>
          <w:sz w:val="22"/>
        </w:rPr>
      </w:pPr>
    </w:p>
    <w:p w14:paraId="64D6B04E" w14:textId="77777777" w:rsidR="00DF0275" w:rsidRPr="00DF0275" w:rsidRDefault="00DF0275" w:rsidP="00DF0275">
      <w:pPr>
        <w:pStyle w:val="Body"/>
        <w:rPr>
          <w:rFonts w:ascii="Arial" w:hAnsi="Arial" w:cs="Arial"/>
          <w:b/>
          <w:bCs/>
          <w:i/>
          <w:iCs/>
          <w:sz w:val="22"/>
          <w:lang w:val="en-GB"/>
        </w:rPr>
      </w:pPr>
      <w:r>
        <w:rPr>
          <w:rFonts w:ascii="Arial" w:hAnsi="Arial" w:cs="Arial"/>
          <w:b/>
          <w:caps/>
          <w:sz w:val="22"/>
        </w:rPr>
        <w:lastRenderedPageBreak/>
        <w:t>3</w:t>
      </w:r>
      <w:r w:rsidRPr="00DF0275">
        <w:rPr>
          <w:rFonts w:ascii="Arial" w:hAnsi="Arial" w:cs="Arial"/>
          <w:b/>
          <w:caps/>
          <w:sz w:val="22"/>
        </w:rPr>
        <w:t xml:space="preserve">.3 </w:t>
      </w:r>
      <w:bookmarkStart w:id="3" w:name="_Hlk240466826"/>
      <w:r w:rsidRPr="00DF0275">
        <w:rPr>
          <w:rFonts w:ascii="Arial" w:hAnsi="Arial" w:cs="Arial"/>
          <w:b/>
          <w:bCs/>
          <w:sz w:val="22"/>
          <w:lang w:val="en-GB"/>
        </w:rPr>
        <w:t>Flower bud production and fresh biomass</w:t>
      </w:r>
    </w:p>
    <w:bookmarkEnd w:id="3"/>
    <w:p w14:paraId="352FBBA3" w14:textId="77777777" w:rsidR="00DF0275" w:rsidRPr="00DF0275" w:rsidRDefault="00DF0275" w:rsidP="003A7C92">
      <w:pPr>
        <w:jc w:val="both"/>
        <w:rPr>
          <w:rFonts w:ascii="Arial" w:hAnsi="Arial" w:cs="Arial"/>
        </w:rPr>
      </w:pPr>
      <w:r w:rsidRPr="00DF0275">
        <w:rPr>
          <w:rFonts w:ascii="Arial" w:hAnsi="Arial" w:cs="Arial"/>
        </w:rPr>
        <w:t>No significant differences were observed among treatments in the number of flower buds produced by the plants (Figure 3A).</w:t>
      </w:r>
    </w:p>
    <w:p w14:paraId="033E3F20" w14:textId="77777777" w:rsidR="00DF0275" w:rsidRPr="00DF0275" w:rsidRDefault="00DF0275" w:rsidP="003A7C92">
      <w:pPr>
        <w:jc w:val="both"/>
        <w:rPr>
          <w:rFonts w:ascii="Arial" w:hAnsi="Arial" w:cs="Arial"/>
        </w:rPr>
      </w:pPr>
      <w:r w:rsidRPr="00DF0275">
        <w:rPr>
          <w:rFonts w:ascii="Arial" w:hAnsi="Arial" w:cs="Arial"/>
        </w:rPr>
        <w:t xml:space="preserve">Plants inoculated with the commercial inoculant </w:t>
      </w:r>
      <w:proofErr w:type="spellStart"/>
      <w:r w:rsidRPr="00DF0275">
        <w:rPr>
          <w:rFonts w:ascii="Arial" w:hAnsi="Arial" w:cs="Arial"/>
        </w:rPr>
        <w:t>CoM</w:t>
      </w:r>
      <w:proofErr w:type="spellEnd"/>
      <w:r w:rsidRPr="00DF0275">
        <w:rPr>
          <w:rFonts w:ascii="Arial" w:hAnsi="Arial" w:cs="Arial"/>
        </w:rPr>
        <w:t xml:space="preserve"> produced 7 ± 2.50 flower buds. Plants inoculated with the indigenous inoculants </w:t>
      </w:r>
      <w:proofErr w:type="spellStart"/>
      <w:r w:rsidRPr="00DF0275">
        <w:rPr>
          <w:rFonts w:ascii="Arial" w:hAnsi="Arial" w:cs="Arial"/>
        </w:rPr>
        <w:t>CaM</w:t>
      </w:r>
      <w:proofErr w:type="spellEnd"/>
      <w:r w:rsidRPr="00DF0275">
        <w:rPr>
          <w:rFonts w:ascii="Arial" w:hAnsi="Arial" w:cs="Arial"/>
        </w:rPr>
        <w:t xml:space="preserve"> and </w:t>
      </w:r>
      <w:proofErr w:type="spellStart"/>
      <w:r w:rsidRPr="00DF0275">
        <w:rPr>
          <w:rFonts w:ascii="Arial" w:hAnsi="Arial" w:cs="Arial"/>
        </w:rPr>
        <w:t>MaM</w:t>
      </w:r>
      <w:proofErr w:type="spellEnd"/>
      <w:r w:rsidRPr="00DF0275">
        <w:rPr>
          <w:rFonts w:ascii="Arial" w:hAnsi="Arial" w:cs="Arial"/>
        </w:rPr>
        <w:t xml:space="preserve"> produced 6 ± 2.34 and 7 ± 1.76 flower buds, respectively (Figure 3A), whereas non-inoculated plants produced 8 ± 1.60 flower buds (Figure 3A).</w:t>
      </w:r>
    </w:p>
    <w:p w14:paraId="0608591D" w14:textId="77777777" w:rsidR="00DF0275" w:rsidRDefault="00DF0275" w:rsidP="003A7C92">
      <w:pPr>
        <w:jc w:val="both"/>
        <w:rPr>
          <w:rFonts w:ascii="Arial" w:hAnsi="Arial" w:cs="Arial"/>
        </w:rPr>
      </w:pPr>
      <w:r w:rsidRPr="00DF0275">
        <w:rPr>
          <w:rFonts w:ascii="Arial" w:hAnsi="Arial" w:cs="Arial"/>
        </w:rPr>
        <w:t xml:space="preserve">No significant differences were observed among treatments in fresh aboveground and belowground biomass (Figure 3B). The fresh aboveground biomass of plants inoculated with </w:t>
      </w:r>
      <w:proofErr w:type="spellStart"/>
      <w:r w:rsidRPr="00DF0275">
        <w:rPr>
          <w:rFonts w:ascii="Arial" w:hAnsi="Arial" w:cs="Arial"/>
        </w:rPr>
        <w:t>CoM</w:t>
      </w:r>
      <w:proofErr w:type="spellEnd"/>
      <w:r w:rsidRPr="00DF0275">
        <w:rPr>
          <w:rFonts w:ascii="Arial" w:hAnsi="Arial" w:cs="Arial"/>
        </w:rPr>
        <w:t xml:space="preserve">, </w:t>
      </w:r>
      <w:proofErr w:type="spellStart"/>
      <w:r w:rsidRPr="00DF0275">
        <w:rPr>
          <w:rFonts w:ascii="Arial" w:hAnsi="Arial" w:cs="Arial"/>
        </w:rPr>
        <w:t>CaM</w:t>
      </w:r>
      <w:proofErr w:type="spellEnd"/>
      <w:r w:rsidRPr="00DF0275">
        <w:rPr>
          <w:rFonts w:ascii="Arial" w:hAnsi="Arial" w:cs="Arial"/>
        </w:rPr>
        <w:t xml:space="preserve">, and </w:t>
      </w:r>
      <w:proofErr w:type="spellStart"/>
      <w:r w:rsidRPr="00DF0275">
        <w:rPr>
          <w:rFonts w:ascii="Arial" w:hAnsi="Arial" w:cs="Arial"/>
        </w:rPr>
        <w:t>MaM</w:t>
      </w:r>
      <w:proofErr w:type="spellEnd"/>
      <w:r w:rsidRPr="00DF0275">
        <w:rPr>
          <w:rFonts w:ascii="Arial" w:hAnsi="Arial" w:cs="Arial"/>
        </w:rPr>
        <w:t xml:space="preserve"> was 22.65 ± 6.89 g, 26.23 ± 6.77 g, and 29.57 ± 3.74 g, respectively (Figure 3B), compared with 23.02 ± 3.38 g for the non-inoculated control plants (Figure 3B). Similarly, the fresh root biomass of plants inoculated with </w:t>
      </w:r>
      <w:proofErr w:type="spellStart"/>
      <w:r w:rsidRPr="00DF0275">
        <w:rPr>
          <w:rFonts w:ascii="Arial" w:hAnsi="Arial" w:cs="Arial"/>
        </w:rPr>
        <w:t>CoM</w:t>
      </w:r>
      <w:proofErr w:type="spellEnd"/>
      <w:r w:rsidRPr="00DF0275">
        <w:rPr>
          <w:rFonts w:ascii="Arial" w:hAnsi="Arial" w:cs="Arial"/>
        </w:rPr>
        <w:t xml:space="preserve">, </w:t>
      </w:r>
      <w:proofErr w:type="spellStart"/>
      <w:r w:rsidRPr="00DF0275">
        <w:rPr>
          <w:rFonts w:ascii="Arial" w:hAnsi="Arial" w:cs="Arial"/>
        </w:rPr>
        <w:t>CaM</w:t>
      </w:r>
      <w:proofErr w:type="spellEnd"/>
      <w:r w:rsidRPr="00DF0275">
        <w:rPr>
          <w:rFonts w:ascii="Arial" w:hAnsi="Arial" w:cs="Arial"/>
        </w:rPr>
        <w:t xml:space="preserve">, and </w:t>
      </w:r>
      <w:proofErr w:type="spellStart"/>
      <w:r w:rsidRPr="00DF0275">
        <w:rPr>
          <w:rFonts w:ascii="Arial" w:hAnsi="Arial" w:cs="Arial"/>
        </w:rPr>
        <w:t>MaM</w:t>
      </w:r>
      <w:proofErr w:type="spellEnd"/>
      <w:r w:rsidRPr="00DF0275">
        <w:rPr>
          <w:rFonts w:ascii="Arial" w:hAnsi="Arial" w:cs="Arial"/>
        </w:rPr>
        <w:t xml:space="preserve"> was 5.46 ± 2.48 g, 4.95 ± 1.26 g, and 8.89 ± 1.24 g, respectively, compared with 8.86 ± 1.02 g for the non-inoculated control plants (Figure 3B).</w:t>
      </w:r>
    </w:p>
    <w:p w14:paraId="3100D3B5" w14:textId="77777777" w:rsidR="00DF0275" w:rsidRDefault="00DF0275" w:rsidP="00DF0275">
      <w:pPr>
        <w:spacing w:line="360" w:lineRule="auto"/>
        <w:jc w:val="both"/>
        <w:rPr>
          <w:rFonts w:ascii="Arial" w:hAnsi="Arial" w:cs="Arial"/>
        </w:rPr>
      </w:pPr>
    </w:p>
    <w:p w14:paraId="104FF1F5" w14:textId="6609B14D" w:rsidR="00DF0275" w:rsidRDefault="00DF0275" w:rsidP="00DF0275">
      <w:pPr>
        <w:spacing w:line="360" w:lineRule="auto"/>
        <w:jc w:val="both"/>
        <w:rPr>
          <w:rFonts w:ascii="Arial" w:hAnsi="Arial" w:cs="Arial"/>
        </w:rPr>
      </w:pPr>
      <w:r>
        <w:rPr>
          <w:noProof/>
        </w:rPr>
        <w:drawing>
          <wp:inline distT="0" distB="0" distL="0" distR="0" wp14:anchorId="71F1BCD1" wp14:editId="3215E695">
            <wp:extent cx="3816350" cy="2294039"/>
            <wp:effectExtent l="0" t="0" r="0" b="0"/>
            <wp:docPr id="26342188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9974" cy="2302228"/>
                    </a:xfrm>
                    <a:prstGeom prst="rect">
                      <a:avLst/>
                    </a:prstGeom>
                    <a:noFill/>
                  </pic:spPr>
                </pic:pic>
              </a:graphicData>
            </a:graphic>
          </wp:inline>
        </w:drawing>
      </w:r>
      <w:r>
        <w:rPr>
          <w:noProof/>
        </w:rPr>
        <w:drawing>
          <wp:inline distT="0" distB="0" distL="0" distR="0" wp14:anchorId="1CE3BA08" wp14:editId="5250FB16">
            <wp:extent cx="3816350" cy="2294039"/>
            <wp:effectExtent l="0" t="0" r="0" b="0"/>
            <wp:docPr id="1258654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2460" cy="2303723"/>
                    </a:xfrm>
                    <a:prstGeom prst="rect">
                      <a:avLst/>
                    </a:prstGeom>
                    <a:noFill/>
                  </pic:spPr>
                </pic:pic>
              </a:graphicData>
            </a:graphic>
          </wp:inline>
        </w:drawing>
      </w:r>
    </w:p>
    <w:p w14:paraId="4050CC71" w14:textId="141DF181" w:rsidR="00DF0275" w:rsidRPr="00DF0275" w:rsidRDefault="00DF0275" w:rsidP="00DF0275">
      <w:pPr>
        <w:autoSpaceDE w:val="0"/>
        <w:autoSpaceDN w:val="0"/>
        <w:adjustRightInd w:val="0"/>
        <w:jc w:val="both"/>
        <w:rPr>
          <w:rFonts w:ascii="Arial" w:hAnsi="Arial" w:cs="Arial"/>
          <w:b/>
          <w:bCs/>
          <w:szCs w:val="22"/>
        </w:rPr>
      </w:pPr>
      <w:r w:rsidRPr="00DF0275">
        <w:rPr>
          <w:rFonts w:ascii="Arial" w:hAnsi="Arial" w:cs="Arial"/>
          <w:b/>
          <w:bCs/>
          <w:szCs w:val="22"/>
        </w:rPr>
        <w:t>Fig</w:t>
      </w:r>
      <w:r>
        <w:rPr>
          <w:rFonts w:ascii="Arial" w:hAnsi="Arial" w:cs="Arial"/>
          <w:b/>
          <w:bCs/>
          <w:szCs w:val="22"/>
        </w:rPr>
        <w:t>.</w:t>
      </w:r>
      <w:r w:rsidRPr="00DF0275">
        <w:rPr>
          <w:rFonts w:ascii="Arial" w:hAnsi="Arial" w:cs="Arial"/>
          <w:b/>
          <w:bCs/>
          <w:szCs w:val="22"/>
        </w:rPr>
        <w:t xml:space="preserve"> </w:t>
      </w:r>
      <w:r w:rsidRPr="00DF0275">
        <w:rPr>
          <w:rFonts w:ascii="Arial" w:hAnsi="Arial" w:cs="Arial"/>
          <w:b/>
          <w:bCs/>
          <w:szCs w:val="22"/>
        </w:rPr>
        <w:fldChar w:fldCharType="begin"/>
      </w:r>
      <w:r w:rsidRPr="00DF0275">
        <w:rPr>
          <w:rFonts w:ascii="Arial" w:hAnsi="Arial" w:cs="Arial"/>
          <w:b/>
          <w:bCs/>
          <w:szCs w:val="22"/>
        </w:rPr>
        <w:instrText xml:space="preserve"> SEQ Figure \* ARABIC </w:instrText>
      </w:r>
      <w:r w:rsidRPr="00DF0275">
        <w:rPr>
          <w:rFonts w:ascii="Arial" w:hAnsi="Arial" w:cs="Arial"/>
          <w:b/>
          <w:bCs/>
          <w:szCs w:val="22"/>
        </w:rPr>
        <w:fldChar w:fldCharType="separate"/>
      </w:r>
      <w:r w:rsidRPr="00DF0275">
        <w:rPr>
          <w:rFonts w:ascii="Arial" w:hAnsi="Arial" w:cs="Arial"/>
          <w:b/>
          <w:bCs/>
          <w:szCs w:val="22"/>
        </w:rPr>
        <w:t>3</w:t>
      </w:r>
      <w:r w:rsidRPr="00DF0275">
        <w:rPr>
          <w:rFonts w:ascii="Arial" w:hAnsi="Arial" w:cs="Arial"/>
          <w:b/>
          <w:bCs/>
          <w:szCs w:val="22"/>
        </w:rPr>
        <w:fldChar w:fldCharType="end"/>
      </w:r>
      <w:r w:rsidRPr="00DF0275">
        <w:rPr>
          <w:rFonts w:ascii="Arial" w:hAnsi="Arial" w:cs="Arial"/>
          <w:b/>
          <w:bCs/>
          <w:szCs w:val="22"/>
        </w:rPr>
        <w:t>: Flower bud production and fresh biomass</w:t>
      </w:r>
    </w:p>
    <w:p w14:paraId="76BFF1C6" w14:textId="77777777" w:rsidR="00DF0275" w:rsidRPr="009A3521" w:rsidRDefault="00DF0275" w:rsidP="00DF0275">
      <w:r w:rsidRPr="0068030B">
        <w:t xml:space="preserve">Bar graphs following the same letter in each </w:t>
      </w:r>
      <w:r>
        <w:t>histogram group</w:t>
      </w:r>
      <w:r w:rsidRPr="0068030B">
        <w:t xml:space="preserve"> are not significantly different at </w:t>
      </w:r>
      <w:r w:rsidRPr="00F83A88">
        <w:t>the 5% significance level</w:t>
      </w:r>
      <w:r>
        <w:t xml:space="preserve">. </w:t>
      </w:r>
      <w:proofErr w:type="spellStart"/>
      <w:r>
        <w:t>MaM</w:t>
      </w:r>
      <w:proofErr w:type="spellEnd"/>
      <w:r>
        <w:t xml:space="preserve">: Maize mycorrhizal inoculum; </w:t>
      </w:r>
      <w:proofErr w:type="spellStart"/>
      <w:r>
        <w:t>CoM</w:t>
      </w:r>
      <w:proofErr w:type="spellEnd"/>
      <w:r>
        <w:t xml:space="preserve">: Commercial mycorrhizal inoculant; </w:t>
      </w:r>
      <w:proofErr w:type="spellStart"/>
      <w:r>
        <w:t>CaM</w:t>
      </w:r>
      <w:proofErr w:type="spellEnd"/>
      <w:r>
        <w:t>: Cassava mycorrhizal inoculum; C: Control with no mycorrhizal inoculum</w:t>
      </w:r>
    </w:p>
    <w:p w14:paraId="145AAAA2" w14:textId="77777777" w:rsidR="00DF0275" w:rsidRPr="00DF0275" w:rsidRDefault="00DF0275" w:rsidP="00DF0275">
      <w:pPr>
        <w:spacing w:line="360" w:lineRule="auto"/>
        <w:jc w:val="both"/>
        <w:rPr>
          <w:rFonts w:ascii="Arial" w:hAnsi="Arial" w:cs="Arial"/>
        </w:rPr>
      </w:pPr>
    </w:p>
    <w:p w14:paraId="494899D1" w14:textId="4EF458D6" w:rsidR="00DF0275" w:rsidRPr="00F5714A" w:rsidRDefault="00DF0275" w:rsidP="00DF0275">
      <w:pPr>
        <w:pStyle w:val="Body"/>
        <w:rPr>
          <w:rFonts w:ascii="Arial" w:hAnsi="Arial" w:cs="Arial"/>
          <w:b/>
          <w:bCs/>
          <w:i/>
          <w:iCs/>
          <w:sz w:val="22"/>
          <w:lang w:val="en-GB"/>
        </w:rPr>
      </w:pPr>
      <w:r>
        <w:rPr>
          <w:rFonts w:ascii="Arial" w:hAnsi="Arial" w:cs="Arial"/>
          <w:b/>
          <w:caps/>
          <w:sz w:val="22"/>
        </w:rPr>
        <w:lastRenderedPageBreak/>
        <w:t>3</w:t>
      </w:r>
      <w:r w:rsidRPr="00C30A0F">
        <w:rPr>
          <w:rFonts w:ascii="Arial" w:hAnsi="Arial" w:cs="Arial"/>
          <w:b/>
          <w:caps/>
          <w:sz w:val="22"/>
        </w:rPr>
        <w:t>.</w:t>
      </w:r>
      <w:r>
        <w:rPr>
          <w:rFonts w:ascii="Arial" w:hAnsi="Arial" w:cs="Arial"/>
          <w:b/>
          <w:caps/>
          <w:sz w:val="22"/>
        </w:rPr>
        <w:t>4</w:t>
      </w:r>
      <w:r w:rsidRPr="00C30A0F">
        <w:rPr>
          <w:rFonts w:ascii="Arial" w:hAnsi="Arial" w:cs="Arial"/>
          <w:b/>
          <w:caps/>
          <w:sz w:val="22"/>
        </w:rPr>
        <w:t xml:space="preserve"> </w:t>
      </w:r>
      <w:r>
        <w:rPr>
          <w:rFonts w:ascii="Arial" w:hAnsi="Arial" w:cs="Arial"/>
          <w:b/>
          <w:bCs/>
          <w:sz w:val="22"/>
          <w:lang w:val="en-GB"/>
        </w:rPr>
        <w:t>Discussion</w:t>
      </w:r>
    </w:p>
    <w:p w14:paraId="04799FF5"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assessment of mycorrhizal colonization revealed that the roots of inoculated plants were successfully colonized by AMF. More than 50% of the inoculated plants exhibited mycorrhizal colonization, whereas no colonization was detected in the non-inoculated control. However, colonization intensity remained low (≤10%), and no significant differences were observed among the commercial and indigenous inoculants. These results indicate that all three inoculants were capable of establishing an association with </w:t>
      </w:r>
      <w:r w:rsidRPr="00DF0275">
        <w:rPr>
          <w:rFonts w:ascii="Arial" w:hAnsi="Arial" w:cs="Arial"/>
          <w:i/>
          <w:iCs/>
          <w:lang w:val="en-GB"/>
        </w:rPr>
        <w:t xml:space="preserve">S. </w:t>
      </w:r>
      <w:proofErr w:type="spellStart"/>
      <w:r w:rsidRPr="00DF0275">
        <w:rPr>
          <w:rFonts w:ascii="Arial" w:hAnsi="Arial" w:cs="Arial"/>
          <w:i/>
          <w:iCs/>
          <w:lang w:val="en-GB"/>
        </w:rPr>
        <w:t>aethiopicum</w:t>
      </w:r>
      <w:proofErr w:type="spellEnd"/>
      <w:r w:rsidRPr="00DF0275">
        <w:rPr>
          <w:rFonts w:ascii="Arial" w:hAnsi="Arial" w:cs="Arial"/>
          <w:lang w:val="en-GB"/>
        </w:rPr>
        <w:t xml:space="preserve"> under the experimental conditions, but that the extent of intraradical fungal development remained limited.</w:t>
      </w:r>
    </w:p>
    <w:p w14:paraId="48FA2071"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difference between relatively high colonization frequency and low colonization intensity suggests that the establishment of the symbiosis did not necessarily translate into extensive fungal development within the root cortex. The effectiveness of AMF inoculation depends not only on the presence of viable propagules, but also on the compatibility between the fungal community and the host plant, the density and infectivity of the inoculum </w:t>
      </w:r>
      <w:r w:rsidRPr="00DF0275">
        <w:rPr>
          <w:rFonts w:ascii="Arial" w:hAnsi="Arial" w:cs="Arial"/>
          <w:lang w:val="en-GB"/>
        </w:rPr>
        <w:fldChar w:fldCharType="begin"/>
      </w:r>
      <w:r w:rsidRPr="00DF0275">
        <w:rPr>
          <w:rFonts w:ascii="Arial" w:hAnsi="Arial" w:cs="Arial"/>
          <w:lang w:val="en-GB"/>
        </w:rPr>
        <w:instrText xml:space="preserve"> ADDIN ZOTERO_ITEM CSL_CITATION {"citationID":"ep5sEOip","properties":{"unsorted":false,"formattedCitation":"(Basiru &amp; Hijri, 2022)","plainCitation":"(Basiru &amp; Hijri, 2022)","noteIndex":0},"citationItems":[{"id":53,"uris":["http://zotero.org/users/local/qoGpGwOM/items/HNT6HEIT"],"itemData":{"id":53,"type":"article-journal","abstract":"Arbuscular mycorrhizal fungal (AMF) inoculants are sustainable biological materials that can provide several benefits to plants, especially in disturbed agroecosystems and in the context of phytomanagement interventions. However, it is difficult to predict the effectiveness of AMF inoculants and their impacts on indigenous AMF communities under field conditions. In this review, we examined the literature on the possible outcomes following the introduction of AMF-based inoculants in the field, including their establishment in soil and plant roots, persistence, and effects on the indigenous AMF community. Most studies indicate that introduced AMF can persist in the target field from a few months to several years but with declining abundance (60%) or complete exclusion (30%). Further analysis shows that AMF inoculation exerts both positive and negative impacts on native AMF species, including suppression (33%), stimulation (38%), exclusion (19%), and neutral impacts (10% of examined cases). The factors influencing the ecological fates of AMF inoculants, such as the inherent properties of the inoculum, dosage and frequency of inoculation, and soil physical and biological factors, are further discussed. While it is important to monitor the success and downstream impacts of commercial inoculants in the field, the sampling method and the molecular tools employed to resolve and quantify AMF taxa need to be improved and standardized to eliminate bias towards certain AMF strains and reduce discrepancies among studies. Lastly, inoculant producers must focus on selecting strains with a higher chance of success in the field, and having little or negligible downstream impacts.","container-title":"Microorganisms","DOI":"10.3390/microorganisms10101897","ISSN":"2076-2607","issue":"10","journalAbbreviation":"Microorganisms","page":"1897","PMID":"36296173","PMCID":"PMC9609176","source":"PubMed Central","title":"The Potential Applications of Commercial Arbuscular Mycorrhizal Fungal Inoculants and Their Ecological Consequences","volume":"10","author":[{"family":"Basiru","given":"Sulaimon"},{"family":"Hijri","given":"Mohamed"}],"issued":{"date-parts":[["2022",9,23]]}}}],"schema":"https://github.com/citation-style-language/schema/raw/master/csl-citation.json"}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(Basiru &amp; Hijri, 2022)</w:t>
      </w:r>
      <w:r w:rsidRPr="00DF0275">
        <w:rPr>
          <w:rFonts w:ascii="Arial" w:hAnsi="Arial" w:cs="Arial"/>
        </w:rPr>
        <w:fldChar w:fldCharType="end"/>
      </w:r>
      <w:r w:rsidRPr="00DF0275">
        <w:rPr>
          <w:rFonts w:ascii="Arial" w:hAnsi="Arial" w:cs="Arial"/>
          <w:lang w:val="en-GB"/>
        </w:rPr>
        <w:t xml:space="preserve"> </w:t>
      </w:r>
    </w:p>
    <w:p w14:paraId="3EBB6FDC"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duration of the experiment may also have influenced the extent of colonization. Root colonization by AMF is a dynamic process that develops progressively following contact between the host root and fungal propagules </w:t>
      </w:r>
      <w:r w:rsidRPr="00DF0275">
        <w:rPr>
          <w:rFonts w:ascii="Arial" w:hAnsi="Arial" w:cs="Arial"/>
          <w:lang w:val="en-GB"/>
        </w:rPr>
        <w:fldChar w:fldCharType="begin"/>
      </w:r>
      <w:r w:rsidRPr="00DF0275">
        <w:rPr>
          <w:rFonts w:ascii="Arial" w:hAnsi="Arial" w:cs="Arial"/>
          <w:lang w:val="en-GB"/>
        </w:rPr>
        <w:instrText xml:space="preserve"> ADDIN ZOTERO_ITEM CSL_CITATION {"citationID":"KvkNEepe","properties":{"unsorted":false,"formattedCitation":"(Corona Ram\\uc0\\u237{}rez et al., 2023)","plainCitation":"(Corona Ramírez et al., 2023)","noteIndex":0},"citationItems":[{"id":29,"uris":["http://zotero.org/users/local/qoGpGwOM/items/5RAK8K7Z"],"itemData":{"id":29,"type":"article-journal","abstract":"Arbuscular mycorrhizal fungi (AMF) form symbioses with most terrestrial plants and are known to have a positive effect on plant growth and health. Different methodologies have been developed to assess the AMF-plant symbiosis. The most applied method, which involves staining of roots and microscopic observation of the AMF structures, is tedious and time-consuming and the results are highly dependent on the observer. Using quantitative polymerase chain reaction (qPCR) to quantify AMF root colonization represents a reliable, high-throughput technique that allows the assessment of numerous samples. Quantification with qPCR can be performed through two methods: relative quantification and absolute quantification. In relative quantification, the target gene is normalized with a reference gene. On the other hand, absolute quantification involves the use of a standard curve, for which template DNA is serially diluted. In a previous paper, we validated the primer pair AMG1F and AM1 for a relative quantification approach to assess AMF root colonization in Petunia. Here, we tested the same primers with an absolute quantification approach and compared the results with the traditional microscopy method. We evaluated the qPCR method with three different crops, namely, wheat (cv. Colmetta and Wiwa), tomato, and leek. We observed a strong correlation between microscopy and qPCR for Colmetta (r = 0.90, p &lt; 0.001), Wiwa (r = 0.94, p &lt; 0.001), and tomato (r = 0.93, p &lt; 0.001), but no correlation for leek (r = 0.27, p = 0.268). This highlights the importance of testing the primer pair for each specific crop.","container-title":"Mycorrhiza","DOI":"10.1007/s00572-023-01122-8","ISSN":"1432-1890","issue":"5-6","journalAbbreviation":"Mycorrhiza","language":"eng","page":"387-397","PMID":"37646822","PMCID":"PMC10752845","source":"PubMed","title":"Quantification of arbuscular mycorrhizal fungi root colonization in wheat, tomato, and leek using absolute qPCR","volume":"33","author":[{"family":"Corona Ramírez","given":"Andrea"},{"family":"Symanczik","given":"Sarah"},{"family":"Gallusser","given":"Tabea"},{"family":"Bodenhausen","given":"Natacha"}],"issued":{"date-parts":[["2023",11]]}}}],"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(Corona Ramírez et al., 2023)</w:t>
      </w:r>
      <w:r w:rsidRPr="00DF0275">
        <w:rPr>
          <w:rFonts w:ascii="Arial" w:hAnsi="Arial" w:cs="Arial"/>
        </w:rPr>
        <w:fldChar w:fldCharType="end"/>
      </w:r>
      <w:r w:rsidRPr="00DF0275">
        <w:rPr>
          <w:rFonts w:ascii="Arial" w:hAnsi="Arial" w:cs="Arial"/>
          <w:lang w:val="en-GB"/>
        </w:rPr>
        <w:t>. The 40-day assessment therefore provided a snapshot of the colonization process rather than a measure of its maximum potential. Nevertheless, the relatively short experimental period should not be considered the only explanation for the low colonization intensity, since the development of AMF colonization is also strongly influenced by plant–fungus compatibility and environmental conditions. Further experiments involving earlier and later assessments of root colonization would therefore be useful to determine whether the low intensity observed in the present study reflected delayed colonization or intrinsically limited fungal development.</w:t>
      </w:r>
    </w:p>
    <w:p w14:paraId="37BF1879"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absence of significant differences in colonization intensity among the three inoculants is also noteworthy. Although indigenous AMF are frequently considered potentially better adapted to local soil and climatic conditions than non-local fungal material </w:t>
      </w:r>
      <w:r w:rsidRPr="00DF0275">
        <w:rPr>
          <w:rFonts w:ascii="Arial" w:hAnsi="Arial" w:cs="Arial"/>
          <w:lang w:val="en-GB"/>
        </w:rPr>
        <w:fldChar w:fldCharType="begin"/>
      </w:r>
      <w:r w:rsidRPr="00DF0275">
        <w:rPr>
          <w:rFonts w:ascii="Arial" w:hAnsi="Arial" w:cs="Arial"/>
          <w:lang w:val="en-GB"/>
        </w:rPr>
        <w:instrText xml:space="preserve"> ADDIN ZOTERO_ITEM CSL_CITATION {"citationID":"GypdmMAK","properties":{"unsorted":false,"formattedCitation":"(Berruti et al., 2016b)","plainCitation":"(Berruti et al., 2016b)","noteIndex":0},"citationItems":[{"id":56,"uris":["http://zotero.org/users/local/qoGpGwOM/items/BP5968IC"],"itemData":{"id":56,"type":"article-journal","abstract":"Arbuscular Mycorrhizal Fungi (AMF) constitute a group of root obligate biotrophs that exchange mutual benefits with about 80% of plants. They are considered natural biofertilizers, since they provide the host with water, nutrients and pathogen protection, in exchange for photosynthetic products. Thus, AMF are primary biotic soil components which, when missing or impoverished, can lead to a less efficient ecosystem functioning. The process of re-establishing the natural level of AMF richness can represent a valid alternative to conventional fertilization practices, with a view to sustainable agriculture. The main strategy that can be adopted to achieve this goal is the direct re-introduction of AMF propagules (inoculum) into a target soil.Originally, AMF were described to generally lack host- and niche-specificity, and therefore suggested as agriculturally suitable for a wide range of plants and environmental conditions. Unfortunately, the assumptions that have been made and the results that have been obtained so far are often worlds apart. The problem is that success is unpredictable since different plant species vary their response to the same AMF species mix. Many factors can affect the success of inoculation and AMF persistence in soil, including species compatibility with the target environment, the degree of spatial competition with other soil organisms in the target niche and the timing of inoculation. Thus, it is preferable to take these factors into account when “tuning” an inoculum to a target environment in order to avoid failure of the inoculation process.Genomics and transcriptomics have led to a giant step forward in the research field of AMF, with consequent major advances in the current knowledge on the processes involved in their interaction with the host-plant and other soil organisms. The history of AMF applications in controlled and open-field conditions is now long. A review of biofertilization experiments, based on the use of AMF, has here been proposed, focusing on a few important factors that could increase the odds or jeopardize the success of the inoculation process.","container-title":"Frontiers in Microbiology","DOI":"10.3389/fmicb.2015.01559","ISSN":"1664-302X","journalAbbreviation":"Front. Microbiol.","language":"English","publisher":"Frontiers","source":"Frontiers","title":"Arbuscular Mycorrhizal Fungi as Natural Biofertilizers: Let's Benefit from Past Successes","title-short":"Arbuscular Mycorrhizal Fungi as Natural Biofertilizers","URL":"https://www.frontiersin.org/journals/microbiology/articles/10.3389/fmicb.2015.01559/full","volume":"6","author":[{"family":"Berruti","given":"Andrea"},{"family":"Lumini","given":"Erica"},{"family":"Balestrini","given":"Raffaella"},{"family":"Bianciotto","given":"Valeria"}],"accessed":{"date-parts":[["2026",9,18]]},"issued":{"date-parts":[["2016",1,19]]}}}],"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(Berruti et al., 2016b)</w:t>
      </w:r>
      <w:r w:rsidRPr="00DF0275">
        <w:rPr>
          <w:rFonts w:ascii="Arial" w:hAnsi="Arial" w:cs="Arial"/>
        </w:rPr>
        <w:fldChar w:fldCharType="end"/>
      </w:r>
      <w:r w:rsidRPr="00DF0275">
        <w:rPr>
          <w:rFonts w:ascii="Arial" w:hAnsi="Arial" w:cs="Arial"/>
          <w:lang w:val="en-GB"/>
        </w:rPr>
        <w:t xml:space="preserve">, such adaptation does not necessarily result in greater root colonization or plant growth under all experimental conditions. In the present study, the indigenous inoculants performed similarly to the commercial inoculant with respect to both colonization frequency and intensity. This suggests that the indigenous </w:t>
      </w:r>
      <w:proofErr w:type="spellStart"/>
      <w:r w:rsidRPr="00DF0275">
        <w:rPr>
          <w:rFonts w:ascii="Arial" w:hAnsi="Arial" w:cs="Arial"/>
          <w:lang w:val="en-GB"/>
        </w:rPr>
        <w:t>inocula</w:t>
      </w:r>
      <w:proofErr w:type="spellEnd"/>
      <w:r w:rsidRPr="00DF0275">
        <w:rPr>
          <w:rFonts w:ascii="Arial" w:hAnsi="Arial" w:cs="Arial"/>
          <w:lang w:val="en-GB"/>
        </w:rPr>
        <w:t xml:space="preserve"> contained AMF capable of recognizing and colonizing </w:t>
      </w:r>
      <w:r w:rsidRPr="00DF0275">
        <w:rPr>
          <w:rFonts w:ascii="Arial" w:hAnsi="Arial" w:cs="Arial"/>
          <w:i/>
          <w:iCs/>
          <w:lang w:val="en-GB"/>
        </w:rPr>
        <w:t xml:space="preserve">S. </w:t>
      </w:r>
      <w:proofErr w:type="spellStart"/>
      <w:r w:rsidRPr="00DF0275">
        <w:rPr>
          <w:rFonts w:ascii="Arial" w:hAnsi="Arial" w:cs="Arial"/>
          <w:i/>
          <w:iCs/>
          <w:lang w:val="en-GB"/>
        </w:rPr>
        <w:t>aethiopicum</w:t>
      </w:r>
      <w:proofErr w:type="spellEnd"/>
      <w:r w:rsidRPr="00DF0275">
        <w:rPr>
          <w:rFonts w:ascii="Arial" w:hAnsi="Arial" w:cs="Arial"/>
          <w:lang w:val="en-GB"/>
        </w:rPr>
        <w:t xml:space="preserve"> roots, but the experiment did not demonstrate a superior colonization capacity of indigenous inoculants under the conditions tested.</w:t>
      </w:r>
    </w:p>
    <w:p w14:paraId="391AB3B9"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lack of significant effects of AMF inoculation on plant growth should therefore be interpreted in light of the limited extent of root colonization. No significant differences were observed among treatments for plant height, collar diameter, number of leaves, flower-bud production, or fresh aboveground and belowground biomass. A similar absence of growth stimulation has been reported in some AMF inoculation experiments, particularly when root colonization remains limited </w:t>
      </w:r>
      <w:r w:rsidRPr="00DF0275">
        <w:rPr>
          <w:rFonts w:ascii="Arial" w:hAnsi="Arial" w:cs="Arial"/>
          <w:lang w:val="en-GB"/>
        </w:rPr>
        <w:fldChar w:fldCharType="begin"/>
      </w:r>
      <w:r w:rsidRPr="00DF0275">
        <w:rPr>
          <w:rFonts w:ascii="Arial" w:hAnsi="Arial" w:cs="Arial"/>
          <w:lang w:val="en-GB"/>
        </w:rPr>
        <w:instrText xml:space="preserve"> ADDIN ZOTERO_ITEM CSL_CITATION {"citationID":"IC7HLOQw","properties":{"unsorted":false,"formattedCitation":"(Plenchette et al., 2000)","plainCitation":"(Plenchette et al., 2000)","noteIndex":0},"citationItems":[{"id":47,"uris":["http://zotero.org/users/local/qoGpGwOM/items/I9A3T7KV"],"itemData":{"id":47,"type":"article-journal","abstract":"STUDY ON MYCORRHIZAL (GLOMUS AGGREGATUM) MILLET (PENNISETUM GLAUCUM) GROWTH The effect of the mycorrhizal symbiosis on the millet growth was studied in controlled conditions. The soil from cultivated field or a soil from a 17 year-old fallow, being collected in the South of Senegal were mixed and sterilized prior to be inoculated with Glomus aggregatum. The millet development on this inoculated soil was compared with a control plant cultivated on a non inoculated soil. The millet root mycorrhization was low. It did not induced growth stimulation. This absence of response could be explained by the use of an exotic and not an indigenous strain of mycorrhizal fungus.","container-title":"Étude et Gestion des Sols","language":"fr","source":"Zotero","title":"La mycorhization (Glomus aggregatum) du mil (Pennisetum glaucum)","author":[{"family":"Plenchette","given":"C"},{"family":"Bois","given":"Jean-François"},{"family":"Duponnois","given":"Robin"},{"family":"Cadet","given":"Patrice"}],"issued":{"date-parts":[["2000"]]}}}],"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(Plenchette et al., 2000)</w:t>
      </w:r>
      <w:r w:rsidRPr="00DF0275">
        <w:rPr>
          <w:rFonts w:ascii="Arial" w:hAnsi="Arial" w:cs="Arial"/>
        </w:rPr>
        <w:fldChar w:fldCharType="end"/>
      </w:r>
      <w:r w:rsidRPr="00DF0275">
        <w:rPr>
          <w:rFonts w:ascii="Arial" w:hAnsi="Arial" w:cs="Arial"/>
          <w:lang w:val="en-GB"/>
        </w:rPr>
        <w:t>. The establishment of mycorrhizal structures alone does not necessarily result in a measurable growth response, as the magnitude of the plant benefit depends on the functional contribution of the fungal symbiosis under the prevailing environmental conditions.</w:t>
      </w:r>
    </w:p>
    <w:p w14:paraId="506D8AE9"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controlled conditions of the present experiment may also have reduced the potential benefits of mycorrhization. Plants were maintained under greenhouse conditions and regularly irrigated, thereby reducing water limitation and other environmental stresses that can enhance the relative contribution of AMF to plant nutrient and water acquisition. Previous studies have shown that the benefits of AMF can become more pronounced under conditions of drought or other abiotic stresses </w:t>
      </w:r>
      <w:r w:rsidRPr="00DF0275">
        <w:rPr>
          <w:rFonts w:ascii="Arial" w:hAnsi="Arial" w:cs="Arial"/>
          <w:lang w:val="en-GB"/>
        </w:rPr>
        <w:fldChar w:fldCharType="begin"/>
      </w:r>
      <w:r w:rsidRPr="00DF0275">
        <w:rPr>
          <w:rFonts w:ascii="Arial" w:hAnsi="Arial" w:cs="Arial"/>
          <w:lang w:val="en-GB"/>
        </w:rPr>
        <w:instrText xml:space="preserve"> ADDIN ZOTERO_ITEM CSL_CITATION {"citationID":"fv4R7oid","properties":{"unsorted":false,"formattedCitation":"(Chandrasekaran, 2022)","plainCitation":"(Chandrasekaran, 2022)","noteIndex":0},"citationItems":[{"id":51,"uris":["http://zotero.org/users/local/qoGpGwOM/items/6I3EC8IH"],"itemData":{"id":51,"type":"article-journal","abstract":"Drought stress remains the major constraint in affecting crop productivity in several arid and semi-arid areas highlighting climate change perspectives. Arbuscular mycorrhizal fungi (AMF) belong to a versatile class of plant–fungal symbiotic associations establishing drought stress alleviation. Nevertheless, the mechanistic mode of sustainable agriculture necessitates rigorous assessment for authentic and reproducible plant growth parameters. Understanding the plant growth promotion, root morphological changes, and nutrient uptake response in AMF-inoculated plants to drought is very important for sustainable agriculture. Therefore, conducted a meta-analysis of published research articles for determining the efficacy of AMF in alleviating drought stress. Overall analysis showed that AM inoculated plants had 49% higher plant growth promotion than the non-mycorrhizal plants under drought stress. Biomass analysis depicted the root dry weight increase by 49%, shoot dry weight increase by 54%, and total dry weight increase by 58% indicating plant biomass traits augmentation. Root morphological traits analysis corresponded to increased root length (37%), root surface (31%), and root volume (65%). Notably, nutrient uptake assessment showed variable increases in uptake patterns such as P uptake by 86%, N uptake by 35%, and K uptake by 46%. Furthermore, the prominent efficacy of AMF was significantly larger under drought for P uptake (p &lt; 0.001) and root volume (p &lt; 0.001) indicating the linear relationship between root length and P uptake. Thus, the present meta-analysis confirms that drought stress alleviation emancipated by AMF is mediated by root traits modification and phosphorous acquisition efficacy. Hence, meta-analyses along with experimental validations with field trial evaluations will certainly provide the AMF research for escalated applications for better plant productivity, stress alleviation, and sustainable agriculture.","container-title":"Journal of Fungi","DOI":"10.3390/jof8070660","ISSN":"2309-608X","issue":"7","language":"en","license":"http://creativecommons.org/licenses/by/3.0/","page":"660","publisher":"Multidisciplinary Digital Publishing Institute","source":"www.mdpi.com","title":"Arbuscular Mycorrhizal Fungi Mediated Enhanced Biomass, Root Morphological Traits and Nutrient Uptake under Drought Stress: A Meta-Analysis","title-short":"Arbuscular Mycorrhizal Fungi Mediated Enhanced Biomass, Root Morphological Traits and Nutrient Uptake under Drought Stress","volume":"8","author":[{"family":"Chandrasekaran","given":"Murugesan"}],"issued":{"date-parts":[["2022",7]]}}}],"schema":"https://github.com/citation-style-language/schema/raw/master/csl-citation.json"}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(Chandrasekaran, 2022)</w:t>
      </w:r>
      <w:r w:rsidRPr="00DF0275">
        <w:rPr>
          <w:rFonts w:ascii="Arial" w:hAnsi="Arial" w:cs="Arial"/>
        </w:rPr>
        <w:fldChar w:fldCharType="end"/>
      </w:r>
      <w:r w:rsidRPr="00DF0275">
        <w:rPr>
          <w:rFonts w:ascii="Arial" w:hAnsi="Arial" w:cs="Arial"/>
          <w:lang w:val="en-GB"/>
        </w:rPr>
        <w:t xml:space="preserve">. The absence of a growth response in the present experiment should not be interpreted as evidence that the </w:t>
      </w:r>
      <w:r w:rsidRPr="00DF0275">
        <w:rPr>
          <w:rFonts w:ascii="Arial" w:hAnsi="Arial" w:cs="Arial"/>
          <w:lang w:val="en-GB"/>
        </w:rPr>
        <w:lastRenderedPageBreak/>
        <w:t>inoculants are agronomically ineffective, but rather as an indication that their potential benefits were not expressed under the specific experimental conditions used.</w:t>
      </w:r>
    </w:p>
    <w:p w14:paraId="1576EA28"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Finally, the relatively small root-zone volume may have imposed an additional constraint on plant development and potentially on the expression of the mycorrhizal symbiosis. Eggplant is sensitive to root-zone volume </w:t>
      </w:r>
      <w:r w:rsidRPr="00DF0275">
        <w:rPr>
          <w:rFonts w:ascii="Arial" w:hAnsi="Arial" w:cs="Arial"/>
          <w:lang w:val="en-GB"/>
        </w:rPr>
        <w:fldChar w:fldCharType="begin"/>
      </w:r>
      <w:r w:rsidRPr="00DF0275">
        <w:rPr>
          <w:rFonts w:ascii="Arial" w:hAnsi="Arial" w:cs="Arial"/>
          <w:lang w:val="en-GB"/>
        </w:rPr>
        <w:instrText xml:space="preserve"> ADDIN ZOTERO_ITEM CSL_CITATION {"citationID":"xcDFk2cN","properties":{"unsorted":false,"formattedCitation":"(Djidji &amp; Fondio, 2013)","plainCitation":"(Djidji &amp; Fondio, 2013)","noteIndex":0},"citationItems":[{"id":28,"uris":["http://zotero.org/users/local/qoGpGwOM/items/5SBU8E7X"],"itemData":{"id":28,"type":"document","genre":"Fiche technique","language":"Français","publisher":"Direction de la recherche scientifique et de l’appui au développement-Direction des innovations et des systèmes d’information-Centre National de Recherche Agronomique","publisher-place":"Abidjan-Côte D'Ivoire","title":"Bien cultiver l'aubergine en Côte d'Ivoire","author":[{"family":"Djidji","given":"Andé Hortense"},{"family":"Fondio","given":"Lassina"}],"issued":{"date-parts":[["2013"]]}}}],"schema":"https://github.com/citation-style-language/schema/raw/master/csl-citation.json"}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(Djidji &amp; Fondio, 2013)</w:t>
      </w:r>
      <w:r w:rsidRPr="00DF0275">
        <w:rPr>
          <w:rFonts w:ascii="Arial" w:hAnsi="Arial" w:cs="Arial"/>
        </w:rPr>
        <w:fldChar w:fldCharType="end"/>
      </w:r>
      <w:r w:rsidRPr="00DF0275">
        <w:rPr>
          <w:rFonts w:ascii="Arial" w:hAnsi="Arial" w:cs="Arial"/>
          <w:lang w:val="en-GB"/>
        </w:rPr>
        <w:t xml:space="preserve">, and previous work has shown that root restriction can reduce several growth parameters </w:t>
      </w:r>
      <w:r w:rsidRPr="00DF0275">
        <w:rPr>
          <w:rFonts w:ascii="Arial" w:hAnsi="Arial" w:cs="Arial"/>
          <w:lang w:val="en-GB"/>
        </w:rPr>
        <w:fldChar w:fldCharType="begin"/>
      </w:r>
      <w:r w:rsidRPr="00DF0275">
        <w:rPr>
          <w:rFonts w:ascii="Arial" w:hAnsi="Arial" w:cs="Arial"/>
          <w:lang w:val="en-GB"/>
        </w:rPr>
        <w:instrText xml:space="preserve"> ADDIN ZOTERO_ITEM CSL_CITATION {"citationID":"xeaQp09h","properties":{"unsorted":false,"formattedCitation":"(Kurun\\uc0\\u231{} &amp; \\uc0\\u220{}nl\\uc0\\u252{}kara, 2009)","plainCitation":"(Kurunç &amp; Ünlükara, 2009)","noteIndex":0},"citationItems":[{"id":41,"uris":["http://zotero.org/users/local/qoGpGwOM/items/YXZWWRGD"],"itemData":{"id":41,"type":"article-journal","abstract":"Many experiments are conducted in simulated confined spaces to provide controlled environments where plants are grown in pots with limited rooting volume to characterise fundamental physiological responses of plants to stress conditions such as soil water, soil salinity, irrigation water salinity, and plant nutrition. However, rooting volume in the pots can have a limiting effect on overall plant growth to varying degrees. This study was undertaken to quantify the effects of widely differing rooting volume on growth, yield, and water use of eggplant (Solanum melongena) and okra (Abelmoschus esculentus). Eggplant and okra experiments were conducted similarly, but as separate experiments. Both plants were grown in 3.6-litre (P1), 16-litre (P2), 36-litre (P3), and 52-litre (P4) pots. For eggplant and okra, evapotranspiration (ET) and all of the growth parameters including plant height, stem diameter, root and vegetative dry weight, root length, number of branches and fruit, and fruit yield significantly increased with increasing rooting volume. Pot volume started to affect plant height and ET after 3 weeks from transplanting. For both experiments, the highest yield and the highest yield based water-use efficiency (WUEyield) were obtained from the P4 and P3 treatments, respectively. The highest WUE based on total biomass (WUEbiomass) was obtained from the P4 and P3 treatment of eggplant and okra, respectively. Both experiments exhibited similar morphological changes such as decreases in plant height, stem diameter, branching, root and vegetative dry weight, and root length to root restriction. As a result of this study it can be concluded that a pot size of 36 litres (P3) may be enough for okra growth, but even a 52-litre (P4) pot size may not provide unrestricted rooting volume for eggplant growth.","container-title":"New Zealand Journal of Crop and Horticultural Science","DOI":"10.1080/01140670909510265","ISSN":"1175-8783","issue":"3","language":"en","license":"© 2009 Royal Society of New Zealand Te Apārangi","page":"201-210","source":"Wiley Online Library","title":"Growth, yield, and water use of okra (Abelmoschus esculentus) and eggplant (Solanum melongena) as influenced by rooting volume","volume":"37","author":[{"family":"Kurunç","given":"Ahmet"},{"family":"Ünlükara","given":"Ali"}],"issued":{"date-parts":[["2009"]]}}}],"schema":"https://github.com/citation-style-language/schema/raw/master/csl-citation.json"}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(Kurunç &amp; Ünlükara, 2009)</w:t>
      </w:r>
      <w:r w:rsidRPr="00DF0275">
        <w:rPr>
          <w:rFonts w:ascii="Arial" w:hAnsi="Arial" w:cs="Arial"/>
        </w:rPr>
        <w:fldChar w:fldCharType="end"/>
      </w:r>
      <w:r w:rsidRPr="00DF0275">
        <w:rPr>
          <w:rFonts w:ascii="Arial" w:hAnsi="Arial" w:cs="Arial"/>
          <w:lang w:val="en-GB"/>
        </w:rPr>
        <w:t xml:space="preserve">. The 3-L pots used in the present study provided a considerably smaller rooting volume than the containers used in some previous experiments with African eggplant, such as the 47-cm-long and 50-cm-diameter containers reported by </w:t>
      </w:r>
      <w:r w:rsidRPr="00DF0275">
        <w:rPr>
          <w:rFonts w:ascii="Arial" w:hAnsi="Arial" w:cs="Arial"/>
          <w:lang w:val="en-GB"/>
        </w:rPr>
        <w:fldChar w:fldCharType="begin"/>
      </w:r>
      <w:r w:rsidRPr="00DF0275">
        <w:rPr>
          <w:rFonts w:ascii="Arial" w:hAnsi="Arial" w:cs="Arial"/>
          <w:lang w:val="en-GB"/>
        </w:rPr>
        <w:instrText xml:space="preserve"> ADDIN ZOTERO_ITEM CSL_CITATION {"citationID":"zOjLnLiO","properties":{"unsorted":false,"formattedCitation":"(Bolou-Bi et al., 2023)","plainCitation":"(Bolou-Bi et al., 2023)","noteIndex":0},"citationItems":[{"id":26,"uris":["http://zotero.org/users/local/qoGpGwOM/items/VIA5RKR9"],"itemData":{"id":26,"type":"article-journal","abstract":"Background. In West Africa, the eggplant crop participates in the fight against rural poverty, hunger and malnutrition due to their higher nutritional contents. However, this crop is faced with several constraints including poor soils and low yielding cultivars. It is known that mycorhization of plants improves plant nutrition while preserving them from certain pests. Objective. To evaluate the combination of mycorhization and vermicompost effect on eggplant plants growth and yield. Methodology. A consortium of arbuscular mycorrhizal (AM) from forest soils was trapped using maize roots and used as inoculum for eggplant, Djamba F1 variety. A trial using this inoculum combined or not to vermicompost was carried out for 90 days under a greenhouse. Selected soil properties, eggplant growth and yield indicator were recorded at the end of trial. Results. As expected, soil vermicompost alone or combined to inoculum displayed an increase of soil parameter such as pH, exchangeable base cations, total organic matter, total nitrogen compared to control and soil with AM alone. Soil with AM alone had a limited impact on the growth and yield of eggplant. In contrast, all treatments including vermicompost (vermicompost alone and vermicompost + AM) showed a significant increase of eggplant growth parameters and yield’s indicators. Implications. These results highlighted a need to carry out a screening of mycorrhizal fungi from eggplant production areas to isolate and identify the efficient strains of mycorrhizal fungi for symbiosis with eggplant under tropical conditions. Conclusion. The vermicompost significantly improved the growth of the eggplant. Its coupling with a consortium of spores of the genera results in better plant growth and yield. This combination has a significant effect on the studied parameters (height, crown diameter, biomass and yield).","container-title":"Tropical and Subtropical Agroecosystems","DOI":"10.56369/tsaes.4180","ISSN":"1870-0462","issue":"1","journalAbbreviation":"Trop Subtrop Agroecosyst","language":"en","license":"http://creativecommons.org/licenses/by/4.0","source":"DOI.org (Crossref)","title":"Effect of vermicompost associated with mycorhizal fungi on the growth of eggplant in organic greenhouse agriculture","URL":"https://www.revista.ccba.uady.mx/ojs/index.php/TSA/article/view/4180","volume":"26","author":[{"family":"Bolou-Bi","given":"Emile B."},{"family":"Chérif","given":"Mamadou"},{"family":"Gnimassoun","given":"Edwige-Gwladys Kawojou"},{"family":"Adjalla","given":"Laurence Ayaba"}],"accessed":{"date-parts":[["2026",9,14]]},"issued":{"date-parts":[["2023",1,5]]}}}],"schema":"https://github.com/citation-style-language/schema/raw/master/csl-citation.json"}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Bolou-Bi et al., (2023)</w:t>
      </w:r>
      <w:r w:rsidRPr="00DF0275">
        <w:rPr>
          <w:rFonts w:ascii="Arial" w:hAnsi="Arial" w:cs="Arial"/>
        </w:rPr>
        <w:fldChar w:fldCharType="end"/>
      </w:r>
      <w:r w:rsidRPr="00DF0275">
        <w:rPr>
          <w:rFonts w:ascii="Arial" w:hAnsi="Arial" w:cs="Arial"/>
          <w:lang w:val="en-GB"/>
        </w:rPr>
        <w:t>. Under such conditions, root development may have been restricted before the plants reached their full productive potential, potentially limiting both the development of the fungal symbiosis and its contribution to plant growth.</w:t>
      </w:r>
    </w:p>
    <w:p w14:paraId="2D37247A" w14:textId="77777777" w:rsidR="00790ADA" w:rsidRPr="00DF0275" w:rsidRDefault="00790ADA" w:rsidP="00441B6F">
      <w:pPr>
        <w:pStyle w:val="Body"/>
        <w:spacing w:after="0"/>
        <w:rPr>
          <w:rFonts w:ascii="Arial" w:hAnsi="Arial" w:cs="Arial"/>
          <w:lang w:val="en-GB"/>
        </w:rPr>
      </w:pPr>
    </w:p>
    <w:p w14:paraId="7FE23267" w14:textId="77777777" w:rsidR="00790ADA" w:rsidRPr="00FB3A86" w:rsidRDefault="00790ADA" w:rsidP="00441B6F">
      <w:pPr>
        <w:pStyle w:val="Body"/>
        <w:spacing w:after="0"/>
        <w:rPr>
          <w:rFonts w:ascii="Arial" w:hAnsi="Arial" w:cs="Arial"/>
        </w:rPr>
      </w:pPr>
    </w:p>
    <w:p w14:paraId="23B49D98"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630E9394" w14:textId="77777777" w:rsidR="00790ADA" w:rsidRPr="00FB3A86" w:rsidRDefault="00790ADA" w:rsidP="00441B6F">
      <w:pPr>
        <w:pStyle w:val="ConcHead"/>
        <w:spacing w:after="0"/>
        <w:jc w:val="both"/>
        <w:rPr>
          <w:rFonts w:ascii="Arial" w:hAnsi="Arial" w:cs="Arial"/>
        </w:rPr>
      </w:pPr>
    </w:p>
    <w:p w14:paraId="6C91A773" w14:textId="01136C9A" w:rsidR="00315186" w:rsidRPr="003A7C92" w:rsidRDefault="00DF0275" w:rsidP="003A7C92">
      <w:pPr>
        <w:pStyle w:val="Body"/>
        <w:rPr>
          <w:rFonts w:ascii="Arial" w:hAnsi="Arial" w:cs="Arial"/>
          <w:lang w:val="en-GB"/>
        </w:rPr>
      </w:pPr>
      <w:r w:rsidRPr="00DF0275">
        <w:rPr>
          <w:rFonts w:ascii="Arial" w:hAnsi="Arial" w:cs="Arial"/>
          <w:lang w:val="en-GB"/>
        </w:rPr>
        <w:t xml:space="preserve">This study evaluated, under controlled greenhouse conditions in </w:t>
      </w:r>
      <w:proofErr w:type="spellStart"/>
      <w:r w:rsidRPr="00DF0275">
        <w:rPr>
          <w:rFonts w:ascii="Arial" w:hAnsi="Arial" w:cs="Arial"/>
          <w:lang w:val="en-GB"/>
        </w:rPr>
        <w:t>Daloa</w:t>
      </w:r>
      <w:proofErr w:type="spellEnd"/>
      <w:r w:rsidRPr="00DF0275">
        <w:rPr>
          <w:rFonts w:ascii="Arial" w:hAnsi="Arial" w:cs="Arial"/>
          <w:lang w:val="en-GB"/>
        </w:rPr>
        <w:t xml:space="preserve">, Côte d’Ivoire, the ability of one commercial and two indigenous AMF inoculants originating from cassava- and maize-associated rhizospheres to colonize the roots of </w:t>
      </w:r>
      <w:r w:rsidRPr="00DF0275">
        <w:rPr>
          <w:rFonts w:ascii="Arial" w:hAnsi="Arial" w:cs="Arial"/>
          <w:i/>
          <w:iCs/>
          <w:lang w:val="en-GB"/>
        </w:rPr>
        <w:t xml:space="preserve">Solanum </w:t>
      </w:r>
      <w:proofErr w:type="spellStart"/>
      <w:r w:rsidRPr="00DF0275">
        <w:rPr>
          <w:rFonts w:ascii="Arial" w:hAnsi="Arial" w:cs="Arial"/>
          <w:i/>
          <w:iCs/>
          <w:lang w:val="en-GB"/>
        </w:rPr>
        <w:t>aethiopicum</w:t>
      </w:r>
      <w:proofErr w:type="spellEnd"/>
      <w:r w:rsidRPr="00DF0275">
        <w:rPr>
          <w:rFonts w:ascii="Arial" w:hAnsi="Arial" w:cs="Arial"/>
          <w:lang w:val="en-GB"/>
        </w:rPr>
        <w:t xml:space="preserve"> and enhance plant growth. The results showed that all three inoculants established mycorrhizal associations with eggplant, with colonization frequencies exceeding 50% in inoculated plants, whereas no mycorrhizal colonization was detected in the non-inoculated control. However, colonization intensity remained low, and no significant differences were observed among the commercial and indigenous </w:t>
      </w:r>
      <w:proofErr w:type="spellStart"/>
      <w:proofErr w:type="gramStart"/>
      <w:r w:rsidRPr="00DF0275">
        <w:rPr>
          <w:rFonts w:ascii="Arial" w:hAnsi="Arial" w:cs="Arial"/>
          <w:lang w:val="en-GB"/>
        </w:rPr>
        <w:t>inoculants.Despite</w:t>
      </w:r>
      <w:proofErr w:type="spellEnd"/>
      <w:proofErr w:type="gramEnd"/>
      <w:r w:rsidRPr="00DF0275">
        <w:rPr>
          <w:rFonts w:ascii="Arial" w:hAnsi="Arial" w:cs="Arial"/>
          <w:lang w:val="en-GB"/>
        </w:rPr>
        <w:t xml:space="preserve"> the establishment of mycorrhizal associations, AMF inoculation did not significantly improve plant growth or biomass production, as no significant treatment effects were detected for plant height, collar diameter, number of leaves, flower-bud production, or fresh aboveground and belowground biomass. The absence of a measurable agronomic response may have been related, at least partly, to the low intensity of root colonization. The relatively short experimental period, regular irrigation under greenhouse conditions, and restricted root-zone volume may also have limited the development and functional expression of the mycorrhizal </w:t>
      </w:r>
      <w:proofErr w:type="spellStart"/>
      <w:proofErr w:type="gramStart"/>
      <w:r w:rsidRPr="00DF0275">
        <w:rPr>
          <w:rFonts w:ascii="Arial" w:hAnsi="Arial" w:cs="Arial"/>
          <w:lang w:val="en-GB"/>
        </w:rPr>
        <w:t>symbiosis.Overall</w:t>
      </w:r>
      <w:proofErr w:type="spellEnd"/>
      <w:proofErr w:type="gramEnd"/>
      <w:r w:rsidRPr="00DF0275">
        <w:rPr>
          <w:rFonts w:ascii="Arial" w:hAnsi="Arial" w:cs="Arial"/>
          <w:lang w:val="en-GB"/>
        </w:rPr>
        <w:t xml:space="preserve">, the results indicate that the indigenous inoculants evaluated in this study were capable of colonizing </w:t>
      </w:r>
      <w:r w:rsidRPr="00DF0275">
        <w:rPr>
          <w:rFonts w:ascii="Arial" w:hAnsi="Arial" w:cs="Arial"/>
          <w:i/>
          <w:iCs/>
          <w:lang w:val="en-GB"/>
        </w:rPr>
        <w:t xml:space="preserve">S. </w:t>
      </w:r>
      <w:proofErr w:type="spellStart"/>
      <w:r w:rsidRPr="00DF0275">
        <w:rPr>
          <w:rFonts w:ascii="Arial" w:hAnsi="Arial" w:cs="Arial"/>
          <w:i/>
          <w:iCs/>
          <w:lang w:val="en-GB"/>
        </w:rPr>
        <w:t>aethiopicum</w:t>
      </w:r>
      <w:proofErr w:type="spellEnd"/>
      <w:r w:rsidRPr="00DF0275">
        <w:rPr>
          <w:rFonts w:ascii="Arial" w:hAnsi="Arial" w:cs="Arial"/>
          <w:lang w:val="en-GB"/>
        </w:rPr>
        <w:t xml:space="preserve"> roots at levels comparable to those achieved with the commercial inoculant. However, their agronomic potential cannot be established on the basis of root colonization under the conditions tested. The findings therefore highlight the importance of considering both the establishment of mycorrhizal symbiosis and its functional expression in the host plant when evaluating AMF inoculants.</w:t>
      </w:r>
    </w:p>
    <w:p w14:paraId="2AD1DA18"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4FA8932C" w14:textId="77777777" w:rsidR="00860000" w:rsidRPr="00786D36" w:rsidRDefault="00860000" w:rsidP="00441B6F">
      <w:pPr>
        <w:pStyle w:val="ReferHead"/>
        <w:spacing w:after="0"/>
        <w:jc w:val="both"/>
        <w:rPr>
          <w:rFonts w:ascii="Arial" w:hAnsi="Arial" w:cs="Arial"/>
        </w:rPr>
      </w:pPr>
    </w:p>
    <w:p w14:paraId="049C5D85" w14:textId="6BA0EED9" w:rsidR="00371FB6" w:rsidRDefault="00360A1F" w:rsidP="00441B6F">
      <w:pPr>
        <w:pStyle w:val="ReferHead"/>
        <w:spacing w:after="0"/>
        <w:jc w:val="both"/>
        <w:rPr>
          <w:rFonts w:ascii="Arial" w:hAnsi="Arial" w:cs="Arial"/>
          <w:b w:val="0"/>
          <w:caps w:val="0"/>
          <w:sz w:val="20"/>
        </w:rPr>
      </w:pPr>
      <w:r w:rsidRPr="00360A1F">
        <w:rPr>
          <w:rFonts w:ascii="Arial" w:hAnsi="Arial" w:cs="Arial"/>
          <w:b w:val="0"/>
          <w:caps w:val="0"/>
          <w:sz w:val="20"/>
        </w:rPr>
        <w:t>Authors have declared that no competing interests exist.</w:t>
      </w:r>
    </w:p>
    <w:p w14:paraId="20CEB70B" w14:textId="77777777" w:rsidR="00360A1F" w:rsidRDefault="00360A1F" w:rsidP="00441B6F">
      <w:pPr>
        <w:pStyle w:val="ReferHead"/>
        <w:spacing w:after="0"/>
        <w:jc w:val="both"/>
        <w:rPr>
          <w:rFonts w:ascii="Arial" w:hAnsi="Arial" w:cs="Arial"/>
          <w:b w:val="0"/>
          <w:caps w:val="0"/>
          <w:sz w:val="20"/>
        </w:rPr>
      </w:pPr>
    </w:p>
    <w:p w14:paraId="607F063F" w14:textId="77777777" w:rsidR="002B685A" w:rsidRDefault="002B685A" w:rsidP="00441B6F">
      <w:pPr>
        <w:pStyle w:val="ReferHead"/>
        <w:spacing w:after="0"/>
        <w:jc w:val="both"/>
        <w:rPr>
          <w:rFonts w:ascii="Arial" w:hAnsi="Arial" w:cs="Arial"/>
          <w:b w:val="0"/>
          <w:caps w:val="0"/>
          <w:sz w:val="20"/>
        </w:rPr>
      </w:pPr>
    </w:p>
    <w:p w14:paraId="15119C48" w14:textId="77777777" w:rsidR="005B1851" w:rsidRDefault="005B1851" w:rsidP="005B1851">
      <w:pPr>
        <w:rPr>
          <w:rFonts w:ascii="Times New Roman" w:hAnsi="Times New Roman"/>
          <w:b/>
        </w:rPr>
      </w:pPr>
      <w:r w:rsidRPr="000839CE">
        <w:rPr>
          <w:rFonts w:ascii="Times New Roman" w:hAnsi="Times New Roman"/>
          <w:b/>
        </w:rPr>
        <w:t>Declaration of AI Use</w:t>
      </w:r>
    </w:p>
    <w:p w14:paraId="5FA52369" w14:textId="77777777" w:rsidR="005B1851" w:rsidRDefault="005B1851" w:rsidP="005B1851">
      <w:pPr>
        <w:rPr>
          <w:rFonts w:ascii="Times New Roman" w:hAnsi="Times New Roman"/>
          <w:b/>
        </w:rPr>
      </w:pPr>
    </w:p>
    <w:p w14:paraId="5D4C6842" w14:textId="77777777" w:rsidR="005B1851" w:rsidRDefault="005B1851" w:rsidP="005B1851">
      <w:pPr>
        <w:rPr>
          <w:rFonts w:ascii="Times New Roman" w:hAnsi="Times New Roman"/>
          <w:b/>
        </w:rPr>
      </w:pPr>
    </w:p>
    <w:p w14:paraId="57488225" w14:textId="77777777" w:rsidR="005B1851" w:rsidRDefault="005B1851" w:rsidP="005B1851">
      <w:pPr>
        <w:rPr>
          <w:rFonts w:ascii="Times New Roman" w:hAnsi="Times New Roman"/>
          <w:b/>
        </w:rPr>
      </w:pPr>
    </w:p>
    <w:p w14:paraId="13B59AF0" w14:textId="77777777" w:rsidR="005B1851" w:rsidRPr="002D08AC" w:rsidRDefault="005B1851" w:rsidP="005B185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91B3D76" w14:textId="77777777" w:rsidR="005B1851" w:rsidRDefault="005B1851" w:rsidP="00441B6F">
      <w:pPr>
        <w:pStyle w:val="ReferHead"/>
        <w:spacing w:after="0"/>
        <w:jc w:val="both"/>
        <w:rPr>
          <w:rFonts w:ascii="Arial" w:hAnsi="Arial" w:cs="Arial"/>
          <w:b w:val="0"/>
          <w:caps w:val="0"/>
          <w:sz w:val="20"/>
        </w:rPr>
      </w:pPr>
    </w:p>
    <w:p w14:paraId="03F3BA5F" w14:textId="77777777" w:rsidR="00860000" w:rsidRDefault="00860000" w:rsidP="00441B6F">
      <w:pPr>
        <w:pStyle w:val="ReferHead"/>
        <w:spacing w:after="0"/>
        <w:jc w:val="both"/>
        <w:rPr>
          <w:rFonts w:ascii="Arial" w:hAnsi="Arial" w:cs="Arial"/>
        </w:rPr>
      </w:pPr>
    </w:p>
    <w:p w14:paraId="38418B6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58EC849" w14:textId="77777777" w:rsidR="00790ADA" w:rsidRPr="00FB3A86" w:rsidRDefault="00790ADA" w:rsidP="00441B6F">
      <w:pPr>
        <w:pStyle w:val="ReferHead"/>
        <w:spacing w:after="0"/>
        <w:jc w:val="both"/>
        <w:rPr>
          <w:rFonts w:ascii="Arial" w:hAnsi="Arial" w:cs="Arial"/>
        </w:rPr>
      </w:pPr>
    </w:p>
    <w:p w14:paraId="20F8B836" w14:textId="77777777" w:rsidR="006C741B" w:rsidRPr="006C741B" w:rsidRDefault="006C741B" w:rsidP="006C741B">
      <w:pPr>
        <w:pStyle w:val="Body"/>
        <w:rPr>
          <w:lang w:val="fr-FR"/>
        </w:rPr>
      </w:pPr>
      <w:r w:rsidRPr="006C741B">
        <w:rPr>
          <w:lang w:val="en-GB"/>
        </w:rPr>
        <w:t xml:space="preserve">Basiru, S., &amp; Hijri, M. (2022). The Potential Applications of Commercial Arbuscular Mycorrhizal Fungal Inoculants and Their Ecological Consequences. </w:t>
      </w:r>
      <w:proofErr w:type="spellStart"/>
      <w:r w:rsidRPr="006C741B">
        <w:rPr>
          <w:i/>
          <w:iCs/>
          <w:lang w:val="fr-FR"/>
        </w:rPr>
        <w:t>Microorganisms</w:t>
      </w:r>
      <w:proofErr w:type="spellEnd"/>
      <w:r w:rsidRPr="006C741B">
        <w:rPr>
          <w:lang w:val="fr-FR"/>
        </w:rPr>
        <w:t xml:space="preserve">, </w:t>
      </w:r>
      <w:r w:rsidRPr="006C741B">
        <w:rPr>
          <w:i/>
          <w:iCs/>
          <w:lang w:val="fr-FR"/>
        </w:rPr>
        <w:t>10</w:t>
      </w:r>
      <w:r w:rsidRPr="006C741B">
        <w:rPr>
          <w:lang w:val="fr-FR"/>
        </w:rPr>
        <w:t>(10), 1897. https://doi.org/10.3390/microorganisms10101897</w:t>
      </w:r>
    </w:p>
    <w:p w14:paraId="00BFBB26" w14:textId="77777777" w:rsidR="006C741B" w:rsidRPr="006C741B" w:rsidRDefault="006C741B" w:rsidP="006C741B">
      <w:pPr>
        <w:pStyle w:val="Body"/>
        <w:rPr>
          <w:lang w:val="en-GB"/>
        </w:rPr>
      </w:pPr>
      <w:proofErr w:type="spellStart"/>
      <w:r w:rsidRPr="006C741B">
        <w:rPr>
          <w:lang w:val="fr-FR"/>
        </w:rPr>
        <w:t>Berruti</w:t>
      </w:r>
      <w:proofErr w:type="spellEnd"/>
      <w:r w:rsidRPr="006C741B">
        <w:rPr>
          <w:lang w:val="fr-FR"/>
        </w:rPr>
        <w:t xml:space="preserve">, A., </w:t>
      </w:r>
      <w:proofErr w:type="spellStart"/>
      <w:r w:rsidRPr="006C741B">
        <w:rPr>
          <w:lang w:val="fr-FR"/>
        </w:rPr>
        <w:t>Lumini</w:t>
      </w:r>
      <w:proofErr w:type="spellEnd"/>
      <w:r w:rsidRPr="006C741B">
        <w:rPr>
          <w:lang w:val="fr-FR"/>
        </w:rPr>
        <w:t xml:space="preserve">, E., Balestrini, R., &amp; </w:t>
      </w:r>
      <w:proofErr w:type="spellStart"/>
      <w:r w:rsidRPr="006C741B">
        <w:rPr>
          <w:lang w:val="fr-FR"/>
        </w:rPr>
        <w:t>Bianciotto</w:t>
      </w:r>
      <w:proofErr w:type="spellEnd"/>
      <w:r w:rsidRPr="006C741B">
        <w:rPr>
          <w:lang w:val="fr-FR"/>
        </w:rPr>
        <w:t xml:space="preserve">, V. (2016a). </w:t>
      </w:r>
      <w:r w:rsidRPr="006C741B">
        <w:rPr>
          <w:lang w:val="en-GB"/>
        </w:rPr>
        <w:t xml:space="preserve">Arbuscular Mycorrhizal Fungi as Natural </w:t>
      </w:r>
      <w:proofErr w:type="gramStart"/>
      <w:r w:rsidRPr="006C741B">
        <w:rPr>
          <w:lang w:val="en-GB"/>
        </w:rPr>
        <w:t>Biofertilizers :</w:t>
      </w:r>
      <w:proofErr w:type="gramEnd"/>
      <w:r w:rsidRPr="006C741B">
        <w:rPr>
          <w:lang w:val="en-GB"/>
        </w:rPr>
        <w:t xml:space="preserve"> Let’s Benefit from Past Successes. </w:t>
      </w:r>
      <w:r w:rsidRPr="006C741B">
        <w:rPr>
          <w:i/>
          <w:iCs/>
          <w:lang w:val="en-GB"/>
        </w:rPr>
        <w:t>Frontiers in Microbiology</w:t>
      </w:r>
      <w:r w:rsidRPr="006C741B">
        <w:rPr>
          <w:lang w:val="en-GB"/>
        </w:rPr>
        <w:t xml:space="preserve">, </w:t>
      </w:r>
      <w:r w:rsidRPr="006C741B">
        <w:rPr>
          <w:i/>
          <w:iCs/>
          <w:lang w:val="en-GB"/>
        </w:rPr>
        <w:t>6</w:t>
      </w:r>
      <w:r w:rsidRPr="006C741B">
        <w:rPr>
          <w:lang w:val="en-GB"/>
        </w:rPr>
        <w:t>. https://doi.org/10.3389/fmicb.2015.01559</w:t>
      </w:r>
    </w:p>
    <w:p w14:paraId="54E7199F" w14:textId="77777777" w:rsidR="006C741B" w:rsidRPr="006C741B" w:rsidRDefault="006C741B" w:rsidP="006C741B">
      <w:pPr>
        <w:pStyle w:val="Body"/>
        <w:rPr>
          <w:lang w:val="en-GB"/>
        </w:rPr>
      </w:pPr>
      <w:r w:rsidRPr="00FC47A8">
        <w:rPr>
          <w:lang w:val="en-GB"/>
        </w:rPr>
        <w:t xml:space="preserve">Bolou-Bi, E. B., Chérif, M., </w:t>
      </w:r>
      <w:proofErr w:type="spellStart"/>
      <w:r w:rsidRPr="00FC47A8">
        <w:rPr>
          <w:lang w:val="en-GB"/>
        </w:rPr>
        <w:t>Gnimassoun</w:t>
      </w:r>
      <w:proofErr w:type="spellEnd"/>
      <w:r w:rsidRPr="00FC47A8">
        <w:rPr>
          <w:lang w:val="en-GB"/>
        </w:rPr>
        <w:t xml:space="preserve">, E.-G. K., &amp; </w:t>
      </w:r>
      <w:proofErr w:type="spellStart"/>
      <w:r w:rsidRPr="00FC47A8">
        <w:rPr>
          <w:lang w:val="en-GB"/>
        </w:rPr>
        <w:t>Adjalla</w:t>
      </w:r>
      <w:proofErr w:type="spellEnd"/>
      <w:r w:rsidRPr="00FC47A8">
        <w:rPr>
          <w:lang w:val="en-GB"/>
        </w:rPr>
        <w:t xml:space="preserve">, L. A. (2023). </w:t>
      </w:r>
      <w:r w:rsidRPr="006C741B">
        <w:rPr>
          <w:lang w:val="en-GB"/>
        </w:rPr>
        <w:t xml:space="preserve">Effect of vermicompost associated with </w:t>
      </w:r>
      <w:proofErr w:type="spellStart"/>
      <w:r w:rsidRPr="006C741B">
        <w:rPr>
          <w:lang w:val="en-GB"/>
        </w:rPr>
        <w:t>mycorhizal</w:t>
      </w:r>
      <w:proofErr w:type="spellEnd"/>
      <w:r w:rsidRPr="006C741B">
        <w:rPr>
          <w:lang w:val="en-GB"/>
        </w:rPr>
        <w:t xml:space="preserve"> fungi on the growth of eggplant in organic greenhouse agriculture. </w:t>
      </w:r>
      <w:r w:rsidRPr="006C741B">
        <w:rPr>
          <w:i/>
          <w:iCs/>
          <w:lang w:val="en-GB"/>
        </w:rPr>
        <w:t>Tropical and Subtropical Agroecosystems</w:t>
      </w:r>
      <w:r w:rsidRPr="006C741B">
        <w:rPr>
          <w:lang w:val="en-GB"/>
        </w:rPr>
        <w:t xml:space="preserve">, </w:t>
      </w:r>
      <w:r w:rsidRPr="006C741B">
        <w:rPr>
          <w:i/>
          <w:iCs/>
          <w:lang w:val="en-GB"/>
        </w:rPr>
        <w:t>26</w:t>
      </w:r>
      <w:r w:rsidRPr="006C741B">
        <w:rPr>
          <w:lang w:val="en-GB"/>
        </w:rPr>
        <w:t>(1). https://doi.org/10.56369/tsaes.4180</w:t>
      </w:r>
    </w:p>
    <w:p w14:paraId="40CEC79F" w14:textId="77777777" w:rsidR="006C741B" w:rsidRPr="006C741B" w:rsidRDefault="006C741B" w:rsidP="006C741B">
      <w:pPr>
        <w:pStyle w:val="Body"/>
        <w:rPr>
          <w:lang w:val="en-GB"/>
        </w:rPr>
      </w:pPr>
      <w:r w:rsidRPr="006C741B">
        <w:rPr>
          <w:lang w:val="en-GB"/>
        </w:rPr>
        <w:t xml:space="preserve">Chandrasekaran, M. (2022). Arbuscular Mycorrhizal Fungi Mediated Enhanced Biomass, Root Morphological Traits and Nutrient Uptake under Drought </w:t>
      </w:r>
      <w:proofErr w:type="gramStart"/>
      <w:r w:rsidRPr="006C741B">
        <w:rPr>
          <w:lang w:val="en-GB"/>
        </w:rPr>
        <w:t>Stress :</w:t>
      </w:r>
      <w:proofErr w:type="gramEnd"/>
      <w:r w:rsidRPr="006C741B">
        <w:rPr>
          <w:lang w:val="en-GB"/>
        </w:rPr>
        <w:t xml:space="preserve"> A Meta-Analysis. </w:t>
      </w:r>
      <w:r w:rsidRPr="006C741B">
        <w:rPr>
          <w:i/>
          <w:iCs/>
          <w:lang w:val="en-GB"/>
        </w:rPr>
        <w:t>Journal of Fungi</w:t>
      </w:r>
      <w:r w:rsidRPr="006C741B">
        <w:rPr>
          <w:lang w:val="en-GB"/>
        </w:rPr>
        <w:t xml:space="preserve">, </w:t>
      </w:r>
      <w:r w:rsidRPr="006C741B">
        <w:rPr>
          <w:i/>
          <w:iCs/>
          <w:lang w:val="en-GB"/>
        </w:rPr>
        <w:t>8</w:t>
      </w:r>
      <w:r w:rsidRPr="006C741B">
        <w:rPr>
          <w:lang w:val="en-GB"/>
        </w:rPr>
        <w:t>(7), 660. https://doi.org/10.3390/jof8070660</w:t>
      </w:r>
    </w:p>
    <w:p w14:paraId="57CCF6F4" w14:textId="77777777" w:rsidR="006C741B" w:rsidRPr="006C741B" w:rsidRDefault="006C741B" w:rsidP="006C741B">
      <w:pPr>
        <w:pStyle w:val="Body"/>
        <w:rPr>
          <w:lang w:val="en-GB"/>
        </w:rPr>
      </w:pPr>
      <w:r w:rsidRPr="006C741B">
        <w:rPr>
          <w:lang w:val="en-GB"/>
        </w:rPr>
        <w:t xml:space="preserve">Choi, S. M., &amp; Choi, C.-I. (2024). Nutritional Composition, Phytochemical Profiles, and Pharmacological Effects of Ethiopian Eggplant (Solanum </w:t>
      </w:r>
      <w:proofErr w:type="spellStart"/>
      <w:r w:rsidRPr="006C741B">
        <w:rPr>
          <w:lang w:val="en-GB"/>
        </w:rPr>
        <w:t>aethiopicum</w:t>
      </w:r>
      <w:proofErr w:type="spellEnd"/>
      <w:r w:rsidRPr="006C741B">
        <w:rPr>
          <w:lang w:val="en-GB"/>
        </w:rPr>
        <w:t xml:space="preserve"> L.). </w:t>
      </w:r>
      <w:r w:rsidRPr="006C741B">
        <w:rPr>
          <w:i/>
          <w:iCs/>
          <w:lang w:val="en-GB"/>
        </w:rPr>
        <w:t>Nutrients</w:t>
      </w:r>
      <w:r w:rsidRPr="006C741B">
        <w:rPr>
          <w:lang w:val="en-GB"/>
        </w:rPr>
        <w:t xml:space="preserve">, </w:t>
      </w:r>
      <w:r w:rsidRPr="006C741B">
        <w:rPr>
          <w:i/>
          <w:iCs/>
          <w:lang w:val="en-GB"/>
        </w:rPr>
        <w:t>16</w:t>
      </w:r>
      <w:r w:rsidRPr="006C741B">
        <w:rPr>
          <w:lang w:val="en-GB"/>
        </w:rPr>
        <w:t>(23), 4228. https://doi.org/10.3390/nu16234228</w:t>
      </w:r>
    </w:p>
    <w:p w14:paraId="6D2AC076" w14:textId="77777777" w:rsidR="006C741B" w:rsidRPr="006C741B" w:rsidRDefault="006C741B" w:rsidP="006C741B">
      <w:pPr>
        <w:pStyle w:val="Body"/>
        <w:rPr>
          <w:lang w:val="fr-FR"/>
        </w:rPr>
      </w:pPr>
      <w:r w:rsidRPr="006C741B">
        <w:rPr>
          <w:lang w:val="en-GB"/>
        </w:rPr>
        <w:t xml:space="preserve">Corona Ramírez, A., </w:t>
      </w:r>
      <w:proofErr w:type="spellStart"/>
      <w:r w:rsidRPr="006C741B">
        <w:rPr>
          <w:lang w:val="en-GB"/>
        </w:rPr>
        <w:t>Symanczik</w:t>
      </w:r>
      <w:proofErr w:type="spellEnd"/>
      <w:r w:rsidRPr="006C741B">
        <w:rPr>
          <w:lang w:val="en-GB"/>
        </w:rPr>
        <w:t xml:space="preserve">, S., Gallusser, T., &amp; Bodenhausen, N. (2023). Quantification of arbuscular mycorrhizal fungi root colonization in wheat, tomato, and leek using absolute qPCR. </w:t>
      </w:r>
      <w:proofErr w:type="spellStart"/>
      <w:r w:rsidRPr="006C741B">
        <w:rPr>
          <w:i/>
          <w:iCs/>
          <w:lang w:val="fr-FR"/>
        </w:rPr>
        <w:t>Mycorrhiza</w:t>
      </w:r>
      <w:proofErr w:type="spellEnd"/>
      <w:r w:rsidRPr="006C741B">
        <w:rPr>
          <w:lang w:val="fr-FR"/>
        </w:rPr>
        <w:t xml:space="preserve">, </w:t>
      </w:r>
      <w:r w:rsidRPr="006C741B">
        <w:rPr>
          <w:i/>
          <w:iCs/>
          <w:lang w:val="fr-FR"/>
        </w:rPr>
        <w:t>33</w:t>
      </w:r>
      <w:r w:rsidRPr="006C741B">
        <w:rPr>
          <w:lang w:val="fr-FR"/>
        </w:rPr>
        <w:t>(5</w:t>
      </w:r>
      <w:r w:rsidRPr="006C741B">
        <w:rPr>
          <w:rFonts w:ascii="Cambria Math" w:hAnsi="Cambria Math" w:cs="Cambria Math"/>
          <w:lang w:val="fr-FR"/>
        </w:rPr>
        <w:t>‑</w:t>
      </w:r>
      <w:r w:rsidRPr="006C741B">
        <w:rPr>
          <w:lang w:val="fr-FR"/>
        </w:rPr>
        <w:t>6), 387</w:t>
      </w:r>
      <w:r w:rsidRPr="006C741B">
        <w:rPr>
          <w:rFonts w:ascii="Cambria Math" w:hAnsi="Cambria Math" w:cs="Cambria Math"/>
          <w:lang w:val="fr-FR"/>
        </w:rPr>
        <w:t>‑</w:t>
      </w:r>
      <w:r w:rsidRPr="006C741B">
        <w:rPr>
          <w:lang w:val="fr-FR"/>
        </w:rPr>
        <w:t>397. https://doi.org/10.1007/s00572-023-01122-8</w:t>
      </w:r>
    </w:p>
    <w:p w14:paraId="1C265632" w14:textId="77777777" w:rsidR="006C741B" w:rsidRPr="006C741B" w:rsidRDefault="006C741B" w:rsidP="006C741B">
      <w:pPr>
        <w:pStyle w:val="Body"/>
        <w:rPr>
          <w:lang w:val="fr-FR"/>
        </w:rPr>
      </w:pPr>
      <w:proofErr w:type="spellStart"/>
      <w:r w:rsidRPr="006C741B">
        <w:rPr>
          <w:lang w:val="fr-FR"/>
        </w:rPr>
        <w:t>Djidji</w:t>
      </w:r>
      <w:proofErr w:type="spellEnd"/>
      <w:r w:rsidRPr="006C741B">
        <w:rPr>
          <w:lang w:val="fr-FR"/>
        </w:rPr>
        <w:t xml:space="preserve">, A. H., &amp; Fondio, L. (2013). </w:t>
      </w:r>
      <w:r w:rsidRPr="006C741B">
        <w:rPr>
          <w:i/>
          <w:iCs/>
          <w:lang w:val="fr-FR"/>
        </w:rPr>
        <w:t>Bien cultiver l’aubergine en Côte d’Ivoire</w:t>
      </w:r>
      <w:r w:rsidRPr="006C741B">
        <w:rPr>
          <w:lang w:val="fr-FR"/>
        </w:rPr>
        <w:t xml:space="preserve"> [Fiche technique]. Direction de la recherche scientifique et de l’appui au développement-Direction des innovations et des systèmes d’information-Centre National de Recherche Agronomique.</w:t>
      </w:r>
    </w:p>
    <w:p w14:paraId="05C5823A" w14:textId="77777777" w:rsidR="006C741B" w:rsidRPr="006C741B" w:rsidRDefault="006C741B" w:rsidP="006C741B">
      <w:pPr>
        <w:pStyle w:val="Body"/>
        <w:rPr>
          <w:lang w:val="en-GB"/>
        </w:rPr>
      </w:pPr>
      <w:proofErr w:type="spellStart"/>
      <w:r w:rsidRPr="006C741B">
        <w:rPr>
          <w:lang w:val="en-GB"/>
        </w:rPr>
        <w:t>Kasharu</w:t>
      </w:r>
      <w:proofErr w:type="spellEnd"/>
      <w:r w:rsidRPr="006C741B">
        <w:rPr>
          <w:lang w:val="en-GB"/>
        </w:rPr>
        <w:t xml:space="preserve">, A. k, Kizito, E. B., </w:t>
      </w:r>
      <w:proofErr w:type="spellStart"/>
      <w:r w:rsidRPr="006C741B">
        <w:rPr>
          <w:lang w:val="en-GB"/>
        </w:rPr>
        <w:t>Masanza</w:t>
      </w:r>
      <w:proofErr w:type="spellEnd"/>
      <w:r w:rsidRPr="006C741B">
        <w:rPr>
          <w:lang w:val="en-GB"/>
        </w:rPr>
        <w:t xml:space="preserve">, M., </w:t>
      </w:r>
      <w:proofErr w:type="spellStart"/>
      <w:r w:rsidRPr="006C741B">
        <w:rPr>
          <w:lang w:val="en-GB"/>
        </w:rPr>
        <w:t>Jjagwe</w:t>
      </w:r>
      <w:proofErr w:type="spellEnd"/>
      <w:r w:rsidRPr="006C741B">
        <w:rPr>
          <w:lang w:val="en-GB"/>
        </w:rPr>
        <w:t xml:space="preserve">, J., &amp; Namutebi, A. (2019). Quantifying Physical and Economic Losses of African Indigenous Vegetable Solanum </w:t>
      </w:r>
      <w:proofErr w:type="spellStart"/>
      <w:r w:rsidRPr="006C741B">
        <w:rPr>
          <w:lang w:val="en-GB"/>
        </w:rPr>
        <w:t>aethiopicum</w:t>
      </w:r>
      <w:proofErr w:type="spellEnd"/>
      <w:r w:rsidRPr="006C741B">
        <w:rPr>
          <w:lang w:val="en-GB"/>
        </w:rPr>
        <w:t xml:space="preserve"> Along the Commercial Supply Value Chain. </w:t>
      </w:r>
      <w:r w:rsidRPr="006C741B">
        <w:rPr>
          <w:i/>
          <w:iCs/>
          <w:lang w:val="en-GB"/>
        </w:rPr>
        <w:t>Journal of Economics and Sustainable Development</w:t>
      </w:r>
      <w:r w:rsidRPr="006C741B">
        <w:rPr>
          <w:lang w:val="en-GB"/>
        </w:rPr>
        <w:t xml:space="preserve">, </w:t>
      </w:r>
      <w:r w:rsidRPr="006C741B">
        <w:rPr>
          <w:i/>
          <w:iCs/>
          <w:lang w:val="en-GB"/>
        </w:rPr>
        <w:t>10</w:t>
      </w:r>
      <w:r w:rsidRPr="006C741B">
        <w:rPr>
          <w:lang w:val="en-GB"/>
        </w:rPr>
        <w:t>(2), 67.</w:t>
      </w:r>
    </w:p>
    <w:p w14:paraId="0521982E" w14:textId="77777777" w:rsidR="006C741B" w:rsidRPr="006C741B" w:rsidRDefault="006C741B" w:rsidP="006C741B">
      <w:pPr>
        <w:pStyle w:val="Body"/>
        <w:rPr>
          <w:lang w:val="en-GB"/>
        </w:rPr>
      </w:pPr>
      <w:r w:rsidRPr="006C741B">
        <w:rPr>
          <w:lang w:val="en-GB"/>
        </w:rPr>
        <w:t xml:space="preserve">Kouadio, A. N. M.-S., Nandjui, J., Krou, S. M., </w:t>
      </w:r>
      <w:proofErr w:type="spellStart"/>
      <w:r w:rsidRPr="006C741B">
        <w:rPr>
          <w:lang w:val="en-GB"/>
        </w:rPr>
        <w:t>Séry</w:t>
      </w:r>
      <w:proofErr w:type="spellEnd"/>
      <w:r w:rsidRPr="006C741B">
        <w:rPr>
          <w:lang w:val="en-GB"/>
        </w:rPr>
        <w:t xml:space="preserve">, D. J.-M., Nelson, P. N., &amp; </w:t>
      </w:r>
      <w:proofErr w:type="spellStart"/>
      <w:r w:rsidRPr="006C741B">
        <w:rPr>
          <w:lang w:val="en-GB"/>
        </w:rPr>
        <w:t>Zézé</w:t>
      </w:r>
      <w:proofErr w:type="spellEnd"/>
      <w:r w:rsidRPr="006C741B">
        <w:rPr>
          <w:lang w:val="en-GB"/>
        </w:rPr>
        <w:t xml:space="preserve">, A. (2017). A native arbuscular mycorrhizal fungus inoculant outcompetes an exotic commercial species under two contrasting yam field conditions. </w:t>
      </w:r>
      <w:r w:rsidRPr="006C741B">
        <w:rPr>
          <w:i/>
          <w:iCs/>
          <w:lang w:val="en-GB"/>
        </w:rPr>
        <w:t>Rhizosphere</w:t>
      </w:r>
      <w:r w:rsidRPr="006C741B">
        <w:rPr>
          <w:lang w:val="en-GB"/>
        </w:rPr>
        <w:t xml:space="preserve">, </w:t>
      </w:r>
      <w:r w:rsidRPr="006C741B">
        <w:rPr>
          <w:i/>
          <w:iCs/>
          <w:lang w:val="en-GB"/>
        </w:rPr>
        <w:t>4</w:t>
      </w:r>
      <w:r w:rsidRPr="006C741B">
        <w:rPr>
          <w:lang w:val="en-GB"/>
        </w:rPr>
        <w:t>, 112</w:t>
      </w:r>
      <w:r w:rsidRPr="006C741B">
        <w:rPr>
          <w:rFonts w:ascii="Cambria Math" w:hAnsi="Cambria Math" w:cs="Cambria Math"/>
          <w:lang w:val="en-GB"/>
        </w:rPr>
        <w:t>‑</w:t>
      </w:r>
      <w:r w:rsidRPr="006C741B">
        <w:rPr>
          <w:lang w:val="en-GB"/>
        </w:rPr>
        <w:t>118. https://doi.org/10.1016/j.rhisph.2017.10.001</w:t>
      </w:r>
    </w:p>
    <w:p w14:paraId="74D7DD85" w14:textId="77777777" w:rsidR="006C741B" w:rsidRPr="006C741B" w:rsidRDefault="006C741B" w:rsidP="006C741B">
      <w:pPr>
        <w:pStyle w:val="Body"/>
        <w:rPr>
          <w:lang w:val="en-GB"/>
        </w:rPr>
      </w:pPr>
      <w:proofErr w:type="spellStart"/>
      <w:r w:rsidRPr="006C741B">
        <w:rPr>
          <w:lang w:val="en-GB"/>
        </w:rPr>
        <w:t>Kurunç</w:t>
      </w:r>
      <w:proofErr w:type="spellEnd"/>
      <w:r w:rsidRPr="006C741B">
        <w:rPr>
          <w:lang w:val="en-GB"/>
        </w:rPr>
        <w:t xml:space="preserve">, A., &amp; </w:t>
      </w:r>
      <w:proofErr w:type="spellStart"/>
      <w:r w:rsidRPr="006C741B">
        <w:rPr>
          <w:lang w:val="en-GB"/>
        </w:rPr>
        <w:t>Ünlükara</w:t>
      </w:r>
      <w:proofErr w:type="spellEnd"/>
      <w:r w:rsidRPr="006C741B">
        <w:rPr>
          <w:lang w:val="en-GB"/>
        </w:rPr>
        <w:t xml:space="preserve">, A. (2009). Growth, yield, and water use of okra (Abelmoschus esculentus) and eggplant (Solanum melongena) as influenced by rooting volume. </w:t>
      </w:r>
      <w:r w:rsidRPr="006C741B">
        <w:rPr>
          <w:i/>
          <w:iCs/>
          <w:lang w:val="en-GB"/>
        </w:rPr>
        <w:t>New Zealand Journal of Crop and Horticultural Science</w:t>
      </w:r>
      <w:r w:rsidRPr="006C741B">
        <w:rPr>
          <w:lang w:val="en-GB"/>
        </w:rPr>
        <w:t xml:space="preserve">, </w:t>
      </w:r>
      <w:r w:rsidRPr="006C741B">
        <w:rPr>
          <w:i/>
          <w:iCs/>
          <w:lang w:val="en-GB"/>
        </w:rPr>
        <w:t>37</w:t>
      </w:r>
      <w:r w:rsidRPr="006C741B">
        <w:rPr>
          <w:lang w:val="en-GB"/>
        </w:rPr>
        <w:t>(3), 201</w:t>
      </w:r>
      <w:r w:rsidRPr="006C741B">
        <w:rPr>
          <w:rFonts w:ascii="Cambria Math" w:hAnsi="Cambria Math" w:cs="Cambria Math"/>
          <w:lang w:val="en-GB"/>
        </w:rPr>
        <w:t>‑</w:t>
      </w:r>
      <w:r w:rsidRPr="006C741B">
        <w:rPr>
          <w:lang w:val="en-GB"/>
        </w:rPr>
        <w:t>210. https://doi.org/10.1080/01140670909510265</w:t>
      </w:r>
    </w:p>
    <w:p w14:paraId="185A3C18" w14:textId="77777777" w:rsidR="006C741B" w:rsidRPr="006C741B" w:rsidRDefault="006C741B" w:rsidP="006C741B">
      <w:pPr>
        <w:pStyle w:val="Body"/>
        <w:rPr>
          <w:lang w:val="en-GB"/>
        </w:rPr>
      </w:pPr>
      <w:proofErr w:type="spellStart"/>
      <w:r w:rsidRPr="006C741B">
        <w:rPr>
          <w:lang w:val="en-GB"/>
        </w:rPr>
        <w:t>Mvungi</w:t>
      </w:r>
      <w:proofErr w:type="spellEnd"/>
      <w:r w:rsidRPr="006C741B">
        <w:rPr>
          <w:lang w:val="en-GB"/>
        </w:rPr>
        <w:t xml:space="preserve">, H.-H. A., Wanyama, R., </w:t>
      </w:r>
      <w:proofErr w:type="spellStart"/>
      <w:r w:rsidRPr="006C741B">
        <w:rPr>
          <w:lang w:val="en-GB"/>
        </w:rPr>
        <w:t>Dinssa</w:t>
      </w:r>
      <w:proofErr w:type="spellEnd"/>
      <w:r w:rsidRPr="006C741B">
        <w:rPr>
          <w:lang w:val="en-GB"/>
        </w:rPr>
        <w:t xml:space="preserve">, F. F., Ngoteya, G., </w:t>
      </w:r>
      <w:proofErr w:type="spellStart"/>
      <w:r w:rsidRPr="006C741B">
        <w:rPr>
          <w:lang w:val="en-GB"/>
        </w:rPr>
        <w:t>Sigalla</w:t>
      </w:r>
      <w:proofErr w:type="spellEnd"/>
      <w:r w:rsidRPr="006C741B">
        <w:rPr>
          <w:lang w:val="en-GB"/>
        </w:rPr>
        <w:t xml:space="preserve">, J., Minja, R., Bishop, G., &amp; </w:t>
      </w:r>
      <w:proofErr w:type="spellStart"/>
      <w:r w:rsidRPr="006C741B">
        <w:rPr>
          <w:lang w:val="en-GB"/>
        </w:rPr>
        <w:t>Schreinemachers</w:t>
      </w:r>
      <w:proofErr w:type="spellEnd"/>
      <w:r w:rsidRPr="006C741B">
        <w:rPr>
          <w:lang w:val="en-GB"/>
        </w:rPr>
        <w:t xml:space="preserve">, P. (2025). Production of African eggplant in </w:t>
      </w:r>
      <w:proofErr w:type="gramStart"/>
      <w:r w:rsidRPr="006C741B">
        <w:rPr>
          <w:lang w:val="en-GB"/>
        </w:rPr>
        <w:t>Tanzania :</w:t>
      </w:r>
      <w:proofErr w:type="gramEnd"/>
      <w:r w:rsidRPr="006C741B">
        <w:rPr>
          <w:lang w:val="en-GB"/>
        </w:rPr>
        <w:t xml:space="preserve"> Varieties, practices, profitability, and constraints. </w:t>
      </w:r>
      <w:r w:rsidRPr="006C741B">
        <w:rPr>
          <w:i/>
          <w:iCs/>
          <w:lang w:val="en-GB"/>
        </w:rPr>
        <w:t>Frontiers in Sustainable Food Systems</w:t>
      </w:r>
      <w:r w:rsidRPr="006C741B">
        <w:rPr>
          <w:lang w:val="en-GB"/>
        </w:rPr>
        <w:t xml:space="preserve">, </w:t>
      </w:r>
      <w:r w:rsidRPr="006C741B">
        <w:rPr>
          <w:i/>
          <w:iCs/>
          <w:lang w:val="en-GB"/>
        </w:rPr>
        <w:t>9</w:t>
      </w:r>
      <w:r w:rsidRPr="006C741B">
        <w:rPr>
          <w:lang w:val="en-GB"/>
        </w:rPr>
        <w:t>. https://doi.org/10.3389/fsufs.2025.1461851</w:t>
      </w:r>
    </w:p>
    <w:p w14:paraId="58C01319" w14:textId="77777777" w:rsidR="006C741B" w:rsidRPr="006C741B" w:rsidRDefault="006C741B" w:rsidP="006C741B">
      <w:pPr>
        <w:pStyle w:val="Body"/>
        <w:rPr>
          <w:lang w:val="en-GB"/>
        </w:rPr>
      </w:pPr>
      <w:r w:rsidRPr="006C741B">
        <w:rPr>
          <w:lang w:val="en-GB"/>
        </w:rPr>
        <w:lastRenderedPageBreak/>
        <w:t xml:space="preserve">Nie, W., He, Q., Guo, H., Zhang, W., Ma, L., Li, J., &amp; Wen, D. (2024). Arbuscular Mycorrhizal </w:t>
      </w:r>
      <w:proofErr w:type="gramStart"/>
      <w:r w:rsidRPr="006C741B">
        <w:rPr>
          <w:lang w:val="en-GB"/>
        </w:rPr>
        <w:t>Fungi :</w:t>
      </w:r>
      <w:proofErr w:type="gramEnd"/>
      <w:r w:rsidRPr="006C741B">
        <w:rPr>
          <w:lang w:val="en-GB"/>
        </w:rPr>
        <w:t xml:space="preserve"> Boosting Crop Resilience to Environmental Stresses. </w:t>
      </w:r>
      <w:r w:rsidRPr="006C741B">
        <w:rPr>
          <w:i/>
          <w:iCs/>
          <w:lang w:val="en-GB"/>
        </w:rPr>
        <w:t>Microorganisms</w:t>
      </w:r>
      <w:r w:rsidRPr="006C741B">
        <w:rPr>
          <w:lang w:val="en-GB"/>
        </w:rPr>
        <w:t xml:space="preserve">, </w:t>
      </w:r>
      <w:r w:rsidRPr="006C741B">
        <w:rPr>
          <w:i/>
          <w:iCs/>
          <w:lang w:val="en-GB"/>
        </w:rPr>
        <w:t>12</w:t>
      </w:r>
      <w:r w:rsidRPr="006C741B">
        <w:rPr>
          <w:lang w:val="en-GB"/>
        </w:rPr>
        <w:t>(12), 2448. https://doi.org/10.3390/microorganisms12122448</w:t>
      </w:r>
    </w:p>
    <w:p w14:paraId="5BA990A1" w14:textId="77777777" w:rsidR="006C741B" w:rsidRPr="006C741B" w:rsidRDefault="006C741B" w:rsidP="006C741B">
      <w:pPr>
        <w:pStyle w:val="Body"/>
        <w:rPr>
          <w:lang w:val="fr-FR"/>
        </w:rPr>
      </w:pPr>
      <w:proofErr w:type="spellStart"/>
      <w:r w:rsidRPr="006C741B">
        <w:rPr>
          <w:lang w:val="fr-FR"/>
        </w:rPr>
        <w:t>Plenchette</w:t>
      </w:r>
      <w:proofErr w:type="spellEnd"/>
      <w:r w:rsidRPr="006C741B">
        <w:rPr>
          <w:lang w:val="fr-FR"/>
        </w:rPr>
        <w:t xml:space="preserve">, C., Bois, J.-F., Duponnois, R., &amp; Cadet, P. (2000). La mycorhization (Glomus </w:t>
      </w:r>
      <w:proofErr w:type="spellStart"/>
      <w:r w:rsidRPr="006C741B">
        <w:rPr>
          <w:lang w:val="fr-FR"/>
        </w:rPr>
        <w:t>aggregatum</w:t>
      </w:r>
      <w:proofErr w:type="spellEnd"/>
      <w:r w:rsidRPr="006C741B">
        <w:rPr>
          <w:lang w:val="fr-FR"/>
        </w:rPr>
        <w:t>) du mil (</w:t>
      </w:r>
      <w:proofErr w:type="spellStart"/>
      <w:r w:rsidRPr="006C741B">
        <w:rPr>
          <w:lang w:val="fr-FR"/>
        </w:rPr>
        <w:t>Pennisetum</w:t>
      </w:r>
      <w:proofErr w:type="spellEnd"/>
      <w:r w:rsidRPr="006C741B">
        <w:rPr>
          <w:lang w:val="fr-FR"/>
        </w:rPr>
        <w:t xml:space="preserve"> </w:t>
      </w:r>
      <w:proofErr w:type="spellStart"/>
      <w:r w:rsidRPr="006C741B">
        <w:rPr>
          <w:lang w:val="fr-FR"/>
        </w:rPr>
        <w:t>glaucum</w:t>
      </w:r>
      <w:proofErr w:type="spellEnd"/>
      <w:r w:rsidRPr="006C741B">
        <w:rPr>
          <w:lang w:val="fr-FR"/>
        </w:rPr>
        <w:t xml:space="preserve">). </w:t>
      </w:r>
      <w:r w:rsidRPr="006C741B">
        <w:rPr>
          <w:i/>
          <w:iCs/>
          <w:lang w:val="fr-FR"/>
        </w:rPr>
        <w:t>Étude et Gestion des Sols</w:t>
      </w:r>
      <w:r w:rsidRPr="006C741B">
        <w:rPr>
          <w:lang w:val="fr-FR"/>
        </w:rPr>
        <w:t>.</w:t>
      </w:r>
    </w:p>
    <w:p w14:paraId="131E5592" w14:textId="77777777" w:rsidR="006C741B" w:rsidRPr="006C741B" w:rsidRDefault="006C741B" w:rsidP="006C741B">
      <w:pPr>
        <w:pStyle w:val="Body"/>
        <w:rPr>
          <w:lang w:val="en-GB"/>
        </w:rPr>
      </w:pPr>
      <w:proofErr w:type="spellStart"/>
      <w:r w:rsidRPr="006C741B">
        <w:rPr>
          <w:lang w:val="fr-FR"/>
        </w:rPr>
        <w:t>Séry</w:t>
      </w:r>
      <w:proofErr w:type="spellEnd"/>
      <w:r w:rsidRPr="006C741B">
        <w:rPr>
          <w:lang w:val="fr-FR"/>
        </w:rPr>
        <w:t xml:space="preserve">, D. J.-M., Kouadjo, Z. G. C., </w:t>
      </w:r>
      <w:proofErr w:type="spellStart"/>
      <w:r w:rsidRPr="006C741B">
        <w:rPr>
          <w:lang w:val="fr-FR"/>
        </w:rPr>
        <w:t>Voko</w:t>
      </w:r>
      <w:proofErr w:type="spellEnd"/>
      <w:r w:rsidRPr="006C741B">
        <w:rPr>
          <w:lang w:val="fr-FR"/>
        </w:rPr>
        <w:t xml:space="preserve">, B. R. R., &amp; Zézé, A. (2016). </w:t>
      </w:r>
      <w:r w:rsidRPr="006C741B">
        <w:rPr>
          <w:lang w:val="en-GB"/>
        </w:rPr>
        <w:t xml:space="preserve">Selecting Native Arbuscular Mycorrhizal Fungi to Promote Cassava Growth and Increase Yield under Field Conditions. </w:t>
      </w:r>
      <w:r w:rsidRPr="006C741B">
        <w:rPr>
          <w:i/>
          <w:iCs/>
          <w:lang w:val="en-GB"/>
        </w:rPr>
        <w:t>Frontiers in Microbiology</w:t>
      </w:r>
      <w:r w:rsidRPr="006C741B">
        <w:rPr>
          <w:lang w:val="en-GB"/>
        </w:rPr>
        <w:t xml:space="preserve">, </w:t>
      </w:r>
      <w:r w:rsidRPr="006C741B">
        <w:rPr>
          <w:i/>
          <w:iCs/>
          <w:lang w:val="en-GB"/>
        </w:rPr>
        <w:t>7</w:t>
      </w:r>
      <w:r w:rsidRPr="006C741B">
        <w:rPr>
          <w:lang w:val="en-GB"/>
        </w:rPr>
        <w:t>. https://doi.org/10.3389/fmicb.2016.02063</w:t>
      </w:r>
    </w:p>
    <w:p w14:paraId="0DC576CB" w14:textId="77777777" w:rsidR="006C741B" w:rsidRPr="006C741B" w:rsidRDefault="006C741B" w:rsidP="006C741B">
      <w:pPr>
        <w:pStyle w:val="Body"/>
        <w:rPr>
          <w:lang w:val="en-GB"/>
        </w:rPr>
      </w:pPr>
      <w:proofErr w:type="spellStart"/>
      <w:r w:rsidRPr="006C741B">
        <w:rPr>
          <w:lang w:val="en-GB"/>
        </w:rPr>
        <w:t>Vosátka</w:t>
      </w:r>
      <w:proofErr w:type="spellEnd"/>
      <w:r w:rsidRPr="006C741B">
        <w:rPr>
          <w:lang w:val="en-GB"/>
        </w:rPr>
        <w:t xml:space="preserve">, M., </w:t>
      </w:r>
      <w:proofErr w:type="spellStart"/>
      <w:r w:rsidRPr="006C741B">
        <w:rPr>
          <w:lang w:val="en-GB"/>
        </w:rPr>
        <w:t>Látr</w:t>
      </w:r>
      <w:proofErr w:type="spellEnd"/>
      <w:r w:rsidRPr="006C741B">
        <w:rPr>
          <w:lang w:val="en-GB"/>
        </w:rPr>
        <w:t xml:space="preserve">, A., Gianinazzi, S., &amp; </w:t>
      </w:r>
      <w:proofErr w:type="spellStart"/>
      <w:r w:rsidRPr="006C741B">
        <w:rPr>
          <w:lang w:val="en-GB"/>
        </w:rPr>
        <w:t>Albrechtová</w:t>
      </w:r>
      <w:proofErr w:type="spellEnd"/>
      <w:r w:rsidRPr="006C741B">
        <w:rPr>
          <w:lang w:val="en-GB"/>
        </w:rPr>
        <w:t xml:space="preserve">, J. (2012). Development of arbuscular mycorrhizal biotechnology and </w:t>
      </w:r>
      <w:proofErr w:type="gramStart"/>
      <w:r w:rsidRPr="006C741B">
        <w:rPr>
          <w:lang w:val="en-GB"/>
        </w:rPr>
        <w:t>industry :</w:t>
      </w:r>
      <w:proofErr w:type="gramEnd"/>
      <w:r w:rsidRPr="006C741B">
        <w:rPr>
          <w:lang w:val="en-GB"/>
        </w:rPr>
        <w:t xml:space="preserve"> Current achievements and bottlenecks. </w:t>
      </w:r>
      <w:r w:rsidRPr="006C741B">
        <w:rPr>
          <w:i/>
          <w:iCs/>
          <w:lang w:val="en-GB"/>
        </w:rPr>
        <w:t>Symbiosis</w:t>
      </w:r>
      <w:r w:rsidRPr="006C741B">
        <w:rPr>
          <w:lang w:val="en-GB"/>
        </w:rPr>
        <w:t xml:space="preserve">, </w:t>
      </w:r>
      <w:r w:rsidRPr="006C741B">
        <w:rPr>
          <w:i/>
          <w:iCs/>
          <w:lang w:val="en-GB"/>
        </w:rPr>
        <w:t>58</w:t>
      </w:r>
      <w:r w:rsidRPr="006C741B">
        <w:rPr>
          <w:lang w:val="en-GB"/>
        </w:rPr>
        <w:t>(1), 29</w:t>
      </w:r>
      <w:r w:rsidRPr="006C741B">
        <w:rPr>
          <w:rFonts w:ascii="Cambria Math" w:hAnsi="Cambria Math" w:cs="Cambria Math"/>
          <w:lang w:val="en-GB"/>
        </w:rPr>
        <w:t>‑</w:t>
      </w:r>
      <w:r w:rsidRPr="006C741B">
        <w:rPr>
          <w:lang w:val="en-GB"/>
        </w:rPr>
        <w:t>37. https://doi.org/10.1007/s13199-012-0208-9</w:t>
      </w:r>
    </w:p>
    <w:p w14:paraId="6B6AF86D" w14:textId="77777777" w:rsidR="006C741B" w:rsidRPr="006C741B" w:rsidRDefault="006C741B" w:rsidP="006C741B">
      <w:pPr>
        <w:pStyle w:val="Body"/>
        <w:rPr>
          <w:lang w:val="en-GB"/>
        </w:rPr>
      </w:pPr>
      <w:r w:rsidRPr="006C741B">
        <w:rPr>
          <w:lang w:val="en-GB"/>
        </w:rPr>
        <w:t xml:space="preserve">Wu, Y., Chen, C., &amp; Wang, G. (2024). Inoculation with arbuscular mycorrhizal fungi improves plant biomass and nitrogen and phosphorus </w:t>
      </w:r>
      <w:proofErr w:type="gramStart"/>
      <w:r w:rsidRPr="006C741B">
        <w:rPr>
          <w:lang w:val="en-GB"/>
        </w:rPr>
        <w:t>nutrients :</w:t>
      </w:r>
      <w:proofErr w:type="gramEnd"/>
      <w:r w:rsidRPr="006C741B">
        <w:rPr>
          <w:lang w:val="en-GB"/>
        </w:rPr>
        <w:t xml:space="preserve"> A meta-analysis. </w:t>
      </w:r>
      <w:r w:rsidRPr="006C741B">
        <w:rPr>
          <w:i/>
          <w:iCs/>
          <w:lang w:val="en-GB"/>
        </w:rPr>
        <w:t>BMC Plant Biology</w:t>
      </w:r>
      <w:r w:rsidRPr="006C741B">
        <w:rPr>
          <w:lang w:val="en-GB"/>
        </w:rPr>
        <w:t xml:space="preserve">, </w:t>
      </w:r>
      <w:r w:rsidRPr="006C741B">
        <w:rPr>
          <w:i/>
          <w:iCs/>
          <w:lang w:val="en-GB"/>
        </w:rPr>
        <w:t>24</w:t>
      </w:r>
      <w:r w:rsidRPr="006C741B">
        <w:rPr>
          <w:lang w:val="en-GB"/>
        </w:rPr>
        <w:t>(1), 960. https://doi.org/10.1186/s12870-024-05638-9</w:t>
      </w:r>
    </w:p>
    <w:p w14:paraId="36D9DDEE" w14:textId="69804419" w:rsidR="00B01FCD" w:rsidRPr="006C741B" w:rsidRDefault="006C741B" w:rsidP="006C741B">
      <w:pPr>
        <w:pStyle w:val="Body"/>
        <w:rPr>
          <w:lang w:val="en-GB"/>
        </w:rPr>
      </w:pPr>
      <w:r w:rsidRPr="00637FEF">
        <w:rPr>
          <w:lang w:val="en-GB"/>
        </w:rPr>
        <w:t xml:space="preserve">Zhang, J., Zhao, R., Li, X., &amp; Zhang, J. (2024). </w:t>
      </w:r>
      <w:r w:rsidRPr="006C741B">
        <w:rPr>
          <w:lang w:val="en-GB"/>
        </w:rPr>
        <w:t xml:space="preserve">Potential of arbuscular mycorrhizal fungi for soil </w:t>
      </w:r>
      <w:proofErr w:type="gramStart"/>
      <w:r w:rsidRPr="006C741B">
        <w:rPr>
          <w:lang w:val="en-GB"/>
        </w:rPr>
        <w:t>health :</w:t>
      </w:r>
      <w:proofErr w:type="gramEnd"/>
      <w:r w:rsidRPr="006C741B">
        <w:rPr>
          <w:lang w:val="en-GB"/>
        </w:rPr>
        <w:t xml:space="preserve"> A review. </w:t>
      </w:r>
      <w:r w:rsidRPr="006C741B">
        <w:rPr>
          <w:i/>
          <w:iCs/>
          <w:lang w:val="en-GB"/>
        </w:rPr>
        <w:t>Pedosphere</w:t>
      </w:r>
      <w:r w:rsidRPr="006C741B">
        <w:rPr>
          <w:lang w:val="en-GB"/>
        </w:rPr>
        <w:t xml:space="preserve">, </w:t>
      </w:r>
      <w:r w:rsidRPr="006C741B">
        <w:rPr>
          <w:i/>
          <w:iCs/>
          <w:lang w:val="en-GB"/>
        </w:rPr>
        <w:t>34</w:t>
      </w:r>
      <w:r w:rsidRPr="006C741B">
        <w:rPr>
          <w:lang w:val="en-GB"/>
        </w:rPr>
        <w:t>(2), 279</w:t>
      </w:r>
      <w:r w:rsidRPr="006C741B">
        <w:rPr>
          <w:rFonts w:ascii="Cambria Math" w:hAnsi="Cambria Math" w:cs="Cambria Math"/>
          <w:lang w:val="en-GB"/>
        </w:rPr>
        <w:t>‑</w:t>
      </w:r>
      <w:r w:rsidRPr="006C741B">
        <w:rPr>
          <w:lang w:val="en-GB"/>
        </w:rPr>
        <w:t>288. https://doi.org/10.1016/j.pedsph.2024.02.002</w:t>
      </w:r>
    </w:p>
    <w:sectPr w:rsidR="00B01FCD" w:rsidRPr="006C741B" w:rsidSect="00BE11BE">
      <w:headerReference w:type="even" r:id="rId20"/>
      <w:headerReference w:type="default" r:id="rId21"/>
      <w:footerReference w:type="default" r:id="rId22"/>
      <w:headerReference w:type="first" r:id="rId2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E7487" w14:textId="77777777" w:rsidR="00960B87" w:rsidRDefault="00960B87" w:rsidP="00C37E61">
      <w:r>
        <w:separator/>
      </w:r>
    </w:p>
  </w:endnote>
  <w:endnote w:type="continuationSeparator" w:id="0">
    <w:p w14:paraId="30DBF71C" w14:textId="77777777" w:rsidR="00960B87" w:rsidRDefault="00960B8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2C6F" w14:textId="77777777" w:rsidR="003A5F65" w:rsidRDefault="003A5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FB48" w14:textId="77777777" w:rsidR="003A5F65" w:rsidRDefault="003A5F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1F4E" w14:textId="77777777" w:rsidR="009E048A" w:rsidRDefault="009E048A">
    <w:pPr>
      <w:pStyle w:val="Footer"/>
      <w:rPr>
        <w:rFonts w:ascii="Arial" w:hAnsi="Arial" w:cs="Arial"/>
        <w:sz w:val="16"/>
      </w:rPr>
    </w:pPr>
  </w:p>
  <w:p w14:paraId="1CBCCC6E"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1FB4A51" w14:textId="77777777" w:rsidR="009E048A" w:rsidRDefault="009E048A">
    <w:pPr>
      <w:pStyle w:val="Footer"/>
      <w:rPr>
        <w:rFonts w:ascii="Arial" w:hAnsi="Arial" w:cs="Arial"/>
        <w:sz w:val="16"/>
      </w:rPr>
    </w:pPr>
  </w:p>
  <w:p w14:paraId="705EBB4C"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F32C8" w14:textId="77777777" w:rsidR="00960B87" w:rsidRDefault="00960B87" w:rsidP="00C37E61">
      <w:r>
        <w:separator/>
      </w:r>
    </w:p>
  </w:footnote>
  <w:footnote w:type="continuationSeparator" w:id="0">
    <w:p w14:paraId="66414C04" w14:textId="77777777" w:rsidR="00960B87" w:rsidRDefault="00960B8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163E" w14:textId="6CF297F6" w:rsidR="003A5F65" w:rsidRDefault="003A5F65">
    <w:pPr>
      <w:pStyle w:val="Header"/>
    </w:pPr>
    <w:r>
      <w:rPr>
        <w:noProof/>
      </w:rPr>
      <w:pict w14:anchorId="6CC8C3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2F01" w14:textId="3C60C310" w:rsidR="003A5F65" w:rsidRDefault="003A5F65">
    <w:pPr>
      <w:pStyle w:val="Header"/>
    </w:pPr>
    <w:r>
      <w:rPr>
        <w:noProof/>
      </w:rPr>
      <w:pict w14:anchorId="2042C3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19E019D4" w:rsidR="00296529" w:rsidRPr="00296529" w:rsidRDefault="003A5F65" w:rsidP="00296529">
    <w:pPr>
      <w:ind w:left="2160"/>
      <w:jc w:val="center"/>
      <w:rPr>
        <w:rFonts w:ascii="Times New Roman" w:eastAsia="Calibri" w:hAnsi="Times New Roman"/>
        <w:i/>
        <w:sz w:val="18"/>
        <w:szCs w:val="22"/>
      </w:rPr>
    </w:pPr>
    <w:r>
      <w:rPr>
        <w:noProof/>
      </w:rPr>
      <w:pict w14:anchorId="69D48A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4DE0" w14:textId="0840CC8B" w:rsidR="003A5F65" w:rsidRDefault="003A5F65">
    <w:pPr>
      <w:pStyle w:val="Header"/>
    </w:pPr>
    <w:r>
      <w:rPr>
        <w:noProof/>
      </w:rPr>
      <w:pict w14:anchorId="6788DA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4"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9B1EC5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BE04" w14:textId="2B5E4FC7" w:rsidR="003A5F65" w:rsidRDefault="003A5F65">
    <w:pPr>
      <w:pStyle w:val="Header"/>
    </w:pPr>
    <w:r>
      <w:rPr>
        <w:noProof/>
      </w:rPr>
      <w:pict w14:anchorId="00D94C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5"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B5BBDF9">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10E77" w14:textId="1030D866" w:rsidR="003A5F65" w:rsidRPr="00296529" w:rsidRDefault="003A5F65" w:rsidP="00296529">
    <w:pPr>
      <w:ind w:left="2160"/>
      <w:jc w:val="center"/>
      <w:rPr>
        <w:rFonts w:ascii="Times New Roman" w:eastAsia="Calibri" w:hAnsi="Times New Roman"/>
        <w:i/>
        <w:sz w:val="18"/>
        <w:szCs w:val="22"/>
      </w:rPr>
    </w:pPr>
    <w:r>
      <w:rPr>
        <w:noProof/>
      </w:rPr>
      <w:pict w14:anchorId="73013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3"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EC4F17C">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044E511" w14:textId="77777777" w:rsidR="003A5F65" w:rsidRPr="00296529" w:rsidRDefault="003A5F6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E147E23" w14:textId="77777777" w:rsidR="003A5F65" w:rsidRPr="00296529" w:rsidRDefault="003A5F6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337F10F" w14:textId="77777777" w:rsidR="003A5F65" w:rsidRPr="00296529" w:rsidRDefault="003A5F6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427BF51" w14:textId="77777777" w:rsidR="003A5F65" w:rsidRDefault="003A5F6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3E34B5D" w14:textId="77777777" w:rsidR="003A5F65" w:rsidRDefault="003A5F6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1CEE675" w14:textId="77777777" w:rsidR="003A5F65" w:rsidRDefault="003A5F6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25C23"/>
    <w:rsid w:val="00030174"/>
    <w:rsid w:val="0004579C"/>
    <w:rsid w:val="000754C3"/>
    <w:rsid w:val="000A47FA"/>
    <w:rsid w:val="000A65D3"/>
    <w:rsid w:val="000B1E33"/>
    <w:rsid w:val="000C61C3"/>
    <w:rsid w:val="000D689F"/>
    <w:rsid w:val="000E7B7B"/>
    <w:rsid w:val="000E7D62"/>
    <w:rsid w:val="00103357"/>
    <w:rsid w:val="00116576"/>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2435"/>
    <w:rsid w:val="00235E72"/>
    <w:rsid w:val="0024282C"/>
    <w:rsid w:val="00245490"/>
    <w:rsid w:val="002460DC"/>
    <w:rsid w:val="00250985"/>
    <w:rsid w:val="002556F6"/>
    <w:rsid w:val="00260BF7"/>
    <w:rsid w:val="00283105"/>
    <w:rsid w:val="00284C4C"/>
    <w:rsid w:val="00287E68"/>
    <w:rsid w:val="00296529"/>
    <w:rsid w:val="00297885"/>
    <w:rsid w:val="002B27FB"/>
    <w:rsid w:val="002B685A"/>
    <w:rsid w:val="002C57D2"/>
    <w:rsid w:val="002E0D56"/>
    <w:rsid w:val="00315186"/>
    <w:rsid w:val="0033343E"/>
    <w:rsid w:val="003512C2"/>
    <w:rsid w:val="00360A1F"/>
    <w:rsid w:val="00371FB6"/>
    <w:rsid w:val="003755E0"/>
    <w:rsid w:val="003763C1"/>
    <w:rsid w:val="00376BBE"/>
    <w:rsid w:val="0039224F"/>
    <w:rsid w:val="003A43A4"/>
    <w:rsid w:val="003A5F65"/>
    <w:rsid w:val="003A7C92"/>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34BAA"/>
    <w:rsid w:val="00554FDA"/>
    <w:rsid w:val="005B1851"/>
    <w:rsid w:val="005C784C"/>
    <w:rsid w:val="005D17F6"/>
    <w:rsid w:val="005E5539"/>
    <w:rsid w:val="00602BF5"/>
    <w:rsid w:val="00617FDD"/>
    <w:rsid w:val="00633614"/>
    <w:rsid w:val="00633F68"/>
    <w:rsid w:val="00636EB2"/>
    <w:rsid w:val="006375B8"/>
    <w:rsid w:val="00637FEF"/>
    <w:rsid w:val="00657C39"/>
    <w:rsid w:val="0066510A"/>
    <w:rsid w:val="00673F9F"/>
    <w:rsid w:val="00686953"/>
    <w:rsid w:val="00687DEA"/>
    <w:rsid w:val="00687E67"/>
    <w:rsid w:val="006967F7"/>
    <w:rsid w:val="006A250C"/>
    <w:rsid w:val="006B21D3"/>
    <w:rsid w:val="006B57D0"/>
    <w:rsid w:val="006C741B"/>
    <w:rsid w:val="006D30FF"/>
    <w:rsid w:val="006D6940"/>
    <w:rsid w:val="006F11EC"/>
    <w:rsid w:val="0070082C"/>
    <w:rsid w:val="00724E76"/>
    <w:rsid w:val="007369E6"/>
    <w:rsid w:val="00746E59"/>
    <w:rsid w:val="00754C9A"/>
    <w:rsid w:val="0075599A"/>
    <w:rsid w:val="00761D52"/>
    <w:rsid w:val="007765CD"/>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D3A81"/>
    <w:rsid w:val="008E13AE"/>
    <w:rsid w:val="008E1506"/>
    <w:rsid w:val="008E710C"/>
    <w:rsid w:val="008F69D6"/>
    <w:rsid w:val="00902823"/>
    <w:rsid w:val="00915CA6"/>
    <w:rsid w:val="00927834"/>
    <w:rsid w:val="0094746D"/>
    <w:rsid w:val="009500A6"/>
    <w:rsid w:val="009573F2"/>
    <w:rsid w:val="00957C18"/>
    <w:rsid w:val="00960B87"/>
    <w:rsid w:val="009633DA"/>
    <w:rsid w:val="009659BA"/>
    <w:rsid w:val="00973E26"/>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4F60"/>
    <w:rsid w:val="00B1776C"/>
    <w:rsid w:val="00B47BD5"/>
    <w:rsid w:val="00B52583"/>
    <w:rsid w:val="00B52896"/>
    <w:rsid w:val="00B95236"/>
    <w:rsid w:val="00B96BD9"/>
    <w:rsid w:val="00B97033"/>
    <w:rsid w:val="00BA1B01"/>
    <w:rsid w:val="00BA2641"/>
    <w:rsid w:val="00BB37AA"/>
    <w:rsid w:val="00BC53A0"/>
    <w:rsid w:val="00BE11BE"/>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3C86"/>
    <w:rsid w:val="00CE793C"/>
    <w:rsid w:val="00CF193C"/>
    <w:rsid w:val="00D173F1"/>
    <w:rsid w:val="00D36784"/>
    <w:rsid w:val="00D74CB0"/>
    <w:rsid w:val="00D8295D"/>
    <w:rsid w:val="00DA20A2"/>
    <w:rsid w:val="00DA702E"/>
    <w:rsid w:val="00DC2A65"/>
    <w:rsid w:val="00DE15F0"/>
    <w:rsid w:val="00DE5663"/>
    <w:rsid w:val="00DE78AA"/>
    <w:rsid w:val="00DF0275"/>
    <w:rsid w:val="00DF7CEF"/>
    <w:rsid w:val="00E053D0"/>
    <w:rsid w:val="00E15994"/>
    <w:rsid w:val="00E3114E"/>
    <w:rsid w:val="00E31A70"/>
    <w:rsid w:val="00E35B02"/>
    <w:rsid w:val="00E66496"/>
    <w:rsid w:val="00E66B35"/>
    <w:rsid w:val="00E66E10"/>
    <w:rsid w:val="00E769F6"/>
    <w:rsid w:val="00E8407C"/>
    <w:rsid w:val="00E84F3C"/>
    <w:rsid w:val="00E92946"/>
    <w:rsid w:val="00EA012C"/>
    <w:rsid w:val="00EC6A55"/>
    <w:rsid w:val="00ED0288"/>
    <w:rsid w:val="00ED25C9"/>
    <w:rsid w:val="00EE17F9"/>
    <w:rsid w:val="00EE52CB"/>
    <w:rsid w:val="00EF581D"/>
    <w:rsid w:val="00EF7FD8"/>
    <w:rsid w:val="00F06F59"/>
    <w:rsid w:val="00F17988"/>
    <w:rsid w:val="00F469F0"/>
    <w:rsid w:val="00F53273"/>
    <w:rsid w:val="00F5714A"/>
    <w:rsid w:val="00F755E4"/>
    <w:rsid w:val="00F77D02"/>
    <w:rsid w:val="00FB3A86"/>
    <w:rsid w:val="00FC47A8"/>
    <w:rsid w:val="00FD36C8"/>
    <w:rsid w:val="00FE3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FE339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HTMLPreformatted">
    <w:name w:val="HTML Preformatted"/>
    <w:basedOn w:val="Normal"/>
    <w:link w:val="HTMLPreformattedChar"/>
    <w:semiHidden/>
    <w:unhideWhenUsed/>
    <w:rsid w:val="00FE339B"/>
    <w:rPr>
      <w:rFonts w:ascii="Consolas" w:hAnsi="Consolas"/>
    </w:rPr>
  </w:style>
  <w:style w:type="character" w:customStyle="1" w:styleId="HTMLPreformattedChar">
    <w:name w:val="HTML Preformatted Char"/>
    <w:basedOn w:val="DefaultParagraphFont"/>
    <w:link w:val="HTMLPreformatted"/>
    <w:semiHidden/>
    <w:rsid w:val="00FE339B"/>
    <w:rPr>
      <w:rFonts w:ascii="Consolas" w:hAnsi="Consolas"/>
    </w:rPr>
  </w:style>
  <w:style w:type="character" w:customStyle="1" w:styleId="Heading3Char">
    <w:name w:val="Heading 3 Char"/>
    <w:basedOn w:val="DefaultParagraphFont"/>
    <w:link w:val="Heading3"/>
    <w:uiPriority w:val="9"/>
    <w:semiHidden/>
    <w:rsid w:val="00FE339B"/>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F5714A"/>
    <w:pPr>
      <w:spacing w:after="200"/>
      <w:jc w:val="both"/>
    </w:pPr>
    <w:rPr>
      <w:rFonts w:ascii="Times New Roman" w:eastAsiaTheme="minorHAnsi" w:hAnsi="Times New Roman" w:cstheme="minorBidi"/>
      <w:i/>
      <w:iCs/>
      <w:color w:val="1F497D" w:themeColor="text2"/>
      <w:kern w:val="2"/>
      <w:sz w:val="18"/>
      <w:szCs w:val="18"/>
      <w:lang w:val="fr-FR"/>
    </w:rPr>
  </w:style>
  <w:style w:type="paragraph" w:styleId="Bibliography">
    <w:name w:val="Bibliography"/>
    <w:basedOn w:val="Normal"/>
    <w:next w:val="Normal"/>
    <w:uiPriority w:val="37"/>
    <w:semiHidden/>
    <w:unhideWhenUsed/>
    <w:rsid w:val="006C7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127</TotalTime>
  <Pages>12</Pages>
  <Words>11403</Words>
  <Characters>65002</Characters>
  <Application>Microsoft Office Word</Application>
  <DocSecurity>0</DocSecurity>
  <Lines>541</Lines>
  <Paragraphs>152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76253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12</cp:revision>
  <cp:lastPrinted>1999-07-06T11:00:00Z</cp:lastPrinted>
  <dcterms:created xsi:type="dcterms:W3CDTF">2026-09-19T15:07:00Z</dcterms:created>
  <dcterms:modified xsi:type="dcterms:W3CDTF">2026-09-23T12:52:00Z</dcterms:modified>
</cp:coreProperties>
</file>