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2B4C8" w14:textId="77777777" w:rsidR="005C0F52" w:rsidRPr="007C0DC3" w:rsidRDefault="005C0F52" w:rsidP="00831B3D">
      <w:pPr>
        <w:tabs>
          <w:tab w:val="left" w:pos="876"/>
        </w:tabs>
        <w:spacing w:after="40" w:line="480" w:lineRule="auto"/>
        <w:ind w:left="340" w:right="340"/>
        <w:jc w:val="right"/>
        <w:rPr>
          <w:rFonts w:ascii="Arial" w:hAnsi="Arial" w:cs="Arial"/>
          <w:b/>
          <w:bCs/>
          <w:sz w:val="36"/>
          <w:szCs w:val="36"/>
        </w:rPr>
      </w:pPr>
      <w:r w:rsidRPr="007C0DC3">
        <w:rPr>
          <w:rFonts w:ascii="Arial" w:hAnsi="Arial" w:cs="Arial"/>
          <w:b/>
          <w:bCs/>
          <w:sz w:val="36"/>
          <w:szCs w:val="36"/>
        </w:rPr>
        <w:t>Original Research Article</w:t>
      </w:r>
    </w:p>
    <w:p w14:paraId="61BE2B7B" w14:textId="77777777" w:rsidR="005C0F52" w:rsidRPr="007C0DC3" w:rsidRDefault="005C0F52" w:rsidP="00831B3D">
      <w:pPr>
        <w:tabs>
          <w:tab w:val="left" w:pos="876"/>
        </w:tabs>
        <w:spacing w:after="40" w:line="480" w:lineRule="auto"/>
        <w:ind w:left="340" w:right="340"/>
        <w:jc w:val="right"/>
        <w:rPr>
          <w:rFonts w:ascii="Arial" w:hAnsi="Arial" w:cs="Arial"/>
          <w:b/>
          <w:bCs/>
          <w:sz w:val="36"/>
          <w:szCs w:val="36"/>
        </w:rPr>
      </w:pPr>
    </w:p>
    <w:p w14:paraId="5796EAD1" w14:textId="77777777" w:rsidR="00BA7C02" w:rsidRPr="007C0DC3" w:rsidRDefault="00B748D3" w:rsidP="00831B3D">
      <w:pPr>
        <w:tabs>
          <w:tab w:val="left" w:pos="876"/>
        </w:tabs>
        <w:spacing w:after="40" w:line="480" w:lineRule="auto"/>
        <w:ind w:left="340" w:right="340"/>
        <w:jc w:val="right"/>
        <w:rPr>
          <w:rFonts w:ascii="Arial" w:hAnsi="Arial" w:cs="Arial"/>
          <w:sz w:val="36"/>
          <w:szCs w:val="36"/>
        </w:rPr>
      </w:pPr>
      <w:r w:rsidRPr="007C0DC3">
        <w:rPr>
          <w:rFonts w:ascii="Arial" w:hAnsi="Arial" w:cs="Arial"/>
          <w:b/>
          <w:bCs/>
          <w:sz w:val="36"/>
          <w:szCs w:val="36"/>
        </w:rPr>
        <w:t>Formulation and Evaluation of Mucoadhesive Buccal Patch of Clomipramine Hydrochloride for Enhanced Buccal Drug Delivery</w:t>
      </w:r>
    </w:p>
    <w:p w14:paraId="05AFBF12" w14:textId="77777777" w:rsidR="00F52E12" w:rsidRPr="007C0DC3" w:rsidRDefault="00F52E12" w:rsidP="006C7212">
      <w:pPr>
        <w:spacing w:after="40" w:line="480" w:lineRule="auto"/>
        <w:ind w:left="340" w:right="340"/>
        <w:jc w:val="right"/>
        <w:rPr>
          <w:rFonts w:ascii="Arial" w:hAnsi="Arial"/>
          <w:i/>
          <w:sz w:val="18"/>
        </w:rPr>
      </w:pPr>
    </w:p>
    <w:p w14:paraId="4241D5AE" w14:textId="77777777" w:rsidR="006877FB" w:rsidRPr="007C0DC3" w:rsidRDefault="007D1626" w:rsidP="007D1626">
      <w:pPr>
        <w:spacing w:after="40" w:line="480" w:lineRule="auto"/>
        <w:ind w:left="340" w:right="340"/>
        <w:jc w:val="both"/>
        <w:rPr>
          <w:rFonts w:ascii="Arial" w:hAnsi="Arial"/>
          <w:b/>
          <w:sz w:val="22"/>
        </w:rPr>
      </w:pPr>
      <w:r w:rsidRPr="007C0DC3">
        <w:rPr>
          <w:rFonts w:ascii="Arial" w:eastAsia="Arial" w:hAnsi="Arial" w:cs="Arial"/>
          <w:noProof/>
          <w:color w:val="000000"/>
          <w:sz w:val="16"/>
          <w:szCs w:val="16"/>
        </w:rPr>
        <mc:AlternateContent>
          <mc:Choice Requires="wps">
            <w:drawing>
              <wp:inline distT="0" distB="0" distL="0" distR="0" wp14:anchorId="14D04F5B" wp14:editId="168124A9">
                <wp:extent cx="5303520" cy="635"/>
                <wp:effectExtent l="9525" t="9525" r="11430" b="9525"/>
                <wp:docPr id="211832140"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434D84B" id="_x0000_t32" coordsize="21600,21600" o:spt="32" o:oned="t" path="m,l21600,21600e" filled="f">
                <v:path arrowok="t" fillok="f" o:connecttype="none"/>
                <o:lock v:ext="edit" shapetype="t"/>
              </v:shapetype>
              <v:shape id="Straight Arrow Connector 4"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p>
    <w:p w14:paraId="72AF3A44" w14:textId="77777777" w:rsidR="00AF513D" w:rsidRPr="007C0DC3" w:rsidRDefault="00AF513D" w:rsidP="007D1626">
      <w:pPr>
        <w:spacing w:after="40" w:line="480" w:lineRule="auto"/>
        <w:ind w:right="340" w:firstLine="340"/>
        <w:jc w:val="both"/>
      </w:pPr>
      <w:r w:rsidRPr="007C0DC3">
        <w:rPr>
          <w:rFonts w:ascii="Arial" w:hAnsi="Arial"/>
          <w:b/>
          <w:sz w:val="22"/>
        </w:rPr>
        <w:t>ABSTRACT</w:t>
      </w:r>
    </w:p>
    <w:p w14:paraId="475B3C89" w14:textId="77777777" w:rsidR="00AF513D" w:rsidRPr="007C0DC3" w:rsidRDefault="00AF513D" w:rsidP="007D1626">
      <w:pPr>
        <w:spacing w:after="40" w:line="480" w:lineRule="auto"/>
        <w:ind w:left="340" w:right="340"/>
        <w:jc w:val="both"/>
        <w:rPr>
          <w:sz w:val="20"/>
          <w:szCs w:val="20"/>
        </w:rPr>
      </w:pPr>
      <w:r w:rsidRPr="007C0DC3">
        <w:rPr>
          <w:rFonts w:ascii="Arial" w:hAnsi="Arial"/>
          <w:b/>
          <w:sz w:val="20"/>
          <w:szCs w:val="20"/>
        </w:rPr>
        <w:t xml:space="preserve">Aims: </w:t>
      </w:r>
      <w:r w:rsidRPr="007C0DC3">
        <w:rPr>
          <w:rFonts w:ascii="Arial" w:hAnsi="Arial"/>
          <w:sz w:val="20"/>
          <w:szCs w:val="20"/>
        </w:rPr>
        <w:t>To formulate and evaluate a mucoadhesive buccal patch of Clomipramine HCl to enhance buccal absorption, bypass hepatic first-pass metabolism, improve bioavailability, and provide sustained drug release.</w:t>
      </w:r>
    </w:p>
    <w:p w14:paraId="122E3B19" w14:textId="77777777" w:rsidR="00AF513D" w:rsidRPr="007C0DC3" w:rsidRDefault="00AF513D" w:rsidP="007D1626">
      <w:pPr>
        <w:spacing w:after="120" w:line="480" w:lineRule="auto"/>
        <w:ind w:left="340" w:right="340"/>
        <w:jc w:val="both"/>
        <w:rPr>
          <w:sz w:val="20"/>
          <w:szCs w:val="20"/>
        </w:rPr>
      </w:pPr>
      <w:r w:rsidRPr="007C0DC3">
        <w:rPr>
          <w:rFonts w:ascii="Arial" w:hAnsi="Arial"/>
          <w:b/>
          <w:sz w:val="20"/>
          <w:szCs w:val="20"/>
        </w:rPr>
        <w:t xml:space="preserve">Study design: </w:t>
      </w:r>
      <w:r w:rsidRPr="007C0DC3">
        <w:rPr>
          <w:rFonts w:ascii="Arial" w:hAnsi="Arial"/>
          <w:sz w:val="20"/>
          <w:szCs w:val="20"/>
        </w:rPr>
        <w:t>Experimental laboratory-based formulation design and in-vitro characterization study.</w:t>
      </w:r>
    </w:p>
    <w:p w14:paraId="129DF411" w14:textId="77777777" w:rsidR="00AF513D" w:rsidRPr="007C0DC3" w:rsidRDefault="00AF513D" w:rsidP="007D1626">
      <w:pPr>
        <w:spacing w:after="120" w:line="480" w:lineRule="auto"/>
        <w:ind w:left="340" w:right="340"/>
        <w:jc w:val="both"/>
        <w:rPr>
          <w:sz w:val="20"/>
          <w:szCs w:val="20"/>
        </w:rPr>
      </w:pPr>
      <w:r w:rsidRPr="007C0DC3">
        <w:rPr>
          <w:rFonts w:ascii="Arial" w:hAnsi="Arial"/>
          <w:b/>
          <w:sz w:val="20"/>
          <w:szCs w:val="20"/>
        </w:rPr>
        <w:t xml:space="preserve">Place and Duration of Study: </w:t>
      </w:r>
      <w:r w:rsidRPr="007C0DC3">
        <w:rPr>
          <w:rFonts w:ascii="Arial" w:hAnsi="Arial"/>
          <w:sz w:val="20"/>
          <w:szCs w:val="20"/>
        </w:rPr>
        <w:t xml:space="preserve">Department of Pharmaceutics, </w:t>
      </w:r>
      <w:proofErr w:type="spellStart"/>
      <w:r w:rsidRPr="007C0DC3">
        <w:rPr>
          <w:rFonts w:ascii="Arial" w:hAnsi="Arial"/>
          <w:sz w:val="20"/>
          <w:szCs w:val="20"/>
        </w:rPr>
        <w:t>Adhiparasakthi</w:t>
      </w:r>
      <w:proofErr w:type="spellEnd"/>
      <w:r w:rsidRPr="007C0DC3">
        <w:rPr>
          <w:rFonts w:ascii="Arial" w:hAnsi="Arial"/>
          <w:sz w:val="20"/>
          <w:szCs w:val="20"/>
        </w:rPr>
        <w:t xml:space="preserve"> College of Pharmacy, </w:t>
      </w:r>
      <w:proofErr w:type="spellStart"/>
      <w:r w:rsidRPr="007C0DC3">
        <w:rPr>
          <w:rFonts w:ascii="Arial" w:hAnsi="Arial"/>
          <w:sz w:val="20"/>
          <w:szCs w:val="20"/>
        </w:rPr>
        <w:t>Melmaruvathur</w:t>
      </w:r>
      <w:proofErr w:type="spellEnd"/>
      <w:r w:rsidR="0017780A" w:rsidRPr="007C0DC3">
        <w:rPr>
          <w:rFonts w:ascii="Arial" w:hAnsi="Arial"/>
          <w:sz w:val="20"/>
          <w:szCs w:val="20"/>
        </w:rPr>
        <w:t>, 2024-2026.</w:t>
      </w:r>
    </w:p>
    <w:p w14:paraId="50A8FCAD" w14:textId="77777777" w:rsidR="00AF513D" w:rsidRPr="007C0DC3" w:rsidRDefault="00AF513D" w:rsidP="007D1626">
      <w:pPr>
        <w:spacing w:after="120" w:line="480" w:lineRule="auto"/>
        <w:ind w:left="340" w:right="340"/>
        <w:jc w:val="both"/>
        <w:rPr>
          <w:sz w:val="20"/>
          <w:szCs w:val="20"/>
        </w:rPr>
      </w:pPr>
      <w:r w:rsidRPr="007C0DC3">
        <w:rPr>
          <w:rFonts w:ascii="Arial" w:hAnsi="Arial"/>
          <w:b/>
          <w:sz w:val="20"/>
          <w:szCs w:val="20"/>
        </w:rPr>
        <w:t xml:space="preserve">Methodology: </w:t>
      </w:r>
      <w:r w:rsidRPr="007C0DC3">
        <w:rPr>
          <w:rFonts w:ascii="Arial" w:hAnsi="Arial"/>
          <w:sz w:val="20"/>
          <w:szCs w:val="20"/>
        </w:rPr>
        <w:t xml:space="preserve">Buccal patches of Clomipramine HCl were prepared by solvent casting method using varying concentrations/ratios of HPMC E15 and Carbopol 940 (Formulations F1–F6). </w:t>
      </w:r>
      <w:proofErr w:type="spellStart"/>
      <w:r w:rsidRPr="007C0DC3">
        <w:rPr>
          <w:rFonts w:ascii="Arial" w:hAnsi="Arial"/>
          <w:sz w:val="20"/>
          <w:szCs w:val="20"/>
        </w:rPr>
        <w:t>Glycerin</w:t>
      </w:r>
      <w:proofErr w:type="spellEnd"/>
      <w:r w:rsidRPr="007C0DC3">
        <w:rPr>
          <w:rFonts w:ascii="Arial" w:hAnsi="Arial"/>
          <w:sz w:val="20"/>
          <w:szCs w:val="20"/>
        </w:rPr>
        <w:t xml:space="preserve"> was used as plasticizer. The formulated patches were evaluated for physical appearance, weight uniformity, thickness, folding endurance, surface pH, drug content uniformity, swelling index, flatness, moisture absorption/loss studies, in-vitro drug release using USP dissolution apparatus II (phosphate buffer pH 6.8), release kinetics, SEM analysis, and 30-day stability studies according to ICH guidelines.</w:t>
      </w:r>
    </w:p>
    <w:p w14:paraId="7DF26424" w14:textId="77777777" w:rsidR="002C492A" w:rsidRPr="007C0DC3" w:rsidRDefault="00AF513D" w:rsidP="007D1626">
      <w:pPr>
        <w:spacing w:after="120" w:line="480" w:lineRule="auto"/>
        <w:ind w:left="340" w:right="340"/>
        <w:jc w:val="both"/>
        <w:rPr>
          <w:rFonts w:ascii="Arial" w:hAnsi="Arial"/>
          <w:sz w:val="20"/>
          <w:szCs w:val="20"/>
        </w:rPr>
        <w:sectPr w:rsidR="002C492A" w:rsidRPr="007C0DC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pPr>
      <w:r w:rsidRPr="007C0DC3">
        <w:rPr>
          <w:rFonts w:ascii="Arial" w:hAnsi="Arial"/>
          <w:b/>
          <w:sz w:val="20"/>
          <w:szCs w:val="20"/>
        </w:rPr>
        <w:t xml:space="preserve">Results: </w:t>
      </w:r>
      <w:r w:rsidRPr="007C0DC3">
        <w:rPr>
          <w:rFonts w:ascii="Arial" w:hAnsi="Arial"/>
          <w:sz w:val="20"/>
          <w:szCs w:val="20"/>
        </w:rPr>
        <w:t xml:space="preserve">Among six formulations (F1–F6), Formulation F3 (750 mg HPMC E15 and 250 mg Carbopol 940) was selected as optimal. F3 exhibited a thickness of 0.14 mm, surface pH of 6.52, folding endurance &gt;300, drug content of 98.26%, and swelling index of 537.13%. It </w:t>
      </w:r>
    </w:p>
    <w:p w14:paraId="56F8BD7A" w14:textId="77777777" w:rsidR="00AF513D" w:rsidRPr="007C0DC3" w:rsidRDefault="00AF513D" w:rsidP="007D1626">
      <w:pPr>
        <w:spacing w:after="120" w:line="480" w:lineRule="auto"/>
        <w:ind w:left="340" w:right="340"/>
        <w:jc w:val="both"/>
        <w:rPr>
          <w:sz w:val="20"/>
          <w:szCs w:val="20"/>
        </w:rPr>
      </w:pPr>
      <w:r w:rsidRPr="007C0DC3">
        <w:rPr>
          <w:rFonts w:ascii="Arial" w:hAnsi="Arial"/>
          <w:sz w:val="20"/>
          <w:szCs w:val="20"/>
        </w:rPr>
        <w:lastRenderedPageBreak/>
        <w:t>achieved 82.52% cumulative drug release over 6 hours. Drug release kinetics best fitted the Higuchi model (R² = 0.9894). Stability testing after 30 days at room temperature confirmed physical stability and drug retention (97.52%).</w:t>
      </w:r>
    </w:p>
    <w:p w14:paraId="1F89C9AA" w14:textId="77777777" w:rsidR="00AF513D" w:rsidRPr="007C0DC3" w:rsidRDefault="00AF513D" w:rsidP="007D1626">
      <w:pPr>
        <w:spacing w:after="120" w:line="480" w:lineRule="auto"/>
        <w:ind w:left="340" w:right="340"/>
        <w:jc w:val="both"/>
        <w:rPr>
          <w:sz w:val="20"/>
          <w:szCs w:val="20"/>
        </w:rPr>
      </w:pPr>
      <w:r w:rsidRPr="007C0DC3">
        <w:rPr>
          <w:rFonts w:ascii="Arial" w:hAnsi="Arial"/>
          <w:b/>
          <w:sz w:val="20"/>
          <w:szCs w:val="20"/>
        </w:rPr>
        <w:t xml:space="preserve">Conclusion: </w:t>
      </w:r>
      <w:r w:rsidRPr="007C0DC3">
        <w:rPr>
          <w:rFonts w:ascii="Arial" w:hAnsi="Arial"/>
          <w:sz w:val="20"/>
          <w:szCs w:val="20"/>
        </w:rPr>
        <w:t>The mucoadhesive buccal patch F3 formulated with HPMC E15 and Carbopol 940 demonstrated acceptable physicochemical properties and sustained buccal delivery of Clomipramine HCl.</w:t>
      </w:r>
    </w:p>
    <w:p w14:paraId="040A3828" w14:textId="77777777" w:rsidR="00AF513D" w:rsidRPr="007C0DC3" w:rsidRDefault="00AF513D" w:rsidP="007D1626">
      <w:pPr>
        <w:spacing w:before="120" w:after="240" w:line="480" w:lineRule="auto"/>
        <w:ind w:left="340" w:right="340"/>
        <w:jc w:val="both"/>
        <w:rPr>
          <w:sz w:val="20"/>
          <w:szCs w:val="20"/>
        </w:rPr>
      </w:pPr>
      <w:r w:rsidRPr="007C0DC3">
        <w:rPr>
          <w:rFonts w:ascii="Arial" w:hAnsi="Arial"/>
          <w:b/>
          <w:i/>
          <w:sz w:val="20"/>
          <w:szCs w:val="20"/>
        </w:rPr>
        <w:t xml:space="preserve">Keywords: </w:t>
      </w:r>
      <w:r w:rsidRPr="007C0DC3">
        <w:rPr>
          <w:rFonts w:ascii="Arial" w:hAnsi="Arial"/>
          <w:i/>
          <w:sz w:val="20"/>
          <w:szCs w:val="20"/>
        </w:rPr>
        <w:t>Clomipramine HCl; buccal patch; mucoadhesion; HPMC E15; Carbopol 940; sustained release; Higuchi model.</w:t>
      </w:r>
    </w:p>
    <w:p w14:paraId="17190F41" w14:textId="77777777" w:rsidR="009268EE" w:rsidRPr="007C0DC3" w:rsidRDefault="00E17344" w:rsidP="007D1626">
      <w:pPr>
        <w:spacing w:line="480" w:lineRule="auto"/>
        <w:ind w:left="340" w:right="340"/>
        <w:jc w:val="both"/>
        <w:rPr>
          <w:rFonts w:ascii="Arial" w:hAnsi="Arial" w:cs="Arial"/>
          <w:b/>
          <w:bCs/>
          <w:sz w:val="22"/>
          <w:szCs w:val="22"/>
        </w:rPr>
      </w:pPr>
      <w:r w:rsidRPr="007C0DC3">
        <w:rPr>
          <w:rFonts w:ascii="Arial" w:hAnsi="Arial" w:cs="Arial"/>
          <w:b/>
          <w:bCs/>
          <w:sz w:val="22"/>
          <w:szCs w:val="22"/>
        </w:rPr>
        <w:t xml:space="preserve">1. </w:t>
      </w:r>
      <w:r w:rsidR="00BF0E87" w:rsidRPr="007C0DC3">
        <w:rPr>
          <w:rFonts w:ascii="Arial" w:hAnsi="Arial" w:cs="Arial"/>
          <w:b/>
          <w:bCs/>
          <w:sz w:val="22"/>
          <w:szCs w:val="22"/>
        </w:rPr>
        <w:t>INTRODUCTION</w:t>
      </w:r>
    </w:p>
    <w:p w14:paraId="376AF759" w14:textId="77777777" w:rsidR="00BF0E87" w:rsidRPr="007C0DC3" w:rsidRDefault="00BF0E87" w:rsidP="007D1626">
      <w:pPr>
        <w:spacing w:line="480" w:lineRule="auto"/>
        <w:ind w:left="340" w:right="340"/>
        <w:jc w:val="both"/>
        <w:rPr>
          <w:rFonts w:ascii="Arial" w:hAnsi="Arial" w:cs="Arial"/>
          <w:b/>
          <w:bCs/>
          <w:sz w:val="22"/>
          <w:szCs w:val="22"/>
        </w:rPr>
      </w:pPr>
      <w:r w:rsidRPr="007C0DC3">
        <w:rPr>
          <w:rFonts w:ascii="Arial" w:hAnsi="Arial" w:cs="Arial"/>
          <w:sz w:val="20"/>
          <w:szCs w:val="20"/>
        </w:rPr>
        <w:t>Buccal drug delivery offers a convenient alternative to oral administration, potentially reducing gastrointestinal degradation and hepatic first-pass metabolism. The buccal mucosa is well vascularized, allowing drug absorption into systemic circulation. Mucoadhesive polymers help retain a formulation at the absorption site, supporting sustained release and improved bioavailability.</w:t>
      </w:r>
    </w:p>
    <w:p w14:paraId="1D9FD6CB" w14:textId="77777777" w:rsidR="005C38E0" w:rsidRPr="007C0DC3" w:rsidRDefault="00BF0E87" w:rsidP="007D1626">
      <w:pPr>
        <w:spacing w:line="480" w:lineRule="auto"/>
        <w:ind w:left="340" w:right="340"/>
        <w:jc w:val="both"/>
        <w:rPr>
          <w:rFonts w:ascii="Arial" w:hAnsi="Arial" w:cs="Arial"/>
          <w:sz w:val="20"/>
          <w:szCs w:val="20"/>
        </w:rPr>
      </w:pPr>
      <w:r w:rsidRPr="007C0DC3">
        <w:rPr>
          <w:rFonts w:ascii="Arial" w:hAnsi="Arial" w:cs="Arial"/>
          <w:sz w:val="20"/>
          <w:szCs w:val="20"/>
        </w:rPr>
        <w:t xml:space="preserve">Among buccal dosage forms, patches are flexible and provide a measured dose with greater residence time than gels, which may be washed away by saliva. They commonly contain a drug-loaded mucoadhesive layer and may include a backing layer to control drug release. </w:t>
      </w:r>
    </w:p>
    <w:p w14:paraId="17FFEBD6" w14:textId="77777777" w:rsidR="00BF0E87" w:rsidRPr="007C0DC3" w:rsidRDefault="005C38E0" w:rsidP="007D1626">
      <w:pPr>
        <w:spacing w:line="480" w:lineRule="auto"/>
        <w:ind w:left="340" w:right="340"/>
        <w:jc w:val="both"/>
        <w:rPr>
          <w:rFonts w:ascii="Arial" w:hAnsi="Arial" w:cs="Arial"/>
          <w:sz w:val="20"/>
          <w:szCs w:val="20"/>
        </w:rPr>
      </w:pPr>
      <w:r w:rsidRPr="007C0DC3">
        <w:rPr>
          <w:rFonts w:ascii="Arial" w:hAnsi="Arial" w:cs="Arial"/>
          <w:sz w:val="20"/>
          <w:szCs w:val="20"/>
        </w:rPr>
        <w:t xml:space="preserve">Clomipramine hydrochloride is a tricyclic antidepressant used to treat obsessive-compulsive disorder, panic disorder, major depressive disorder, and chronic pain. It is also used to treat premature ejaculation. </w:t>
      </w:r>
      <w:r w:rsidR="00BF0E87" w:rsidRPr="007C0DC3">
        <w:rPr>
          <w:rFonts w:ascii="Arial" w:hAnsi="Arial" w:cs="Arial"/>
          <w:sz w:val="20"/>
          <w:szCs w:val="20"/>
        </w:rPr>
        <w:t>These features make mucoadhesive buccal patches a promising approach for localized or systemic drug delivery.</w:t>
      </w:r>
    </w:p>
    <w:p w14:paraId="50072C29" w14:textId="77777777" w:rsidR="00BF0E87" w:rsidRPr="007C0DC3" w:rsidRDefault="0017780A" w:rsidP="007D1626">
      <w:pPr>
        <w:spacing w:line="480" w:lineRule="auto"/>
        <w:ind w:left="340" w:right="340"/>
        <w:jc w:val="both"/>
        <w:rPr>
          <w:rFonts w:ascii="Arial" w:hAnsi="Arial" w:cs="Arial"/>
          <w:b/>
          <w:bCs/>
          <w:sz w:val="20"/>
          <w:szCs w:val="20"/>
        </w:rPr>
      </w:pPr>
      <w:r w:rsidRPr="007C0DC3">
        <w:rPr>
          <w:rFonts w:ascii="Arial" w:hAnsi="Arial" w:cs="Arial"/>
          <w:b/>
          <w:bCs/>
          <w:sz w:val="20"/>
          <w:szCs w:val="20"/>
        </w:rPr>
        <w:t xml:space="preserve">2. </w:t>
      </w:r>
      <w:r w:rsidR="00C45C8B" w:rsidRPr="007C0DC3">
        <w:rPr>
          <w:rFonts w:ascii="Arial" w:hAnsi="Arial" w:cs="Arial"/>
          <w:b/>
          <w:bCs/>
          <w:sz w:val="20"/>
          <w:szCs w:val="20"/>
        </w:rPr>
        <w:t xml:space="preserve">MATERIALS </w:t>
      </w:r>
      <w:r w:rsidR="00081685" w:rsidRPr="007C0DC3">
        <w:rPr>
          <w:rFonts w:ascii="Arial" w:hAnsi="Arial" w:cs="Arial"/>
          <w:b/>
          <w:bCs/>
          <w:sz w:val="20"/>
          <w:szCs w:val="20"/>
        </w:rPr>
        <w:t>AND METHODS</w:t>
      </w:r>
    </w:p>
    <w:p w14:paraId="3E35FC4F" w14:textId="77777777" w:rsidR="00081685" w:rsidRPr="007C0DC3" w:rsidRDefault="0017780A" w:rsidP="007D1626">
      <w:pPr>
        <w:spacing w:line="480" w:lineRule="auto"/>
        <w:ind w:left="340" w:right="340"/>
        <w:jc w:val="both"/>
        <w:rPr>
          <w:rFonts w:ascii="Arial" w:hAnsi="Arial" w:cs="Arial"/>
          <w:b/>
          <w:bCs/>
          <w:sz w:val="22"/>
          <w:szCs w:val="22"/>
        </w:rPr>
      </w:pPr>
      <w:r w:rsidRPr="007C0DC3">
        <w:rPr>
          <w:rFonts w:ascii="Arial" w:hAnsi="Arial" w:cs="Arial"/>
          <w:b/>
          <w:bCs/>
          <w:sz w:val="22"/>
          <w:szCs w:val="22"/>
        </w:rPr>
        <w:t>2.1</w:t>
      </w:r>
      <w:r w:rsidR="00B81CD8" w:rsidRPr="007C0DC3">
        <w:rPr>
          <w:rFonts w:ascii="Arial" w:hAnsi="Arial" w:cs="Arial"/>
          <w:b/>
          <w:bCs/>
          <w:sz w:val="22"/>
          <w:szCs w:val="22"/>
        </w:rPr>
        <w:t xml:space="preserve"> </w:t>
      </w:r>
      <w:r w:rsidR="009C069B" w:rsidRPr="007C0DC3">
        <w:rPr>
          <w:rFonts w:ascii="Arial" w:hAnsi="Arial" w:cs="Arial"/>
          <w:b/>
          <w:bCs/>
          <w:sz w:val="22"/>
          <w:szCs w:val="22"/>
        </w:rPr>
        <w:t>Procurement of Drug and Excipient</w:t>
      </w:r>
    </w:p>
    <w:p w14:paraId="381D2D41" w14:textId="77777777" w:rsidR="002C492A" w:rsidRPr="007C0DC3" w:rsidRDefault="00050D6D" w:rsidP="007D1626">
      <w:pPr>
        <w:spacing w:line="480" w:lineRule="auto"/>
        <w:ind w:left="340" w:right="340"/>
        <w:jc w:val="both"/>
        <w:rPr>
          <w:rFonts w:ascii="Arial" w:eastAsia="Times New Roman" w:hAnsi="Arial" w:cs="Arial"/>
          <w:sz w:val="20"/>
          <w:szCs w:val="20"/>
        </w:rPr>
        <w:sectPr w:rsidR="002C492A" w:rsidRPr="007C0DC3">
          <w:headerReference w:type="even" r:id="rId14"/>
          <w:headerReference w:type="default" r:id="rId15"/>
          <w:footerReference w:type="default" r:id="rId16"/>
          <w:headerReference w:type="first" r:id="rId17"/>
          <w:pgSz w:w="11906" w:h="16838"/>
          <w:pgMar w:top="1440" w:right="1440" w:bottom="1440" w:left="1440" w:header="708" w:footer="708" w:gutter="0"/>
          <w:cols w:space="708"/>
          <w:docGrid w:linePitch="360"/>
        </w:sectPr>
      </w:pPr>
      <w:r w:rsidRPr="007C0DC3">
        <w:rPr>
          <w:rFonts w:ascii="Arial" w:eastAsia="Times New Roman" w:hAnsi="Arial" w:cs="Arial"/>
          <w:sz w:val="20"/>
          <w:szCs w:val="20"/>
        </w:rPr>
        <w:t>Clomipramine HCl (</w:t>
      </w:r>
      <w:r w:rsidR="005B5E64" w:rsidRPr="007C0DC3">
        <w:rPr>
          <w:rFonts w:ascii="Arial" w:eastAsia="Times New Roman" w:hAnsi="Arial" w:cs="Arial"/>
          <w:sz w:val="20"/>
          <w:szCs w:val="20"/>
        </w:rPr>
        <w:t xml:space="preserve">provided by </w:t>
      </w:r>
      <w:r w:rsidRPr="007C0DC3">
        <w:rPr>
          <w:rFonts w:ascii="Arial" w:eastAsia="Times New Roman" w:hAnsi="Arial" w:cs="Arial"/>
          <w:sz w:val="20"/>
          <w:szCs w:val="20"/>
        </w:rPr>
        <w:t xml:space="preserve">Shubham </w:t>
      </w:r>
      <w:proofErr w:type="spellStart"/>
      <w:r w:rsidRPr="007C0DC3">
        <w:rPr>
          <w:rFonts w:ascii="Arial" w:eastAsia="Times New Roman" w:hAnsi="Arial" w:cs="Arial"/>
          <w:sz w:val="20"/>
          <w:szCs w:val="20"/>
        </w:rPr>
        <w:t>Pharmachem</w:t>
      </w:r>
      <w:proofErr w:type="spellEnd"/>
      <w:r w:rsidRPr="007C0DC3">
        <w:rPr>
          <w:rFonts w:ascii="Arial" w:eastAsia="Times New Roman" w:hAnsi="Arial" w:cs="Arial"/>
          <w:sz w:val="20"/>
          <w:szCs w:val="20"/>
        </w:rPr>
        <w:t xml:space="preserve"> </w:t>
      </w:r>
      <w:proofErr w:type="spellStart"/>
      <w:r w:rsidRPr="007C0DC3">
        <w:rPr>
          <w:rFonts w:ascii="Arial" w:eastAsia="Times New Roman" w:hAnsi="Arial" w:cs="Arial"/>
          <w:sz w:val="20"/>
          <w:szCs w:val="20"/>
        </w:rPr>
        <w:t>Pvt.</w:t>
      </w:r>
      <w:proofErr w:type="spellEnd"/>
      <w:r w:rsidRPr="007C0DC3">
        <w:rPr>
          <w:rFonts w:ascii="Arial" w:eastAsia="Times New Roman" w:hAnsi="Arial" w:cs="Arial"/>
          <w:sz w:val="20"/>
          <w:szCs w:val="20"/>
        </w:rPr>
        <w:t xml:space="preserve"> Ltd, Mumbai)</w:t>
      </w:r>
      <w:r w:rsidR="005B5E64" w:rsidRPr="007C0DC3">
        <w:rPr>
          <w:rFonts w:ascii="Arial" w:eastAsia="Times New Roman" w:hAnsi="Arial" w:cs="Arial"/>
          <w:sz w:val="20"/>
          <w:szCs w:val="20"/>
        </w:rPr>
        <w:t>, HPMC E15,</w:t>
      </w:r>
      <w:r w:rsidR="00F26329" w:rsidRPr="007C0DC3">
        <w:rPr>
          <w:rFonts w:ascii="Arial" w:eastAsia="Times New Roman" w:hAnsi="Arial" w:cs="Arial"/>
          <w:sz w:val="20"/>
          <w:szCs w:val="20"/>
        </w:rPr>
        <w:t xml:space="preserve"> Carbopol 940 (Jain Industrial Chemicals, Chennai), Tween 80 (Ocean Chemicals </w:t>
      </w:r>
      <w:proofErr w:type="spellStart"/>
      <w:r w:rsidR="00F26329" w:rsidRPr="007C0DC3">
        <w:rPr>
          <w:rFonts w:ascii="Arial" w:eastAsia="Times New Roman" w:hAnsi="Arial" w:cs="Arial"/>
          <w:sz w:val="20"/>
          <w:szCs w:val="20"/>
        </w:rPr>
        <w:t>Pvt.</w:t>
      </w:r>
      <w:proofErr w:type="spellEnd"/>
      <w:r w:rsidR="00F26329" w:rsidRPr="007C0DC3">
        <w:rPr>
          <w:rFonts w:ascii="Arial" w:eastAsia="Times New Roman" w:hAnsi="Arial" w:cs="Arial"/>
          <w:sz w:val="20"/>
          <w:szCs w:val="20"/>
        </w:rPr>
        <w:t xml:space="preserve"> Ltd), </w:t>
      </w:r>
      <w:r w:rsidR="00D1600E" w:rsidRPr="007C0DC3">
        <w:rPr>
          <w:rFonts w:ascii="Arial" w:eastAsia="Times New Roman" w:hAnsi="Arial" w:cs="Arial"/>
          <w:sz w:val="20"/>
          <w:szCs w:val="20"/>
        </w:rPr>
        <w:t xml:space="preserve">Ethanol, </w:t>
      </w:r>
      <w:proofErr w:type="spellStart"/>
      <w:r w:rsidR="00D1600E" w:rsidRPr="007C0DC3">
        <w:rPr>
          <w:rFonts w:ascii="Arial" w:eastAsia="Times New Roman" w:hAnsi="Arial" w:cs="Arial"/>
          <w:sz w:val="20"/>
          <w:szCs w:val="20"/>
        </w:rPr>
        <w:t>Glycerin</w:t>
      </w:r>
      <w:proofErr w:type="spellEnd"/>
      <w:r w:rsidR="00D1600E" w:rsidRPr="007C0DC3">
        <w:rPr>
          <w:rFonts w:ascii="Arial" w:eastAsia="Times New Roman" w:hAnsi="Arial" w:cs="Arial"/>
          <w:sz w:val="20"/>
          <w:szCs w:val="20"/>
        </w:rPr>
        <w:t>,</w:t>
      </w:r>
      <w:r w:rsidR="001A510E" w:rsidRPr="007C0DC3">
        <w:rPr>
          <w:rFonts w:ascii="Arial" w:eastAsia="Times New Roman" w:hAnsi="Arial" w:cs="Arial"/>
          <w:sz w:val="20"/>
          <w:szCs w:val="20"/>
        </w:rPr>
        <w:t xml:space="preserve"> Sucrose, Vanillin (Chemical Laboratories)</w:t>
      </w:r>
      <w:r w:rsidR="002B7F58" w:rsidRPr="007C0DC3">
        <w:rPr>
          <w:rFonts w:ascii="Arial" w:eastAsia="Times New Roman" w:hAnsi="Arial" w:cs="Arial"/>
          <w:sz w:val="20"/>
          <w:szCs w:val="20"/>
        </w:rPr>
        <w:t>.</w:t>
      </w:r>
    </w:p>
    <w:p w14:paraId="525DE630" w14:textId="77777777" w:rsidR="0033466F" w:rsidRPr="007C0DC3" w:rsidRDefault="00903665" w:rsidP="004617EB">
      <w:pPr>
        <w:spacing w:line="480" w:lineRule="auto"/>
        <w:ind w:right="340" w:firstLine="340"/>
        <w:jc w:val="both"/>
        <w:rPr>
          <w:rFonts w:ascii="Arial" w:hAnsi="Arial" w:cs="Arial"/>
          <w:b/>
          <w:bCs/>
          <w:sz w:val="22"/>
          <w:szCs w:val="22"/>
        </w:rPr>
      </w:pPr>
      <w:r w:rsidRPr="007C0DC3">
        <w:rPr>
          <w:rFonts w:ascii="Arial" w:hAnsi="Arial" w:cs="Arial"/>
          <w:b/>
          <w:bCs/>
          <w:sz w:val="22"/>
          <w:szCs w:val="22"/>
        </w:rPr>
        <w:lastRenderedPageBreak/>
        <w:t xml:space="preserve">2.2 </w:t>
      </w:r>
      <w:r w:rsidR="00B12E09" w:rsidRPr="007C0DC3">
        <w:rPr>
          <w:rFonts w:ascii="Arial" w:hAnsi="Arial" w:cs="Arial"/>
          <w:b/>
          <w:bCs/>
          <w:sz w:val="22"/>
          <w:szCs w:val="22"/>
        </w:rPr>
        <w:t>Characterization of Drug</w:t>
      </w:r>
    </w:p>
    <w:p w14:paraId="77549587" w14:textId="77777777" w:rsidR="00FE583B" w:rsidRPr="007C0DC3" w:rsidRDefault="00903665" w:rsidP="007D1626">
      <w:pPr>
        <w:spacing w:after="0" w:line="480" w:lineRule="auto"/>
        <w:ind w:left="340" w:right="340"/>
        <w:jc w:val="both"/>
        <w:rPr>
          <w:rFonts w:ascii="Arial" w:eastAsia="Times New Roman" w:hAnsi="Arial" w:cs="Arial"/>
          <w:b/>
          <w:bCs/>
          <w:color w:val="000000" w:themeColor="text1"/>
          <w:sz w:val="20"/>
          <w:szCs w:val="20"/>
          <w:u w:val="single"/>
        </w:rPr>
      </w:pPr>
      <w:r w:rsidRPr="007C0DC3">
        <w:rPr>
          <w:rFonts w:ascii="Arial" w:eastAsia="Times New Roman" w:hAnsi="Arial" w:cs="Arial"/>
          <w:b/>
          <w:bCs/>
          <w:color w:val="000000" w:themeColor="text1"/>
          <w:sz w:val="20"/>
          <w:szCs w:val="20"/>
          <w:u w:val="single"/>
        </w:rPr>
        <w:t xml:space="preserve">2.2.1 </w:t>
      </w:r>
      <w:r w:rsidR="00FE583B" w:rsidRPr="007C0DC3">
        <w:rPr>
          <w:rFonts w:ascii="Arial" w:eastAsia="Times New Roman" w:hAnsi="Arial" w:cs="Arial"/>
          <w:b/>
          <w:bCs/>
          <w:color w:val="000000" w:themeColor="text1"/>
          <w:sz w:val="20"/>
          <w:szCs w:val="20"/>
          <w:u w:val="single"/>
        </w:rPr>
        <w:t>Organoleptic Properties</w:t>
      </w:r>
    </w:p>
    <w:p w14:paraId="02F950EF" w14:textId="77777777" w:rsidR="00FE583B" w:rsidRPr="007C0DC3" w:rsidRDefault="00FE583B" w:rsidP="007D1626">
      <w:pPr>
        <w:spacing w:line="480" w:lineRule="auto"/>
        <w:ind w:left="340" w:right="340"/>
        <w:jc w:val="both"/>
        <w:rPr>
          <w:rFonts w:ascii="Arial" w:hAnsi="Arial" w:cs="Arial"/>
          <w:sz w:val="20"/>
          <w:szCs w:val="20"/>
        </w:rPr>
      </w:pPr>
      <w:r w:rsidRPr="007C0DC3">
        <w:rPr>
          <w:rFonts w:ascii="Arial" w:hAnsi="Arial" w:cs="Arial"/>
          <w:sz w:val="20"/>
          <w:szCs w:val="20"/>
        </w:rPr>
        <w:t xml:space="preserve">The </w:t>
      </w:r>
      <w:proofErr w:type="spellStart"/>
      <w:r w:rsidRPr="007C0DC3">
        <w:rPr>
          <w:rFonts w:ascii="Arial" w:hAnsi="Arial" w:cs="Arial"/>
          <w:sz w:val="20"/>
          <w:szCs w:val="20"/>
        </w:rPr>
        <w:t>color</w:t>
      </w:r>
      <w:proofErr w:type="spellEnd"/>
      <w:r w:rsidRPr="007C0DC3">
        <w:rPr>
          <w:rFonts w:ascii="Arial" w:hAnsi="Arial" w:cs="Arial"/>
          <w:sz w:val="20"/>
          <w:szCs w:val="20"/>
        </w:rPr>
        <w:t xml:space="preserve">, </w:t>
      </w:r>
      <w:proofErr w:type="spellStart"/>
      <w:r w:rsidRPr="007C0DC3">
        <w:rPr>
          <w:rFonts w:ascii="Arial" w:hAnsi="Arial" w:cs="Arial"/>
          <w:sz w:val="20"/>
          <w:szCs w:val="20"/>
        </w:rPr>
        <w:t>odor</w:t>
      </w:r>
      <w:proofErr w:type="spellEnd"/>
      <w:r w:rsidRPr="007C0DC3">
        <w:rPr>
          <w:rFonts w:ascii="Arial" w:hAnsi="Arial" w:cs="Arial"/>
          <w:sz w:val="20"/>
          <w:szCs w:val="20"/>
        </w:rPr>
        <w:t>, appearance, and taste of the drug were recorded using descriptive terminology.</w:t>
      </w:r>
    </w:p>
    <w:p w14:paraId="31A2A217" w14:textId="77777777" w:rsidR="00FE583B" w:rsidRPr="007C0DC3" w:rsidRDefault="00903665" w:rsidP="007D1626">
      <w:pPr>
        <w:spacing w:after="0" w:line="480" w:lineRule="auto"/>
        <w:ind w:left="340" w:right="340"/>
        <w:jc w:val="both"/>
        <w:rPr>
          <w:rFonts w:ascii="Arial" w:eastAsia="Times New Roman" w:hAnsi="Arial" w:cs="Arial"/>
          <w:b/>
          <w:bCs/>
          <w:color w:val="000000" w:themeColor="text1"/>
          <w:sz w:val="20"/>
          <w:szCs w:val="20"/>
          <w:u w:val="single"/>
        </w:rPr>
      </w:pPr>
      <w:r w:rsidRPr="007C0DC3">
        <w:rPr>
          <w:rFonts w:ascii="Arial" w:eastAsia="Times New Roman" w:hAnsi="Arial" w:cs="Arial"/>
          <w:b/>
          <w:bCs/>
          <w:color w:val="000000" w:themeColor="text1"/>
          <w:sz w:val="20"/>
          <w:szCs w:val="20"/>
          <w:u w:val="single"/>
        </w:rPr>
        <w:t xml:space="preserve">2.2.2 </w:t>
      </w:r>
      <w:r w:rsidR="00FE583B" w:rsidRPr="007C0DC3">
        <w:rPr>
          <w:rFonts w:ascii="Arial" w:eastAsia="Times New Roman" w:hAnsi="Arial" w:cs="Arial"/>
          <w:b/>
          <w:bCs/>
          <w:color w:val="000000" w:themeColor="text1"/>
          <w:sz w:val="20"/>
          <w:szCs w:val="20"/>
          <w:u w:val="single"/>
        </w:rPr>
        <w:t xml:space="preserve">Solubility </w:t>
      </w:r>
      <w:r w:rsidR="00F37306" w:rsidRPr="007C0DC3">
        <w:rPr>
          <w:rFonts w:ascii="Arial" w:eastAsia="Times New Roman" w:hAnsi="Arial" w:cs="Arial"/>
          <w:b/>
          <w:bCs/>
          <w:color w:val="000000" w:themeColor="text1"/>
          <w:sz w:val="20"/>
          <w:szCs w:val="20"/>
          <w:u w:val="single"/>
        </w:rPr>
        <w:t>S</w:t>
      </w:r>
      <w:r w:rsidR="00FE583B" w:rsidRPr="007C0DC3">
        <w:rPr>
          <w:rFonts w:ascii="Arial" w:eastAsia="Times New Roman" w:hAnsi="Arial" w:cs="Arial"/>
          <w:b/>
          <w:bCs/>
          <w:color w:val="000000" w:themeColor="text1"/>
          <w:sz w:val="20"/>
          <w:szCs w:val="20"/>
          <w:u w:val="single"/>
        </w:rPr>
        <w:t>tudy</w:t>
      </w:r>
    </w:p>
    <w:p w14:paraId="473107DA" w14:textId="77777777" w:rsidR="00F32539" w:rsidRPr="007C0DC3" w:rsidRDefault="00FE583B" w:rsidP="007D1626">
      <w:pPr>
        <w:spacing w:line="480" w:lineRule="auto"/>
        <w:ind w:left="340" w:right="340"/>
        <w:jc w:val="both"/>
        <w:rPr>
          <w:rFonts w:ascii="Arial" w:hAnsi="Arial" w:cs="Arial"/>
          <w:b/>
          <w:bCs/>
          <w:sz w:val="20"/>
          <w:szCs w:val="20"/>
        </w:rPr>
      </w:pPr>
      <w:r w:rsidRPr="007C0DC3">
        <w:rPr>
          <w:rFonts w:ascii="Arial" w:eastAsia="Times New Roman" w:hAnsi="Arial" w:cs="Arial"/>
          <w:sz w:val="20"/>
          <w:szCs w:val="20"/>
        </w:rPr>
        <w:t>The solubility characteristics of a drug in an aqueous system are important, as a certain degree of water solubility is required to elicit a therapeutic response. The solubility of drug was recorded by using various descriptive terminology</w:t>
      </w:r>
      <w:r w:rsidR="004B0042" w:rsidRPr="007C0DC3">
        <w:rPr>
          <w:rFonts w:ascii="Arial" w:eastAsia="Times New Roman" w:hAnsi="Arial" w:cs="Arial"/>
          <w:sz w:val="20"/>
          <w:szCs w:val="20"/>
        </w:rPr>
        <w:t>.</w:t>
      </w:r>
    </w:p>
    <w:p w14:paraId="3F070937" w14:textId="77777777" w:rsidR="007309DE" w:rsidRPr="007C0DC3" w:rsidRDefault="00903665" w:rsidP="007D1626">
      <w:pPr>
        <w:spacing w:after="0" w:line="480" w:lineRule="auto"/>
        <w:ind w:left="340" w:right="340"/>
        <w:jc w:val="both"/>
        <w:rPr>
          <w:rFonts w:ascii="Arial" w:eastAsia="Times New Roman" w:hAnsi="Arial" w:cs="Arial"/>
          <w:b/>
          <w:bCs/>
          <w:color w:val="000000" w:themeColor="text1"/>
          <w:sz w:val="20"/>
          <w:szCs w:val="20"/>
          <w:u w:val="single"/>
        </w:rPr>
      </w:pPr>
      <w:r w:rsidRPr="007C0DC3">
        <w:rPr>
          <w:rFonts w:ascii="Arial" w:eastAsia="Times New Roman" w:hAnsi="Arial" w:cs="Arial"/>
          <w:b/>
          <w:bCs/>
          <w:color w:val="000000" w:themeColor="text1"/>
          <w:sz w:val="20"/>
          <w:szCs w:val="20"/>
          <w:u w:val="single"/>
        </w:rPr>
        <w:t xml:space="preserve">2.2.3 </w:t>
      </w:r>
      <w:r w:rsidR="007309DE" w:rsidRPr="007C0DC3">
        <w:rPr>
          <w:rFonts w:ascii="Arial" w:eastAsia="Times New Roman" w:hAnsi="Arial" w:cs="Arial"/>
          <w:b/>
          <w:bCs/>
          <w:color w:val="000000" w:themeColor="text1"/>
          <w:sz w:val="20"/>
          <w:szCs w:val="20"/>
          <w:u w:val="single"/>
        </w:rPr>
        <w:t xml:space="preserve">Determination of </w:t>
      </w:r>
      <w:r w:rsidR="00CF5A94" w:rsidRPr="007C0DC3">
        <w:rPr>
          <w:rFonts w:ascii="Arial" w:eastAsia="Times New Roman" w:hAnsi="Arial" w:cs="Arial"/>
          <w:b/>
          <w:bCs/>
          <w:color w:val="000000" w:themeColor="text1"/>
          <w:sz w:val="20"/>
          <w:szCs w:val="20"/>
          <w:u w:val="single"/>
        </w:rPr>
        <w:t>M</w:t>
      </w:r>
      <w:r w:rsidR="007309DE" w:rsidRPr="007C0DC3">
        <w:rPr>
          <w:rFonts w:ascii="Arial" w:eastAsia="Times New Roman" w:hAnsi="Arial" w:cs="Arial"/>
          <w:b/>
          <w:bCs/>
          <w:color w:val="000000" w:themeColor="text1"/>
          <w:sz w:val="20"/>
          <w:szCs w:val="20"/>
          <w:u w:val="single"/>
        </w:rPr>
        <w:t>elting point</w:t>
      </w:r>
    </w:p>
    <w:p w14:paraId="0BF966B7" w14:textId="77777777" w:rsidR="007309DE" w:rsidRPr="007C0DC3" w:rsidRDefault="007309DE" w:rsidP="007D1626">
      <w:pPr>
        <w:spacing w:after="0" w:line="480" w:lineRule="auto"/>
        <w:ind w:left="340" w:right="340"/>
        <w:jc w:val="both"/>
        <w:rPr>
          <w:rFonts w:ascii="Arial" w:hAnsi="Arial" w:cs="Arial"/>
          <w:sz w:val="20"/>
          <w:szCs w:val="20"/>
        </w:rPr>
      </w:pPr>
      <w:r w:rsidRPr="007C0DC3">
        <w:rPr>
          <w:rFonts w:ascii="Arial" w:eastAsia="Times New Roman" w:hAnsi="Arial" w:cs="Arial"/>
          <w:color w:val="000000" w:themeColor="text1"/>
          <w:sz w:val="20"/>
          <w:szCs w:val="20"/>
        </w:rPr>
        <w:t>A small amount of drug was loaded in capillary tube where one end of capillary tube was closed and kept in the melting point apparatus and the temperature was noted when the drug melted.</w:t>
      </w:r>
    </w:p>
    <w:p w14:paraId="79E624E3" w14:textId="77777777" w:rsidR="00F37306" w:rsidRPr="007C0DC3" w:rsidRDefault="00903665" w:rsidP="007D1626">
      <w:pPr>
        <w:shd w:val="clear" w:color="auto" w:fill="FFFFFF" w:themeFill="background1"/>
        <w:spacing w:after="0" w:line="480" w:lineRule="auto"/>
        <w:ind w:left="340" w:right="340"/>
        <w:jc w:val="both"/>
        <w:rPr>
          <w:rFonts w:ascii="Arial" w:hAnsi="Arial" w:cs="Arial"/>
          <w:b/>
          <w:bCs/>
          <w:sz w:val="20"/>
          <w:szCs w:val="20"/>
          <w:u w:val="single"/>
          <w:vertAlign w:val="superscript"/>
        </w:rPr>
      </w:pPr>
      <w:r w:rsidRPr="007C0DC3">
        <w:rPr>
          <w:rFonts w:ascii="Arial" w:hAnsi="Arial" w:cs="Arial"/>
          <w:b/>
          <w:bCs/>
          <w:sz w:val="20"/>
          <w:szCs w:val="20"/>
          <w:u w:val="single"/>
        </w:rPr>
        <w:t>2.</w:t>
      </w:r>
      <w:r w:rsidR="00B875F2" w:rsidRPr="007C0DC3">
        <w:rPr>
          <w:rFonts w:ascii="Arial" w:hAnsi="Arial" w:cs="Arial"/>
          <w:b/>
          <w:bCs/>
          <w:sz w:val="20"/>
          <w:szCs w:val="20"/>
          <w:u w:val="single"/>
        </w:rPr>
        <w:t xml:space="preserve">2.4 </w:t>
      </w:r>
      <w:r w:rsidR="00F37306" w:rsidRPr="007C0DC3">
        <w:rPr>
          <w:rFonts w:ascii="Arial" w:hAnsi="Arial" w:cs="Arial"/>
          <w:b/>
          <w:bCs/>
          <w:sz w:val="20"/>
          <w:szCs w:val="20"/>
          <w:u w:val="single"/>
        </w:rPr>
        <w:t>Drug-Excipient Compatibility Study</w:t>
      </w:r>
    </w:p>
    <w:p w14:paraId="0D221154" w14:textId="77777777" w:rsidR="00F37306" w:rsidRPr="007C0DC3" w:rsidRDefault="00F37306" w:rsidP="007D1626">
      <w:pPr>
        <w:pStyle w:val="BodyText"/>
        <w:spacing w:line="480" w:lineRule="auto"/>
        <w:ind w:left="340" w:right="340"/>
        <w:jc w:val="both"/>
        <w:rPr>
          <w:rFonts w:ascii="Arial" w:hAnsi="Arial" w:cs="Arial"/>
          <w:sz w:val="20"/>
          <w:szCs w:val="20"/>
        </w:rPr>
      </w:pPr>
      <w:r w:rsidRPr="007C0DC3">
        <w:rPr>
          <w:rFonts w:ascii="Arial" w:hAnsi="Arial" w:cs="Arial"/>
          <w:w w:val="105"/>
          <w:sz w:val="20"/>
          <w:szCs w:val="20"/>
        </w:rPr>
        <w:t>The</w:t>
      </w:r>
      <w:r w:rsidRPr="007C0DC3">
        <w:rPr>
          <w:rFonts w:ascii="Arial" w:hAnsi="Arial" w:cs="Arial"/>
          <w:spacing w:val="36"/>
          <w:w w:val="105"/>
          <w:sz w:val="20"/>
          <w:szCs w:val="20"/>
        </w:rPr>
        <w:t xml:space="preserve"> </w:t>
      </w:r>
      <w:r w:rsidRPr="007C0DC3">
        <w:rPr>
          <w:rFonts w:ascii="Arial" w:hAnsi="Arial" w:cs="Arial"/>
          <w:w w:val="105"/>
          <w:sz w:val="20"/>
          <w:szCs w:val="20"/>
        </w:rPr>
        <w:t>drug</w:t>
      </w:r>
      <w:r w:rsidRPr="007C0DC3">
        <w:rPr>
          <w:rFonts w:ascii="Arial" w:hAnsi="Arial" w:cs="Arial"/>
          <w:spacing w:val="38"/>
          <w:w w:val="105"/>
          <w:sz w:val="20"/>
          <w:szCs w:val="20"/>
        </w:rPr>
        <w:t xml:space="preserve"> </w:t>
      </w:r>
      <w:r w:rsidRPr="007C0DC3">
        <w:rPr>
          <w:rFonts w:ascii="Arial" w:hAnsi="Arial" w:cs="Arial"/>
          <w:w w:val="105"/>
          <w:sz w:val="20"/>
          <w:szCs w:val="20"/>
        </w:rPr>
        <w:t>and</w:t>
      </w:r>
      <w:r w:rsidRPr="007C0DC3">
        <w:rPr>
          <w:rFonts w:ascii="Arial" w:hAnsi="Arial" w:cs="Arial"/>
          <w:spacing w:val="36"/>
          <w:w w:val="105"/>
          <w:sz w:val="20"/>
          <w:szCs w:val="20"/>
        </w:rPr>
        <w:t xml:space="preserve"> </w:t>
      </w:r>
      <w:r w:rsidRPr="007C0DC3">
        <w:rPr>
          <w:rFonts w:ascii="Arial" w:hAnsi="Arial" w:cs="Arial"/>
          <w:w w:val="105"/>
          <w:sz w:val="20"/>
          <w:szCs w:val="20"/>
        </w:rPr>
        <w:t>excipients</w:t>
      </w:r>
      <w:r w:rsidRPr="007C0DC3">
        <w:rPr>
          <w:rFonts w:ascii="Arial" w:hAnsi="Arial" w:cs="Arial"/>
          <w:spacing w:val="38"/>
          <w:w w:val="105"/>
          <w:sz w:val="20"/>
          <w:szCs w:val="20"/>
        </w:rPr>
        <w:t xml:space="preserve"> </w:t>
      </w:r>
      <w:r w:rsidRPr="007C0DC3">
        <w:rPr>
          <w:rFonts w:ascii="Arial" w:hAnsi="Arial" w:cs="Arial"/>
          <w:w w:val="105"/>
          <w:sz w:val="20"/>
          <w:szCs w:val="20"/>
        </w:rPr>
        <w:t>selected</w:t>
      </w:r>
      <w:r w:rsidRPr="007C0DC3">
        <w:rPr>
          <w:rFonts w:ascii="Arial" w:hAnsi="Arial" w:cs="Arial"/>
          <w:spacing w:val="36"/>
          <w:w w:val="105"/>
          <w:sz w:val="20"/>
          <w:szCs w:val="20"/>
        </w:rPr>
        <w:t xml:space="preserve"> </w:t>
      </w:r>
      <w:r w:rsidRPr="007C0DC3">
        <w:rPr>
          <w:rFonts w:ascii="Arial" w:hAnsi="Arial" w:cs="Arial"/>
          <w:w w:val="105"/>
          <w:sz w:val="20"/>
          <w:szCs w:val="20"/>
        </w:rPr>
        <w:t>for</w:t>
      </w:r>
      <w:r w:rsidRPr="007C0DC3">
        <w:rPr>
          <w:rFonts w:ascii="Arial" w:hAnsi="Arial" w:cs="Arial"/>
          <w:spacing w:val="40"/>
          <w:w w:val="105"/>
          <w:sz w:val="20"/>
          <w:szCs w:val="20"/>
        </w:rPr>
        <w:t xml:space="preserve"> </w:t>
      </w:r>
      <w:r w:rsidRPr="007C0DC3">
        <w:rPr>
          <w:rFonts w:ascii="Arial" w:hAnsi="Arial" w:cs="Arial"/>
          <w:w w:val="105"/>
          <w:sz w:val="20"/>
          <w:szCs w:val="20"/>
        </w:rPr>
        <w:t>the</w:t>
      </w:r>
      <w:r w:rsidRPr="007C0DC3">
        <w:rPr>
          <w:rFonts w:ascii="Arial" w:hAnsi="Arial" w:cs="Arial"/>
          <w:spacing w:val="36"/>
          <w:w w:val="105"/>
          <w:sz w:val="20"/>
          <w:szCs w:val="20"/>
        </w:rPr>
        <w:t xml:space="preserve"> </w:t>
      </w:r>
      <w:r w:rsidRPr="007C0DC3">
        <w:rPr>
          <w:rFonts w:ascii="Arial" w:hAnsi="Arial" w:cs="Arial"/>
          <w:w w:val="105"/>
          <w:sz w:val="20"/>
          <w:szCs w:val="20"/>
        </w:rPr>
        <w:t>formulation</w:t>
      </w:r>
      <w:r w:rsidRPr="007C0DC3">
        <w:rPr>
          <w:rFonts w:ascii="Arial" w:hAnsi="Arial" w:cs="Arial"/>
          <w:spacing w:val="40"/>
          <w:w w:val="105"/>
          <w:sz w:val="20"/>
          <w:szCs w:val="20"/>
        </w:rPr>
        <w:t xml:space="preserve"> </w:t>
      </w:r>
      <w:r w:rsidRPr="007C0DC3">
        <w:rPr>
          <w:rFonts w:ascii="Arial" w:hAnsi="Arial" w:cs="Arial"/>
          <w:w w:val="105"/>
          <w:sz w:val="20"/>
          <w:szCs w:val="20"/>
        </w:rPr>
        <w:t>were</w:t>
      </w:r>
      <w:r w:rsidRPr="007C0DC3">
        <w:rPr>
          <w:rFonts w:ascii="Arial" w:hAnsi="Arial" w:cs="Arial"/>
          <w:spacing w:val="36"/>
          <w:w w:val="105"/>
          <w:sz w:val="20"/>
          <w:szCs w:val="20"/>
        </w:rPr>
        <w:t xml:space="preserve"> </w:t>
      </w:r>
      <w:r w:rsidRPr="007C0DC3">
        <w:rPr>
          <w:rFonts w:ascii="Arial" w:hAnsi="Arial" w:cs="Arial"/>
          <w:w w:val="105"/>
          <w:sz w:val="20"/>
          <w:szCs w:val="20"/>
        </w:rPr>
        <w:t>evaluated</w:t>
      </w:r>
      <w:r w:rsidRPr="007C0DC3">
        <w:rPr>
          <w:rFonts w:ascii="Arial" w:hAnsi="Arial" w:cs="Arial"/>
          <w:spacing w:val="40"/>
          <w:w w:val="105"/>
          <w:sz w:val="20"/>
          <w:szCs w:val="20"/>
        </w:rPr>
        <w:t xml:space="preserve"> </w:t>
      </w:r>
      <w:r w:rsidRPr="007C0DC3">
        <w:rPr>
          <w:rFonts w:ascii="Arial" w:hAnsi="Arial" w:cs="Arial"/>
          <w:w w:val="105"/>
          <w:sz w:val="20"/>
          <w:szCs w:val="20"/>
        </w:rPr>
        <w:t>for Physical and Chemical compatibility studies.</w:t>
      </w:r>
    </w:p>
    <w:p w14:paraId="6EFF768A" w14:textId="77777777" w:rsidR="00F37306" w:rsidRPr="007C0DC3" w:rsidRDefault="00B875F2" w:rsidP="007D1626">
      <w:pPr>
        <w:shd w:val="clear" w:color="auto" w:fill="FFFFFF" w:themeFill="background1"/>
        <w:spacing w:after="0" w:line="480" w:lineRule="auto"/>
        <w:ind w:left="340" w:right="340"/>
        <w:jc w:val="both"/>
        <w:rPr>
          <w:rFonts w:ascii="Arial" w:hAnsi="Arial" w:cs="Arial"/>
          <w:b/>
          <w:bCs/>
          <w:i/>
          <w:iCs/>
          <w:sz w:val="20"/>
          <w:szCs w:val="20"/>
        </w:rPr>
      </w:pPr>
      <w:r w:rsidRPr="007C0DC3">
        <w:rPr>
          <w:rFonts w:ascii="Arial" w:hAnsi="Arial" w:cs="Arial"/>
          <w:b/>
          <w:bCs/>
          <w:i/>
          <w:iCs/>
          <w:w w:val="105"/>
          <w:sz w:val="20"/>
          <w:szCs w:val="20"/>
        </w:rPr>
        <w:t>2.2.4.</w:t>
      </w:r>
      <w:r w:rsidR="006D5998" w:rsidRPr="007C0DC3">
        <w:rPr>
          <w:rFonts w:ascii="Arial" w:hAnsi="Arial" w:cs="Arial"/>
          <w:b/>
          <w:bCs/>
          <w:i/>
          <w:iCs/>
          <w:w w:val="105"/>
          <w:sz w:val="20"/>
          <w:szCs w:val="20"/>
        </w:rPr>
        <w:t xml:space="preserve">1 </w:t>
      </w:r>
      <w:r w:rsidR="00CF5A94" w:rsidRPr="007C0DC3">
        <w:rPr>
          <w:rFonts w:ascii="Arial" w:hAnsi="Arial" w:cs="Arial"/>
          <w:b/>
          <w:bCs/>
          <w:i/>
          <w:iCs/>
          <w:w w:val="105"/>
          <w:sz w:val="20"/>
          <w:szCs w:val="20"/>
        </w:rPr>
        <w:t xml:space="preserve">Chemical </w:t>
      </w:r>
      <w:r w:rsidR="00CF5A94" w:rsidRPr="007C0DC3">
        <w:rPr>
          <w:rFonts w:ascii="Arial" w:hAnsi="Arial" w:cs="Arial"/>
          <w:b/>
          <w:bCs/>
          <w:i/>
          <w:iCs/>
          <w:sz w:val="20"/>
          <w:szCs w:val="20"/>
        </w:rPr>
        <w:t>Compatibility Study</w:t>
      </w:r>
    </w:p>
    <w:p w14:paraId="597380B8" w14:textId="77777777" w:rsidR="00F37306" w:rsidRPr="007C0DC3" w:rsidRDefault="00F37306" w:rsidP="007D1626">
      <w:pPr>
        <w:spacing w:after="0" w:line="480" w:lineRule="auto"/>
        <w:ind w:left="340" w:right="340"/>
        <w:jc w:val="both"/>
        <w:rPr>
          <w:rFonts w:ascii="Arial" w:hAnsi="Arial" w:cs="Arial"/>
          <w:sz w:val="20"/>
          <w:szCs w:val="20"/>
        </w:rPr>
      </w:pPr>
      <w:r w:rsidRPr="007C0DC3">
        <w:rPr>
          <w:rFonts w:ascii="Arial" w:hAnsi="Arial" w:cs="Arial"/>
          <w:sz w:val="20"/>
          <w:szCs w:val="20"/>
        </w:rPr>
        <w:t>FTIR spectrophotometric analysis was performed to investigate the compatibility between the drug and excipients. The Bruker attenuated total reflection alpha technique was used for the analysis. The spectra of the pure drug, the physical mixture of the optimized blank, and CLOMOPT were recorded at a temperature of 25.0 ± 0.5 °C by placing the samples on a zinc solenoid crystal plate over the wavenumber 4000 to 400 cm</w:t>
      </w:r>
      <w:r w:rsidRPr="007C0DC3">
        <w:rPr>
          <w:rFonts w:ascii="Arial" w:hAnsi="Arial" w:cs="Arial"/>
          <w:sz w:val="20"/>
          <w:szCs w:val="20"/>
          <w:vertAlign w:val="superscript"/>
        </w:rPr>
        <w:t>-1</w:t>
      </w:r>
      <w:r w:rsidRPr="007C0DC3">
        <w:rPr>
          <w:rFonts w:ascii="Arial" w:hAnsi="Arial" w:cs="Arial"/>
          <w:sz w:val="20"/>
          <w:szCs w:val="20"/>
        </w:rPr>
        <w:t xml:space="preserve"> and compare with the reference Pharmacopoeia.</w:t>
      </w:r>
    </w:p>
    <w:p w14:paraId="3F1E04F6" w14:textId="77777777" w:rsidR="00CB571D" w:rsidRPr="007C0DC3" w:rsidRDefault="00B875F2" w:rsidP="007D1626">
      <w:pPr>
        <w:spacing w:after="0" w:line="480" w:lineRule="auto"/>
        <w:ind w:left="340" w:right="340"/>
        <w:jc w:val="both"/>
        <w:rPr>
          <w:rFonts w:ascii="Arial" w:hAnsi="Arial" w:cs="Arial"/>
          <w:sz w:val="20"/>
          <w:szCs w:val="20"/>
          <w:u w:val="single"/>
        </w:rPr>
      </w:pPr>
      <w:r w:rsidRPr="007C0DC3">
        <w:rPr>
          <w:rFonts w:ascii="Arial" w:eastAsia="Times New Roman" w:hAnsi="Arial" w:cs="Arial"/>
          <w:b/>
          <w:bCs/>
          <w:color w:val="000000" w:themeColor="text1"/>
          <w:sz w:val="20"/>
          <w:szCs w:val="20"/>
          <w:u w:val="single"/>
        </w:rPr>
        <w:t>2.2.</w:t>
      </w:r>
      <w:r w:rsidR="008A4A74" w:rsidRPr="007C0DC3">
        <w:rPr>
          <w:rFonts w:ascii="Arial" w:eastAsia="Times New Roman" w:hAnsi="Arial" w:cs="Arial"/>
          <w:b/>
          <w:bCs/>
          <w:color w:val="000000" w:themeColor="text1"/>
          <w:sz w:val="20"/>
          <w:szCs w:val="20"/>
          <w:u w:val="single"/>
        </w:rPr>
        <w:t xml:space="preserve">5 </w:t>
      </w:r>
      <w:r w:rsidR="00CB571D" w:rsidRPr="007C0DC3">
        <w:rPr>
          <w:rFonts w:ascii="Arial" w:eastAsia="Times New Roman" w:hAnsi="Arial" w:cs="Arial"/>
          <w:b/>
          <w:bCs/>
          <w:color w:val="000000" w:themeColor="text1"/>
          <w:sz w:val="20"/>
          <w:szCs w:val="20"/>
          <w:u w:val="single"/>
        </w:rPr>
        <w:t xml:space="preserve">Determination of </w:t>
      </w:r>
      <w:r w:rsidR="00CB571D" w:rsidRPr="007C0DC3">
        <w:rPr>
          <w:rFonts w:ascii="Arial" w:eastAsia="Times New Roman" w:hAnsi="Arial" w:cs="Arial"/>
          <w:b/>
          <w:bCs/>
          <w:sz w:val="20"/>
          <w:szCs w:val="20"/>
          <w:u w:val="single"/>
        </w:rPr>
        <w:t>λ max</w:t>
      </w:r>
      <w:r w:rsidR="00CB571D" w:rsidRPr="007C0DC3">
        <w:rPr>
          <w:rFonts w:ascii="Arial" w:eastAsia="Times New Roman" w:hAnsi="Arial" w:cs="Arial"/>
          <w:b/>
          <w:bCs/>
          <w:color w:val="000000" w:themeColor="text1"/>
          <w:sz w:val="20"/>
          <w:szCs w:val="20"/>
          <w:u w:val="single"/>
        </w:rPr>
        <w:t xml:space="preserve"> </w:t>
      </w:r>
    </w:p>
    <w:p w14:paraId="7DB11D57" w14:textId="77777777" w:rsidR="00CB571D" w:rsidRPr="007C0DC3" w:rsidRDefault="00CB571D" w:rsidP="007D1626">
      <w:pPr>
        <w:shd w:val="clear" w:color="auto" w:fill="FFFFFF" w:themeFill="background1"/>
        <w:spacing w:after="0" w:line="480" w:lineRule="auto"/>
        <w:ind w:left="340" w:right="340"/>
        <w:jc w:val="both"/>
        <w:rPr>
          <w:rFonts w:ascii="Arial" w:eastAsia="Times New Roman" w:hAnsi="Arial" w:cs="Arial"/>
          <w:sz w:val="20"/>
          <w:szCs w:val="20"/>
        </w:rPr>
      </w:pPr>
      <w:r w:rsidRPr="007C0DC3">
        <w:rPr>
          <w:rFonts w:ascii="Arial" w:eastAsia="Times New Roman" w:hAnsi="Arial" w:cs="Arial"/>
          <w:sz w:val="20"/>
          <w:szCs w:val="20"/>
        </w:rPr>
        <w:t xml:space="preserve">10 mg of </w:t>
      </w:r>
      <w:r w:rsidR="00B875F2" w:rsidRPr="007C0DC3">
        <w:rPr>
          <w:rFonts w:ascii="Arial" w:eastAsia="Times New Roman" w:hAnsi="Arial" w:cs="Arial"/>
          <w:sz w:val="20"/>
          <w:szCs w:val="20"/>
        </w:rPr>
        <w:t>Clomipramine HCl</w:t>
      </w:r>
      <w:r w:rsidRPr="007C0DC3">
        <w:rPr>
          <w:rFonts w:ascii="Arial" w:eastAsia="Times New Roman" w:hAnsi="Arial" w:cs="Arial"/>
          <w:sz w:val="20"/>
          <w:szCs w:val="20"/>
        </w:rPr>
        <w:t xml:space="preserve"> was weighed and transferred to 10 ml of volumetric flask. The drug was dissolved and volume was made up to 10 ml using phosphate buffer pH 6.8 to obtain a stock solution of 1000 µg/ml (Stock solution I). 1 ml of this stock solution was again diluted with phosphate buffer pH6.8 up to 10 ml to obtain a solution of 100 µg/ml (Stock solution II). From stock solution II, 1ml was pipette out in a 10 ml volumetric flask. The volume was made up to 10 ml using phosphate buffer pH 6.8 to get a concentration of 10 µg/ml. This solution</w:t>
      </w:r>
      <w:r w:rsidRPr="007C0DC3">
        <w:rPr>
          <w:rFonts w:ascii="Times New Roman" w:eastAsia="Times New Roman" w:hAnsi="Times New Roman" w:cs="Times New Roman"/>
        </w:rPr>
        <w:t xml:space="preserve"> </w:t>
      </w:r>
      <w:r w:rsidRPr="007C0DC3">
        <w:rPr>
          <w:rFonts w:ascii="Arial" w:eastAsia="Times New Roman" w:hAnsi="Arial" w:cs="Arial"/>
          <w:sz w:val="20"/>
          <w:szCs w:val="20"/>
        </w:rPr>
        <w:t>was then scanned at 254 nm in UV- Visible spectrophotometer to attain the absorption maximum (λ max).</w:t>
      </w:r>
    </w:p>
    <w:p w14:paraId="0EBF99DB" w14:textId="77777777" w:rsidR="006D5998" w:rsidRPr="007C0DC3" w:rsidRDefault="006D5998" w:rsidP="00AA1746">
      <w:pPr>
        <w:shd w:val="clear" w:color="auto" w:fill="FFFFFF" w:themeFill="background1"/>
        <w:spacing w:after="0" w:line="480" w:lineRule="auto"/>
        <w:ind w:left="340" w:right="340"/>
        <w:jc w:val="both"/>
        <w:rPr>
          <w:rFonts w:ascii="Arial" w:eastAsia="Times New Roman" w:hAnsi="Arial" w:cs="Arial"/>
          <w:b/>
          <w:bCs/>
          <w:sz w:val="20"/>
          <w:szCs w:val="20"/>
          <w:u w:val="single"/>
        </w:rPr>
      </w:pPr>
    </w:p>
    <w:p w14:paraId="677E14CA" w14:textId="77777777" w:rsidR="00CB571D" w:rsidRPr="007C0DC3" w:rsidRDefault="008A4A74" w:rsidP="00AA1746">
      <w:pPr>
        <w:shd w:val="clear" w:color="auto" w:fill="FFFFFF" w:themeFill="background1"/>
        <w:spacing w:after="0" w:line="480" w:lineRule="auto"/>
        <w:ind w:left="340" w:right="340"/>
        <w:jc w:val="both"/>
        <w:rPr>
          <w:rFonts w:ascii="Arial" w:eastAsia="Times New Roman" w:hAnsi="Arial" w:cs="Arial"/>
          <w:sz w:val="20"/>
          <w:szCs w:val="20"/>
          <w:u w:val="single"/>
        </w:rPr>
      </w:pPr>
      <w:r w:rsidRPr="007C0DC3">
        <w:rPr>
          <w:rFonts w:ascii="Arial" w:eastAsia="Times New Roman" w:hAnsi="Arial" w:cs="Arial"/>
          <w:b/>
          <w:bCs/>
          <w:sz w:val="20"/>
          <w:szCs w:val="20"/>
          <w:u w:val="single"/>
        </w:rPr>
        <w:lastRenderedPageBreak/>
        <w:t xml:space="preserve">2.2.6 </w:t>
      </w:r>
      <w:r w:rsidR="00CB571D" w:rsidRPr="007C0DC3">
        <w:rPr>
          <w:rFonts w:ascii="Arial" w:eastAsia="Times New Roman" w:hAnsi="Arial" w:cs="Arial"/>
          <w:b/>
          <w:bCs/>
          <w:sz w:val="20"/>
          <w:szCs w:val="20"/>
          <w:u w:val="single"/>
        </w:rPr>
        <w:t>Standard Curve for Clomipramine HCl</w:t>
      </w:r>
    </w:p>
    <w:p w14:paraId="6AF065FE" w14:textId="77777777" w:rsidR="00CB571D" w:rsidRPr="007C0DC3" w:rsidRDefault="008A4A74" w:rsidP="00AA1746">
      <w:pPr>
        <w:spacing w:after="0" w:line="480" w:lineRule="auto"/>
        <w:ind w:left="340" w:right="340"/>
        <w:jc w:val="both"/>
        <w:rPr>
          <w:rFonts w:ascii="Arial" w:hAnsi="Arial" w:cs="Arial"/>
          <w:b/>
          <w:bCs/>
          <w:i/>
          <w:iCs/>
          <w:sz w:val="20"/>
          <w:szCs w:val="20"/>
        </w:rPr>
      </w:pPr>
      <w:r w:rsidRPr="007C0DC3">
        <w:rPr>
          <w:rFonts w:ascii="Arial" w:eastAsia="Times New Roman" w:hAnsi="Arial" w:cs="Arial"/>
          <w:b/>
          <w:bCs/>
          <w:i/>
          <w:iCs/>
          <w:sz w:val="20"/>
          <w:szCs w:val="20"/>
        </w:rPr>
        <w:t xml:space="preserve">2.2.6.1 </w:t>
      </w:r>
      <w:r w:rsidR="00CB571D" w:rsidRPr="007C0DC3">
        <w:rPr>
          <w:rFonts w:ascii="Arial" w:eastAsia="Times New Roman" w:hAnsi="Arial" w:cs="Arial"/>
          <w:b/>
          <w:bCs/>
          <w:i/>
          <w:iCs/>
          <w:sz w:val="20"/>
          <w:szCs w:val="20"/>
        </w:rPr>
        <w:t>Preparation of Phosphate buffer pH 6.8</w:t>
      </w:r>
    </w:p>
    <w:p w14:paraId="2385AE99" w14:textId="77777777" w:rsidR="00CB571D" w:rsidRPr="007C0DC3" w:rsidRDefault="00CB571D" w:rsidP="00AA1746">
      <w:pPr>
        <w:spacing w:after="0" w:line="480" w:lineRule="auto"/>
        <w:ind w:left="340" w:right="340"/>
        <w:jc w:val="both"/>
        <w:rPr>
          <w:rFonts w:ascii="Arial" w:hAnsi="Arial" w:cs="Arial"/>
          <w:sz w:val="20"/>
          <w:szCs w:val="20"/>
        </w:rPr>
      </w:pPr>
      <w:r w:rsidRPr="007C0DC3">
        <w:rPr>
          <w:rFonts w:ascii="Arial" w:eastAsia="Times New Roman" w:hAnsi="Arial" w:cs="Arial"/>
          <w:sz w:val="20"/>
          <w:szCs w:val="20"/>
        </w:rPr>
        <w:t>The phosphate buffer pH6.8 was prepared by dissolving 28.80 g of disodium hydrogen phosphate and 11.45 g of potassium dihydrogen phosphate in sufficient water. The solution was mixed well, and the final volume was made up to 1000 ml with distilled water.</w:t>
      </w:r>
    </w:p>
    <w:p w14:paraId="5A87D7A8" w14:textId="77777777" w:rsidR="00CB571D" w:rsidRPr="007C0DC3" w:rsidRDefault="008A4A74" w:rsidP="00AA1746">
      <w:pPr>
        <w:spacing w:after="0" w:line="480" w:lineRule="auto"/>
        <w:ind w:left="340" w:right="340"/>
        <w:jc w:val="both"/>
        <w:rPr>
          <w:rFonts w:ascii="Arial" w:hAnsi="Arial" w:cs="Arial"/>
          <w:i/>
          <w:iCs/>
          <w:sz w:val="20"/>
          <w:szCs w:val="20"/>
        </w:rPr>
      </w:pPr>
      <w:r w:rsidRPr="007C0DC3">
        <w:rPr>
          <w:rFonts w:ascii="Arial" w:eastAsia="Times New Roman" w:hAnsi="Arial" w:cs="Arial"/>
          <w:b/>
          <w:bCs/>
          <w:i/>
          <w:iCs/>
          <w:sz w:val="20"/>
          <w:szCs w:val="20"/>
        </w:rPr>
        <w:t xml:space="preserve">2.2.6.2 </w:t>
      </w:r>
      <w:r w:rsidR="00CB571D" w:rsidRPr="007C0DC3">
        <w:rPr>
          <w:rFonts w:ascii="Arial" w:eastAsia="Times New Roman" w:hAnsi="Arial" w:cs="Arial"/>
          <w:b/>
          <w:bCs/>
          <w:i/>
          <w:iCs/>
          <w:sz w:val="20"/>
          <w:szCs w:val="20"/>
        </w:rPr>
        <w:t>Preparation of Stock solution</w:t>
      </w:r>
    </w:p>
    <w:p w14:paraId="28692B17" w14:textId="77777777" w:rsidR="00CB571D" w:rsidRPr="007C0DC3" w:rsidRDefault="00CB571D" w:rsidP="00AA1746">
      <w:pPr>
        <w:spacing w:after="0" w:line="480" w:lineRule="auto"/>
        <w:ind w:left="340" w:right="340"/>
        <w:jc w:val="both"/>
        <w:rPr>
          <w:rFonts w:ascii="Arial" w:hAnsi="Arial" w:cs="Arial"/>
          <w:sz w:val="20"/>
          <w:szCs w:val="20"/>
        </w:rPr>
      </w:pPr>
      <w:r w:rsidRPr="007C0DC3">
        <w:rPr>
          <w:rFonts w:ascii="Arial" w:eastAsia="Times New Roman" w:hAnsi="Arial" w:cs="Arial"/>
          <w:sz w:val="20"/>
          <w:szCs w:val="20"/>
        </w:rPr>
        <w:t>10 mg of Clomipramine HCl was weighed and transferred into a 100 ml volumetric flask. The drug was dissolved in phosphate buffer pH 6.8 and the volume was made up to 100ml using phosphate buffer pH 6.8 to obtain a stock solution of 100 µg/ml (Stock solution). From a stock solution 5, 10, 15, 20, 25 ml were transferred to a series of 100 ml volumetric flasks. The volume was made up with phosphate buffer pH 6.8. The absorbance of these solutions was measured at 254 nm against blank.</w:t>
      </w:r>
    </w:p>
    <w:p w14:paraId="65A6C9C6" w14:textId="77777777" w:rsidR="008118D3" w:rsidRPr="007C0DC3" w:rsidRDefault="008A4A74" w:rsidP="00AA1746">
      <w:pPr>
        <w:spacing w:after="0" w:line="480" w:lineRule="auto"/>
        <w:ind w:left="340" w:right="340"/>
        <w:jc w:val="both"/>
        <w:rPr>
          <w:rFonts w:ascii="Arial" w:eastAsia="Times New Roman" w:hAnsi="Arial" w:cs="Arial"/>
          <w:b/>
          <w:bCs/>
          <w:sz w:val="22"/>
          <w:szCs w:val="22"/>
        </w:rPr>
      </w:pPr>
      <w:r w:rsidRPr="007C0DC3">
        <w:rPr>
          <w:rFonts w:ascii="Arial" w:eastAsia="Times New Roman" w:hAnsi="Arial" w:cs="Arial"/>
          <w:b/>
          <w:bCs/>
          <w:sz w:val="22"/>
          <w:szCs w:val="22"/>
        </w:rPr>
        <w:t xml:space="preserve">2.3 </w:t>
      </w:r>
      <w:r w:rsidR="008118D3" w:rsidRPr="007C0DC3">
        <w:rPr>
          <w:rFonts w:ascii="Arial" w:eastAsia="Times New Roman" w:hAnsi="Arial" w:cs="Arial"/>
          <w:b/>
          <w:bCs/>
          <w:sz w:val="22"/>
          <w:szCs w:val="22"/>
        </w:rPr>
        <w:t>Formulation of Mucoadhesive Buccal Patch of Clomipramine HCl</w:t>
      </w:r>
    </w:p>
    <w:p w14:paraId="4A97A884" w14:textId="77777777" w:rsidR="008118D3" w:rsidRPr="007C0DC3" w:rsidRDefault="008118D3" w:rsidP="00AA1746">
      <w:pPr>
        <w:spacing w:after="0" w:line="480" w:lineRule="auto"/>
        <w:ind w:left="340" w:right="340"/>
        <w:jc w:val="both"/>
        <w:rPr>
          <w:rFonts w:ascii="Arial" w:hAnsi="Arial" w:cs="Arial"/>
          <w:b/>
          <w:bCs/>
          <w:sz w:val="20"/>
          <w:szCs w:val="20"/>
        </w:rPr>
      </w:pPr>
      <w:r w:rsidRPr="007C0DC3">
        <w:rPr>
          <w:rFonts w:ascii="Arial" w:eastAsia="Times New Roman" w:hAnsi="Arial" w:cs="Arial"/>
          <w:sz w:val="20"/>
          <w:szCs w:val="20"/>
        </w:rPr>
        <w:t>Mucoadhesive Buccal Patch of Clomipramine HCl were prepared by Solvent casting method.</w:t>
      </w:r>
    </w:p>
    <w:p w14:paraId="3728A5E6" w14:textId="77777777" w:rsidR="008118D3" w:rsidRPr="007C0DC3" w:rsidRDefault="008A4A74" w:rsidP="00AA1746">
      <w:pPr>
        <w:spacing w:after="0" w:line="480" w:lineRule="auto"/>
        <w:ind w:left="340" w:right="340"/>
        <w:jc w:val="both"/>
        <w:rPr>
          <w:rFonts w:ascii="Arial" w:hAnsi="Arial" w:cs="Arial"/>
          <w:b/>
          <w:bCs/>
          <w:sz w:val="20"/>
          <w:szCs w:val="20"/>
          <w:u w:val="single"/>
          <w:vertAlign w:val="superscript"/>
        </w:rPr>
      </w:pPr>
      <w:r w:rsidRPr="007C0DC3">
        <w:rPr>
          <w:rFonts w:ascii="Arial" w:eastAsia="Times New Roman" w:hAnsi="Arial" w:cs="Arial"/>
          <w:b/>
          <w:bCs/>
          <w:sz w:val="20"/>
          <w:szCs w:val="20"/>
          <w:u w:val="single"/>
        </w:rPr>
        <w:t xml:space="preserve">2.3.1 </w:t>
      </w:r>
      <w:r w:rsidR="003A242A" w:rsidRPr="007C0DC3">
        <w:rPr>
          <w:rFonts w:ascii="Arial" w:eastAsia="Times New Roman" w:hAnsi="Arial" w:cs="Arial"/>
          <w:b/>
          <w:bCs/>
          <w:sz w:val="20"/>
          <w:szCs w:val="20"/>
          <w:u w:val="single"/>
        </w:rPr>
        <w:t>Preparation Process</w:t>
      </w:r>
    </w:p>
    <w:p w14:paraId="2D712925" w14:textId="77777777" w:rsidR="008118D3" w:rsidRPr="007C0DC3" w:rsidRDefault="008118D3" w:rsidP="00AA1746">
      <w:pPr>
        <w:spacing w:after="0" w:line="480" w:lineRule="auto"/>
        <w:ind w:left="340" w:right="340"/>
        <w:jc w:val="both"/>
        <w:rPr>
          <w:rFonts w:ascii="Arial" w:eastAsia="Times New Roman" w:hAnsi="Arial" w:cs="Arial"/>
          <w:sz w:val="20"/>
          <w:szCs w:val="20"/>
        </w:rPr>
      </w:pPr>
      <w:r w:rsidRPr="007C0DC3">
        <w:rPr>
          <w:rFonts w:ascii="Arial" w:eastAsia="Times New Roman" w:hAnsi="Arial" w:cs="Arial"/>
          <w:sz w:val="20"/>
          <w:szCs w:val="20"/>
        </w:rPr>
        <w:t xml:space="preserve">By the solvent casting method, patches were prepared using HPMC E15 and Carbopol 940 in different concentrations. Glycerol acts as a plasticizer. Carbopol 940 (250 mg) was dispersed in water under stirring at 300 rpm for 10 minutes and was hydrated for 2 hours. HPMC E15 (750 mg) was dissolved in a 2:1 water–ethanol mixture, stirring at 400 rpm for 20 minutes and kept aside for 30 minutes. The hydrated Carbopol was incorporated into the HPMC solution and stirred at 400 rpm for 20 minutes, followed by resting for 30 minutes. Clomipramine hydrochloride (15 mg) was dissolved in 1 mL of water and was added to the polymer blend while stirring at 300 rpm for 15 minutes. </w:t>
      </w:r>
      <w:proofErr w:type="spellStart"/>
      <w:r w:rsidRPr="007C0DC3">
        <w:rPr>
          <w:rFonts w:ascii="Arial" w:eastAsia="Times New Roman" w:hAnsi="Arial" w:cs="Arial"/>
          <w:sz w:val="20"/>
          <w:szCs w:val="20"/>
        </w:rPr>
        <w:t>Glycerin</w:t>
      </w:r>
      <w:proofErr w:type="spellEnd"/>
      <w:r w:rsidRPr="007C0DC3">
        <w:rPr>
          <w:rFonts w:ascii="Arial" w:eastAsia="Times New Roman" w:hAnsi="Arial" w:cs="Arial"/>
          <w:sz w:val="20"/>
          <w:szCs w:val="20"/>
        </w:rPr>
        <w:t xml:space="preserve"> (0.20 g) and Tween 80 (0.15 g) were added separately under stirring. Sucrose (0.05 g) and vanillin (0.05 g) were dissolved in 2 ml of water and were incorporated into the mixture. The final solution was allowed to rest for 60 minutes to remove air bubbles. The solution was poured into Petri dishes and dried at room temperature for 3 days. The dried films were cut into 2 × 2 cm patches and were stored in airtight zip</w:t>
      </w:r>
      <w:r w:rsidRPr="007C0DC3">
        <w:rPr>
          <w:rFonts w:ascii="Arial" w:hAnsi="Arial" w:cs="Arial"/>
          <w:sz w:val="20"/>
          <w:szCs w:val="20"/>
        </w:rPr>
        <w:noBreakHyphen/>
      </w:r>
      <w:r w:rsidRPr="007C0DC3">
        <w:rPr>
          <w:rFonts w:ascii="Arial" w:eastAsia="Times New Roman" w:hAnsi="Arial" w:cs="Arial"/>
          <w:sz w:val="20"/>
          <w:szCs w:val="20"/>
        </w:rPr>
        <w:t>lock covers.</w:t>
      </w:r>
    </w:p>
    <w:p w14:paraId="694439F2" w14:textId="77777777" w:rsidR="006D5998" w:rsidRPr="007C0DC3" w:rsidRDefault="006D5998" w:rsidP="00AA1746">
      <w:pPr>
        <w:shd w:val="clear" w:color="auto" w:fill="FFFFFF" w:themeFill="background1"/>
        <w:spacing w:after="0" w:line="480" w:lineRule="auto"/>
        <w:ind w:left="340" w:right="340"/>
        <w:jc w:val="both"/>
        <w:rPr>
          <w:rFonts w:ascii="Arial" w:eastAsia="Times New Roman" w:hAnsi="Arial" w:cs="Arial"/>
          <w:b/>
          <w:bCs/>
          <w:color w:val="000000" w:themeColor="text1"/>
          <w:sz w:val="20"/>
          <w:szCs w:val="20"/>
        </w:rPr>
      </w:pPr>
    </w:p>
    <w:p w14:paraId="796FDA05" w14:textId="77777777" w:rsidR="006D5998" w:rsidRPr="007C0DC3" w:rsidRDefault="006D5998" w:rsidP="00AA1746">
      <w:pPr>
        <w:shd w:val="clear" w:color="auto" w:fill="FFFFFF" w:themeFill="background1"/>
        <w:spacing w:after="0" w:line="480" w:lineRule="auto"/>
        <w:ind w:left="340" w:right="340"/>
        <w:jc w:val="both"/>
        <w:rPr>
          <w:rFonts w:ascii="Arial" w:eastAsia="Times New Roman" w:hAnsi="Arial" w:cs="Arial"/>
          <w:b/>
          <w:bCs/>
          <w:color w:val="000000" w:themeColor="text1"/>
          <w:sz w:val="20"/>
          <w:szCs w:val="20"/>
        </w:rPr>
      </w:pPr>
    </w:p>
    <w:p w14:paraId="530BDB3D" w14:textId="77777777" w:rsidR="00920ECD" w:rsidRPr="007C0DC3" w:rsidRDefault="00920ECD" w:rsidP="00AA1746">
      <w:pPr>
        <w:shd w:val="clear" w:color="auto" w:fill="FFFFFF" w:themeFill="background1"/>
        <w:spacing w:after="0" w:line="480" w:lineRule="auto"/>
        <w:ind w:left="340" w:right="340"/>
        <w:jc w:val="both"/>
        <w:rPr>
          <w:rFonts w:ascii="Arial" w:eastAsia="Times New Roman" w:hAnsi="Arial" w:cs="Arial"/>
          <w:b/>
          <w:bCs/>
          <w:color w:val="000000" w:themeColor="text1"/>
          <w:sz w:val="20"/>
          <w:szCs w:val="20"/>
        </w:rPr>
      </w:pPr>
      <w:r w:rsidRPr="007C0DC3">
        <w:rPr>
          <w:rFonts w:ascii="Arial" w:eastAsia="Times New Roman" w:hAnsi="Arial" w:cs="Arial"/>
          <w:b/>
          <w:bCs/>
          <w:color w:val="000000" w:themeColor="text1"/>
          <w:sz w:val="20"/>
          <w:szCs w:val="20"/>
        </w:rPr>
        <w:lastRenderedPageBreak/>
        <w:t>Table 1: Formulation of Mucoadhesive Buccal Patch of Clomipramine HCl</w:t>
      </w:r>
    </w:p>
    <w:tbl>
      <w:tblPr>
        <w:tblStyle w:val="PlainTable2"/>
        <w:tblW w:w="7942" w:type="dxa"/>
        <w:tblInd w:w="547" w:type="dxa"/>
        <w:tblLook w:val="06A0" w:firstRow="1" w:lastRow="0" w:firstColumn="1" w:lastColumn="0" w:noHBand="1" w:noVBand="1"/>
      </w:tblPr>
      <w:tblGrid>
        <w:gridCol w:w="2378"/>
        <w:gridCol w:w="918"/>
        <w:gridCol w:w="918"/>
        <w:gridCol w:w="972"/>
        <w:gridCol w:w="947"/>
        <w:gridCol w:w="918"/>
        <w:gridCol w:w="891"/>
      </w:tblGrid>
      <w:tr w:rsidR="00920ECD" w:rsidRPr="007C0DC3" w14:paraId="583DFBF3" w14:textId="77777777" w:rsidTr="00511722">
        <w:trPr>
          <w:cnfStyle w:val="100000000000" w:firstRow="1" w:lastRow="0" w:firstColumn="0" w:lastColumn="0" w:oddVBand="0" w:evenVBand="0" w:oddHBand="0"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08E6A2E2" w14:textId="77777777" w:rsidR="00920ECD" w:rsidRPr="007C0DC3" w:rsidRDefault="00856D0E" w:rsidP="00511722">
            <w:pPr>
              <w:rPr>
                <w:rFonts w:ascii="Arial" w:hAnsi="Arial" w:cs="Arial"/>
                <w:color w:val="000000" w:themeColor="text1"/>
                <w:sz w:val="20"/>
                <w:szCs w:val="20"/>
              </w:rPr>
            </w:pPr>
            <w:r w:rsidRPr="007C0DC3">
              <w:rPr>
                <w:rFonts w:ascii="Arial" w:hAnsi="Arial" w:cs="Arial"/>
                <w:sz w:val="20"/>
                <w:szCs w:val="20"/>
              </w:rPr>
              <w:t>Formulation</w:t>
            </w:r>
          </w:p>
        </w:tc>
        <w:tc>
          <w:tcPr>
            <w:tcW w:w="918" w:type="dxa"/>
            <w:vAlign w:val="center"/>
          </w:tcPr>
          <w:p w14:paraId="130364E9" w14:textId="77777777" w:rsidR="00920ECD" w:rsidRPr="007C0DC3" w:rsidRDefault="00920ECD" w:rsidP="00511722">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F1</w:t>
            </w:r>
          </w:p>
        </w:tc>
        <w:tc>
          <w:tcPr>
            <w:tcW w:w="918" w:type="dxa"/>
            <w:vAlign w:val="center"/>
          </w:tcPr>
          <w:p w14:paraId="044309F4" w14:textId="77777777" w:rsidR="00920ECD" w:rsidRPr="007C0DC3" w:rsidRDefault="00920ECD" w:rsidP="00511722">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F2</w:t>
            </w:r>
          </w:p>
        </w:tc>
        <w:tc>
          <w:tcPr>
            <w:tcW w:w="972" w:type="dxa"/>
            <w:vAlign w:val="center"/>
          </w:tcPr>
          <w:p w14:paraId="1AE177CF" w14:textId="77777777" w:rsidR="00920ECD" w:rsidRPr="007C0DC3" w:rsidRDefault="00920ECD" w:rsidP="00511722">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F3</w:t>
            </w:r>
          </w:p>
        </w:tc>
        <w:tc>
          <w:tcPr>
            <w:tcW w:w="947" w:type="dxa"/>
            <w:vAlign w:val="center"/>
          </w:tcPr>
          <w:p w14:paraId="56BE1372" w14:textId="77777777" w:rsidR="00920ECD" w:rsidRPr="007C0DC3" w:rsidRDefault="00920ECD" w:rsidP="00511722">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F4</w:t>
            </w:r>
          </w:p>
        </w:tc>
        <w:tc>
          <w:tcPr>
            <w:tcW w:w="918" w:type="dxa"/>
            <w:vAlign w:val="center"/>
          </w:tcPr>
          <w:p w14:paraId="54FCCEAF" w14:textId="77777777" w:rsidR="00920ECD" w:rsidRPr="007C0DC3" w:rsidRDefault="00920ECD" w:rsidP="00511722">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F5</w:t>
            </w:r>
          </w:p>
        </w:tc>
        <w:tc>
          <w:tcPr>
            <w:tcW w:w="891" w:type="dxa"/>
            <w:vAlign w:val="center"/>
          </w:tcPr>
          <w:p w14:paraId="0191FA5A" w14:textId="77777777" w:rsidR="00920ECD" w:rsidRPr="007C0DC3" w:rsidRDefault="00920ECD" w:rsidP="00511722">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F6</w:t>
            </w:r>
          </w:p>
        </w:tc>
      </w:tr>
      <w:tr w:rsidR="00920ECD" w:rsidRPr="007C0DC3" w14:paraId="7D7398A8" w14:textId="77777777" w:rsidTr="00511722">
        <w:trPr>
          <w:trHeight w:val="379"/>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5CF78E64" w14:textId="77777777" w:rsidR="00920ECD" w:rsidRPr="007C0DC3" w:rsidRDefault="00920ECD" w:rsidP="00511722">
            <w:pPr>
              <w:rPr>
                <w:rFonts w:ascii="Arial" w:hAnsi="Arial" w:cs="Arial"/>
                <w:b w:val="0"/>
                <w:bCs w:val="0"/>
                <w:color w:val="000000" w:themeColor="text1"/>
                <w:sz w:val="20"/>
                <w:szCs w:val="20"/>
              </w:rPr>
            </w:pPr>
            <w:r w:rsidRPr="007C0DC3">
              <w:rPr>
                <w:rFonts w:ascii="Arial" w:hAnsi="Arial" w:cs="Arial"/>
                <w:b w:val="0"/>
                <w:bCs w:val="0"/>
                <w:sz w:val="20"/>
                <w:szCs w:val="20"/>
              </w:rPr>
              <w:t>Clomipramine HCl (mg)</w:t>
            </w:r>
          </w:p>
        </w:tc>
        <w:tc>
          <w:tcPr>
            <w:tcW w:w="918" w:type="dxa"/>
            <w:vAlign w:val="center"/>
          </w:tcPr>
          <w:p w14:paraId="201E73F6"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15</w:t>
            </w:r>
          </w:p>
        </w:tc>
        <w:tc>
          <w:tcPr>
            <w:tcW w:w="918" w:type="dxa"/>
            <w:vAlign w:val="center"/>
          </w:tcPr>
          <w:p w14:paraId="4B5371D8"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15</w:t>
            </w:r>
          </w:p>
        </w:tc>
        <w:tc>
          <w:tcPr>
            <w:tcW w:w="972" w:type="dxa"/>
            <w:vAlign w:val="center"/>
          </w:tcPr>
          <w:p w14:paraId="5B433E43"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15</w:t>
            </w:r>
          </w:p>
        </w:tc>
        <w:tc>
          <w:tcPr>
            <w:tcW w:w="947" w:type="dxa"/>
            <w:vAlign w:val="center"/>
          </w:tcPr>
          <w:p w14:paraId="3DB88587"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15</w:t>
            </w:r>
          </w:p>
        </w:tc>
        <w:tc>
          <w:tcPr>
            <w:tcW w:w="918" w:type="dxa"/>
            <w:vAlign w:val="center"/>
          </w:tcPr>
          <w:p w14:paraId="6AE7692D"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15</w:t>
            </w:r>
          </w:p>
        </w:tc>
        <w:tc>
          <w:tcPr>
            <w:tcW w:w="891" w:type="dxa"/>
            <w:vAlign w:val="center"/>
          </w:tcPr>
          <w:p w14:paraId="4ABADB15"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15</w:t>
            </w:r>
          </w:p>
        </w:tc>
      </w:tr>
      <w:tr w:rsidR="00920ECD" w:rsidRPr="007C0DC3" w14:paraId="4B2832B5" w14:textId="77777777" w:rsidTr="00511722">
        <w:trPr>
          <w:trHeight w:val="367"/>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56B451AD" w14:textId="77777777" w:rsidR="00920ECD" w:rsidRPr="007C0DC3" w:rsidRDefault="00920ECD" w:rsidP="00511722">
            <w:pPr>
              <w:rPr>
                <w:rFonts w:ascii="Arial" w:hAnsi="Arial" w:cs="Arial"/>
                <w:b w:val="0"/>
                <w:bCs w:val="0"/>
                <w:color w:val="000000" w:themeColor="text1"/>
                <w:sz w:val="20"/>
                <w:szCs w:val="20"/>
              </w:rPr>
            </w:pPr>
            <w:r w:rsidRPr="007C0DC3">
              <w:rPr>
                <w:rFonts w:ascii="Arial" w:hAnsi="Arial" w:cs="Arial"/>
                <w:b w:val="0"/>
                <w:bCs w:val="0"/>
                <w:sz w:val="20"/>
                <w:szCs w:val="20"/>
              </w:rPr>
              <w:t>HPMC E15 (mg)</w:t>
            </w:r>
          </w:p>
        </w:tc>
        <w:tc>
          <w:tcPr>
            <w:tcW w:w="918" w:type="dxa"/>
            <w:vAlign w:val="center"/>
          </w:tcPr>
          <w:p w14:paraId="5EAE425F"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1000</w:t>
            </w:r>
          </w:p>
        </w:tc>
        <w:tc>
          <w:tcPr>
            <w:tcW w:w="918" w:type="dxa"/>
            <w:vAlign w:val="center"/>
          </w:tcPr>
          <w:p w14:paraId="5E351F43"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500 </w:t>
            </w:r>
          </w:p>
        </w:tc>
        <w:tc>
          <w:tcPr>
            <w:tcW w:w="972" w:type="dxa"/>
            <w:vAlign w:val="center"/>
          </w:tcPr>
          <w:p w14:paraId="36FD24A2"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750 </w:t>
            </w:r>
          </w:p>
        </w:tc>
        <w:tc>
          <w:tcPr>
            <w:tcW w:w="947" w:type="dxa"/>
            <w:vAlign w:val="center"/>
          </w:tcPr>
          <w:p w14:paraId="287325C8"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850</w:t>
            </w:r>
          </w:p>
        </w:tc>
        <w:tc>
          <w:tcPr>
            <w:tcW w:w="918" w:type="dxa"/>
            <w:vAlign w:val="center"/>
          </w:tcPr>
          <w:p w14:paraId="647D35B5"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670</w:t>
            </w:r>
          </w:p>
        </w:tc>
        <w:tc>
          <w:tcPr>
            <w:tcW w:w="891" w:type="dxa"/>
            <w:vAlign w:val="center"/>
          </w:tcPr>
          <w:p w14:paraId="3282489B"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950 </w:t>
            </w:r>
          </w:p>
        </w:tc>
      </w:tr>
      <w:tr w:rsidR="00920ECD" w:rsidRPr="007C0DC3" w14:paraId="2DE1DE00" w14:textId="77777777" w:rsidTr="00511722">
        <w:trPr>
          <w:trHeight w:val="360"/>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602E1FC5" w14:textId="77777777" w:rsidR="00920ECD" w:rsidRPr="007C0DC3" w:rsidRDefault="00920ECD" w:rsidP="00511722">
            <w:pPr>
              <w:rPr>
                <w:rFonts w:ascii="Arial" w:hAnsi="Arial" w:cs="Arial"/>
                <w:b w:val="0"/>
                <w:bCs w:val="0"/>
                <w:color w:val="000000" w:themeColor="text1"/>
                <w:sz w:val="20"/>
                <w:szCs w:val="20"/>
              </w:rPr>
            </w:pPr>
            <w:r w:rsidRPr="007C0DC3">
              <w:rPr>
                <w:rFonts w:ascii="Arial" w:hAnsi="Arial" w:cs="Arial"/>
                <w:b w:val="0"/>
                <w:bCs w:val="0"/>
                <w:sz w:val="20"/>
                <w:szCs w:val="20"/>
              </w:rPr>
              <w:t>Carbopol 940 (mg)</w:t>
            </w:r>
          </w:p>
        </w:tc>
        <w:tc>
          <w:tcPr>
            <w:tcW w:w="918" w:type="dxa"/>
            <w:vAlign w:val="center"/>
          </w:tcPr>
          <w:p w14:paraId="6485B67C"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 </w:t>
            </w:r>
          </w:p>
        </w:tc>
        <w:tc>
          <w:tcPr>
            <w:tcW w:w="918" w:type="dxa"/>
            <w:vAlign w:val="center"/>
          </w:tcPr>
          <w:p w14:paraId="78B69ECA"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500 </w:t>
            </w:r>
          </w:p>
        </w:tc>
        <w:tc>
          <w:tcPr>
            <w:tcW w:w="972" w:type="dxa"/>
            <w:vAlign w:val="center"/>
          </w:tcPr>
          <w:p w14:paraId="10F6B33B"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250 </w:t>
            </w:r>
          </w:p>
        </w:tc>
        <w:tc>
          <w:tcPr>
            <w:tcW w:w="947" w:type="dxa"/>
            <w:vAlign w:val="center"/>
          </w:tcPr>
          <w:p w14:paraId="63469E0C"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150</w:t>
            </w:r>
          </w:p>
        </w:tc>
        <w:tc>
          <w:tcPr>
            <w:tcW w:w="918" w:type="dxa"/>
            <w:vAlign w:val="center"/>
          </w:tcPr>
          <w:p w14:paraId="272A145E"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330</w:t>
            </w:r>
          </w:p>
        </w:tc>
        <w:tc>
          <w:tcPr>
            <w:tcW w:w="891" w:type="dxa"/>
            <w:vAlign w:val="center"/>
          </w:tcPr>
          <w:p w14:paraId="145C241B"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50 </w:t>
            </w:r>
          </w:p>
        </w:tc>
      </w:tr>
      <w:tr w:rsidR="00920ECD" w:rsidRPr="007C0DC3" w14:paraId="3A9B9A6D" w14:textId="77777777" w:rsidTr="00511722">
        <w:trPr>
          <w:trHeight w:val="354"/>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4D0E76B3" w14:textId="77777777" w:rsidR="00920ECD" w:rsidRPr="007C0DC3" w:rsidRDefault="00920ECD" w:rsidP="00511722">
            <w:pPr>
              <w:rPr>
                <w:rFonts w:ascii="Arial" w:hAnsi="Arial" w:cs="Arial"/>
                <w:b w:val="0"/>
                <w:bCs w:val="0"/>
                <w:color w:val="000000" w:themeColor="text1"/>
                <w:sz w:val="20"/>
                <w:szCs w:val="20"/>
              </w:rPr>
            </w:pPr>
            <w:r w:rsidRPr="007C0DC3">
              <w:rPr>
                <w:rFonts w:ascii="Arial" w:hAnsi="Arial" w:cs="Arial"/>
                <w:b w:val="0"/>
                <w:bCs w:val="0"/>
                <w:sz w:val="20"/>
                <w:szCs w:val="20"/>
              </w:rPr>
              <w:t>Glycerin (g)</w:t>
            </w:r>
          </w:p>
        </w:tc>
        <w:tc>
          <w:tcPr>
            <w:tcW w:w="918" w:type="dxa"/>
            <w:vAlign w:val="center"/>
          </w:tcPr>
          <w:p w14:paraId="3EEC7C8E"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0.20</w:t>
            </w:r>
          </w:p>
        </w:tc>
        <w:tc>
          <w:tcPr>
            <w:tcW w:w="918" w:type="dxa"/>
            <w:vAlign w:val="center"/>
          </w:tcPr>
          <w:p w14:paraId="11733106"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0.20</w:t>
            </w:r>
          </w:p>
        </w:tc>
        <w:tc>
          <w:tcPr>
            <w:tcW w:w="972" w:type="dxa"/>
            <w:vAlign w:val="center"/>
          </w:tcPr>
          <w:p w14:paraId="0B2C7A11"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0.20</w:t>
            </w:r>
          </w:p>
        </w:tc>
        <w:tc>
          <w:tcPr>
            <w:tcW w:w="947" w:type="dxa"/>
            <w:vAlign w:val="center"/>
          </w:tcPr>
          <w:p w14:paraId="44538B35"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0.20</w:t>
            </w:r>
          </w:p>
        </w:tc>
        <w:tc>
          <w:tcPr>
            <w:tcW w:w="918" w:type="dxa"/>
            <w:vAlign w:val="center"/>
          </w:tcPr>
          <w:p w14:paraId="54105076"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0.20</w:t>
            </w:r>
          </w:p>
        </w:tc>
        <w:tc>
          <w:tcPr>
            <w:tcW w:w="891" w:type="dxa"/>
            <w:vAlign w:val="center"/>
          </w:tcPr>
          <w:p w14:paraId="10EBA167"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0.20</w:t>
            </w:r>
          </w:p>
        </w:tc>
      </w:tr>
      <w:tr w:rsidR="00FF24F9" w:rsidRPr="007C0DC3" w14:paraId="77F30433" w14:textId="77777777" w:rsidTr="00511722">
        <w:trPr>
          <w:trHeight w:val="354"/>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7E800F4D" w14:textId="77777777" w:rsidR="00FF24F9" w:rsidRPr="007C0DC3" w:rsidRDefault="00FF24F9" w:rsidP="00511722">
            <w:pPr>
              <w:rPr>
                <w:rFonts w:ascii="Arial" w:hAnsi="Arial" w:cs="Arial"/>
                <w:b w:val="0"/>
                <w:bCs w:val="0"/>
                <w:sz w:val="20"/>
                <w:szCs w:val="20"/>
              </w:rPr>
            </w:pPr>
            <w:r w:rsidRPr="007C0DC3">
              <w:rPr>
                <w:rFonts w:ascii="Arial" w:hAnsi="Arial" w:cs="Arial"/>
                <w:b w:val="0"/>
                <w:bCs w:val="0"/>
                <w:sz w:val="20"/>
                <w:szCs w:val="20"/>
              </w:rPr>
              <w:t>Ethanol (ml)</w:t>
            </w:r>
          </w:p>
        </w:tc>
        <w:tc>
          <w:tcPr>
            <w:tcW w:w="918" w:type="dxa"/>
            <w:vAlign w:val="center"/>
          </w:tcPr>
          <w:p w14:paraId="11D7F6A9" w14:textId="77777777" w:rsidR="00FF24F9" w:rsidRPr="007C0DC3" w:rsidRDefault="00FF24F9"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5</w:t>
            </w:r>
          </w:p>
        </w:tc>
        <w:tc>
          <w:tcPr>
            <w:tcW w:w="918" w:type="dxa"/>
            <w:vAlign w:val="center"/>
          </w:tcPr>
          <w:p w14:paraId="251E6446" w14:textId="77777777" w:rsidR="00FF24F9" w:rsidRPr="007C0DC3" w:rsidRDefault="00FF24F9"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5</w:t>
            </w:r>
          </w:p>
        </w:tc>
        <w:tc>
          <w:tcPr>
            <w:tcW w:w="972" w:type="dxa"/>
            <w:vAlign w:val="center"/>
          </w:tcPr>
          <w:p w14:paraId="19F991B9" w14:textId="77777777" w:rsidR="00FF24F9" w:rsidRPr="007C0DC3" w:rsidRDefault="00FF24F9"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5</w:t>
            </w:r>
          </w:p>
        </w:tc>
        <w:tc>
          <w:tcPr>
            <w:tcW w:w="947" w:type="dxa"/>
            <w:vAlign w:val="center"/>
          </w:tcPr>
          <w:p w14:paraId="165813D7" w14:textId="77777777" w:rsidR="00FF24F9" w:rsidRPr="007C0DC3" w:rsidRDefault="00FF24F9"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5</w:t>
            </w:r>
          </w:p>
        </w:tc>
        <w:tc>
          <w:tcPr>
            <w:tcW w:w="918" w:type="dxa"/>
            <w:vAlign w:val="center"/>
          </w:tcPr>
          <w:p w14:paraId="4BFDEA55" w14:textId="77777777" w:rsidR="00FF24F9" w:rsidRPr="007C0DC3" w:rsidRDefault="00FF24F9"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5</w:t>
            </w:r>
          </w:p>
        </w:tc>
        <w:tc>
          <w:tcPr>
            <w:tcW w:w="891" w:type="dxa"/>
            <w:vAlign w:val="center"/>
          </w:tcPr>
          <w:p w14:paraId="6713A6CD" w14:textId="77777777" w:rsidR="00FF24F9" w:rsidRPr="007C0DC3" w:rsidRDefault="00FF24F9"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5</w:t>
            </w:r>
          </w:p>
        </w:tc>
      </w:tr>
      <w:tr w:rsidR="00920ECD" w:rsidRPr="007C0DC3" w14:paraId="07C4100E" w14:textId="77777777" w:rsidTr="00511722">
        <w:trPr>
          <w:trHeight w:val="360"/>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40F510CA" w14:textId="77777777" w:rsidR="00920ECD" w:rsidRPr="007C0DC3" w:rsidRDefault="00920ECD" w:rsidP="00511722">
            <w:pPr>
              <w:rPr>
                <w:rFonts w:ascii="Arial" w:hAnsi="Arial" w:cs="Arial"/>
                <w:b w:val="0"/>
                <w:bCs w:val="0"/>
                <w:color w:val="000000" w:themeColor="text1"/>
                <w:sz w:val="20"/>
                <w:szCs w:val="20"/>
              </w:rPr>
            </w:pPr>
            <w:r w:rsidRPr="007C0DC3">
              <w:rPr>
                <w:rFonts w:ascii="Arial" w:hAnsi="Arial" w:cs="Arial"/>
                <w:b w:val="0"/>
                <w:bCs w:val="0"/>
                <w:sz w:val="20"/>
                <w:szCs w:val="20"/>
              </w:rPr>
              <w:t>Tween 80 (g)</w:t>
            </w:r>
          </w:p>
        </w:tc>
        <w:tc>
          <w:tcPr>
            <w:tcW w:w="918" w:type="dxa"/>
            <w:vAlign w:val="center"/>
          </w:tcPr>
          <w:p w14:paraId="1491DD64"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0.15</w:t>
            </w:r>
          </w:p>
        </w:tc>
        <w:tc>
          <w:tcPr>
            <w:tcW w:w="918" w:type="dxa"/>
            <w:vAlign w:val="center"/>
          </w:tcPr>
          <w:p w14:paraId="3AE70E29"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0.15</w:t>
            </w:r>
          </w:p>
        </w:tc>
        <w:tc>
          <w:tcPr>
            <w:tcW w:w="972" w:type="dxa"/>
            <w:vAlign w:val="center"/>
          </w:tcPr>
          <w:p w14:paraId="4D1703A6"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0.15</w:t>
            </w:r>
          </w:p>
        </w:tc>
        <w:tc>
          <w:tcPr>
            <w:tcW w:w="947" w:type="dxa"/>
            <w:vAlign w:val="center"/>
          </w:tcPr>
          <w:p w14:paraId="06F3DF75"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0.15</w:t>
            </w:r>
          </w:p>
        </w:tc>
        <w:tc>
          <w:tcPr>
            <w:tcW w:w="918" w:type="dxa"/>
            <w:vAlign w:val="center"/>
          </w:tcPr>
          <w:p w14:paraId="54D05169"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0.15</w:t>
            </w:r>
          </w:p>
        </w:tc>
        <w:tc>
          <w:tcPr>
            <w:tcW w:w="891" w:type="dxa"/>
            <w:vAlign w:val="center"/>
          </w:tcPr>
          <w:p w14:paraId="56D0150A"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0.15</w:t>
            </w:r>
          </w:p>
        </w:tc>
      </w:tr>
      <w:tr w:rsidR="00920ECD" w:rsidRPr="007C0DC3" w14:paraId="52813880" w14:textId="77777777" w:rsidTr="00511722">
        <w:trPr>
          <w:trHeight w:val="367"/>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07A8A063" w14:textId="77777777" w:rsidR="00920ECD" w:rsidRPr="007C0DC3" w:rsidRDefault="00920ECD" w:rsidP="00511722">
            <w:pPr>
              <w:rPr>
                <w:rFonts w:ascii="Arial" w:hAnsi="Arial" w:cs="Arial"/>
                <w:b w:val="0"/>
                <w:bCs w:val="0"/>
                <w:color w:val="000000" w:themeColor="text1"/>
                <w:sz w:val="20"/>
                <w:szCs w:val="20"/>
              </w:rPr>
            </w:pPr>
            <w:r w:rsidRPr="007C0DC3">
              <w:rPr>
                <w:rFonts w:ascii="Arial" w:hAnsi="Arial" w:cs="Arial"/>
                <w:b w:val="0"/>
                <w:bCs w:val="0"/>
                <w:sz w:val="20"/>
                <w:szCs w:val="20"/>
              </w:rPr>
              <w:t>Distilled water (ml)</w:t>
            </w:r>
          </w:p>
        </w:tc>
        <w:tc>
          <w:tcPr>
            <w:tcW w:w="918" w:type="dxa"/>
            <w:vAlign w:val="center"/>
          </w:tcPr>
          <w:p w14:paraId="6B1DAB63"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q. s </w:t>
            </w:r>
          </w:p>
        </w:tc>
        <w:tc>
          <w:tcPr>
            <w:tcW w:w="918" w:type="dxa"/>
            <w:vAlign w:val="center"/>
          </w:tcPr>
          <w:p w14:paraId="6C44E25C"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q. s </w:t>
            </w:r>
          </w:p>
        </w:tc>
        <w:tc>
          <w:tcPr>
            <w:tcW w:w="972" w:type="dxa"/>
            <w:vAlign w:val="center"/>
          </w:tcPr>
          <w:p w14:paraId="29ACC4C1"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q. s </w:t>
            </w:r>
          </w:p>
        </w:tc>
        <w:tc>
          <w:tcPr>
            <w:tcW w:w="947" w:type="dxa"/>
            <w:vAlign w:val="center"/>
          </w:tcPr>
          <w:p w14:paraId="6404F827"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q. s </w:t>
            </w:r>
          </w:p>
        </w:tc>
        <w:tc>
          <w:tcPr>
            <w:tcW w:w="918" w:type="dxa"/>
            <w:vAlign w:val="center"/>
          </w:tcPr>
          <w:p w14:paraId="2DB0DA6B"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q. s </w:t>
            </w:r>
          </w:p>
        </w:tc>
        <w:tc>
          <w:tcPr>
            <w:tcW w:w="891" w:type="dxa"/>
            <w:vAlign w:val="center"/>
          </w:tcPr>
          <w:p w14:paraId="74B80413"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7C0DC3">
              <w:rPr>
                <w:rFonts w:ascii="Arial" w:hAnsi="Arial" w:cs="Arial"/>
                <w:sz w:val="20"/>
                <w:szCs w:val="20"/>
              </w:rPr>
              <w:t xml:space="preserve">q. s </w:t>
            </w:r>
          </w:p>
        </w:tc>
      </w:tr>
      <w:tr w:rsidR="00920ECD" w:rsidRPr="007C0DC3" w14:paraId="52033000" w14:textId="77777777" w:rsidTr="00511722">
        <w:trPr>
          <w:trHeight w:val="367"/>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42615A0C" w14:textId="77777777" w:rsidR="00920ECD" w:rsidRPr="007C0DC3" w:rsidRDefault="00920ECD" w:rsidP="00511722">
            <w:pPr>
              <w:rPr>
                <w:rFonts w:ascii="Arial" w:hAnsi="Arial" w:cs="Arial"/>
                <w:b w:val="0"/>
                <w:bCs w:val="0"/>
                <w:color w:val="000000" w:themeColor="text1"/>
                <w:sz w:val="20"/>
                <w:szCs w:val="20"/>
              </w:rPr>
            </w:pPr>
            <w:r w:rsidRPr="007C0DC3">
              <w:rPr>
                <w:rFonts w:ascii="Arial" w:hAnsi="Arial" w:cs="Arial"/>
                <w:b w:val="0"/>
                <w:bCs w:val="0"/>
                <w:sz w:val="20"/>
                <w:szCs w:val="20"/>
              </w:rPr>
              <w:t>Sucrose (g)</w:t>
            </w:r>
          </w:p>
        </w:tc>
        <w:tc>
          <w:tcPr>
            <w:tcW w:w="918" w:type="dxa"/>
            <w:vAlign w:val="center"/>
          </w:tcPr>
          <w:p w14:paraId="2BC84624"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0.05</w:t>
            </w:r>
          </w:p>
        </w:tc>
        <w:tc>
          <w:tcPr>
            <w:tcW w:w="918" w:type="dxa"/>
            <w:vAlign w:val="center"/>
          </w:tcPr>
          <w:p w14:paraId="3D37AD5E"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0.05</w:t>
            </w:r>
          </w:p>
        </w:tc>
        <w:tc>
          <w:tcPr>
            <w:tcW w:w="972" w:type="dxa"/>
            <w:vAlign w:val="center"/>
          </w:tcPr>
          <w:p w14:paraId="1C02C445"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0.05</w:t>
            </w:r>
          </w:p>
        </w:tc>
        <w:tc>
          <w:tcPr>
            <w:tcW w:w="947" w:type="dxa"/>
            <w:vAlign w:val="center"/>
          </w:tcPr>
          <w:p w14:paraId="31304BBB"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 0.05</w:t>
            </w:r>
          </w:p>
        </w:tc>
        <w:tc>
          <w:tcPr>
            <w:tcW w:w="918" w:type="dxa"/>
            <w:vAlign w:val="center"/>
          </w:tcPr>
          <w:p w14:paraId="24D61569"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0.05</w:t>
            </w:r>
          </w:p>
        </w:tc>
        <w:tc>
          <w:tcPr>
            <w:tcW w:w="891" w:type="dxa"/>
            <w:vAlign w:val="center"/>
          </w:tcPr>
          <w:p w14:paraId="440013C4"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0.05</w:t>
            </w:r>
          </w:p>
        </w:tc>
      </w:tr>
      <w:tr w:rsidR="00920ECD" w:rsidRPr="007C0DC3" w14:paraId="63296647" w14:textId="77777777" w:rsidTr="00511722">
        <w:trPr>
          <w:trHeight w:val="346"/>
        </w:trPr>
        <w:tc>
          <w:tcPr>
            <w:cnfStyle w:val="001000000000" w:firstRow="0" w:lastRow="0" w:firstColumn="1" w:lastColumn="0" w:oddVBand="0" w:evenVBand="0" w:oddHBand="0" w:evenHBand="0" w:firstRowFirstColumn="0" w:firstRowLastColumn="0" w:lastRowFirstColumn="0" w:lastRowLastColumn="0"/>
            <w:tcW w:w="2378" w:type="dxa"/>
            <w:vAlign w:val="center"/>
          </w:tcPr>
          <w:p w14:paraId="5F555C1F" w14:textId="77777777" w:rsidR="00920ECD" w:rsidRPr="007C0DC3" w:rsidRDefault="00920ECD" w:rsidP="00511722">
            <w:pPr>
              <w:rPr>
                <w:rFonts w:ascii="Arial" w:hAnsi="Arial" w:cs="Arial"/>
                <w:b w:val="0"/>
                <w:bCs w:val="0"/>
                <w:sz w:val="20"/>
                <w:szCs w:val="20"/>
              </w:rPr>
            </w:pPr>
            <w:r w:rsidRPr="007C0DC3">
              <w:rPr>
                <w:rFonts w:ascii="Arial" w:hAnsi="Arial" w:cs="Arial"/>
                <w:b w:val="0"/>
                <w:bCs w:val="0"/>
                <w:sz w:val="20"/>
                <w:szCs w:val="20"/>
              </w:rPr>
              <w:t>Vanillin (g)</w:t>
            </w:r>
          </w:p>
        </w:tc>
        <w:tc>
          <w:tcPr>
            <w:tcW w:w="918" w:type="dxa"/>
            <w:vAlign w:val="center"/>
          </w:tcPr>
          <w:p w14:paraId="68BBEF38"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0.05</w:t>
            </w:r>
          </w:p>
        </w:tc>
        <w:tc>
          <w:tcPr>
            <w:tcW w:w="918" w:type="dxa"/>
            <w:vAlign w:val="center"/>
          </w:tcPr>
          <w:p w14:paraId="0CD52F02"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0.05</w:t>
            </w:r>
          </w:p>
        </w:tc>
        <w:tc>
          <w:tcPr>
            <w:tcW w:w="972" w:type="dxa"/>
            <w:vAlign w:val="center"/>
          </w:tcPr>
          <w:p w14:paraId="69791646"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0.05</w:t>
            </w:r>
          </w:p>
        </w:tc>
        <w:tc>
          <w:tcPr>
            <w:tcW w:w="947" w:type="dxa"/>
            <w:vAlign w:val="center"/>
          </w:tcPr>
          <w:p w14:paraId="65585E42"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0.05</w:t>
            </w:r>
          </w:p>
        </w:tc>
        <w:tc>
          <w:tcPr>
            <w:tcW w:w="918" w:type="dxa"/>
            <w:vAlign w:val="center"/>
          </w:tcPr>
          <w:p w14:paraId="0A24FA39"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0.05</w:t>
            </w:r>
          </w:p>
        </w:tc>
        <w:tc>
          <w:tcPr>
            <w:tcW w:w="891" w:type="dxa"/>
            <w:vAlign w:val="center"/>
          </w:tcPr>
          <w:p w14:paraId="47A013EE" w14:textId="77777777" w:rsidR="00920ECD" w:rsidRPr="007C0DC3"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0.05</w:t>
            </w:r>
          </w:p>
        </w:tc>
      </w:tr>
    </w:tbl>
    <w:p w14:paraId="4645A34F" w14:textId="77777777" w:rsidR="00BD154F" w:rsidRPr="007C0DC3" w:rsidRDefault="00BD154F" w:rsidP="00BD154F">
      <w:pPr>
        <w:spacing w:after="0" w:line="480" w:lineRule="auto"/>
        <w:ind w:right="340" w:firstLine="340"/>
        <w:jc w:val="both"/>
        <w:rPr>
          <w:rFonts w:ascii="Arial" w:hAnsi="Arial" w:cs="Arial"/>
          <w:b/>
          <w:bCs/>
          <w:sz w:val="22"/>
          <w:szCs w:val="22"/>
        </w:rPr>
      </w:pPr>
    </w:p>
    <w:p w14:paraId="7896EEA7" w14:textId="77777777" w:rsidR="006342FF" w:rsidRPr="007C0DC3" w:rsidRDefault="008A4A74" w:rsidP="00BD154F">
      <w:pPr>
        <w:spacing w:after="0" w:line="480" w:lineRule="auto"/>
        <w:ind w:right="340" w:firstLine="340"/>
        <w:jc w:val="both"/>
        <w:rPr>
          <w:rFonts w:ascii="Arial" w:eastAsia="Times New Roman" w:hAnsi="Arial" w:cs="Arial"/>
          <w:b/>
          <w:bCs/>
          <w:sz w:val="22"/>
          <w:szCs w:val="22"/>
        </w:rPr>
      </w:pPr>
      <w:r w:rsidRPr="007C0DC3">
        <w:rPr>
          <w:rFonts w:ascii="Arial" w:hAnsi="Arial" w:cs="Arial"/>
          <w:b/>
          <w:bCs/>
          <w:sz w:val="22"/>
          <w:szCs w:val="22"/>
        </w:rPr>
        <w:t xml:space="preserve">2.4 </w:t>
      </w:r>
      <w:r w:rsidR="006342FF" w:rsidRPr="007C0DC3">
        <w:rPr>
          <w:rFonts w:ascii="Arial" w:hAnsi="Arial" w:cs="Arial"/>
          <w:b/>
          <w:bCs/>
          <w:sz w:val="22"/>
          <w:szCs w:val="22"/>
        </w:rPr>
        <w:t xml:space="preserve">Characterization of </w:t>
      </w:r>
      <w:r w:rsidR="006342FF" w:rsidRPr="007C0DC3">
        <w:rPr>
          <w:rFonts w:ascii="Arial" w:eastAsia="Times New Roman" w:hAnsi="Arial" w:cs="Arial"/>
          <w:b/>
          <w:bCs/>
          <w:sz w:val="22"/>
          <w:szCs w:val="22"/>
        </w:rPr>
        <w:t>Mucoadhesive Buccal Patch of Clomipramine HCl</w:t>
      </w:r>
    </w:p>
    <w:p w14:paraId="514E7E85" w14:textId="77777777" w:rsidR="00F27AA9" w:rsidRPr="007C0DC3" w:rsidRDefault="008A4A74" w:rsidP="00701627">
      <w:pPr>
        <w:spacing w:after="0" w:line="480" w:lineRule="auto"/>
        <w:ind w:left="340" w:right="340"/>
        <w:jc w:val="both"/>
        <w:rPr>
          <w:rFonts w:ascii="Arial" w:eastAsia="Times New Roman" w:hAnsi="Arial" w:cs="Arial"/>
          <w:b/>
          <w:bCs/>
          <w:color w:val="000000" w:themeColor="text1"/>
          <w:sz w:val="20"/>
          <w:szCs w:val="20"/>
          <w:u w:val="single"/>
          <w:vertAlign w:val="superscript"/>
        </w:rPr>
      </w:pPr>
      <w:r w:rsidRPr="007C0DC3">
        <w:rPr>
          <w:rFonts w:ascii="Arial" w:eastAsia="Times New Roman" w:hAnsi="Arial" w:cs="Arial"/>
          <w:b/>
          <w:bCs/>
          <w:color w:val="000000" w:themeColor="text1"/>
          <w:sz w:val="20"/>
          <w:szCs w:val="20"/>
          <w:u w:val="single"/>
        </w:rPr>
        <w:t xml:space="preserve">2.4.1 </w:t>
      </w:r>
      <w:r w:rsidR="00F27AA9" w:rsidRPr="007C0DC3">
        <w:rPr>
          <w:rFonts w:ascii="Arial" w:eastAsia="Times New Roman" w:hAnsi="Arial" w:cs="Arial"/>
          <w:b/>
          <w:bCs/>
          <w:color w:val="000000" w:themeColor="text1"/>
          <w:sz w:val="20"/>
          <w:szCs w:val="20"/>
          <w:u w:val="single"/>
        </w:rPr>
        <w:t>Physical Appearance</w:t>
      </w:r>
    </w:p>
    <w:p w14:paraId="4B5885EA" w14:textId="77777777" w:rsidR="00F27AA9" w:rsidRPr="007C0DC3" w:rsidRDefault="00F27AA9" w:rsidP="00701627">
      <w:pPr>
        <w:spacing w:after="0" w:line="480" w:lineRule="auto"/>
        <w:ind w:left="340" w:right="340"/>
        <w:jc w:val="both"/>
        <w:rPr>
          <w:rFonts w:ascii="Arial" w:eastAsia="Times New Roman" w:hAnsi="Arial" w:cs="Arial"/>
          <w:color w:val="000000" w:themeColor="text1"/>
          <w:sz w:val="20"/>
          <w:szCs w:val="20"/>
        </w:rPr>
      </w:pPr>
      <w:r w:rsidRPr="007C0DC3">
        <w:rPr>
          <w:rFonts w:ascii="Arial" w:eastAsia="Times New Roman" w:hAnsi="Arial" w:cs="Arial"/>
          <w:color w:val="000000" w:themeColor="text1"/>
          <w:sz w:val="20"/>
          <w:szCs w:val="20"/>
        </w:rPr>
        <w:t xml:space="preserve">All the formulated Clomipramine HCl patches were observed for surface texture, </w:t>
      </w:r>
      <w:proofErr w:type="spellStart"/>
      <w:r w:rsidRPr="007C0DC3">
        <w:rPr>
          <w:rFonts w:ascii="Arial" w:eastAsia="Times New Roman" w:hAnsi="Arial" w:cs="Arial"/>
          <w:color w:val="000000" w:themeColor="text1"/>
          <w:sz w:val="20"/>
          <w:szCs w:val="20"/>
        </w:rPr>
        <w:t>color</w:t>
      </w:r>
      <w:proofErr w:type="spellEnd"/>
      <w:r w:rsidRPr="007C0DC3">
        <w:rPr>
          <w:rFonts w:ascii="Arial" w:eastAsia="Times New Roman" w:hAnsi="Arial" w:cs="Arial"/>
          <w:color w:val="000000" w:themeColor="text1"/>
          <w:sz w:val="20"/>
          <w:szCs w:val="20"/>
        </w:rPr>
        <w:t>, flexibility and smoothness.</w:t>
      </w:r>
    </w:p>
    <w:p w14:paraId="1E16346E" w14:textId="77777777" w:rsidR="00F27AA9" w:rsidRPr="007C0DC3" w:rsidRDefault="008A4A74" w:rsidP="00701627">
      <w:pPr>
        <w:spacing w:after="0" w:line="480" w:lineRule="auto"/>
        <w:ind w:left="340" w:right="340"/>
        <w:jc w:val="both"/>
        <w:rPr>
          <w:rFonts w:ascii="Arial" w:eastAsia="Times New Roman" w:hAnsi="Arial" w:cs="Arial"/>
          <w:b/>
          <w:bCs/>
          <w:color w:val="000000" w:themeColor="text1"/>
          <w:sz w:val="20"/>
          <w:szCs w:val="20"/>
          <w:u w:val="single"/>
          <w:vertAlign w:val="superscript"/>
        </w:rPr>
      </w:pPr>
      <w:r w:rsidRPr="007C0DC3">
        <w:rPr>
          <w:rFonts w:ascii="Arial" w:eastAsia="Times New Roman" w:hAnsi="Arial" w:cs="Arial"/>
          <w:b/>
          <w:bCs/>
          <w:color w:val="000000" w:themeColor="text1"/>
          <w:sz w:val="20"/>
          <w:szCs w:val="20"/>
          <w:u w:val="single"/>
        </w:rPr>
        <w:t xml:space="preserve">2.4.2 </w:t>
      </w:r>
      <w:r w:rsidR="00F27AA9" w:rsidRPr="007C0DC3">
        <w:rPr>
          <w:rFonts w:ascii="Arial" w:eastAsia="Times New Roman" w:hAnsi="Arial" w:cs="Arial"/>
          <w:b/>
          <w:bCs/>
          <w:color w:val="000000" w:themeColor="text1"/>
          <w:sz w:val="20"/>
          <w:szCs w:val="20"/>
          <w:u w:val="single"/>
        </w:rPr>
        <w:t>Weight Uniformity</w:t>
      </w:r>
    </w:p>
    <w:p w14:paraId="54E6324E" w14:textId="77777777" w:rsidR="00F27AA9" w:rsidRPr="007C0DC3" w:rsidRDefault="00F27AA9" w:rsidP="00701627">
      <w:pPr>
        <w:spacing w:after="0" w:line="480" w:lineRule="auto"/>
        <w:ind w:left="340" w:right="340"/>
        <w:jc w:val="both"/>
        <w:rPr>
          <w:rFonts w:ascii="Arial" w:hAnsi="Arial" w:cs="Arial"/>
          <w:sz w:val="20"/>
          <w:szCs w:val="20"/>
        </w:rPr>
      </w:pPr>
      <w:r w:rsidRPr="007C0DC3">
        <w:rPr>
          <w:rFonts w:ascii="Arial" w:hAnsi="Arial" w:cs="Arial"/>
          <w:sz w:val="20"/>
          <w:szCs w:val="20"/>
        </w:rPr>
        <w:t>Individual patches were taken, patch size 2×2 cm</w:t>
      </w:r>
      <w:r w:rsidRPr="007C0DC3">
        <w:rPr>
          <w:rFonts w:ascii="Arial" w:hAnsi="Arial" w:cs="Arial"/>
          <w:sz w:val="20"/>
          <w:szCs w:val="20"/>
          <w:vertAlign w:val="superscript"/>
        </w:rPr>
        <w:t>2</w:t>
      </w:r>
      <w:r w:rsidRPr="007C0DC3">
        <w:rPr>
          <w:rFonts w:ascii="Arial" w:hAnsi="Arial" w:cs="Arial"/>
          <w:sz w:val="20"/>
          <w:szCs w:val="20"/>
        </w:rPr>
        <w:t xml:space="preserve"> were cut and weighed using weighing balance and the average weight variation was calculated.</w:t>
      </w:r>
    </w:p>
    <w:p w14:paraId="1E24CC14" w14:textId="77777777" w:rsidR="00F27AA9" w:rsidRPr="007C0DC3" w:rsidRDefault="008A4A74" w:rsidP="00701627">
      <w:pPr>
        <w:spacing w:after="0" w:line="480" w:lineRule="auto"/>
        <w:ind w:left="340" w:right="340"/>
        <w:jc w:val="both"/>
        <w:rPr>
          <w:rFonts w:ascii="Arial" w:hAnsi="Arial" w:cs="Arial"/>
          <w:b/>
          <w:bCs/>
          <w:sz w:val="20"/>
          <w:szCs w:val="20"/>
          <w:u w:val="single"/>
          <w:vertAlign w:val="superscript"/>
        </w:rPr>
      </w:pPr>
      <w:r w:rsidRPr="007C0DC3">
        <w:rPr>
          <w:rFonts w:ascii="Arial" w:hAnsi="Arial" w:cs="Arial"/>
          <w:b/>
          <w:bCs/>
          <w:sz w:val="20"/>
          <w:szCs w:val="20"/>
          <w:u w:val="single"/>
        </w:rPr>
        <w:t xml:space="preserve">2.4.3 </w:t>
      </w:r>
      <w:r w:rsidR="00F27AA9" w:rsidRPr="007C0DC3">
        <w:rPr>
          <w:rFonts w:ascii="Arial" w:hAnsi="Arial" w:cs="Arial"/>
          <w:b/>
          <w:bCs/>
          <w:sz w:val="20"/>
          <w:szCs w:val="20"/>
          <w:u w:val="single"/>
        </w:rPr>
        <w:t>Thickness</w:t>
      </w:r>
    </w:p>
    <w:p w14:paraId="04B5EAC5" w14:textId="77777777" w:rsidR="00F27AA9" w:rsidRPr="007C0DC3" w:rsidRDefault="00F27AA9" w:rsidP="00701627">
      <w:pPr>
        <w:spacing w:after="0" w:line="480" w:lineRule="auto"/>
        <w:ind w:left="340" w:right="340"/>
        <w:jc w:val="both"/>
        <w:rPr>
          <w:rFonts w:ascii="Arial" w:hAnsi="Arial" w:cs="Arial"/>
          <w:sz w:val="20"/>
          <w:szCs w:val="20"/>
        </w:rPr>
      </w:pPr>
      <w:r w:rsidRPr="007C0DC3">
        <w:rPr>
          <w:rFonts w:ascii="Arial" w:hAnsi="Arial" w:cs="Arial"/>
          <w:sz w:val="20"/>
          <w:szCs w:val="20"/>
        </w:rPr>
        <w:t>The thickness of the patches was measured by screw gauge with least count 0.002 mm.</w:t>
      </w:r>
    </w:p>
    <w:p w14:paraId="51FC3054" w14:textId="77777777" w:rsidR="00F27AA9" w:rsidRPr="007C0DC3" w:rsidRDefault="008A4A74" w:rsidP="00701627">
      <w:pPr>
        <w:spacing w:after="0" w:line="480" w:lineRule="auto"/>
        <w:ind w:left="340" w:right="340"/>
        <w:jc w:val="both"/>
        <w:rPr>
          <w:rFonts w:ascii="Arial" w:hAnsi="Arial" w:cs="Arial"/>
          <w:b/>
          <w:bCs/>
          <w:sz w:val="20"/>
          <w:szCs w:val="20"/>
          <w:u w:val="single"/>
          <w:vertAlign w:val="superscript"/>
        </w:rPr>
      </w:pPr>
      <w:r w:rsidRPr="007C0DC3">
        <w:rPr>
          <w:rFonts w:ascii="Arial" w:hAnsi="Arial" w:cs="Arial"/>
          <w:b/>
          <w:bCs/>
          <w:sz w:val="20"/>
          <w:szCs w:val="20"/>
          <w:u w:val="single"/>
        </w:rPr>
        <w:t xml:space="preserve">2.4.4 </w:t>
      </w:r>
      <w:r w:rsidR="00F27AA9" w:rsidRPr="007C0DC3">
        <w:rPr>
          <w:rFonts w:ascii="Arial" w:hAnsi="Arial" w:cs="Arial"/>
          <w:b/>
          <w:bCs/>
          <w:sz w:val="20"/>
          <w:szCs w:val="20"/>
          <w:u w:val="single"/>
        </w:rPr>
        <w:t>Folding Endurance</w:t>
      </w:r>
    </w:p>
    <w:p w14:paraId="52D6D929" w14:textId="77777777" w:rsidR="00F27AA9" w:rsidRPr="007C0DC3" w:rsidRDefault="00F27AA9" w:rsidP="00701627">
      <w:pPr>
        <w:spacing w:after="0" w:line="480" w:lineRule="auto"/>
        <w:ind w:left="340" w:right="340"/>
        <w:jc w:val="both"/>
        <w:rPr>
          <w:rFonts w:ascii="Arial" w:hAnsi="Arial" w:cs="Arial"/>
          <w:sz w:val="20"/>
          <w:szCs w:val="20"/>
        </w:rPr>
      </w:pPr>
      <w:r w:rsidRPr="007C0DC3">
        <w:rPr>
          <w:rFonts w:ascii="Arial" w:hAnsi="Arial" w:cs="Arial"/>
          <w:sz w:val="20"/>
          <w:szCs w:val="20"/>
        </w:rPr>
        <w:t>The folding endurance of the patches was determined by repeatedly folding one patch at the same place till it broke or folded up to 300 times, which is considered satisfactory to reveal good film properties.</w:t>
      </w:r>
    </w:p>
    <w:p w14:paraId="1755E126" w14:textId="77777777" w:rsidR="00F27AA9" w:rsidRPr="007C0DC3" w:rsidRDefault="008A4A74" w:rsidP="00701627">
      <w:pPr>
        <w:spacing w:after="0" w:line="480" w:lineRule="auto"/>
        <w:ind w:left="340" w:right="340"/>
        <w:jc w:val="both"/>
        <w:rPr>
          <w:rFonts w:ascii="Arial" w:hAnsi="Arial" w:cs="Arial"/>
          <w:b/>
          <w:bCs/>
          <w:sz w:val="20"/>
          <w:szCs w:val="20"/>
          <w:u w:val="single"/>
          <w:vertAlign w:val="superscript"/>
        </w:rPr>
      </w:pPr>
      <w:r w:rsidRPr="007C0DC3">
        <w:rPr>
          <w:rFonts w:ascii="Arial" w:hAnsi="Arial" w:cs="Arial"/>
          <w:b/>
          <w:bCs/>
          <w:sz w:val="20"/>
          <w:szCs w:val="20"/>
          <w:u w:val="single"/>
        </w:rPr>
        <w:t xml:space="preserve">2.4.5 </w:t>
      </w:r>
      <w:r w:rsidR="00F27AA9" w:rsidRPr="007C0DC3">
        <w:rPr>
          <w:rFonts w:ascii="Arial" w:hAnsi="Arial" w:cs="Arial"/>
          <w:b/>
          <w:bCs/>
          <w:sz w:val="20"/>
          <w:szCs w:val="20"/>
          <w:u w:val="single"/>
        </w:rPr>
        <w:t>Surface pH</w:t>
      </w:r>
    </w:p>
    <w:p w14:paraId="54AB2DD2" w14:textId="77777777" w:rsidR="00701627" w:rsidRPr="007C0DC3" w:rsidRDefault="00F27AA9" w:rsidP="00701627">
      <w:pPr>
        <w:spacing w:after="0" w:line="480" w:lineRule="auto"/>
        <w:ind w:left="340" w:right="340"/>
        <w:jc w:val="both"/>
        <w:rPr>
          <w:rFonts w:ascii="Arial" w:hAnsi="Arial" w:cs="Arial"/>
          <w:sz w:val="20"/>
          <w:szCs w:val="20"/>
        </w:rPr>
      </w:pPr>
      <w:r w:rsidRPr="007C0DC3">
        <w:rPr>
          <w:rFonts w:ascii="Arial" w:hAnsi="Arial" w:cs="Arial"/>
          <w:sz w:val="20"/>
          <w:szCs w:val="20"/>
        </w:rPr>
        <w:t xml:space="preserve">In this test, patch was allowed in contact with </w:t>
      </w:r>
      <w:r w:rsidR="0092639C" w:rsidRPr="007C0DC3">
        <w:rPr>
          <w:rFonts w:ascii="Arial" w:hAnsi="Arial" w:cs="Arial"/>
          <w:sz w:val="20"/>
          <w:szCs w:val="20"/>
        </w:rPr>
        <w:t>5</w:t>
      </w:r>
      <w:r w:rsidRPr="007C0DC3">
        <w:rPr>
          <w:rFonts w:ascii="Arial" w:hAnsi="Arial" w:cs="Arial"/>
          <w:sz w:val="20"/>
          <w:szCs w:val="20"/>
        </w:rPr>
        <w:t xml:space="preserve"> ml of distilled water for 60 min at room </w:t>
      </w:r>
    </w:p>
    <w:p w14:paraId="4609A1E9" w14:textId="77777777" w:rsidR="00173C45" w:rsidRPr="007C0DC3" w:rsidRDefault="0092639C" w:rsidP="00173C45">
      <w:pPr>
        <w:spacing w:after="0" w:line="480" w:lineRule="auto"/>
        <w:ind w:left="340" w:right="340"/>
        <w:jc w:val="both"/>
        <w:rPr>
          <w:rFonts w:ascii="Arial" w:hAnsi="Arial" w:cs="Arial"/>
          <w:sz w:val="20"/>
          <w:szCs w:val="20"/>
        </w:rPr>
      </w:pPr>
      <w:r w:rsidRPr="007C0DC3">
        <w:rPr>
          <w:rFonts w:ascii="Arial" w:hAnsi="Arial" w:cs="Arial"/>
          <w:sz w:val="20"/>
          <w:szCs w:val="20"/>
        </w:rPr>
        <w:t>t</w:t>
      </w:r>
      <w:r w:rsidR="00F27AA9" w:rsidRPr="007C0DC3">
        <w:rPr>
          <w:rFonts w:ascii="Arial" w:hAnsi="Arial" w:cs="Arial"/>
          <w:sz w:val="20"/>
          <w:szCs w:val="20"/>
        </w:rPr>
        <w:t>emp</w:t>
      </w:r>
      <w:r w:rsidRPr="007C0DC3">
        <w:rPr>
          <w:rFonts w:ascii="Arial" w:hAnsi="Arial" w:cs="Arial"/>
          <w:sz w:val="20"/>
          <w:szCs w:val="20"/>
        </w:rPr>
        <w:t>.</w:t>
      </w:r>
      <w:r w:rsidR="00F27AA9" w:rsidRPr="007C0DC3">
        <w:rPr>
          <w:rFonts w:ascii="Arial" w:hAnsi="Arial" w:cs="Arial"/>
          <w:sz w:val="20"/>
          <w:szCs w:val="20"/>
        </w:rPr>
        <w:t xml:space="preserve"> and then the pH measured by using pH meter, this done in triplicate and </w:t>
      </w:r>
      <w:r w:rsidR="00173C45" w:rsidRPr="007C0DC3">
        <w:rPr>
          <w:rFonts w:ascii="Arial" w:hAnsi="Arial" w:cs="Arial"/>
          <w:sz w:val="20"/>
          <w:szCs w:val="20"/>
        </w:rPr>
        <w:t xml:space="preserve">the </w:t>
      </w:r>
      <w:r w:rsidR="00F27AA9" w:rsidRPr="007C0DC3">
        <w:rPr>
          <w:rFonts w:ascii="Arial" w:hAnsi="Arial" w:cs="Arial"/>
          <w:sz w:val="20"/>
          <w:szCs w:val="20"/>
        </w:rPr>
        <w:t>mean</w:t>
      </w:r>
      <w:r w:rsidRPr="007C0DC3">
        <w:rPr>
          <w:rFonts w:ascii="Arial" w:hAnsi="Arial" w:cs="Arial"/>
          <w:sz w:val="20"/>
          <w:szCs w:val="20"/>
        </w:rPr>
        <w:t xml:space="preserve"> value</w:t>
      </w:r>
      <w:r w:rsidR="006D5998" w:rsidRPr="007C0DC3">
        <w:rPr>
          <w:rFonts w:ascii="Arial" w:hAnsi="Arial" w:cs="Arial"/>
          <w:sz w:val="20"/>
          <w:szCs w:val="20"/>
        </w:rPr>
        <w:t>.</w:t>
      </w:r>
    </w:p>
    <w:p w14:paraId="7A955290" w14:textId="77777777" w:rsidR="00F27AA9" w:rsidRPr="007C0DC3" w:rsidRDefault="008A4A74" w:rsidP="00615F1C">
      <w:pPr>
        <w:spacing w:after="0" w:line="480" w:lineRule="auto"/>
        <w:ind w:right="340" w:firstLine="340"/>
        <w:jc w:val="both"/>
        <w:rPr>
          <w:rFonts w:ascii="Arial" w:hAnsi="Arial" w:cs="Arial"/>
          <w:sz w:val="20"/>
          <w:szCs w:val="20"/>
        </w:rPr>
      </w:pPr>
      <w:r w:rsidRPr="007C0DC3">
        <w:rPr>
          <w:rFonts w:ascii="Arial" w:hAnsi="Arial" w:cs="Arial"/>
          <w:b/>
          <w:bCs/>
          <w:sz w:val="20"/>
          <w:szCs w:val="20"/>
          <w:u w:val="single"/>
        </w:rPr>
        <w:t>2.</w:t>
      </w:r>
      <w:r w:rsidR="005C6160" w:rsidRPr="007C0DC3">
        <w:rPr>
          <w:rFonts w:ascii="Arial" w:hAnsi="Arial" w:cs="Arial"/>
          <w:b/>
          <w:bCs/>
          <w:sz w:val="20"/>
          <w:szCs w:val="20"/>
          <w:u w:val="single"/>
        </w:rPr>
        <w:t xml:space="preserve">4.6 </w:t>
      </w:r>
      <w:r w:rsidR="00F27AA9" w:rsidRPr="007C0DC3">
        <w:rPr>
          <w:rFonts w:ascii="Arial" w:hAnsi="Arial" w:cs="Arial"/>
          <w:b/>
          <w:bCs/>
          <w:sz w:val="20"/>
          <w:szCs w:val="20"/>
          <w:u w:val="single"/>
        </w:rPr>
        <w:t>Drug Content Uniformity</w:t>
      </w:r>
    </w:p>
    <w:p w14:paraId="4D8D663B" w14:textId="77777777" w:rsidR="00511722" w:rsidRPr="007C0DC3" w:rsidRDefault="00F27AA9" w:rsidP="00B80E2A">
      <w:pPr>
        <w:spacing w:after="0" w:line="480" w:lineRule="auto"/>
        <w:ind w:left="340" w:right="340"/>
        <w:jc w:val="both"/>
        <w:rPr>
          <w:rFonts w:ascii="Arial" w:hAnsi="Arial" w:cs="Arial"/>
          <w:sz w:val="20"/>
          <w:szCs w:val="20"/>
        </w:rPr>
      </w:pPr>
      <w:r w:rsidRPr="007C0DC3">
        <w:rPr>
          <w:rFonts w:ascii="Arial" w:hAnsi="Arial" w:cs="Arial"/>
          <w:sz w:val="20"/>
          <w:szCs w:val="20"/>
        </w:rPr>
        <w:t xml:space="preserve">Drug content uniformity was determined by dissolving the patch (dimension 2 x 2 cm) by </w:t>
      </w:r>
    </w:p>
    <w:p w14:paraId="4497D274" w14:textId="77777777" w:rsidR="00F27AA9" w:rsidRPr="007C0DC3" w:rsidRDefault="00F27AA9" w:rsidP="00B80E2A">
      <w:pPr>
        <w:spacing w:after="0" w:line="480" w:lineRule="auto"/>
        <w:ind w:left="340" w:right="340"/>
        <w:jc w:val="both"/>
        <w:rPr>
          <w:rFonts w:ascii="Arial" w:hAnsi="Arial" w:cs="Arial"/>
          <w:sz w:val="20"/>
          <w:szCs w:val="20"/>
        </w:rPr>
      </w:pPr>
      <w:r w:rsidRPr="007C0DC3">
        <w:rPr>
          <w:rFonts w:ascii="Arial" w:hAnsi="Arial" w:cs="Arial"/>
          <w:sz w:val="20"/>
          <w:szCs w:val="20"/>
        </w:rPr>
        <w:t xml:space="preserve">homogenization in 50 ml of an isotonic phosphate buffer pH 6.8 for 2 hours with occasional shaking. Aliquot 4 ml was withdrawn and diluted with phosphate buffer pH 6.8 up to 10 ml and </w:t>
      </w:r>
      <w:r w:rsidRPr="007C0DC3">
        <w:rPr>
          <w:rFonts w:ascii="Arial" w:hAnsi="Arial" w:cs="Arial"/>
          <w:sz w:val="20"/>
          <w:szCs w:val="20"/>
        </w:rPr>
        <w:lastRenderedPageBreak/>
        <w:t>the resulting solution was filtered through Whatman filter paper. The drug content was then determined by using UV spectrophotometer at 254 nm.</w:t>
      </w:r>
    </w:p>
    <w:p w14:paraId="0F7190FF" w14:textId="77777777" w:rsidR="00F27AA9" w:rsidRPr="007C0DC3" w:rsidRDefault="005C6160" w:rsidP="00B80E2A">
      <w:pPr>
        <w:spacing w:after="0" w:line="480" w:lineRule="auto"/>
        <w:ind w:left="340" w:right="340"/>
        <w:jc w:val="both"/>
        <w:rPr>
          <w:rFonts w:ascii="Arial" w:hAnsi="Arial" w:cs="Arial"/>
          <w:sz w:val="20"/>
          <w:szCs w:val="20"/>
          <w:u w:val="single"/>
          <w:vertAlign w:val="superscript"/>
        </w:rPr>
      </w:pPr>
      <w:r w:rsidRPr="007C0DC3">
        <w:rPr>
          <w:rFonts w:ascii="Arial" w:hAnsi="Arial" w:cs="Arial"/>
          <w:b/>
          <w:bCs/>
          <w:sz w:val="20"/>
          <w:szCs w:val="20"/>
          <w:u w:val="single"/>
        </w:rPr>
        <w:t xml:space="preserve">2.4.7 </w:t>
      </w:r>
      <w:r w:rsidR="00F27AA9" w:rsidRPr="007C0DC3">
        <w:rPr>
          <w:rFonts w:ascii="Arial" w:hAnsi="Arial" w:cs="Arial"/>
          <w:b/>
          <w:bCs/>
          <w:sz w:val="20"/>
          <w:szCs w:val="20"/>
          <w:u w:val="single"/>
        </w:rPr>
        <w:t>Swelling Index</w:t>
      </w:r>
    </w:p>
    <w:p w14:paraId="12D44CD9" w14:textId="77777777" w:rsidR="002559C5" w:rsidRPr="007C0DC3" w:rsidRDefault="00F27AA9" w:rsidP="0092639C">
      <w:pPr>
        <w:spacing w:after="0" w:line="480" w:lineRule="auto"/>
        <w:ind w:left="340" w:right="340"/>
        <w:jc w:val="both"/>
        <w:rPr>
          <w:rFonts w:ascii="Arial" w:hAnsi="Arial" w:cs="Arial"/>
          <w:sz w:val="20"/>
          <w:szCs w:val="20"/>
        </w:rPr>
      </w:pPr>
      <w:r w:rsidRPr="007C0DC3">
        <w:rPr>
          <w:rFonts w:ascii="Arial" w:hAnsi="Arial" w:cs="Arial"/>
          <w:sz w:val="20"/>
          <w:szCs w:val="20"/>
        </w:rPr>
        <w:t>A patch of 2x2 cm</w:t>
      </w:r>
      <w:r w:rsidRPr="007C0DC3">
        <w:rPr>
          <w:rFonts w:ascii="Arial" w:hAnsi="Arial" w:cs="Arial"/>
          <w:sz w:val="20"/>
          <w:szCs w:val="20"/>
          <w:vertAlign w:val="superscript"/>
        </w:rPr>
        <w:t>2</w:t>
      </w:r>
      <w:r w:rsidRPr="007C0DC3">
        <w:rPr>
          <w:rFonts w:ascii="Arial" w:hAnsi="Arial" w:cs="Arial"/>
          <w:sz w:val="20"/>
          <w:szCs w:val="20"/>
        </w:rPr>
        <w:t xml:space="preserve"> size was weighed on a pre-weighed microscope slide. A 50 ml phosphate buffer pH 6.8 was added to a </w:t>
      </w:r>
      <w:proofErr w:type="spellStart"/>
      <w:r w:rsidRPr="007C0DC3">
        <w:rPr>
          <w:rFonts w:ascii="Arial" w:hAnsi="Arial" w:cs="Arial"/>
          <w:sz w:val="20"/>
          <w:szCs w:val="20"/>
        </w:rPr>
        <w:t>petridish</w:t>
      </w:r>
      <w:proofErr w:type="spellEnd"/>
      <w:r w:rsidRPr="007C0DC3">
        <w:rPr>
          <w:rFonts w:ascii="Arial" w:hAnsi="Arial" w:cs="Arial"/>
          <w:sz w:val="20"/>
          <w:szCs w:val="20"/>
        </w:rPr>
        <w:t xml:space="preserve"> containing the patch over the microscope slide. At regular time intervals for 60 min, the microscope slide was removed and weighed. The difference in weights gives the weight increase due to absorption of buffer and swelling of patch is calculated by the following equation:</w:t>
      </w:r>
    </w:p>
    <w:p w14:paraId="7594DBDF" w14:textId="77777777" w:rsidR="00F27AA9" w:rsidRPr="007C0DC3" w:rsidRDefault="00307D7D" w:rsidP="00AD36B3">
      <w:pPr>
        <w:spacing w:after="0" w:line="480" w:lineRule="auto"/>
        <w:ind w:left="1780" w:right="340" w:firstLine="380"/>
        <w:jc w:val="both"/>
        <w:rPr>
          <w:rFonts w:ascii="Arial" w:hAnsi="Arial" w:cs="Arial"/>
          <w:sz w:val="20"/>
          <w:szCs w:val="20"/>
        </w:rPr>
      </w:pPr>
      <w:r w:rsidRPr="007C0DC3">
        <w:rPr>
          <w:rFonts w:ascii="Arial" w:hAnsi="Arial" w:cs="Arial"/>
          <w:sz w:val="20"/>
          <w:szCs w:val="20"/>
        </w:rPr>
        <w:t xml:space="preserve"> </w:t>
      </w:r>
      <w:r w:rsidR="00F27AA9" w:rsidRPr="007C0DC3">
        <w:rPr>
          <w:rFonts w:ascii="Arial" w:hAnsi="Arial" w:cs="Arial"/>
          <w:b/>
          <w:bCs/>
          <w:sz w:val="20"/>
          <w:szCs w:val="20"/>
        </w:rPr>
        <w:t xml:space="preserve">Swelling Index = (W2-W1/ W1) x 100% </w:t>
      </w:r>
    </w:p>
    <w:p w14:paraId="6AC3FF4F" w14:textId="77777777" w:rsidR="00DC7B1E" w:rsidRPr="007C0DC3" w:rsidRDefault="00DC7B1E" w:rsidP="00B80E2A">
      <w:pPr>
        <w:spacing w:after="0" w:line="480" w:lineRule="auto"/>
        <w:ind w:left="340" w:right="340"/>
        <w:jc w:val="both"/>
        <w:rPr>
          <w:rFonts w:ascii="Arial" w:hAnsi="Arial" w:cs="Arial"/>
          <w:sz w:val="20"/>
          <w:szCs w:val="20"/>
        </w:rPr>
      </w:pPr>
      <w:r w:rsidRPr="007C0DC3">
        <w:rPr>
          <w:rFonts w:ascii="Arial" w:hAnsi="Arial" w:cs="Arial"/>
          <w:sz w:val="20"/>
          <w:szCs w:val="20"/>
        </w:rPr>
        <w:t>Where, W1 is the weight of buccal patch before dipping into phosphate buffer pH 6.8 and W2 is the weight of buccal patch after dipping in phosphate buffer pH 6.8 and wiped with filter paper.</w:t>
      </w:r>
    </w:p>
    <w:p w14:paraId="7C2658EE" w14:textId="77777777" w:rsidR="00DC7B1E" w:rsidRPr="007C0DC3" w:rsidRDefault="005C6160" w:rsidP="00B80E2A">
      <w:pPr>
        <w:spacing w:after="0" w:line="480" w:lineRule="auto"/>
        <w:ind w:left="340" w:right="340"/>
        <w:jc w:val="both"/>
        <w:rPr>
          <w:rFonts w:ascii="Arial" w:hAnsi="Arial" w:cs="Arial"/>
          <w:b/>
          <w:bCs/>
          <w:sz w:val="20"/>
          <w:szCs w:val="20"/>
          <w:u w:val="single"/>
          <w:vertAlign w:val="superscript"/>
        </w:rPr>
      </w:pPr>
      <w:r w:rsidRPr="007C0DC3">
        <w:rPr>
          <w:rFonts w:ascii="Arial" w:hAnsi="Arial" w:cs="Arial"/>
          <w:b/>
          <w:bCs/>
          <w:sz w:val="20"/>
          <w:szCs w:val="20"/>
          <w:u w:val="single"/>
        </w:rPr>
        <w:t xml:space="preserve">2.4.8 </w:t>
      </w:r>
      <w:r w:rsidR="00DC7B1E" w:rsidRPr="007C0DC3">
        <w:rPr>
          <w:rFonts w:ascii="Arial" w:hAnsi="Arial" w:cs="Arial"/>
          <w:b/>
          <w:bCs/>
          <w:sz w:val="20"/>
          <w:szCs w:val="20"/>
          <w:u w:val="single"/>
        </w:rPr>
        <w:t>Flatness</w:t>
      </w:r>
    </w:p>
    <w:p w14:paraId="662E9D7E" w14:textId="77777777" w:rsidR="002002C4" w:rsidRPr="007C0DC3" w:rsidRDefault="00DC7B1E" w:rsidP="009B794A">
      <w:pPr>
        <w:spacing w:after="0" w:line="480" w:lineRule="auto"/>
        <w:ind w:left="340" w:right="340"/>
        <w:jc w:val="both"/>
        <w:rPr>
          <w:rFonts w:ascii="Arial" w:hAnsi="Arial" w:cs="Arial"/>
          <w:sz w:val="20"/>
          <w:szCs w:val="20"/>
        </w:rPr>
      </w:pPr>
      <w:r w:rsidRPr="007C0DC3">
        <w:rPr>
          <w:rFonts w:ascii="Arial" w:hAnsi="Arial" w:cs="Arial"/>
          <w:sz w:val="20"/>
          <w:szCs w:val="20"/>
        </w:rPr>
        <w:t>To determine the flatness of a patch, a strip was cut from the centre and two from each side of patch. The length of each strip was measured and variation in length was noted. This data was used to determine percent constriction and results were shown in the form of % flatness. 0 % constriction indicates 100 % flatness. It is calculated from following formul</w:t>
      </w:r>
      <w:r w:rsidR="009B794A" w:rsidRPr="007C0DC3">
        <w:rPr>
          <w:rFonts w:ascii="Arial" w:hAnsi="Arial" w:cs="Arial"/>
          <w:sz w:val="20"/>
          <w:szCs w:val="20"/>
        </w:rPr>
        <w:t xml:space="preserve">a: </w:t>
      </w:r>
    </w:p>
    <w:p w14:paraId="255CCE81" w14:textId="77777777" w:rsidR="00DC7B1E" w:rsidRPr="007C0DC3" w:rsidRDefault="00DC7B1E" w:rsidP="009B794A">
      <w:pPr>
        <w:spacing w:after="0" w:line="480" w:lineRule="auto"/>
        <w:ind w:left="340" w:right="340"/>
        <w:jc w:val="both"/>
        <w:rPr>
          <w:rFonts w:ascii="Arial" w:hAnsi="Arial" w:cs="Arial"/>
          <w:sz w:val="20"/>
          <w:szCs w:val="20"/>
        </w:rPr>
      </w:pPr>
      <w:r w:rsidRPr="007C0DC3">
        <w:rPr>
          <w:rFonts w:ascii="Arial" w:hAnsi="Arial" w:cs="Arial"/>
          <w:b/>
          <w:bCs/>
          <w:sz w:val="20"/>
          <w:szCs w:val="20"/>
        </w:rPr>
        <w:t>% constriction = L1- L2/ L1 × 100</w:t>
      </w:r>
    </w:p>
    <w:p w14:paraId="746AFBA2" w14:textId="77777777" w:rsidR="00DC7B1E" w:rsidRPr="007C0DC3" w:rsidRDefault="00DC7B1E" w:rsidP="002002C4">
      <w:pPr>
        <w:spacing w:after="0" w:line="480" w:lineRule="auto"/>
        <w:ind w:left="340" w:right="340"/>
        <w:jc w:val="both"/>
        <w:rPr>
          <w:rFonts w:ascii="Arial" w:hAnsi="Arial" w:cs="Arial"/>
          <w:sz w:val="20"/>
          <w:szCs w:val="20"/>
        </w:rPr>
      </w:pPr>
      <w:r w:rsidRPr="007C0DC3">
        <w:rPr>
          <w:rFonts w:ascii="Arial" w:hAnsi="Arial" w:cs="Arial"/>
          <w:sz w:val="20"/>
          <w:szCs w:val="20"/>
        </w:rPr>
        <w:t xml:space="preserve">Where, L1= Initial length of strip (cm) </w:t>
      </w:r>
      <w:r w:rsidR="002002C4" w:rsidRPr="007C0DC3">
        <w:rPr>
          <w:rFonts w:ascii="Arial" w:hAnsi="Arial" w:cs="Arial"/>
          <w:sz w:val="20"/>
          <w:szCs w:val="20"/>
        </w:rPr>
        <w:t>and</w:t>
      </w:r>
      <w:r w:rsidRPr="007C0DC3">
        <w:rPr>
          <w:rFonts w:ascii="Arial" w:hAnsi="Arial" w:cs="Arial"/>
          <w:sz w:val="20"/>
          <w:szCs w:val="20"/>
        </w:rPr>
        <w:t xml:space="preserve"> L2= Final length of strip (cm)</w:t>
      </w:r>
    </w:p>
    <w:p w14:paraId="47446EB6" w14:textId="77777777" w:rsidR="00DC7B1E" w:rsidRPr="007C0DC3" w:rsidRDefault="005C6160" w:rsidP="00B80E2A">
      <w:pPr>
        <w:spacing w:after="0" w:line="480" w:lineRule="auto"/>
        <w:ind w:left="340" w:right="340"/>
        <w:jc w:val="both"/>
        <w:rPr>
          <w:rFonts w:ascii="Arial" w:hAnsi="Arial" w:cs="Arial"/>
          <w:b/>
          <w:bCs/>
          <w:sz w:val="20"/>
          <w:szCs w:val="20"/>
          <w:u w:val="single"/>
          <w:vertAlign w:val="superscript"/>
        </w:rPr>
      </w:pPr>
      <w:r w:rsidRPr="007C0DC3">
        <w:rPr>
          <w:rFonts w:ascii="Arial" w:hAnsi="Arial" w:cs="Arial"/>
          <w:b/>
          <w:bCs/>
          <w:sz w:val="20"/>
          <w:szCs w:val="20"/>
          <w:u w:val="single"/>
        </w:rPr>
        <w:t xml:space="preserve">2.4.9 </w:t>
      </w:r>
      <w:r w:rsidR="00BC36A2" w:rsidRPr="007C0DC3">
        <w:rPr>
          <w:rFonts w:ascii="Arial" w:hAnsi="Arial" w:cs="Arial"/>
          <w:b/>
          <w:bCs/>
          <w:sz w:val="20"/>
          <w:szCs w:val="20"/>
          <w:u w:val="single"/>
        </w:rPr>
        <w:t>Moisture Absorption Studies</w:t>
      </w:r>
    </w:p>
    <w:p w14:paraId="27581582" w14:textId="77777777" w:rsidR="00DC7B1E" w:rsidRPr="007C0DC3" w:rsidRDefault="00DC7B1E" w:rsidP="005A1BA8">
      <w:pPr>
        <w:spacing w:after="0" w:line="480" w:lineRule="auto"/>
        <w:ind w:left="340" w:right="340"/>
        <w:jc w:val="both"/>
        <w:rPr>
          <w:rFonts w:ascii="Arial" w:hAnsi="Arial" w:cs="Arial"/>
          <w:sz w:val="20"/>
          <w:szCs w:val="20"/>
        </w:rPr>
      </w:pPr>
      <w:r w:rsidRPr="007C0DC3">
        <w:rPr>
          <w:rFonts w:ascii="Arial" w:hAnsi="Arial" w:cs="Arial"/>
          <w:sz w:val="20"/>
          <w:szCs w:val="20"/>
        </w:rPr>
        <w:t xml:space="preserve">Patches were selected from each batch and weighed accurately (W1 mg). These patches were kept in </w:t>
      </w:r>
      <w:proofErr w:type="spellStart"/>
      <w:r w:rsidRPr="007C0DC3">
        <w:rPr>
          <w:rFonts w:ascii="Arial" w:hAnsi="Arial" w:cs="Arial"/>
          <w:sz w:val="20"/>
          <w:szCs w:val="20"/>
        </w:rPr>
        <w:t>dessicator</w:t>
      </w:r>
      <w:proofErr w:type="spellEnd"/>
      <w:r w:rsidRPr="007C0DC3">
        <w:rPr>
          <w:rFonts w:ascii="Arial" w:hAnsi="Arial" w:cs="Arial"/>
          <w:sz w:val="20"/>
          <w:szCs w:val="20"/>
        </w:rPr>
        <w:t xml:space="preserve"> at room temperature for 24 hours. Then patches were taken out and exposed to 84% relative humidity using a saturate solution of Potassium chloride in another </w:t>
      </w:r>
      <w:proofErr w:type="spellStart"/>
      <w:r w:rsidRPr="007C0DC3">
        <w:rPr>
          <w:rFonts w:ascii="Arial" w:hAnsi="Arial" w:cs="Arial"/>
          <w:sz w:val="20"/>
          <w:szCs w:val="20"/>
        </w:rPr>
        <w:t>dessicator</w:t>
      </w:r>
      <w:proofErr w:type="spellEnd"/>
      <w:r w:rsidRPr="007C0DC3">
        <w:rPr>
          <w:rFonts w:ascii="Arial" w:hAnsi="Arial" w:cs="Arial"/>
          <w:sz w:val="20"/>
          <w:szCs w:val="20"/>
        </w:rPr>
        <w:t>. Exposure was continued until a constant weight (W2 mg) was obtained. The percent moisture uptake was calculated using following formula:</w:t>
      </w:r>
      <w:r w:rsidR="005A1BA8" w:rsidRPr="007C0DC3">
        <w:rPr>
          <w:rFonts w:ascii="Arial" w:hAnsi="Arial" w:cs="Arial"/>
          <w:sz w:val="20"/>
          <w:szCs w:val="20"/>
        </w:rPr>
        <w:t xml:space="preserve"> </w:t>
      </w:r>
      <w:r w:rsidRPr="007C0DC3">
        <w:rPr>
          <w:rFonts w:ascii="Arial" w:hAnsi="Arial" w:cs="Arial"/>
          <w:b/>
          <w:bCs/>
          <w:sz w:val="20"/>
          <w:szCs w:val="20"/>
        </w:rPr>
        <w:t>% Moisture uptake = (W2- W1)/ W2 × 100</w:t>
      </w:r>
    </w:p>
    <w:p w14:paraId="793DEA73" w14:textId="77777777" w:rsidR="00DC7B1E" w:rsidRPr="007C0DC3" w:rsidRDefault="005C6160" w:rsidP="002002C4">
      <w:pPr>
        <w:spacing w:after="0" w:line="480" w:lineRule="auto"/>
        <w:ind w:right="340" w:firstLine="340"/>
        <w:jc w:val="both"/>
        <w:rPr>
          <w:rFonts w:ascii="Arial" w:hAnsi="Arial" w:cs="Arial"/>
          <w:b/>
          <w:bCs/>
          <w:sz w:val="20"/>
          <w:szCs w:val="20"/>
          <w:u w:val="single"/>
          <w:vertAlign w:val="superscript"/>
        </w:rPr>
      </w:pPr>
      <w:r w:rsidRPr="007C0DC3">
        <w:rPr>
          <w:rFonts w:ascii="Arial" w:hAnsi="Arial" w:cs="Arial"/>
          <w:b/>
          <w:bCs/>
          <w:sz w:val="20"/>
          <w:szCs w:val="20"/>
          <w:u w:val="single"/>
        </w:rPr>
        <w:t xml:space="preserve">2.4.10 </w:t>
      </w:r>
      <w:r w:rsidR="00BC36A2" w:rsidRPr="007C0DC3">
        <w:rPr>
          <w:rFonts w:ascii="Arial" w:hAnsi="Arial" w:cs="Arial"/>
          <w:b/>
          <w:bCs/>
          <w:sz w:val="20"/>
          <w:szCs w:val="20"/>
          <w:u w:val="single"/>
        </w:rPr>
        <w:t>Moisture Loss Studies</w:t>
      </w:r>
    </w:p>
    <w:p w14:paraId="57582FE4" w14:textId="77777777" w:rsidR="00DC7B1E" w:rsidRPr="007C0DC3" w:rsidRDefault="00DC7B1E" w:rsidP="00391615">
      <w:pPr>
        <w:spacing w:after="0" w:line="480" w:lineRule="auto"/>
        <w:ind w:left="340" w:right="340"/>
        <w:jc w:val="both"/>
        <w:rPr>
          <w:rFonts w:ascii="Arial" w:hAnsi="Arial" w:cs="Arial"/>
          <w:sz w:val="20"/>
          <w:szCs w:val="20"/>
        </w:rPr>
      </w:pPr>
      <w:r w:rsidRPr="007C0DC3">
        <w:rPr>
          <w:rFonts w:ascii="Arial" w:hAnsi="Arial" w:cs="Arial"/>
          <w:sz w:val="20"/>
          <w:szCs w:val="20"/>
        </w:rPr>
        <w:t>For this test, one patch from each batch was selected and weighed accurately (W1 mg). These weighed patches were kept in a desiccator containing Calcium chloride at room temperature for 24 hours. After the specified interval, patches were weighed again until a constant weight was obtained (W2 mg). The percent moisture content was calculated using following formula:</w:t>
      </w:r>
    </w:p>
    <w:p w14:paraId="6D32303E" w14:textId="77777777" w:rsidR="00DC7B1E" w:rsidRPr="007C0DC3" w:rsidRDefault="00DC7B1E" w:rsidP="00391615">
      <w:pPr>
        <w:spacing w:after="0" w:line="480" w:lineRule="auto"/>
        <w:ind w:left="340" w:right="340"/>
        <w:jc w:val="both"/>
        <w:rPr>
          <w:rFonts w:ascii="Arial" w:hAnsi="Arial" w:cs="Arial"/>
          <w:b/>
          <w:bCs/>
          <w:sz w:val="20"/>
          <w:szCs w:val="20"/>
        </w:rPr>
      </w:pPr>
      <w:r w:rsidRPr="007C0DC3">
        <w:rPr>
          <w:rFonts w:ascii="Arial" w:hAnsi="Arial" w:cs="Arial"/>
          <w:b/>
          <w:bCs/>
          <w:sz w:val="20"/>
          <w:szCs w:val="20"/>
        </w:rPr>
        <w:t>% Moisture content = (W1- W2)/ W1 × 100</w:t>
      </w:r>
    </w:p>
    <w:p w14:paraId="3971A260" w14:textId="77777777" w:rsidR="00DC7B1E" w:rsidRPr="007C0DC3" w:rsidRDefault="005C6160" w:rsidP="00AD36B3">
      <w:pPr>
        <w:spacing w:after="0" w:line="480" w:lineRule="auto"/>
        <w:ind w:right="340" w:firstLine="340"/>
        <w:jc w:val="both"/>
        <w:rPr>
          <w:rFonts w:ascii="Arial" w:hAnsi="Arial" w:cs="Arial"/>
          <w:b/>
          <w:bCs/>
          <w:sz w:val="20"/>
          <w:szCs w:val="20"/>
          <w:u w:val="single"/>
          <w:vertAlign w:val="superscript"/>
        </w:rPr>
      </w:pPr>
      <w:r w:rsidRPr="007C0DC3">
        <w:rPr>
          <w:rFonts w:ascii="Arial" w:hAnsi="Arial" w:cs="Arial"/>
          <w:b/>
          <w:bCs/>
          <w:sz w:val="20"/>
          <w:szCs w:val="20"/>
          <w:u w:val="single"/>
        </w:rPr>
        <w:lastRenderedPageBreak/>
        <w:t xml:space="preserve">2.4.11 </w:t>
      </w:r>
      <w:r w:rsidR="00BC36A2" w:rsidRPr="007C0DC3">
        <w:rPr>
          <w:rFonts w:ascii="Arial" w:hAnsi="Arial" w:cs="Arial"/>
          <w:b/>
          <w:bCs/>
          <w:sz w:val="20"/>
          <w:szCs w:val="20"/>
          <w:u w:val="single"/>
        </w:rPr>
        <w:t>In- Vitro Drug Release</w:t>
      </w:r>
    </w:p>
    <w:p w14:paraId="576F0D6C" w14:textId="77777777" w:rsidR="00044396" w:rsidRPr="007C0DC3" w:rsidRDefault="00044396" w:rsidP="002B52DB">
      <w:pPr>
        <w:spacing w:after="0" w:line="480" w:lineRule="auto"/>
        <w:ind w:left="340" w:right="340"/>
        <w:jc w:val="both"/>
        <w:rPr>
          <w:rFonts w:ascii="Arial" w:hAnsi="Arial" w:cs="Arial"/>
          <w:sz w:val="20"/>
          <w:szCs w:val="20"/>
        </w:rPr>
      </w:pPr>
      <w:r w:rsidRPr="007C0DC3">
        <w:rPr>
          <w:rFonts w:ascii="Arial" w:hAnsi="Arial" w:cs="Arial"/>
          <w:sz w:val="20"/>
          <w:szCs w:val="20"/>
        </w:rPr>
        <w:t>Drug release from buccal patches was studied using USP dissolution apparatus type II, maintained at 37 ± 0.5 °C and stirred at 50 rpm. Each 2 × 2 cm² patch was fixed on a cover slip with cyanoacrylate adhesive. The mucoadhesive layer was kept in contact with the dissolution medium, while the backing layer was fixed to the slip. The cover slip was immersed in 500 ml phosphate buffer pH 6.8 to prevent floating and settle the patch. Aliquots of 5 ml were withdrawn at 15, 30, 60, 120, 180, 240, 300, and 360 min. Equal volumes of fresh buffer at the same temperature were replaced to maintain sink conditions. Drug concentration was analyzed by UV</w:t>
      </w:r>
      <w:r w:rsidRPr="007C0DC3">
        <w:rPr>
          <w:rFonts w:ascii="Arial" w:hAnsi="Arial" w:cs="Arial"/>
          <w:sz w:val="20"/>
          <w:szCs w:val="20"/>
        </w:rPr>
        <w:noBreakHyphen/>
        <w:t>visible spectrophotometer at λ</w:t>
      </w:r>
      <w:r w:rsidR="002B52DB" w:rsidRPr="007C0DC3">
        <w:rPr>
          <w:rFonts w:ascii="Arial" w:hAnsi="Arial" w:cs="Arial"/>
          <w:sz w:val="20"/>
          <w:szCs w:val="20"/>
        </w:rPr>
        <w:t xml:space="preserve"> </w:t>
      </w:r>
      <w:r w:rsidRPr="007C0DC3">
        <w:rPr>
          <w:rFonts w:ascii="Arial" w:hAnsi="Arial" w:cs="Arial"/>
          <w:sz w:val="20"/>
          <w:szCs w:val="20"/>
        </w:rPr>
        <w:t>max </w:t>
      </w:r>
      <w:r w:rsidR="006C0240" w:rsidRPr="007C0DC3">
        <w:rPr>
          <w:rFonts w:ascii="Arial" w:hAnsi="Arial" w:cs="Arial"/>
          <w:sz w:val="20"/>
          <w:szCs w:val="20"/>
        </w:rPr>
        <w:t>(</w:t>
      </w:r>
      <w:r w:rsidRPr="007C0DC3">
        <w:rPr>
          <w:rFonts w:ascii="Arial" w:hAnsi="Arial" w:cs="Arial"/>
          <w:sz w:val="20"/>
          <w:szCs w:val="20"/>
        </w:rPr>
        <w:t>254 nm).</w:t>
      </w:r>
    </w:p>
    <w:p w14:paraId="5A62CC30" w14:textId="77777777" w:rsidR="000E1EB0" w:rsidRPr="007C0DC3" w:rsidRDefault="005C6160" w:rsidP="00391615">
      <w:pPr>
        <w:spacing w:after="0" w:line="480" w:lineRule="auto"/>
        <w:ind w:right="340" w:firstLine="340"/>
        <w:jc w:val="both"/>
        <w:rPr>
          <w:rFonts w:ascii="Arial" w:hAnsi="Arial" w:cs="Arial"/>
          <w:b/>
          <w:bCs/>
          <w:sz w:val="20"/>
          <w:szCs w:val="20"/>
          <w:u w:val="single"/>
        </w:rPr>
      </w:pPr>
      <w:r w:rsidRPr="007C0DC3">
        <w:rPr>
          <w:rFonts w:ascii="Arial" w:hAnsi="Arial" w:cs="Arial"/>
          <w:b/>
          <w:bCs/>
          <w:sz w:val="20"/>
          <w:szCs w:val="20"/>
          <w:u w:val="single"/>
        </w:rPr>
        <w:t xml:space="preserve">2.4.12 </w:t>
      </w:r>
      <w:r w:rsidR="00633757" w:rsidRPr="007C0DC3">
        <w:rPr>
          <w:rFonts w:ascii="Arial" w:hAnsi="Arial" w:cs="Arial"/>
          <w:b/>
          <w:bCs/>
          <w:sz w:val="20"/>
          <w:szCs w:val="20"/>
          <w:u w:val="single"/>
        </w:rPr>
        <w:t>Release Kinetic Study</w:t>
      </w:r>
    </w:p>
    <w:p w14:paraId="1B40331E" w14:textId="77777777" w:rsidR="00A26423" w:rsidRPr="007C0DC3" w:rsidRDefault="00A26423" w:rsidP="00391615">
      <w:pPr>
        <w:spacing w:after="0" w:line="480" w:lineRule="auto"/>
        <w:ind w:left="340" w:right="340"/>
        <w:jc w:val="both"/>
        <w:rPr>
          <w:rFonts w:ascii="Arial" w:hAnsi="Arial" w:cs="Arial"/>
          <w:sz w:val="20"/>
          <w:szCs w:val="20"/>
        </w:rPr>
      </w:pPr>
      <w:r w:rsidRPr="007C0DC3">
        <w:rPr>
          <w:rFonts w:ascii="Arial" w:hAnsi="Arial" w:cs="Arial"/>
          <w:sz w:val="20"/>
          <w:szCs w:val="20"/>
        </w:rPr>
        <w:t xml:space="preserve">To analyse the drug release method of each formulation, all the batches dissolution profile were fitted to </w:t>
      </w:r>
      <w:r w:rsidR="009A304A" w:rsidRPr="007C0DC3">
        <w:rPr>
          <w:rFonts w:ascii="Arial" w:hAnsi="Arial" w:cs="Arial"/>
          <w:sz w:val="20"/>
          <w:szCs w:val="20"/>
        </w:rPr>
        <w:t>Z</w:t>
      </w:r>
      <w:r w:rsidRPr="007C0DC3">
        <w:rPr>
          <w:rFonts w:ascii="Arial" w:hAnsi="Arial" w:cs="Arial"/>
          <w:sz w:val="20"/>
          <w:szCs w:val="20"/>
        </w:rPr>
        <w:t>ero-order</w:t>
      </w:r>
      <w:r w:rsidR="003412CA" w:rsidRPr="007C0DC3">
        <w:rPr>
          <w:rFonts w:ascii="Arial" w:hAnsi="Arial" w:cs="Arial"/>
          <w:sz w:val="20"/>
          <w:szCs w:val="20"/>
        </w:rPr>
        <w:t xml:space="preserve"> kinetics</w:t>
      </w:r>
      <w:r w:rsidRPr="007C0DC3">
        <w:rPr>
          <w:rFonts w:ascii="Arial" w:hAnsi="Arial" w:cs="Arial"/>
          <w:sz w:val="20"/>
          <w:szCs w:val="20"/>
        </w:rPr>
        <w:t xml:space="preserve">, </w:t>
      </w:r>
      <w:r w:rsidR="009A304A" w:rsidRPr="007C0DC3">
        <w:rPr>
          <w:rFonts w:ascii="Arial" w:hAnsi="Arial" w:cs="Arial"/>
          <w:sz w:val="20"/>
          <w:szCs w:val="20"/>
        </w:rPr>
        <w:t>F</w:t>
      </w:r>
      <w:r w:rsidRPr="007C0DC3">
        <w:rPr>
          <w:rFonts w:ascii="Arial" w:hAnsi="Arial" w:cs="Arial"/>
          <w:sz w:val="20"/>
          <w:szCs w:val="20"/>
        </w:rPr>
        <w:t>irst-order</w:t>
      </w:r>
      <w:r w:rsidR="003412CA" w:rsidRPr="007C0DC3">
        <w:rPr>
          <w:rFonts w:ascii="Arial" w:hAnsi="Arial" w:cs="Arial"/>
          <w:sz w:val="20"/>
          <w:szCs w:val="20"/>
        </w:rPr>
        <w:t xml:space="preserve"> kinetics</w:t>
      </w:r>
      <w:r w:rsidRPr="007C0DC3">
        <w:rPr>
          <w:rFonts w:ascii="Arial" w:hAnsi="Arial" w:cs="Arial"/>
          <w:sz w:val="20"/>
          <w:szCs w:val="20"/>
        </w:rPr>
        <w:t>, Higuchi</w:t>
      </w:r>
      <w:r w:rsidR="00826FF1" w:rsidRPr="007C0DC3">
        <w:rPr>
          <w:rFonts w:ascii="Arial" w:hAnsi="Arial" w:cs="Arial"/>
          <w:sz w:val="20"/>
          <w:szCs w:val="20"/>
        </w:rPr>
        <w:t xml:space="preserve"> Model</w:t>
      </w:r>
      <w:r w:rsidRPr="007C0DC3">
        <w:rPr>
          <w:rFonts w:ascii="Arial" w:hAnsi="Arial" w:cs="Arial"/>
          <w:sz w:val="20"/>
          <w:szCs w:val="20"/>
        </w:rPr>
        <w:t>, Hixon</w:t>
      </w:r>
      <w:r w:rsidR="009A304A" w:rsidRPr="007C0DC3">
        <w:rPr>
          <w:rFonts w:ascii="Arial" w:hAnsi="Arial" w:cs="Arial"/>
          <w:sz w:val="20"/>
          <w:szCs w:val="20"/>
        </w:rPr>
        <w:t xml:space="preserve"> Crowell, Korsmeyer</w:t>
      </w:r>
      <w:r w:rsidR="000E1EB0" w:rsidRPr="007C0DC3">
        <w:rPr>
          <w:rFonts w:ascii="Arial" w:hAnsi="Arial" w:cs="Arial"/>
          <w:sz w:val="20"/>
          <w:szCs w:val="20"/>
        </w:rPr>
        <w:t>-</w:t>
      </w:r>
      <w:r w:rsidR="009A304A" w:rsidRPr="007C0DC3">
        <w:rPr>
          <w:rFonts w:ascii="Arial" w:hAnsi="Arial" w:cs="Arial"/>
          <w:sz w:val="20"/>
          <w:szCs w:val="20"/>
        </w:rPr>
        <w:t xml:space="preserve">Peppas </w:t>
      </w:r>
      <w:r w:rsidR="000E1EB0" w:rsidRPr="007C0DC3">
        <w:rPr>
          <w:rFonts w:ascii="Arial" w:hAnsi="Arial" w:cs="Arial"/>
          <w:sz w:val="20"/>
          <w:szCs w:val="20"/>
        </w:rPr>
        <w:t>M</w:t>
      </w:r>
      <w:r w:rsidR="009A304A" w:rsidRPr="007C0DC3">
        <w:rPr>
          <w:rFonts w:ascii="Arial" w:hAnsi="Arial" w:cs="Arial"/>
          <w:sz w:val="20"/>
          <w:szCs w:val="20"/>
        </w:rPr>
        <w:t>odels</w:t>
      </w:r>
      <w:r w:rsidR="000E1EB0" w:rsidRPr="007C0DC3">
        <w:rPr>
          <w:rFonts w:ascii="Arial" w:hAnsi="Arial" w:cs="Arial"/>
          <w:sz w:val="20"/>
          <w:szCs w:val="20"/>
        </w:rPr>
        <w:t>.</w:t>
      </w:r>
    </w:p>
    <w:p w14:paraId="08F5CC09" w14:textId="77777777" w:rsidR="00885334" w:rsidRPr="007C0DC3" w:rsidRDefault="005C6160" w:rsidP="00391615">
      <w:pPr>
        <w:spacing w:after="0" w:line="480" w:lineRule="auto"/>
        <w:ind w:left="340" w:right="340"/>
        <w:jc w:val="both"/>
        <w:rPr>
          <w:rFonts w:ascii="Arial" w:hAnsi="Arial" w:cs="Arial"/>
          <w:b/>
          <w:bCs/>
          <w:sz w:val="20"/>
          <w:szCs w:val="20"/>
          <w:u w:val="single"/>
          <w:vertAlign w:val="superscript"/>
        </w:rPr>
      </w:pPr>
      <w:r w:rsidRPr="007C0DC3">
        <w:rPr>
          <w:rFonts w:ascii="Arial" w:hAnsi="Arial" w:cs="Arial"/>
          <w:b/>
          <w:bCs/>
          <w:sz w:val="20"/>
          <w:szCs w:val="20"/>
          <w:u w:val="single"/>
        </w:rPr>
        <w:t xml:space="preserve">2.4.13 </w:t>
      </w:r>
      <w:r w:rsidR="00885334" w:rsidRPr="007C0DC3">
        <w:rPr>
          <w:rFonts w:ascii="Arial" w:hAnsi="Arial" w:cs="Arial"/>
          <w:b/>
          <w:bCs/>
          <w:sz w:val="20"/>
          <w:szCs w:val="20"/>
          <w:u w:val="single"/>
        </w:rPr>
        <w:t>Scanning Electron Microscopy (S</w:t>
      </w:r>
      <w:r w:rsidR="004D5AF1" w:rsidRPr="007C0DC3">
        <w:rPr>
          <w:rFonts w:ascii="Arial" w:hAnsi="Arial" w:cs="Arial"/>
          <w:b/>
          <w:bCs/>
          <w:sz w:val="20"/>
          <w:szCs w:val="20"/>
          <w:u w:val="single"/>
        </w:rPr>
        <w:t>EM</w:t>
      </w:r>
      <w:r w:rsidR="00885334" w:rsidRPr="007C0DC3">
        <w:rPr>
          <w:rFonts w:ascii="Arial" w:hAnsi="Arial" w:cs="Arial"/>
          <w:b/>
          <w:bCs/>
          <w:sz w:val="20"/>
          <w:szCs w:val="20"/>
          <w:u w:val="single"/>
        </w:rPr>
        <w:t>)</w:t>
      </w:r>
    </w:p>
    <w:p w14:paraId="58A12958" w14:textId="77777777" w:rsidR="00C1606E" w:rsidRPr="007C0DC3" w:rsidRDefault="00C1606E" w:rsidP="00D26924">
      <w:pPr>
        <w:spacing w:after="0" w:line="480" w:lineRule="auto"/>
        <w:ind w:left="340" w:right="340"/>
        <w:jc w:val="both"/>
        <w:rPr>
          <w:rFonts w:ascii="Arial" w:hAnsi="Arial" w:cs="Arial"/>
          <w:sz w:val="20"/>
          <w:szCs w:val="20"/>
        </w:rPr>
      </w:pPr>
      <w:r w:rsidRPr="007C0DC3">
        <w:rPr>
          <w:rFonts w:ascii="Arial" w:hAnsi="Arial" w:cs="Arial"/>
          <w:sz w:val="20"/>
          <w:szCs w:val="20"/>
        </w:rPr>
        <w:t>Patch morphology was analyzed using SEM. The selected sample was mounted on brass stubs with double</w:t>
      </w:r>
      <w:r w:rsidRPr="007C0DC3">
        <w:rPr>
          <w:rFonts w:ascii="Arial" w:hAnsi="Arial" w:cs="Arial"/>
          <w:sz w:val="20"/>
          <w:szCs w:val="20"/>
        </w:rPr>
        <w:noBreakHyphen/>
        <w:t>sided adhesive and sputter</w:t>
      </w:r>
      <w:r w:rsidRPr="007C0DC3">
        <w:rPr>
          <w:rFonts w:ascii="Arial" w:hAnsi="Arial" w:cs="Arial"/>
          <w:sz w:val="20"/>
          <w:szCs w:val="20"/>
        </w:rPr>
        <w:noBreakHyphen/>
        <w:t>coated for 30 s with gold</w:t>
      </w:r>
      <w:r w:rsidRPr="007C0DC3">
        <w:rPr>
          <w:rFonts w:ascii="Arial" w:hAnsi="Arial" w:cs="Arial"/>
          <w:sz w:val="20"/>
          <w:szCs w:val="20"/>
        </w:rPr>
        <w:noBreakHyphen/>
        <w:t>palladium under argon. The coated stub was then placed in the SEM chamber for examination.</w:t>
      </w:r>
    </w:p>
    <w:p w14:paraId="39BBF806" w14:textId="77777777" w:rsidR="00885334" w:rsidRPr="007C0DC3" w:rsidRDefault="005C6160" w:rsidP="00F766EC">
      <w:pPr>
        <w:spacing w:after="0" w:line="480" w:lineRule="auto"/>
        <w:ind w:right="340" w:firstLine="340"/>
        <w:jc w:val="both"/>
        <w:rPr>
          <w:rFonts w:ascii="Arial" w:hAnsi="Arial" w:cs="Arial"/>
          <w:sz w:val="20"/>
          <w:szCs w:val="20"/>
          <w:u w:val="single"/>
          <w:vertAlign w:val="superscript"/>
        </w:rPr>
      </w:pPr>
      <w:r w:rsidRPr="007C0DC3">
        <w:rPr>
          <w:rFonts w:ascii="Arial" w:hAnsi="Arial" w:cs="Arial"/>
          <w:b/>
          <w:bCs/>
          <w:sz w:val="20"/>
          <w:szCs w:val="20"/>
          <w:u w:val="single"/>
        </w:rPr>
        <w:t>2.4.</w:t>
      </w:r>
      <w:r w:rsidR="00A855D8" w:rsidRPr="007C0DC3">
        <w:rPr>
          <w:rFonts w:ascii="Arial" w:hAnsi="Arial" w:cs="Arial"/>
          <w:b/>
          <w:bCs/>
          <w:sz w:val="20"/>
          <w:szCs w:val="20"/>
          <w:u w:val="single"/>
        </w:rPr>
        <w:t xml:space="preserve">14 </w:t>
      </w:r>
      <w:r w:rsidR="004D5AF1" w:rsidRPr="007C0DC3">
        <w:rPr>
          <w:rFonts w:ascii="Arial" w:hAnsi="Arial" w:cs="Arial"/>
          <w:b/>
          <w:bCs/>
          <w:sz w:val="20"/>
          <w:szCs w:val="20"/>
          <w:u w:val="single"/>
        </w:rPr>
        <w:t>Stability Studies</w:t>
      </w:r>
    </w:p>
    <w:p w14:paraId="7B26DCF6" w14:textId="77777777" w:rsidR="004833F9" w:rsidRPr="007C0DC3" w:rsidRDefault="00056428" w:rsidP="00845ADF">
      <w:pPr>
        <w:spacing w:after="0" w:line="480" w:lineRule="auto"/>
        <w:ind w:left="340" w:right="340"/>
        <w:jc w:val="both"/>
        <w:rPr>
          <w:rFonts w:ascii="Arial" w:hAnsi="Arial" w:cs="Arial"/>
          <w:sz w:val="20"/>
          <w:szCs w:val="20"/>
        </w:rPr>
      </w:pPr>
      <w:r w:rsidRPr="007C0DC3">
        <w:rPr>
          <w:rFonts w:ascii="Arial" w:hAnsi="Arial" w:cs="Arial"/>
          <w:sz w:val="20"/>
          <w:szCs w:val="20"/>
        </w:rPr>
        <w:t xml:space="preserve">Stability testing was performed as per ICH guidelines to evaluate drug and formulation stability under environmental factors. The buccal patches were wrapped in </w:t>
      </w:r>
      <w:proofErr w:type="spellStart"/>
      <w:r w:rsidRPr="007C0DC3">
        <w:rPr>
          <w:rFonts w:ascii="Arial" w:hAnsi="Arial" w:cs="Arial"/>
          <w:sz w:val="20"/>
          <w:szCs w:val="20"/>
        </w:rPr>
        <w:t>aluminum</w:t>
      </w:r>
      <w:proofErr w:type="spellEnd"/>
      <w:r w:rsidRPr="007C0DC3">
        <w:rPr>
          <w:rFonts w:ascii="Arial" w:hAnsi="Arial" w:cs="Arial"/>
          <w:sz w:val="20"/>
          <w:szCs w:val="20"/>
        </w:rPr>
        <w:t xml:space="preserve"> foil and stored at room temperature for one month. After storage, they were examined for appearance, thickness, and drug content.</w:t>
      </w:r>
    </w:p>
    <w:p w14:paraId="1CF7C0F5" w14:textId="77777777" w:rsidR="00CF3ACF" w:rsidRPr="007C0DC3" w:rsidRDefault="00A855D8" w:rsidP="00845ADF">
      <w:pPr>
        <w:spacing w:after="0" w:line="480" w:lineRule="auto"/>
        <w:ind w:left="340" w:right="340"/>
        <w:jc w:val="both"/>
        <w:rPr>
          <w:rFonts w:ascii="Arial" w:hAnsi="Arial" w:cs="Arial"/>
          <w:b/>
          <w:bCs/>
          <w:sz w:val="22"/>
          <w:szCs w:val="22"/>
        </w:rPr>
      </w:pPr>
      <w:r w:rsidRPr="007C0DC3">
        <w:rPr>
          <w:rFonts w:ascii="Arial" w:hAnsi="Arial" w:cs="Arial"/>
          <w:b/>
          <w:bCs/>
          <w:sz w:val="22"/>
          <w:szCs w:val="22"/>
        </w:rPr>
        <w:t xml:space="preserve">3. </w:t>
      </w:r>
      <w:r w:rsidR="002C2AC8" w:rsidRPr="007C0DC3">
        <w:rPr>
          <w:rFonts w:ascii="Arial" w:hAnsi="Arial" w:cs="Arial"/>
          <w:b/>
          <w:bCs/>
          <w:sz w:val="22"/>
          <w:szCs w:val="22"/>
        </w:rPr>
        <w:t>RESULT</w:t>
      </w:r>
      <w:r w:rsidR="00B7707D" w:rsidRPr="007C0DC3">
        <w:rPr>
          <w:rFonts w:ascii="Arial" w:hAnsi="Arial" w:cs="Arial"/>
          <w:b/>
          <w:bCs/>
          <w:sz w:val="22"/>
          <w:szCs w:val="22"/>
        </w:rPr>
        <w:t>S</w:t>
      </w:r>
      <w:r w:rsidR="002C2AC8" w:rsidRPr="007C0DC3">
        <w:rPr>
          <w:rFonts w:ascii="Arial" w:hAnsi="Arial" w:cs="Arial"/>
          <w:b/>
          <w:bCs/>
          <w:sz w:val="22"/>
          <w:szCs w:val="22"/>
        </w:rPr>
        <w:t xml:space="preserve"> AND DISCUSSION</w:t>
      </w:r>
    </w:p>
    <w:p w14:paraId="67B22695" w14:textId="77777777" w:rsidR="00B7707D" w:rsidRPr="007C0DC3" w:rsidRDefault="00A855D8" w:rsidP="00845ADF">
      <w:pPr>
        <w:spacing w:after="0" w:line="480" w:lineRule="auto"/>
        <w:ind w:left="340" w:right="340"/>
        <w:jc w:val="both"/>
        <w:rPr>
          <w:rFonts w:ascii="Arial" w:hAnsi="Arial" w:cs="Arial"/>
          <w:b/>
          <w:bCs/>
          <w:sz w:val="22"/>
          <w:szCs w:val="22"/>
        </w:rPr>
      </w:pPr>
      <w:r w:rsidRPr="007C0DC3">
        <w:rPr>
          <w:rFonts w:ascii="Arial" w:hAnsi="Arial" w:cs="Arial"/>
          <w:b/>
          <w:bCs/>
          <w:sz w:val="22"/>
          <w:szCs w:val="22"/>
        </w:rPr>
        <w:t xml:space="preserve">3.1 </w:t>
      </w:r>
      <w:r w:rsidR="00D619FE" w:rsidRPr="007C0DC3">
        <w:rPr>
          <w:rFonts w:ascii="Arial" w:hAnsi="Arial" w:cs="Arial"/>
          <w:b/>
          <w:bCs/>
          <w:sz w:val="22"/>
          <w:szCs w:val="22"/>
        </w:rPr>
        <w:t>Characterization of Drug</w:t>
      </w:r>
    </w:p>
    <w:p w14:paraId="387F0915" w14:textId="77777777" w:rsidR="002462F7" w:rsidRPr="007C0DC3" w:rsidRDefault="00A855D8" w:rsidP="00845ADF">
      <w:pPr>
        <w:spacing w:after="0" w:line="480" w:lineRule="auto"/>
        <w:ind w:left="340" w:right="340"/>
        <w:jc w:val="both"/>
        <w:rPr>
          <w:rFonts w:ascii="Arial" w:hAnsi="Arial" w:cs="Arial"/>
          <w:b/>
          <w:bCs/>
          <w:sz w:val="20"/>
          <w:szCs w:val="20"/>
          <w:u w:val="single"/>
        </w:rPr>
      </w:pPr>
      <w:r w:rsidRPr="007C0DC3">
        <w:rPr>
          <w:rFonts w:ascii="Arial" w:hAnsi="Arial" w:cs="Arial"/>
          <w:b/>
          <w:bCs/>
          <w:sz w:val="20"/>
          <w:szCs w:val="20"/>
          <w:u w:val="single"/>
        </w:rPr>
        <w:t xml:space="preserve">3.1.1 </w:t>
      </w:r>
      <w:r w:rsidR="002462F7" w:rsidRPr="007C0DC3">
        <w:rPr>
          <w:rFonts w:ascii="Arial" w:hAnsi="Arial" w:cs="Arial"/>
          <w:b/>
          <w:bCs/>
          <w:sz w:val="20"/>
          <w:szCs w:val="20"/>
          <w:u w:val="single"/>
        </w:rPr>
        <w:t>Organoleptic Properties</w:t>
      </w:r>
    </w:p>
    <w:p w14:paraId="7C8C3421" w14:textId="77777777" w:rsidR="00F968C3" w:rsidRPr="007C0DC3" w:rsidRDefault="00711B9D" w:rsidP="00845ADF">
      <w:pPr>
        <w:spacing w:after="0" w:line="480" w:lineRule="auto"/>
        <w:ind w:left="340" w:right="340"/>
        <w:jc w:val="both"/>
        <w:rPr>
          <w:rFonts w:ascii="Arial" w:hAnsi="Arial" w:cs="Arial"/>
          <w:sz w:val="20"/>
          <w:szCs w:val="20"/>
        </w:rPr>
      </w:pPr>
      <w:r w:rsidRPr="007C0DC3">
        <w:rPr>
          <w:rFonts w:ascii="Arial" w:hAnsi="Arial" w:cs="Arial"/>
          <w:sz w:val="20"/>
          <w:szCs w:val="20"/>
        </w:rPr>
        <w:t xml:space="preserve">Clomipramine HCl was observed to be a </w:t>
      </w:r>
      <w:r w:rsidR="00E63731" w:rsidRPr="007C0DC3">
        <w:rPr>
          <w:rFonts w:ascii="Arial" w:hAnsi="Arial" w:cs="Arial"/>
          <w:sz w:val="20"/>
          <w:szCs w:val="20"/>
        </w:rPr>
        <w:t xml:space="preserve">white crystalline powder, </w:t>
      </w:r>
      <w:proofErr w:type="spellStart"/>
      <w:r w:rsidR="00E63731" w:rsidRPr="007C0DC3">
        <w:rPr>
          <w:rFonts w:ascii="Arial" w:hAnsi="Arial" w:cs="Arial"/>
          <w:sz w:val="20"/>
          <w:szCs w:val="20"/>
        </w:rPr>
        <w:t>odorless</w:t>
      </w:r>
      <w:proofErr w:type="spellEnd"/>
      <w:r w:rsidR="00E63731" w:rsidRPr="007C0DC3">
        <w:rPr>
          <w:rFonts w:ascii="Arial" w:hAnsi="Arial" w:cs="Arial"/>
          <w:sz w:val="20"/>
          <w:szCs w:val="20"/>
        </w:rPr>
        <w:t xml:space="preserve"> and </w:t>
      </w:r>
      <w:r w:rsidR="00160428" w:rsidRPr="007C0DC3">
        <w:rPr>
          <w:rFonts w:ascii="Arial" w:hAnsi="Arial" w:cs="Arial"/>
          <w:sz w:val="20"/>
          <w:szCs w:val="20"/>
        </w:rPr>
        <w:t>solid powder.</w:t>
      </w:r>
    </w:p>
    <w:p w14:paraId="29B8DD76" w14:textId="77777777" w:rsidR="000F2DBA" w:rsidRPr="007C0DC3" w:rsidRDefault="00000000">
      <w:pPr>
        <w:jc w:val="both"/>
      </w:pPr>
      <w:r w:rsidRPr="007C0DC3">
        <w:rPr>
          <w:rFonts w:ascii="Arial" w:hAnsi="Arial"/>
          <w:sz w:val="20"/>
        </w:rPr>
        <w:t>The organoleptic observation provides a preliminary identity and quality check, but it is not sufficiently specific to establish drug identity. Accordingly, the visual finding is best interpreted together with instrumental characterization and validated analytical procedures reported for clomipramine (Ghumman et al., 2023; Rahman &amp; Afaq, 2010; Ali et al., 2016).</w:t>
      </w:r>
    </w:p>
    <w:p w14:paraId="3414BAEE" w14:textId="77777777" w:rsidR="0057452C" w:rsidRPr="007C0DC3" w:rsidRDefault="008511EA" w:rsidP="00160428">
      <w:pPr>
        <w:spacing w:line="480" w:lineRule="auto"/>
        <w:ind w:right="340" w:firstLine="340"/>
        <w:jc w:val="both"/>
        <w:rPr>
          <w:rFonts w:ascii="Arial" w:hAnsi="Arial" w:cs="Arial"/>
          <w:b/>
          <w:sz w:val="20"/>
          <w:szCs w:val="20"/>
          <w:u w:val="single"/>
        </w:rPr>
      </w:pPr>
      <w:r w:rsidRPr="007C0DC3">
        <w:rPr>
          <w:rFonts w:ascii="Arial" w:hAnsi="Arial" w:cs="Arial"/>
          <w:b/>
          <w:sz w:val="20"/>
          <w:szCs w:val="20"/>
          <w:u w:val="single"/>
        </w:rPr>
        <w:t xml:space="preserve">3.1.2 </w:t>
      </w:r>
      <w:r w:rsidR="003F76C5" w:rsidRPr="007C0DC3">
        <w:rPr>
          <w:rFonts w:ascii="Arial" w:hAnsi="Arial" w:cs="Arial"/>
          <w:b/>
          <w:sz w:val="20"/>
          <w:szCs w:val="20"/>
          <w:u w:val="single"/>
        </w:rPr>
        <w:t>Determination of Melting Point</w:t>
      </w:r>
    </w:p>
    <w:p w14:paraId="1A5405BE" w14:textId="77777777" w:rsidR="002A7A04" w:rsidRPr="007C0DC3" w:rsidRDefault="0062763C" w:rsidP="002A7A04">
      <w:pPr>
        <w:pBdr>
          <w:top w:val="nil"/>
          <w:left w:val="nil"/>
          <w:bottom w:val="nil"/>
          <w:right w:val="nil"/>
          <w:between w:val="nil"/>
        </w:pBdr>
        <w:spacing w:after="120" w:line="480" w:lineRule="auto"/>
        <w:ind w:left="340" w:right="340"/>
        <w:jc w:val="both"/>
        <w:rPr>
          <w:rFonts w:ascii="Arial" w:eastAsia="Arial" w:hAnsi="Arial" w:cs="Arial"/>
          <w:color w:val="000000"/>
          <w:sz w:val="20"/>
          <w:szCs w:val="20"/>
        </w:rPr>
      </w:pPr>
      <w:r w:rsidRPr="007C0DC3">
        <w:rPr>
          <w:rFonts w:ascii="Arial" w:eastAsia="Arial" w:hAnsi="Arial" w:cs="Arial"/>
          <w:color w:val="000000"/>
          <w:sz w:val="20"/>
          <w:szCs w:val="20"/>
        </w:rPr>
        <w:lastRenderedPageBreak/>
        <w:t>The observed melting point of</w:t>
      </w:r>
      <w:r w:rsidR="00515A27" w:rsidRPr="007C0DC3">
        <w:rPr>
          <w:rFonts w:ascii="Arial" w:eastAsia="Arial" w:hAnsi="Arial" w:cs="Arial"/>
          <w:color w:val="000000"/>
          <w:sz w:val="20"/>
          <w:szCs w:val="20"/>
        </w:rPr>
        <w:t xml:space="preserve"> </w:t>
      </w:r>
      <w:r w:rsidR="00515A27" w:rsidRPr="007C0DC3">
        <w:rPr>
          <w:rFonts w:ascii="Arial" w:hAnsi="Arial" w:cs="Arial"/>
          <w:sz w:val="20"/>
          <w:szCs w:val="20"/>
        </w:rPr>
        <w:t>Clomipramine HCl</w:t>
      </w:r>
      <w:r w:rsidRPr="007C0DC3">
        <w:rPr>
          <w:rFonts w:ascii="Arial" w:eastAsia="Arial" w:hAnsi="Arial" w:cs="Arial"/>
          <w:color w:val="000000"/>
          <w:sz w:val="20"/>
          <w:szCs w:val="20"/>
        </w:rPr>
        <w:t xml:space="preserve"> was </w:t>
      </w:r>
      <w:r w:rsidR="009F5F14" w:rsidRPr="007C0DC3">
        <w:rPr>
          <w:rFonts w:ascii="Arial" w:eastAsia="Arial" w:hAnsi="Arial" w:cs="Arial"/>
          <w:color w:val="000000"/>
          <w:sz w:val="20"/>
          <w:szCs w:val="20"/>
        </w:rPr>
        <w:t>192</w:t>
      </w:r>
      <w:r w:rsidRPr="007C0DC3">
        <w:rPr>
          <w:rFonts w:ascii="Arial" w:eastAsia="Arial" w:hAnsi="Arial" w:cs="Arial"/>
          <w:color w:val="000000"/>
          <w:sz w:val="20"/>
          <w:szCs w:val="20"/>
        </w:rPr>
        <w:t xml:space="preserve"> ºC, which is in agreement with the </w:t>
      </w:r>
      <w:r w:rsidR="009F5F14" w:rsidRPr="007C0DC3">
        <w:rPr>
          <w:rFonts w:ascii="Arial" w:eastAsia="Arial" w:hAnsi="Arial" w:cs="Arial"/>
          <w:color w:val="000000"/>
          <w:sz w:val="20"/>
          <w:szCs w:val="20"/>
        </w:rPr>
        <w:t xml:space="preserve">standard </w:t>
      </w:r>
      <w:r w:rsidRPr="007C0DC3">
        <w:rPr>
          <w:rFonts w:ascii="Arial" w:eastAsia="Arial" w:hAnsi="Arial" w:cs="Arial"/>
          <w:color w:val="000000"/>
          <w:sz w:val="20"/>
          <w:szCs w:val="20"/>
        </w:rPr>
        <w:t>value of 1</w:t>
      </w:r>
      <w:r w:rsidR="00916583" w:rsidRPr="007C0DC3">
        <w:rPr>
          <w:rFonts w:ascii="Arial" w:eastAsia="Arial" w:hAnsi="Arial" w:cs="Arial"/>
          <w:color w:val="000000"/>
          <w:sz w:val="20"/>
          <w:szCs w:val="20"/>
        </w:rPr>
        <w:t>92 - 196</w:t>
      </w:r>
      <w:r w:rsidRPr="007C0DC3">
        <w:rPr>
          <w:rFonts w:ascii="Arial" w:eastAsia="Arial" w:hAnsi="Arial" w:cs="Arial"/>
          <w:color w:val="000000"/>
          <w:sz w:val="20"/>
          <w:szCs w:val="20"/>
        </w:rPr>
        <w:t xml:space="preserve"> ºC.</w:t>
      </w:r>
    </w:p>
    <w:p w14:paraId="246D163A" w14:textId="77777777" w:rsidR="002B52DB" w:rsidRPr="007C0DC3" w:rsidRDefault="002B52DB" w:rsidP="002A7A04">
      <w:pPr>
        <w:pBdr>
          <w:top w:val="nil"/>
          <w:left w:val="nil"/>
          <w:bottom w:val="nil"/>
          <w:right w:val="nil"/>
          <w:between w:val="nil"/>
        </w:pBdr>
        <w:spacing w:after="120" w:line="480" w:lineRule="auto"/>
        <w:ind w:left="340" w:right="340"/>
        <w:jc w:val="both"/>
        <w:rPr>
          <w:rFonts w:ascii="Arial" w:hAnsi="Arial" w:cs="Arial"/>
          <w:b/>
          <w:bCs/>
          <w:sz w:val="20"/>
          <w:szCs w:val="20"/>
          <w:u w:val="single"/>
        </w:rPr>
      </w:pPr>
    </w:p>
    <w:p w14:paraId="07FA7E80" w14:textId="77777777" w:rsidR="000F2DBA" w:rsidRPr="007C0DC3" w:rsidRDefault="00000000">
      <w:pPr>
        <w:jc w:val="both"/>
      </w:pPr>
      <w:r w:rsidRPr="007C0DC3">
        <w:rPr>
          <w:rFonts w:ascii="Arial" w:hAnsi="Arial"/>
          <w:sz w:val="20"/>
        </w:rPr>
        <w:t>The measured melting point near 192 °C is supportive of a crystalline clomipramine hydrochloride sample; nevertheless, thermal behavior can vary with solid-state form and experimental conditions. Thus, melting-point agreement should be considered complementary to spectroscopic and thermal characterization rather than a stand-alone identity test (Ghumman et al., 2023; Patel &amp; Karvekar, 2019; Rahman &amp; Afaq, 2010).</w:t>
      </w:r>
    </w:p>
    <w:p w14:paraId="2FD3964B" w14:textId="77777777" w:rsidR="003F76C5" w:rsidRPr="007C0DC3" w:rsidRDefault="008511EA" w:rsidP="002A7A04">
      <w:pPr>
        <w:pBdr>
          <w:top w:val="nil"/>
          <w:left w:val="nil"/>
          <w:bottom w:val="nil"/>
          <w:right w:val="nil"/>
          <w:between w:val="nil"/>
        </w:pBdr>
        <w:spacing w:after="120" w:line="480" w:lineRule="auto"/>
        <w:ind w:left="340" w:right="340"/>
        <w:jc w:val="both"/>
        <w:rPr>
          <w:rFonts w:ascii="Arial" w:eastAsia="Arial" w:hAnsi="Arial" w:cs="Arial"/>
          <w:color w:val="000000"/>
          <w:sz w:val="20"/>
          <w:szCs w:val="20"/>
        </w:rPr>
      </w:pPr>
      <w:r w:rsidRPr="007C0DC3">
        <w:rPr>
          <w:rFonts w:ascii="Arial" w:hAnsi="Arial" w:cs="Arial"/>
          <w:b/>
          <w:bCs/>
          <w:sz w:val="20"/>
          <w:szCs w:val="20"/>
          <w:u w:val="single"/>
        </w:rPr>
        <w:t xml:space="preserve">3.1.3 </w:t>
      </w:r>
      <w:r w:rsidR="003F76C5" w:rsidRPr="007C0DC3">
        <w:rPr>
          <w:rFonts w:ascii="Arial" w:hAnsi="Arial" w:cs="Arial"/>
          <w:b/>
          <w:bCs/>
          <w:sz w:val="20"/>
          <w:szCs w:val="20"/>
          <w:u w:val="single"/>
        </w:rPr>
        <w:t xml:space="preserve">Solubility Studies </w:t>
      </w:r>
    </w:p>
    <w:p w14:paraId="63399203" w14:textId="77777777" w:rsidR="002A7A04" w:rsidRPr="007C0DC3" w:rsidRDefault="00F42F8A" w:rsidP="00EF0F30">
      <w:pPr>
        <w:spacing w:after="0" w:line="480" w:lineRule="auto"/>
        <w:ind w:left="340" w:right="340"/>
        <w:jc w:val="both"/>
        <w:rPr>
          <w:rFonts w:ascii="Arial" w:hAnsi="Arial" w:cs="Arial"/>
          <w:b/>
          <w:bCs/>
          <w:sz w:val="20"/>
          <w:szCs w:val="20"/>
        </w:rPr>
      </w:pPr>
      <w:r w:rsidRPr="007C0DC3">
        <w:rPr>
          <w:rFonts w:ascii="Arial" w:hAnsi="Arial" w:cs="Arial"/>
          <w:sz w:val="20"/>
          <w:szCs w:val="20"/>
        </w:rPr>
        <w:t xml:space="preserve">Clomipramine HCl was </w:t>
      </w:r>
      <w:r w:rsidR="00481CF9" w:rsidRPr="007C0DC3">
        <w:rPr>
          <w:rFonts w:ascii="Arial" w:hAnsi="Arial" w:cs="Arial"/>
          <w:sz w:val="20"/>
          <w:szCs w:val="20"/>
        </w:rPr>
        <w:t>freely soluble in distilled water, ethanol</w:t>
      </w:r>
      <w:r w:rsidR="00D40373" w:rsidRPr="007C0DC3">
        <w:rPr>
          <w:rFonts w:ascii="Arial" w:hAnsi="Arial" w:cs="Arial"/>
          <w:sz w:val="20"/>
          <w:szCs w:val="20"/>
        </w:rPr>
        <w:t>, methanol, chloroform</w:t>
      </w:r>
      <w:r w:rsidR="00E27E80" w:rsidRPr="007C0DC3">
        <w:rPr>
          <w:rFonts w:ascii="Arial" w:hAnsi="Arial" w:cs="Arial"/>
          <w:sz w:val="20"/>
          <w:szCs w:val="20"/>
        </w:rPr>
        <w:t xml:space="preserve">, </w:t>
      </w:r>
      <w:r w:rsidR="00D40373" w:rsidRPr="007C0DC3">
        <w:rPr>
          <w:rFonts w:ascii="Arial" w:hAnsi="Arial" w:cs="Arial"/>
          <w:sz w:val="20"/>
          <w:szCs w:val="20"/>
        </w:rPr>
        <w:t xml:space="preserve">0.1N HCl </w:t>
      </w:r>
      <w:r w:rsidR="00E27E80" w:rsidRPr="007C0DC3">
        <w:rPr>
          <w:rFonts w:ascii="Arial" w:hAnsi="Arial" w:cs="Arial"/>
          <w:sz w:val="20"/>
          <w:szCs w:val="20"/>
        </w:rPr>
        <w:t>and soluble in acetone</w:t>
      </w:r>
      <w:r w:rsidR="00515537" w:rsidRPr="007C0DC3">
        <w:rPr>
          <w:rFonts w:ascii="Arial" w:hAnsi="Arial" w:cs="Arial"/>
          <w:sz w:val="20"/>
          <w:szCs w:val="20"/>
        </w:rPr>
        <w:t>.</w:t>
      </w:r>
    </w:p>
    <w:p w14:paraId="32A363F8" w14:textId="77777777" w:rsidR="000F2DBA" w:rsidRPr="007C0DC3" w:rsidRDefault="00000000">
      <w:pPr>
        <w:jc w:val="both"/>
      </w:pPr>
      <w:r w:rsidRPr="007C0DC3">
        <w:rPr>
          <w:rFonts w:ascii="Arial" w:hAnsi="Arial"/>
          <w:sz w:val="20"/>
        </w:rPr>
        <w:t>The broad solubility observed across aqueous and organic media is consistent with the amphiphilic solution behavior of clomipramine hydrochloride. Because ionization, pH, and medium composition can alter apparent solubility and molecular association, these qualitative findings should be interpreted as medium-specific rather than as an intrinsic solubility constant (Naqvi et al., 2010; Rahman &amp; Afaq, 2010; Ali et al., 2016).</w:t>
      </w:r>
    </w:p>
    <w:p w14:paraId="413EE3A1" w14:textId="77777777" w:rsidR="007F257D" w:rsidRPr="007C0DC3" w:rsidRDefault="008A4207" w:rsidP="00574494">
      <w:pPr>
        <w:shd w:val="clear" w:color="auto" w:fill="FFFFFF" w:themeFill="background1"/>
        <w:spacing w:after="0" w:line="480" w:lineRule="auto"/>
        <w:ind w:right="340" w:firstLine="340"/>
        <w:jc w:val="both"/>
        <w:rPr>
          <w:rFonts w:ascii="Arial" w:hAnsi="Arial" w:cs="Arial"/>
          <w:b/>
          <w:bCs/>
          <w:sz w:val="20"/>
          <w:szCs w:val="20"/>
          <w:u w:val="single"/>
          <w:vertAlign w:val="superscript"/>
        </w:rPr>
      </w:pPr>
      <w:r w:rsidRPr="007C0DC3">
        <w:rPr>
          <w:rFonts w:ascii="Arial" w:hAnsi="Arial" w:cs="Arial"/>
          <w:b/>
          <w:bCs/>
          <w:sz w:val="20"/>
          <w:szCs w:val="20"/>
          <w:u w:val="single"/>
        </w:rPr>
        <w:t xml:space="preserve">3.1.4 </w:t>
      </w:r>
      <w:r w:rsidR="00320702" w:rsidRPr="007C0DC3">
        <w:rPr>
          <w:rFonts w:ascii="Arial" w:hAnsi="Arial" w:cs="Arial"/>
          <w:b/>
          <w:bCs/>
          <w:sz w:val="20"/>
          <w:szCs w:val="20"/>
          <w:u w:val="single"/>
        </w:rPr>
        <w:t>Drug-Excipient Compatibility Study</w:t>
      </w:r>
    </w:p>
    <w:p w14:paraId="24AF7CB8" w14:textId="77777777" w:rsidR="00BD5588" w:rsidRPr="007C0DC3" w:rsidRDefault="008A4207" w:rsidP="00BD5588">
      <w:pPr>
        <w:shd w:val="clear" w:color="auto" w:fill="FFFFFF" w:themeFill="background1"/>
        <w:spacing w:after="0" w:line="480" w:lineRule="auto"/>
        <w:ind w:left="340" w:right="340"/>
        <w:jc w:val="both"/>
        <w:rPr>
          <w:rFonts w:ascii="Arial" w:hAnsi="Arial" w:cs="Arial"/>
          <w:b/>
          <w:bCs/>
          <w:i/>
          <w:iCs/>
          <w:sz w:val="20"/>
          <w:szCs w:val="20"/>
        </w:rPr>
      </w:pPr>
      <w:r w:rsidRPr="007C0DC3">
        <w:rPr>
          <w:rFonts w:ascii="Arial" w:hAnsi="Arial" w:cs="Arial"/>
          <w:b/>
          <w:bCs/>
          <w:i/>
          <w:iCs/>
          <w:sz w:val="20"/>
          <w:szCs w:val="20"/>
        </w:rPr>
        <w:t xml:space="preserve">3.1.4.1 </w:t>
      </w:r>
      <w:r w:rsidR="007F257D" w:rsidRPr="007C0DC3">
        <w:rPr>
          <w:rFonts w:ascii="Arial" w:hAnsi="Arial" w:cs="Arial"/>
          <w:b/>
          <w:bCs/>
          <w:i/>
          <w:iCs/>
          <w:sz w:val="20"/>
          <w:szCs w:val="20"/>
        </w:rPr>
        <w:t>Chemical Compatibility Study</w:t>
      </w:r>
    </w:p>
    <w:p w14:paraId="7B506187" w14:textId="77777777" w:rsidR="00574494" w:rsidRPr="007C0DC3" w:rsidRDefault="00574494" w:rsidP="00574494">
      <w:pPr>
        <w:shd w:val="clear" w:color="auto" w:fill="FFFFFF" w:themeFill="background1"/>
        <w:spacing w:after="0" w:line="480" w:lineRule="auto"/>
        <w:ind w:left="340" w:right="340"/>
        <w:jc w:val="both"/>
        <w:rPr>
          <w:rFonts w:ascii="Arial" w:hAnsi="Arial" w:cs="Arial"/>
          <w:b/>
          <w:bCs/>
          <w:sz w:val="20"/>
          <w:szCs w:val="20"/>
        </w:rPr>
      </w:pPr>
      <w:r w:rsidRPr="007C0DC3">
        <w:rPr>
          <w:rFonts w:ascii="Arial" w:hAnsi="Arial" w:cs="Arial"/>
          <w:b/>
          <w:bCs/>
          <w:sz w:val="20"/>
          <w:szCs w:val="20"/>
        </w:rPr>
        <w:t>A)</w:t>
      </w:r>
    </w:p>
    <w:p w14:paraId="55BA6B35" w14:textId="77777777" w:rsidR="00CE0C46" w:rsidRPr="007C0DC3" w:rsidRDefault="00A9665F" w:rsidP="00CE0C46">
      <w:pPr>
        <w:shd w:val="clear" w:color="auto" w:fill="FFFFFF" w:themeFill="background1"/>
        <w:spacing w:after="0" w:line="480" w:lineRule="auto"/>
        <w:ind w:left="340" w:right="340" w:firstLine="380"/>
        <w:jc w:val="both"/>
        <w:rPr>
          <w:rFonts w:ascii="Arial" w:hAnsi="Arial" w:cs="Arial"/>
          <w:b/>
          <w:bCs/>
          <w:sz w:val="20"/>
          <w:szCs w:val="20"/>
        </w:rPr>
      </w:pPr>
      <w:r w:rsidRPr="007C0DC3">
        <w:rPr>
          <w:b/>
          <w:bCs/>
          <w:noProof/>
        </w:rPr>
        <w:drawing>
          <wp:inline distT="0" distB="0" distL="0" distR="0" wp14:anchorId="38B471B8" wp14:editId="6731A868">
            <wp:extent cx="4236720" cy="2640696"/>
            <wp:effectExtent l="0" t="0" r="0" b="762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18" cstate="print">
                      <a:extLst>
                        <a:ext uri="{28A0092B-C50C-407E-A947-70E740481C1C}">
                          <a14:useLocalDpi xmlns:a14="http://schemas.microsoft.com/office/drawing/2010/main" val="0"/>
                        </a:ext>
                      </a:extLst>
                    </a:blip>
                    <a:srcRect l="3549" t="6682" r="3845" b="2306"/>
                    <a:stretch>
                      <a:fillRect/>
                    </a:stretch>
                  </pic:blipFill>
                  <pic:spPr bwMode="auto">
                    <a:xfrm>
                      <a:off x="0" y="0"/>
                      <a:ext cx="4368287" cy="2722700"/>
                    </a:xfrm>
                    <a:prstGeom prst="rect">
                      <a:avLst/>
                    </a:prstGeom>
                    <a:ln>
                      <a:noFill/>
                    </a:ln>
                    <a:extLst>
                      <a:ext uri="{53640926-AAD7-44D8-BBD7-CCE9431645EC}">
                        <a14:shadowObscured xmlns:a14="http://schemas.microsoft.com/office/drawing/2010/main"/>
                      </a:ext>
                    </a:extLst>
                  </pic:spPr>
                </pic:pic>
              </a:graphicData>
            </a:graphic>
          </wp:inline>
        </w:drawing>
      </w:r>
    </w:p>
    <w:p w14:paraId="6BAFB122" w14:textId="77777777" w:rsidR="0001567D" w:rsidRPr="007C0DC3" w:rsidRDefault="00C76160" w:rsidP="00CE0C46">
      <w:pPr>
        <w:shd w:val="clear" w:color="auto" w:fill="FFFFFF" w:themeFill="background1"/>
        <w:spacing w:after="0" w:line="480" w:lineRule="auto"/>
        <w:ind w:left="340" w:right="340"/>
        <w:jc w:val="both"/>
        <w:rPr>
          <w:rFonts w:ascii="Arial" w:hAnsi="Arial" w:cs="Arial"/>
          <w:b/>
          <w:bCs/>
          <w:sz w:val="20"/>
          <w:szCs w:val="20"/>
        </w:rPr>
      </w:pPr>
      <w:r w:rsidRPr="007C0DC3">
        <w:rPr>
          <w:rFonts w:ascii="Arial" w:hAnsi="Arial" w:cs="Arial"/>
          <w:b/>
          <w:bCs/>
          <w:noProof/>
          <w:sz w:val="20"/>
          <w:szCs w:val="20"/>
        </w:rPr>
        <w:t>B)</w:t>
      </w:r>
    </w:p>
    <w:p w14:paraId="4E2B603C" w14:textId="77777777" w:rsidR="00946694" w:rsidRPr="007C0DC3" w:rsidRDefault="00BD5588" w:rsidP="002E09D2">
      <w:pPr>
        <w:spacing w:after="0" w:line="480" w:lineRule="auto"/>
        <w:ind w:right="113" w:firstLine="720"/>
        <w:jc w:val="both"/>
        <w:rPr>
          <w:rFonts w:ascii="Arial" w:hAnsi="Arial" w:cs="Arial"/>
          <w:b/>
          <w:bCs/>
          <w:sz w:val="20"/>
          <w:szCs w:val="20"/>
        </w:rPr>
      </w:pPr>
      <w:r w:rsidRPr="007C0DC3">
        <w:rPr>
          <w:noProof/>
        </w:rPr>
        <w:lastRenderedPageBreak/>
        <w:t xml:space="preserve">  </w:t>
      </w:r>
      <w:r w:rsidR="000524BB" w:rsidRPr="007C0DC3">
        <w:rPr>
          <w:noProof/>
        </w:rPr>
        <w:drawing>
          <wp:inline distT="0" distB="0" distL="0" distR="0" wp14:anchorId="58FB4505" wp14:editId="470465CB">
            <wp:extent cx="4199255" cy="2842260"/>
            <wp:effectExtent l="0" t="0" r="0" b="0"/>
            <wp:docPr id="438449332" name="Picture 4">
              <a:extLst xmlns:a="http://schemas.openxmlformats.org/drawingml/2006/main">
                <a:ext uri="{FF2B5EF4-FFF2-40B4-BE49-F238E27FC236}">
                  <a16:creationId xmlns:a16="http://schemas.microsoft.com/office/drawing/2014/main" id="{E780B806-640B-876B-3B38-1C35353B80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780B806-640B-876B-3B38-1C35353B80D0}"/>
                        </a:ext>
                      </a:extLst>
                    </pic:cNvPr>
                    <pic:cNvPicPr>
                      <a:picLocks noChangeAspect="1"/>
                    </pic:cNvPicPr>
                  </pic:nvPicPr>
                  <pic:blipFill rotWithShape="1">
                    <a:blip r:embed="rId19"/>
                    <a:srcRect l="3073" t="6741" r="3914" b="209"/>
                    <a:stretch>
                      <a:fillRect/>
                    </a:stretch>
                  </pic:blipFill>
                  <pic:spPr bwMode="auto">
                    <a:xfrm>
                      <a:off x="0" y="0"/>
                      <a:ext cx="4277296" cy="2895082"/>
                    </a:xfrm>
                    <a:prstGeom prst="rect">
                      <a:avLst/>
                    </a:prstGeom>
                    <a:ln>
                      <a:noFill/>
                    </a:ln>
                    <a:extLst>
                      <a:ext uri="{53640926-AAD7-44D8-BBD7-CCE9431645EC}">
                        <a14:shadowObscured xmlns:a14="http://schemas.microsoft.com/office/drawing/2010/main"/>
                      </a:ext>
                    </a:extLst>
                  </pic:spPr>
                </pic:pic>
              </a:graphicData>
            </a:graphic>
          </wp:inline>
        </w:drawing>
      </w:r>
    </w:p>
    <w:p w14:paraId="7117B370" w14:textId="77777777" w:rsidR="00F42FB6" w:rsidRPr="007C0DC3" w:rsidRDefault="0071208A" w:rsidP="008165A0">
      <w:pPr>
        <w:spacing w:after="0" w:line="480" w:lineRule="auto"/>
        <w:ind w:left="340" w:right="340"/>
        <w:jc w:val="both"/>
        <w:rPr>
          <w:rFonts w:ascii="Arial" w:hAnsi="Arial" w:cs="Arial"/>
          <w:b/>
          <w:sz w:val="20"/>
          <w:szCs w:val="20"/>
        </w:rPr>
      </w:pPr>
      <w:r w:rsidRPr="007C0DC3">
        <w:rPr>
          <w:rFonts w:ascii="Arial" w:hAnsi="Arial" w:cs="Arial"/>
          <w:b/>
          <w:bCs/>
          <w:sz w:val="20"/>
          <w:szCs w:val="20"/>
        </w:rPr>
        <w:t>Fig</w:t>
      </w:r>
      <w:r w:rsidR="00AC3107" w:rsidRPr="007C0DC3">
        <w:rPr>
          <w:rFonts w:ascii="Arial" w:hAnsi="Arial" w:cs="Arial"/>
          <w:b/>
          <w:bCs/>
          <w:sz w:val="20"/>
          <w:szCs w:val="20"/>
        </w:rPr>
        <w:t>.</w:t>
      </w:r>
      <w:r w:rsidRPr="007C0DC3">
        <w:rPr>
          <w:rFonts w:ascii="Arial" w:hAnsi="Arial" w:cs="Arial"/>
          <w:b/>
          <w:bCs/>
          <w:sz w:val="20"/>
          <w:szCs w:val="20"/>
        </w:rPr>
        <w:t xml:space="preserve"> </w:t>
      </w:r>
      <w:r w:rsidR="00F25A7F" w:rsidRPr="007C0DC3">
        <w:rPr>
          <w:rFonts w:ascii="Arial" w:hAnsi="Arial" w:cs="Arial"/>
          <w:b/>
          <w:bCs/>
          <w:sz w:val="20"/>
          <w:szCs w:val="20"/>
        </w:rPr>
        <w:t>1</w:t>
      </w:r>
      <w:r w:rsidRPr="007C0DC3">
        <w:rPr>
          <w:rFonts w:ascii="Arial" w:hAnsi="Arial" w:cs="Arial"/>
          <w:b/>
          <w:bCs/>
          <w:sz w:val="20"/>
          <w:szCs w:val="20"/>
        </w:rPr>
        <w:t xml:space="preserve">: </w:t>
      </w:r>
      <w:r w:rsidR="00C76160" w:rsidRPr="007C0DC3">
        <w:rPr>
          <w:rFonts w:ascii="Arial" w:hAnsi="Arial" w:cs="Arial"/>
          <w:b/>
          <w:bCs/>
          <w:sz w:val="20"/>
          <w:szCs w:val="20"/>
        </w:rPr>
        <w:t xml:space="preserve">A) </w:t>
      </w:r>
      <w:r w:rsidRPr="007C0DC3">
        <w:rPr>
          <w:rFonts w:ascii="Arial" w:hAnsi="Arial" w:cs="Arial"/>
          <w:b/>
          <w:bCs/>
          <w:sz w:val="20"/>
          <w:szCs w:val="20"/>
        </w:rPr>
        <w:t>FT-IR Spectrum of Clomipramine HCl</w:t>
      </w:r>
      <w:r w:rsidR="008165A0" w:rsidRPr="007C0DC3">
        <w:rPr>
          <w:rFonts w:ascii="Arial" w:hAnsi="Arial" w:cs="Arial"/>
          <w:b/>
          <w:bCs/>
          <w:sz w:val="20"/>
          <w:szCs w:val="20"/>
        </w:rPr>
        <w:t xml:space="preserve"> and </w:t>
      </w:r>
      <w:r w:rsidR="00EF02AB" w:rsidRPr="007C0DC3">
        <w:rPr>
          <w:rFonts w:ascii="Arial" w:hAnsi="Arial" w:cs="Arial"/>
          <w:b/>
          <w:bCs/>
          <w:sz w:val="20"/>
          <w:szCs w:val="20"/>
        </w:rPr>
        <w:t xml:space="preserve">B) </w:t>
      </w:r>
      <w:r w:rsidR="0028539B" w:rsidRPr="007C0DC3">
        <w:rPr>
          <w:rFonts w:ascii="Arial" w:hAnsi="Arial" w:cs="Arial"/>
          <w:b/>
          <w:bCs/>
          <w:sz w:val="20"/>
          <w:szCs w:val="20"/>
        </w:rPr>
        <w:t xml:space="preserve">Clomipramine HCl, </w:t>
      </w:r>
      <w:r w:rsidR="0028539B" w:rsidRPr="007C0DC3">
        <w:rPr>
          <w:rFonts w:ascii="Arial" w:hAnsi="Arial" w:cs="Arial"/>
          <w:b/>
          <w:sz w:val="20"/>
          <w:szCs w:val="20"/>
        </w:rPr>
        <w:t>Tween 80, HPMC E15,</w:t>
      </w:r>
      <w:r w:rsidR="00946694" w:rsidRPr="007C0DC3">
        <w:rPr>
          <w:rFonts w:ascii="Arial" w:hAnsi="Arial" w:cs="Arial"/>
          <w:b/>
          <w:sz w:val="20"/>
          <w:szCs w:val="20"/>
        </w:rPr>
        <w:t xml:space="preserve"> </w:t>
      </w:r>
      <w:r w:rsidR="0028539B" w:rsidRPr="007C0DC3">
        <w:rPr>
          <w:rFonts w:ascii="Arial" w:hAnsi="Arial" w:cs="Arial"/>
          <w:b/>
          <w:sz w:val="20"/>
          <w:szCs w:val="20"/>
        </w:rPr>
        <w:t>Carbopol 940</w:t>
      </w:r>
    </w:p>
    <w:p w14:paraId="354BC121" w14:textId="77777777" w:rsidR="002B52DB" w:rsidRPr="007C0DC3" w:rsidRDefault="002B52DB" w:rsidP="00CE0C46">
      <w:pPr>
        <w:spacing w:after="0" w:line="480" w:lineRule="auto"/>
        <w:ind w:right="340" w:firstLine="340"/>
        <w:jc w:val="both"/>
        <w:rPr>
          <w:rFonts w:ascii="Arial" w:hAnsi="Arial" w:cs="Arial"/>
          <w:b/>
          <w:bCs/>
          <w:sz w:val="20"/>
          <w:szCs w:val="20"/>
        </w:rPr>
      </w:pPr>
    </w:p>
    <w:p w14:paraId="363CE921" w14:textId="77777777" w:rsidR="00946694" w:rsidRPr="007C0DC3" w:rsidRDefault="00A9665F" w:rsidP="00CE0C46">
      <w:pPr>
        <w:spacing w:after="0" w:line="480" w:lineRule="auto"/>
        <w:ind w:right="340" w:firstLine="340"/>
        <w:jc w:val="both"/>
        <w:rPr>
          <w:rFonts w:ascii="Arial" w:hAnsi="Arial" w:cs="Arial"/>
          <w:b/>
          <w:bCs/>
          <w:sz w:val="20"/>
          <w:szCs w:val="20"/>
        </w:rPr>
      </w:pPr>
      <w:r w:rsidRPr="007C0DC3">
        <w:rPr>
          <w:rFonts w:ascii="Arial" w:hAnsi="Arial" w:cs="Arial"/>
          <w:b/>
          <w:bCs/>
          <w:sz w:val="20"/>
          <w:szCs w:val="20"/>
        </w:rPr>
        <w:t xml:space="preserve">Table </w:t>
      </w:r>
      <w:r w:rsidR="00CE0C46" w:rsidRPr="007C0DC3">
        <w:rPr>
          <w:rFonts w:ascii="Arial" w:hAnsi="Arial" w:cs="Arial"/>
          <w:b/>
          <w:bCs/>
          <w:sz w:val="20"/>
          <w:szCs w:val="20"/>
        </w:rPr>
        <w:t>2</w:t>
      </w:r>
      <w:r w:rsidRPr="007C0DC3">
        <w:rPr>
          <w:rFonts w:ascii="Arial" w:hAnsi="Arial" w:cs="Arial"/>
          <w:b/>
          <w:bCs/>
          <w:sz w:val="20"/>
          <w:szCs w:val="20"/>
        </w:rPr>
        <w:t>:</w:t>
      </w:r>
      <w:r w:rsidRPr="007C0DC3">
        <w:rPr>
          <w:rFonts w:ascii="Arial" w:hAnsi="Arial" w:cs="Arial"/>
          <w:b/>
          <w:bCs/>
          <w:spacing w:val="-2"/>
          <w:sz w:val="20"/>
          <w:szCs w:val="20"/>
        </w:rPr>
        <w:t xml:space="preserve"> </w:t>
      </w:r>
      <w:r w:rsidRPr="007C0DC3">
        <w:rPr>
          <w:rFonts w:ascii="Arial" w:hAnsi="Arial" w:cs="Arial"/>
          <w:b/>
          <w:bCs/>
          <w:sz w:val="20"/>
          <w:szCs w:val="20"/>
        </w:rPr>
        <w:t>FT-IR</w:t>
      </w:r>
      <w:r w:rsidRPr="007C0DC3">
        <w:rPr>
          <w:rFonts w:ascii="Arial" w:hAnsi="Arial" w:cs="Arial"/>
          <w:b/>
          <w:bCs/>
          <w:spacing w:val="-4"/>
          <w:sz w:val="20"/>
          <w:szCs w:val="20"/>
        </w:rPr>
        <w:t xml:space="preserve"> </w:t>
      </w:r>
      <w:r w:rsidRPr="007C0DC3">
        <w:rPr>
          <w:rFonts w:ascii="Arial" w:hAnsi="Arial" w:cs="Arial"/>
          <w:b/>
          <w:bCs/>
          <w:sz w:val="20"/>
          <w:szCs w:val="20"/>
        </w:rPr>
        <w:t>spectral</w:t>
      </w:r>
      <w:r w:rsidRPr="007C0DC3">
        <w:rPr>
          <w:rFonts w:ascii="Arial" w:hAnsi="Arial" w:cs="Arial"/>
          <w:b/>
          <w:bCs/>
          <w:spacing w:val="-10"/>
          <w:sz w:val="20"/>
          <w:szCs w:val="20"/>
        </w:rPr>
        <w:t xml:space="preserve"> </w:t>
      </w:r>
      <w:r w:rsidRPr="007C0DC3">
        <w:rPr>
          <w:rFonts w:ascii="Arial" w:hAnsi="Arial" w:cs="Arial"/>
          <w:b/>
          <w:bCs/>
          <w:sz w:val="20"/>
          <w:szCs w:val="20"/>
        </w:rPr>
        <w:t>interpretation</w:t>
      </w:r>
      <w:r w:rsidRPr="007C0DC3">
        <w:rPr>
          <w:rFonts w:ascii="Arial" w:hAnsi="Arial" w:cs="Arial"/>
          <w:b/>
          <w:bCs/>
          <w:spacing w:val="-4"/>
          <w:sz w:val="20"/>
          <w:szCs w:val="20"/>
        </w:rPr>
        <w:t xml:space="preserve"> </w:t>
      </w:r>
      <w:r w:rsidRPr="007C0DC3">
        <w:rPr>
          <w:rFonts w:ascii="Arial" w:hAnsi="Arial" w:cs="Arial"/>
          <w:b/>
          <w:bCs/>
          <w:sz w:val="20"/>
          <w:szCs w:val="20"/>
        </w:rPr>
        <w:t>of Clomipramine HCl</w:t>
      </w:r>
      <w:r w:rsidR="002033F4" w:rsidRPr="007C0DC3">
        <w:rPr>
          <w:rFonts w:ascii="Arial" w:hAnsi="Arial" w:cs="Arial"/>
          <w:b/>
          <w:bCs/>
          <w:sz w:val="20"/>
          <w:szCs w:val="20"/>
        </w:rPr>
        <w:t xml:space="preserve"> and Clomipramine HCl, </w:t>
      </w:r>
    </w:p>
    <w:tbl>
      <w:tblPr>
        <w:tblStyle w:val="PlainTable2"/>
        <w:tblpPr w:leftFromText="180" w:rightFromText="180" w:vertAnchor="text" w:horzAnchor="page" w:tblpX="1885" w:tblpY="392"/>
        <w:tblW w:w="0" w:type="auto"/>
        <w:tblLook w:val="04A0" w:firstRow="1" w:lastRow="0" w:firstColumn="1" w:lastColumn="0" w:noHBand="0" w:noVBand="1"/>
      </w:tblPr>
      <w:tblGrid>
        <w:gridCol w:w="1192"/>
        <w:gridCol w:w="3002"/>
        <w:gridCol w:w="3151"/>
      </w:tblGrid>
      <w:tr w:rsidR="00D00742" w:rsidRPr="007C0DC3" w14:paraId="68BF0D40" w14:textId="77777777" w:rsidTr="00D00742">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192" w:type="dxa"/>
          </w:tcPr>
          <w:p w14:paraId="59C85E2B" w14:textId="77777777" w:rsidR="00D00742" w:rsidRPr="007C0DC3" w:rsidRDefault="00D00742" w:rsidP="00D00742">
            <w:pPr>
              <w:pStyle w:val="BodyText"/>
              <w:rPr>
                <w:rFonts w:ascii="Arial" w:hAnsi="Arial" w:cs="Arial"/>
                <w:b w:val="0"/>
                <w:bCs w:val="0"/>
                <w:sz w:val="20"/>
                <w:szCs w:val="20"/>
              </w:rPr>
            </w:pPr>
            <w:r w:rsidRPr="007C0DC3">
              <w:rPr>
                <w:rFonts w:ascii="Arial" w:hAnsi="Arial" w:cs="Arial"/>
                <w:b w:val="0"/>
                <w:bCs w:val="0"/>
                <w:sz w:val="20"/>
                <w:szCs w:val="20"/>
              </w:rPr>
              <w:t>S. No.</w:t>
            </w:r>
          </w:p>
        </w:tc>
        <w:tc>
          <w:tcPr>
            <w:tcW w:w="3002" w:type="dxa"/>
          </w:tcPr>
          <w:p w14:paraId="76D186E3" w14:textId="77777777" w:rsidR="00D00742" w:rsidRPr="007C0DC3" w:rsidRDefault="00D00742" w:rsidP="00D00742">
            <w:pPr>
              <w:pStyle w:val="BodyText"/>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C0DC3">
              <w:rPr>
                <w:rFonts w:ascii="Arial" w:hAnsi="Arial" w:cs="Arial"/>
                <w:b w:val="0"/>
                <w:bCs w:val="0"/>
                <w:sz w:val="20"/>
                <w:szCs w:val="20"/>
              </w:rPr>
              <w:t>Wave Number (cm</w:t>
            </w:r>
            <w:r w:rsidRPr="007C0DC3">
              <w:rPr>
                <w:rFonts w:ascii="Arial" w:hAnsi="Arial" w:cs="Arial"/>
                <w:b w:val="0"/>
                <w:bCs w:val="0"/>
                <w:sz w:val="20"/>
                <w:szCs w:val="20"/>
                <w:vertAlign w:val="superscript"/>
              </w:rPr>
              <w:t>-1</w:t>
            </w:r>
            <w:r w:rsidRPr="007C0DC3">
              <w:rPr>
                <w:rFonts w:ascii="Arial" w:hAnsi="Arial" w:cs="Arial"/>
                <w:b w:val="0"/>
                <w:bCs w:val="0"/>
                <w:sz w:val="20"/>
                <w:szCs w:val="20"/>
              </w:rPr>
              <w:t>)</w:t>
            </w:r>
          </w:p>
        </w:tc>
        <w:tc>
          <w:tcPr>
            <w:tcW w:w="3151" w:type="dxa"/>
          </w:tcPr>
          <w:p w14:paraId="5F30A88D" w14:textId="77777777" w:rsidR="00D00742" w:rsidRPr="007C0DC3" w:rsidRDefault="00D00742" w:rsidP="00D00742">
            <w:pPr>
              <w:pStyle w:val="BodyText"/>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C0DC3">
              <w:rPr>
                <w:rFonts w:ascii="Arial" w:hAnsi="Arial" w:cs="Arial"/>
                <w:b w:val="0"/>
                <w:bCs w:val="0"/>
                <w:sz w:val="20"/>
                <w:szCs w:val="20"/>
              </w:rPr>
              <w:t>Types of Vibrations</w:t>
            </w:r>
          </w:p>
        </w:tc>
      </w:tr>
      <w:tr w:rsidR="00D00742" w:rsidRPr="007C0DC3" w14:paraId="6DF3A8F1" w14:textId="77777777" w:rsidTr="00D00742">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192" w:type="dxa"/>
          </w:tcPr>
          <w:p w14:paraId="046C3CE6" w14:textId="77777777" w:rsidR="00D00742" w:rsidRPr="007C0DC3" w:rsidRDefault="00D00742" w:rsidP="00D00742">
            <w:pPr>
              <w:pStyle w:val="BodyText"/>
              <w:rPr>
                <w:rFonts w:ascii="Arial" w:hAnsi="Arial" w:cs="Arial"/>
                <w:b w:val="0"/>
                <w:bCs w:val="0"/>
                <w:sz w:val="20"/>
                <w:szCs w:val="20"/>
              </w:rPr>
            </w:pPr>
            <w:r w:rsidRPr="007C0DC3">
              <w:rPr>
                <w:rFonts w:ascii="Arial" w:hAnsi="Arial" w:cs="Arial"/>
                <w:b w:val="0"/>
                <w:bCs w:val="0"/>
                <w:sz w:val="20"/>
                <w:szCs w:val="20"/>
              </w:rPr>
              <w:t>1.</w:t>
            </w:r>
          </w:p>
        </w:tc>
        <w:tc>
          <w:tcPr>
            <w:tcW w:w="3002" w:type="dxa"/>
          </w:tcPr>
          <w:p w14:paraId="47690591" w14:textId="77777777" w:rsidR="00D00742" w:rsidRPr="007C0DC3" w:rsidRDefault="00D00742" w:rsidP="00D00742">
            <w:pPr>
              <w:pStyle w:val="BodyText"/>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7C0DC3">
              <w:rPr>
                <w:rFonts w:ascii="Arial" w:hAnsi="Arial" w:cs="Arial"/>
                <w:sz w:val="20"/>
                <w:szCs w:val="20"/>
              </w:rPr>
              <w:t>1580.64 - 1582.86</w:t>
            </w:r>
          </w:p>
        </w:tc>
        <w:tc>
          <w:tcPr>
            <w:tcW w:w="3151" w:type="dxa"/>
          </w:tcPr>
          <w:p w14:paraId="2307667E" w14:textId="77777777" w:rsidR="00D00742" w:rsidRPr="007C0DC3" w:rsidRDefault="00D00742" w:rsidP="00D00742">
            <w:pPr>
              <w:pStyle w:val="BodyText"/>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Cs/>
                <w:sz w:val="20"/>
                <w:szCs w:val="20"/>
              </w:rPr>
              <w:t>C=C Stretching</w:t>
            </w:r>
          </w:p>
        </w:tc>
      </w:tr>
      <w:tr w:rsidR="00D00742" w:rsidRPr="007C0DC3" w14:paraId="473819C6" w14:textId="77777777" w:rsidTr="00D00742">
        <w:trPr>
          <w:trHeight w:val="316"/>
        </w:trPr>
        <w:tc>
          <w:tcPr>
            <w:cnfStyle w:val="001000000000" w:firstRow="0" w:lastRow="0" w:firstColumn="1" w:lastColumn="0" w:oddVBand="0" w:evenVBand="0" w:oddHBand="0" w:evenHBand="0" w:firstRowFirstColumn="0" w:firstRowLastColumn="0" w:lastRowFirstColumn="0" w:lastRowLastColumn="0"/>
            <w:tcW w:w="1192" w:type="dxa"/>
          </w:tcPr>
          <w:p w14:paraId="37A51618" w14:textId="77777777" w:rsidR="00D00742" w:rsidRPr="007C0DC3" w:rsidRDefault="00D00742" w:rsidP="00D00742">
            <w:pPr>
              <w:pStyle w:val="BodyText"/>
              <w:rPr>
                <w:rFonts w:ascii="Arial" w:hAnsi="Arial" w:cs="Arial"/>
                <w:b w:val="0"/>
                <w:bCs w:val="0"/>
                <w:sz w:val="20"/>
                <w:szCs w:val="20"/>
              </w:rPr>
            </w:pPr>
            <w:r w:rsidRPr="007C0DC3">
              <w:rPr>
                <w:rFonts w:ascii="Arial" w:hAnsi="Arial" w:cs="Arial"/>
                <w:b w:val="0"/>
                <w:bCs w:val="0"/>
                <w:sz w:val="20"/>
                <w:szCs w:val="20"/>
              </w:rPr>
              <w:t>2.</w:t>
            </w:r>
          </w:p>
        </w:tc>
        <w:tc>
          <w:tcPr>
            <w:tcW w:w="3002" w:type="dxa"/>
          </w:tcPr>
          <w:p w14:paraId="534D69F7" w14:textId="77777777" w:rsidR="00D00742" w:rsidRPr="007C0DC3" w:rsidRDefault="00D00742" w:rsidP="00D00742">
            <w:pPr>
              <w:pStyle w:val="BodyText"/>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C0DC3">
              <w:rPr>
                <w:rFonts w:ascii="Arial" w:hAnsi="Arial" w:cs="Arial"/>
                <w:sz w:val="20"/>
                <w:szCs w:val="20"/>
              </w:rPr>
              <w:t>950.21 - 1087.68</w:t>
            </w:r>
          </w:p>
        </w:tc>
        <w:tc>
          <w:tcPr>
            <w:tcW w:w="3151" w:type="dxa"/>
          </w:tcPr>
          <w:p w14:paraId="5BE6FB00" w14:textId="77777777" w:rsidR="00D00742" w:rsidRPr="007C0DC3" w:rsidRDefault="00D00742" w:rsidP="00D00742">
            <w:pPr>
              <w:pStyle w:val="BodyText"/>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C0DC3">
              <w:rPr>
                <w:rFonts w:ascii="Arial" w:hAnsi="Arial" w:cs="Arial"/>
                <w:bCs/>
                <w:sz w:val="20"/>
                <w:szCs w:val="20"/>
              </w:rPr>
              <w:t>C-Cl Stretching</w:t>
            </w:r>
          </w:p>
        </w:tc>
      </w:tr>
      <w:tr w:rsidR="00D00742" w:rsidRPr="007C0DC3" w14:paraId="5900289E" w14:textId="77777777" w:rsidTr="00D00742">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192" w:type="dxa"/>
          </w:tcPr>
          <w:p w14:paraId="4E41948D" w14:textId="77777777" w:rsidR="00D00742" w:rsidRPr="007C0DC3" w:rsidRDefault="00D00742" w:rsidP="00D00742">
            <w:pPr>
              <w:pStyle w:val="BodyText"/>
              <w:rPr>
                <w:rFonts w:ascii="Arial" w:hAnsi="Arial" w:cs="Arial"/>
                <w:b w:val="0"/>
                <w:bCs w:val="0"/>
                <w:sz w:val="20"/>
                <w:szCs w:val="20"/>
              </w:rPr>
            </w:pPr>
            <w:r w:rsidRPr="007C0DC3">
              <w:rPr>
                <w:rFonts w:ascii="Arial" w:hAnsi="Arial" w:cs="Arial"/>
                <w:b w:val="0"/>
                <w:bCs w:val="0"/>
                <w:sz w:val="20"/>
                <w:szCs w:val="20"/>
              </w:rPr>
              <w:t>3.</w:t>
            </w:r>
          </w:p>
        </w:tc>
        <w:tc>
          <w:tcPr>
            <w:tcW w:w="3002" w:type="dxa"/>
          </w:tcPr>
          <w:p w14:paraId="44ECB3F9" w14:textId="77777777" w:rsidR="00D00742" w:rsidRPr="007C0DC3" w:rsidRDefault="00D00742" w:rsidP="00D00742">
            <w:pPr>
              <w:pStyle w:val="BodyText"/>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7C0DC3">
              <w:rPr>
                <w:rFonts w:ascii="Arial" w:hAnsi="Arial" w:cs="Arial"/>
                <w:sz w:val="20"/>
                <w:szCs w:val="20"/>
              </w:rPr>
              <w:t>1203.69 - 2922.30</w:t>
            </w:r>
          </w:p>
        </w:tc>
        <w:tc>
          <w:tcPr>
            <w:tcW w:w="3151" w:type="dxa"/>
          </w:tcPr>
          <w:p w14:paraId="47C12DA0" w14:textId="77777777" w:rsidR="00D00742" w:rsidRPr="007C0DC3" w:rsidRDefault="00D00742" w:rsidP="00D00742">
            <w:pPr>
              <w:pStyle w:val="BodyText"/>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Cs/>
                <w:sz w:val="20"/>
                <w:szCs w:val="20"/>
              </w:rPr>
              <w:t>C-N Stretching</w:t>
            </w:r>
          </w:p>
        </w:tc>
      </w:tr>
      <w:tr w:rsidR="00D00742" w:rsidRPr="007C0DC3" w14:paraId="1D8279D2" w14:textId="77777777" w:rsidTr="00D00742">
        <w:trPr>
          <w:trHeight w:val="326"/>
        </w:trPr>
        <w:tc>
          <w:tcPr>
            <w:cnfStyle w:val="001000000000" w:firstRow="0" w:lastRow="0" w:firstColumn="1" w:lastColumn="0" w:oddVBand="0" w:evenVBand="0" w:oddHBand="0" w:evenHBand="0" w:firstRowFirstColumn="0" w:firstRowLastColumn="0" w:lastRowFirstColumn="0" w:lastRowLastColumn="0"/>
            <w:tcW w:w="1192" w:type="dxa"/>
          </w:tcPr>
          <w:p w14:paraId="762318E6" w14:textId="77777777" w:rsidR="00D00742" w:rsidRPr="007C0DC3" w:rsidRDefault="00D00742" w:rsidP="00D00742">
            <w:pPr>
              <w:pStyle w:val="BodyText"/>
              <w:rPr>
                <w:rFonts w:ascii="Arial" w:hAnsi="Arial" w:cs="Arial"/>
                <w:b w:val="0"/>
                <w:bCs w:val="0"/>
                <w:sz w:val="20"/>
                <w:szCs w:val="20"/>
              </w:rPr>
            </w:pPr>
            <w:r w:rsidRPr="007C0DC3">
              <w:rPr>
                <w:rFonts w:ascii="Arial" w:hAnsi="Arial" w:cs="Arial"/>
                <w:b w:val="0"/>
                <w:bCs w:val="0"/>
                <w:sz w:val="20"/>
                <w:szCs w:val="20"/>
              </w:rPr>
              <w:t>4.</w:t>
            </w:r>
          </w:p>
        </w:tc>
        <w:tc>
          <w:tcPr>
            <w:tcW w:w="3002" w:type="dxa"/>
          </w:tcPr>
          <w:p w14:paraId="3B7F3826" w14:textId="77777777" w:rsidR="00D00742" w:rsidRPr="007C0DC3" w:rsidRDefault="00D00742" w:rsidP="00D00742">
            <w:pPr>
              <w:pStyle w:val="BodyText"/>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7C0DC3">
              <w:rPr>
                <w:rFonts w:ascii="Arial" w:hAnsi="Arial" w:cs="Arial"/>
                <w:sz w:val="20"/>
                <w:szCs w:val="20"/>
              </w:rPr>
              <w:t>2857.79 - 2979.80</w:t>
            </w:r>
          </w:p>
        </w:tc>
        <w:tc>
          <w:tcPr>
            <w:tcW w:w="3151" w:type="dxa"/>
          </w:tcPr>
          <w:p w14:paraId="1A99E8BE" w14:textId="77777777" w:rsidR="00D00742" w:rsidRPr="007C0DC3" w:rsidRDefault="00D00742" w:rsidP="00D00742">
            <w:pPr>
              <w:pStyle w:val="BodyText"/>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7C0DC3">
              <w:rPr>
                <w:rFonts w:ascii="Arial" w:hAnsi="Arial" w:cs="Arial"/>
                <w:bCs/>
                <w:sz w:val="20"/>
                <w:szCs w:val="20"/>
              </w:rPr>
              <w:t>C-H Stretching</w:t>
            </w:r>
          </w:p>
        </w:tc>
      </w:tr>
      <w:tr w:rsidR="00D00742" w:rsidRPr="007C0DC3" w14:paraId="5B50A665" w14:textId="77777777" w:rsidTr="00D00742">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192" w:type="dxa"/>
          </w:tcPr>
          <w:p w14:paraId="31883AFE" w14:textId="77777777" w:rsidR="00D00742" w:rsidRPr="007C0DC3" w:rsidRDefault="00D00742" w:rsidP="00D00742">
            <w:pPr>
              <w:pStyle w:val="BodyText"/>
              <w:rPr>
                <w:rFonts w:ascii="Arial" w:hAnsi="Arial" w:cs="Arial"/>
                <w:b w:val="0"/>
                <w:bCs w:val="0"/>
                <w:sz w:val="20"/>
                <w:szCs w:val="20"/>
              </w:rPr>
            </w:pPr>
            <w:r w:rsidRPr="007C0DC3">
              <w:rPr>
                <w:rFonts w:ascii="Arial" w:hAnsi="Arial" w:cs="Arial"/>
                <w:b w:val="0"/>
                <w:bCs w:val="0"/>
                <w:sz w:val="20"/>
                <w:szCs w:val="20"/>
              </w:rPr>
              <w:t>5.</w:t>
            </w:r>
          </w:p>
        </w:tc>
        <w:tc>
          <w:tcPr>
            <w:tcW w:w="3002" w:type="dxa"/>
          </w:tcPr>
          <w:p w14:paraId="524BE39C" w14:textId="77777777" w:rsidR="00D00742" w:rsidRPr="007C0DC3" w:rsidRDefault="00D00742" w:rsidP="00D00742">
            <w:pPr>
              <w:pStyle w:val="BodyText"/>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7C0DC3">
              <w:rPr>
                <w:rFonts w:ascii="Arial" w:hAnsi="Arial" w:cs="Arial"/>
                <w:sz w:val="20"/>
                <w:szCs w:val="20"/>
              </w:rPr>
              <w:t>1092.64 - 2660.27</w:t>
            </w:r>
          </w:p>
        </w:tc>
        <w:tc>
          <w:tcPr>
            <w:tcW w:w="3151" w:type="dxa"/>
          </w:tcPr>
          <w:p w14:paraId="4467C07F" w14:textId="77777777" w:rsidR="00D00742" w:rsidRPr="007C0DC3" w:rsidRDefault="00D00742" w:rsidP="00D00742">
            <w:pPr>
              <w:pStyle w:val="BodyText"/>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Cs/>
                <w:sz w:val="20"/>
                <w:szCs w:val="20"/>
              </w:rPr>
              <w:t>N-H Stretching</w:t>
            </w:r>
          </w:p>
        </w:tc>
      </w:tr>
    </w:tbl>
    <w:p w14:paraId="400C5DDD" w14:textId="77777777" w:rsidR="00497A5B" w:rsidRPr="007C0DC3" w:rsidRDefault="00D00742" w:rsidP="008165A0">
      <w:pPr>
        <w:spacing w:after="0" w:line="480" w:lineRule="auto"/>
        <w:ind w:left="340" w:right="340"/>
        <w:jc w:val="both"/>
        <w:rPr>
          <w:rFonts w:ascii="Arial" w:hAnsi="Arial" w:cs="Arial"/>
          <w:b/>
          <w:sz w:val="20"/>
          <w:szCs w:val="20"/>
        </w:rPr>
      </w:pPr>
      <w:r w:rsidRPr="007C0DC3">
        <w:rPr>
          <w:rFonts w:ascii="Arial" w:hAnsi="Arial" w:cs="Arial"/>
          <w:b/>
          <w:sz w:val="20"/>
          <w:szCs w:val="20"/>
        </w:rPr>
        <w:t xml:space="preserve"> </w:t>
      </w:r>
      <w:r w:rsidR="002033F4" w:rsidRPr="007C0DC3">
        <w:rPr>
          <w:rFonts w:ascii="Arial" w:hAnsi="Arial" w:cs="Arial"/>
          <w:b/>
          <w:sz w:val="20"/>
          <w:szCs w:val="20"/>
        </w:rPr>
        <w:t>Tween 80, HPMC E15, Carbopol 940</w:t>
      </w:r>
    </w:p>
    <w:p w14:paraId="3579B3B7" w14:textId="77777777" w:rsidR="002E4685" w:rsidRPr="007C0DC3" w:rsidRDefault="002E4685" w:rsidP="007D1626">
      <w:pPr>
        <w:spacing w:after="0" w:line="480" w:lineRule="auto"/>
        <w:ind w:right="113"/>
        <w:jc w:val="both"/>
        <w:rPr>
          <w:rFonts w:ascii="Arial" w:hAnsi="Arial" w:cs="Arial"/>
          <w:b/>
          <w:bCs/>
          <w:sz w:val="20"/>
          <w:szCs w:val="20"/>
          <w:u w:val="single"/>
        </w:rPr>
      </w:pPr>
    </w:p>
    <w:p w14:paraId="18F03173" w14:textId="77777777" w:rsidR="00D00742" w:rsidRPr="007C0DC3" w:rsidRDefault="00D00742" w:rsidP="008165A0">
      <w:pPr>
        <w:spacing w:after="0" w:line="480" w:lineRule="auto"/>
        <w:ind w:left="340" w:right="340"/>
        <w:jc w:val="both"/>
        <w:rPr>
          <w:rFonts w:ascii="Arial" w:hAnsi="Arial" w:cs="Arial"/>
          <w:b/>
          <w:bCs/>
          <w:sz w:val="20"/>
          <w:szCs w:val="20"/>
          <w:u w:val="single"/>
        </w:rPr>
      </w:pPr>
    </w:p>
    <w:p w14:paraId="51A5C492" w14:textId="77777777" w:rsidR="00D00742" w:rsidRPr="007C0DC3" w:rsidRDefault="00D00742" w:rsidP="008165A0">
      <w:pPr>
        <w:spacing w:after="0" w:line="480" w:lineRule="auto"/>
        <w:ind w:left="340" w:right="340"/>
        <w:jc w:val="both"/>
        <w:rPr>
          <w:rFonts w:ascii="Arial" w:hAnsi="Arial" w:cs="Arial"/>
          <w:b/>
          <w:bCs/>
          <w:sz w:val="20"/>
          <w:szCs w:val="20"/>
          <w:u w:val="single"/>
        </w:rPr>
      </w:pPr>
    </w:p>
    <w:p w14:paraId="5F72ECEE" w14:textId="77777777" w:rsidR="00D00742" w:rsidRPr="007C0DC3" w:rsidRDefault="00D00742" w:rsidP="008165A0">
      <w:pPr>
        <w:spacing w:after="0" w:line="480" w:lineRule="auto"/>
        <w:ind w:left="340" w:right="340"/>
        <w:jc w:val="both"/>
        <w:rPr>
          <w:rFonts w:ascii="Arial" w:hAnsi="Arial" w:cs="Arial"/>
          <w:b/>
          <w:bCs/>
          <w:sz w:val="20"/>
          <w:szCs w:val="20"/>
          <w:u w:val="single"/>
        </w:rPr>
      </w:pPr>
    </w:p>
    <w:p w14:paraId="56F842C6" w14:textId="77777777" w:rsidR="00D00742" w:rsidRPr="007C0DC3" w:rsidRDefault="00D00742" w:rsidP="00D00742">
      <w:pPr>
        <w:spacing w:after="0" w:line="480" w:lineRule="auto"/>
        <w:ind w:left="340" w:right="340"/>
        <w:jc w:val="both"/>
        <w:rPr>
          <w:rFonts w:ascii="Arial" w:hAnsi="Arial" w:cs="Arial"/>
          <w:b/>
          <w:bCs/>
          <w:sz w:val="20"/>
          <w:szCs w:val="20"/>
          <w:u w:val="single"/>
        </w:rPr>
      </w:pPr>
    </w:p>
    <w:p w14:paraId="0D267761" w14:textId="77777777" w:rsidR="000F2DBA" w:rsidRPr="007C0DC3" w:rsidRDefault="00000000">
      <w:pPr>
        <w:jc w:val="both"/>
      </w:pPr>
      <w:r w:rsidRPr="007C0DC3">
        <w:rPr>
          <w:rFonts w:ascii="Arial" w:hAnsi="Arial"/>
          <w:sz w:val="20"/>
        </w:rPr>
        <w:t>Retention of the principal drug-related FTIR bands in the multicomponent spectrum, without conspicuous new bands or major shifts, supports the absence of a detectable strong chemical interaction under the tested conditions. Similar use of FTIR as a compatibility screen has been reported in clomipramine and buccal-film formulations, although complementary thermal or solid-state methods are useful when subtle interactions are suspected (Ghumman et al., 2023; Salehi &amp; Boddohi, 2017; Nair et al., 2021).</w:t>
      </w:r>
    </w:p>
    <w:p w14:paraId="17BE88BA" w14:textId="77777777" w:rsidR="002A5E9C" w:rsidRPr="007C0DC3" w:rsidRDefault="00A8512E" w:rsidP="002A5E9C">
      <w:pPr>
        <w:spacing w:after="0" w:line="480" w:lineRule="auto"/>
        <w:ind w:left="340" w:right="340"/>
        <w:jc w:val="both"/>
        <w:rPr>
          <w:rFonts w:ascii="Arial" w:hAnsi="Arial" w:cs="Arial"/>
          <w:b/>
          <w:bCs/>
          <w:sz w:val="20"/>
          <w:szCs w:val="20"/>
          <w:u w:val="single"/>
        </w:rPr>
      </w:pPr>
      <w:r w:rsidRPr="007C0DC3">
        <w:rPr>
          <w:rFonts w:ascii="Arial" w:hAnsi="Arial" w:cs="Arial"/>
          <w:b/>
          <w:bCs/>
          <w:sz w:val="20"/>
          <w:szCs w:val="20"/>
          <w:u w:val="single"/>
        </w:rPr>
        <w:t xml:space="preserve">3.1.5 </w:t>
      </w:r>
      <w:r w:rsidR="00B710C1" w:rsidRPr="007C0DC3">
        <w:rPr>
          <w:rFonts w:ascii="Arial" w:hAnsi="Arial" w:cs="Arial"/>
          <w:b/>
          <w:bCs/>
          <w:sz w:val="20"/>
          <w:szCs w:val="20"/>
          <w:u w:val="single"/>
        </w:rPr>
        <w:t xml:space="preserve">Determination of </w:t>
      </w:r>
      <w:proofErr w:type="spellStart"/>
      <w:r w:rsidR="0057452C" w:rsidRPr="007C0DC3">
        <w:rPr>
          <w:rFonts w:ascii="Arial" w:hAnsi="Arial" w:cs="Arial"/>
          <w:b/>
          <w:bCs/>
          <w:sz w:val="20"/>
          <w:szCs w:val="20"/>
          <w:u w:val="single"/>
        </w:rPr>
        <w:t>λmax</w:t>
      </w:r>
      <w:proofErr w:type="spellEnd"/>
      <w:r w:rsidR="0057452C" w:rsidRPr="007C0DC3">
        <w:rPr>
          <w:rFonts w:ascii="Arial" w:hAnsi="Arial" w:cs="Arial"/>
          <w:b/>
          <w:bCs/>
          <w:sz w:val="20"/>
          <w:szCs w:val="20"/>
          <w:u w:val="single"/>
        </w:rPr>
        <w:t xml:space="preserve"> </w:t>
      </w:r>
      <w:r w:rsidR="0010685D" w:rsidRPr="007C0DC3">
        <w:rPr>
          <w:rFonts w:ascii="Arial" w:hAnsi="Arial" w:cs="Arial"/>
          <w:b/>
          <w:bCs/>
          <w:sz w:val="20"/>
          <w:szCs w:val="20"/>
          <w:u w:val="single"/>
        </w:rPr>
        <w:t>f</w:t>
      </w:r>
      <w:r w:rsidR="00B710C1" w:rsidRPr="007C0DC3">
        <w:rPr>
          <w:rFonts w:ascii="Arial" w:hAnsi="Arial" w:cs="Arial"/>
          <w:b/>
          <w:bCs/>
          <w:sz w:val="20"/>
          <w:szCs w:val="20"/>
          <w:u w:val="single"/>
        </w:rPr>
        <w:t>or Clomipramine H</w:t>
      </w:r>
      <w:r w:rsidR="003B34AE" w:rsidRPr="007C0DC3">
        <w:rPr>
          <w:rFonts w:ascii="Arial" w:hAnsi="Arial" w:cs="Arial"/>
          <w:b/>
          <w:bCs/>
          <w:sz w:val="20"/>
          <w:szCs w:val="20"/>
          <w:u w:val="single"/>
        </w:rPr>
        <w:t>C</w:t>
      </w:r>
      <w:r w:rsidR="00B710C1" w:rsidRPr="007C0DC3">
        <w:rPr>
          <w:rFonts w:ascii="Arial" w:hAnsi="Arial" w:cs="Arial"/>
          <w:b/>
          <w:bCs/>
          <w:sz w:val="20"/>
          <w:szCs w:val="20"/>
          <w:u w:val="single"/>
        </w:rPr>
        <w:t xml:space="preserve">l </w:t>
      </w:r>
      <w:r w:rsidR="0010685D" w:rsidRPr="007C0DC3">
        <w:rPr>
          <w:rFonts w:ascii="Arial" w:hAnsi="Arial" w:cs="Arial"/>
          <w:b/>
          <w:bCs/>
          <w:sz w:val="20"/>
          <w:szCs w:val="20"/>
          <w:u w:val="single"/>
        </w:rPr>
        <w:t>b</w:t>
      </w:r>
      <w:r w:rsidR="00B710C1" w:rsidRPr="007C0DC3">
        <w:rPr>
          <w:rFonts w:ascii="Arial" w:hAnsi="Arial" w:cs="Arial"/>
          <w:b/>
          <w:bCs/>
          <w:sz w:val="20"/>
          <w:szCs w:val="20"/>
          <w:u w:val="single"/>
        </w:rPr>
        <w:t xml:space="preserve">y </w:t>
      </w:r>
      <w:r w:rsidR="0010685D" w:rsidRPr="007C0DC3">
        <w:rPr>
          <w:rFonts w:ascii="Arial" w:hAnsi="Arial" w:cs="Arial"/>
          <w:b/>
          <w:bCs/>
          <w:sz w:val="20"/>
          <w:szCs w:val="20"/>
          <w:u w:val="single"/>
        </w:rPr>
        <w:t>u</w:t>
      </w:r>
      <w:r w:rsidR="00B710C1" w:rsidRPr="007C0DC3">
        <w:rPr>
          <w:rFonts w:ascii="Arial" w:hAnsi="Arial" w:cs="Arial"/>
          <w:b/>
          <w:bCs/>
          <w:sz w:val="20"/>
          <w:szCs w:val="20"/>
          <w:u w:val="single"/>
        </w:rPr>
        <w:t xml:space="preserve">sing </w:t>
      </w:r>
      <w:proofErr w:type="spellStart"/>
      <w:r w:rsidR="00B710C1" w:rsidRPr="007C0DC3">
        <w:rPr>
          <w:rFonts w:ascii="Arial" w:hAnsi="Arial" w:cs="Arial"/>
          <w:b/>
          <w:bCs/>
          <w:sz w:val="20"/>
          <w:szCs w:val="20"/>
          <w:u w:val="single"/>
        </w:rPr>
        <w:t>Uv</w:t>
      </w:r>
      <w:proofErr w:type="spellEnd"/>
      <w:r w:rsidR="00B710C1" w:rsidRPr="007C0DC3">
        <w:rPr>
          <w:rFonts w:ascii="Arial" w:hAnsi="Arial" w:cs="Arial"/>
          <w:b/>
          <w:bCs/>
          <w:sz w:val="20"/>
          <w:szCs w:val="20"/>
          <w:u w:val="single"/>
        </w:rPr>
        <w:t xml:space="preserve"> Spectroscopy</w:t>
      </w:r>
    </w:p>
    <w:p w14:paraId="038FFBCD" w14:textId="77777777" w:rsidR="00D00742" w:rsidRPr="007C0DC3" w:rsidRDefault="002A5E9C" w:rsidP="002A5E9C">
      <w:pPr>
        <w:spacing w:after="0" w:line="480" w:lineRule="auto"/>
        <w:ind w:left="340" w:right="340"/>
        <w:jc w:val="both"/>
        <w:rPr>
          <w:rFonts w:ascii="Arial" w:hAnsi="Arial" w:cs="Arial"/>
          <w:b/>
          <w:bCs/>
          <w:sz w:val="20"/>
          <w:szCs w:val="20"/>
        </w:rPr>
      </w:pPr>
      <w:r w:rsidRPr="007C0DC3">
        <w:rPr>
          <w:rFonts w:ascii="Arial" w:hAnsi="Arial" w:cs="Arial"/>
          <w:b/>
          <w:bCs/>
          <w:sz w:val="20"/>
          <w:szCs w:val="20"/>
        </w:rPr>
        <w:t>A)</w:t>
      </w:r>
      <w:r w:rsidR="00A96D99" w:rsidRPr="007C0DC3">
        <w:rPr>
          <w:rFonts w:ascii="Arial" w:hAnsi="Arial" w:cs="Arial"/>
          <w:sz w:val="20"/>
          <w:szCs w:val="20"/>
        </w:rPr>
        <w:tab/>
      </w:r>
    </w:p>
    <w:p w14:paraId="45BB8BBD" w14:textId="77777777" w:rsidR="0010685D" w:rsidRPr="007C0DC3" w:rsidRDefault="0057452C" w:rsidP="002A5E9C">
      <w:pPr>
        <w:spacing w:after="0" w:line="480" w:lineRule="auto"/>
        <w:ind w:right="113" w:firstLine="720"/>
        <w:jc w:val="both"/>
        <w:rPr>
          <w:rFonts w:ascii="Arial" w:hAnsi="Arial" w:cs="Arial"/>
          <w:sz w:val="20"/>
          <w:szCs w:val="20"/>
        </w:rPr>
      </w:pPr>
      <w:r w:rsidRPr="007C0DC3">
        <w:rPr>
          <w:rFonts w:ascii="Arial" w:hAnsi="Arial" w:cs="Arial"/>
          <w:sz w:val="20"/>
          <w:szCs w:val="20"/>
        </w:rPr>
        <w:lastRenderedPageBreak/>
        <w:t xml:space="preserve">   </w:t>
      </w:r>
      <w:r w:rsidRPr="007C0DC3">
        <w:rPr>
          <w:rFonts w:ascii="Arial" w:hAnsi="Arial" w:cs="Arial"/>
          <w:noProof/>
          <w:sz w:val="20"/>
          <w:szCs w:val="20"/>
        </w:rPr>
        <w:drawing>
          <wp:inline distT="0" distB="0" distL="0" distR="0" wp14:anchorId="688C23F9" wp14:editId="7006383E">
            <wp:extent cx="4019973" cy="2468880"/>
            <wp:effectExtent l="0" t="0" r="0" b="7620"/>
            <wp:docPr id="17448861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73890" cy="2501993"/>
                    </a:xfrm>
                    <a:prstGeom prst="rect">
                      <a:avLst/>
                    </a:prstGeom>
                  </pic:spPr>
                </pic:pic>
              </a:graphicData>
            </a:graphic>
          </wp:inline>
        </w:drawing>
      </w:r>
    </w:p>
    <w:p w14:paraId="46ECA834" w14:textId="77777777" w:rsidR="002A5E9C" w:rsidRPr="007C0DC3" w:rsidRDefault="003E1B18" w:rsidP="003E1B18">
      <w:pPr>
        <w:spacing w:after="0" w:line="480" w:lineRule="auto"/>
        <w:ind w:left="340" w:right="340"/>
        <w:jc w:val="both"/>
        <w:rPr>
          <w:rFonts w:ascii="Arial" w:hAnsi="Arial" w:cs="Arial"/>
          <w:b/>
          <w:bCs/>
          <w:sz w:val="20"/>
          <w:szCs w:val="20"/>
        </w:rPr>
      </w:pPr>
      <w:r w:rsidRPr="007C0DC3">
        <w:rPr>
          <w:rFonts w:ascii="Arial" w:hAnsi="Arial" w:cs="Arial"/>
          <w:b/>
          <w:bCs/>
          <w:sz w:val="20"/>
          <w:szCs w:val="20"/>
        </w:rPr>
        <w:t>B)</w:t>
      </w:r>
    </w:p>
    <w:p w14:paraId="7FFDA4DC" w14:textId="77777777" w:rsidR="00761EA5" w:rsidRPr="007C0DC3" w:rsidRDefault="00FA4BDA" w:rsidP="003E1B18">
      <w:pPr>
        <w:spacing w:after="0" w:line="480" w:lineRule="auto"/>
        <w:ind w:right="113" w:firstLine="720"/>
        <w:jc w:val="both"/>
        <w:rPr>
          <w:rFonts w:ascii="Arial" w:hAnsi="Arial" w:cs="Arial"/>
          <w:b/>
          <w:bCs/>
          <w:sz w:val="20"/>
          <w:szCs w:val="20"/>
        </w:rPr>
      </w:pPr>
      <w:r w:rsidRPr="007C0DC3">
        <w:rPr>
          <w:rFonts w:ascii="Arial" w:hAnsi="Arial" w:cs="Arial"/>
          <w:b/>
          <w:bCs/>
          <w:sz w:val="20"/>
          <w:szCs w:val="20"/>
        </w:rPr>
        <w:t xml:space="preserve">   </w:t>
      </w:r>
      <w:r w:rsidR="007565AC" w:rsidRPr="007C0DC3">
        <w:rPr>
          <w:rFonts w:ascii="Arial" w:hAnsi="Arial" w:cs="Arial"/>
          <w:noProof/>
          <w:sz w:val="20"/>
          <w:szCs w:val="20"/>
        </w:rPr>
        <w:drawing>
          <wp:inline distT="0" distB="0" distL="0" distR="0" wp14:anchorId="08CDD760" wp14:editId="76E0C1DF">
            <wp:extent cx="4053840" cy="2385023"/>
            <wp:effectExtent l="0" t="0" r="3810" b="0"/>
            <wp:docPr id="1768519361" name="Picture 3" descr="A graph of calibration&#10;&#10;AI-generated content may be incorrect.">
              <a:extLst xmlns:a="http://schemas.openxmlformats.org/drawingml/2006/main">
                <a:ext uri="{FF2B5EF4-FFF2-40B4-BE49-F238E27FC236}">
                  <a16:creationId xmlns:a16="http://schemas.microsoft.com/office/drawing/2014/main" id="{B904B215-2B85-1E33-FF6E-085DE71C39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of calibration&#10;&#10;AI-generated content may be incorrect.">
                      <a:extLst>
                        <a:ext uri="{FF2B5EF4-FFF2-40B4-BE49-F238E27FC236}">
                          <a16:creationId xmlns:a16="http://schemas.microsoft.com/office/drawing/2014/main" id="{B904B215-2B85-1E33-FF6E-085DE71C39B4}"/>
                        </a:ext>
                      </a:extLst>
                    </pic:cNvPr>
                    <pic:cNvPicPr>
                      <a:picLocks noChangeAspect="1"/>
                    </pic:cNvPicPr>
                  </pic:nvPicPr>
                  <pic:blipFill>
                    <a:blip r:embed="rId21"/>
                    <a:stretch>
                      <a:fillRect/>
                    </a:stretch>
                  </pic:blipFill>
                  <pic:spPr>
                    <a:xfrm>
                      <a:off x="0" y="0"/>
                      <a:ext cx="4134601" cy="2432538"/>
                    </a:xfrm>
                    <a:prstGeom prst="rect">
                      <a:avLst/>
                    </a:prstGeom>
                  </pic:spPr>
                </pic:pic>
              </a:graphicData>
            </a:graphic>
          </wp:inline>
        </w:drawing>
      </w:r>
    </w:p>
    <w:p w14:paraId="40AA812F" w14:textId="77777777" w:rsidR="00F25A7F" w:rsidRPr="007C0DC3" w:rsidRDefault="00F25A7F" w:rsidP="00606C24">
      <w:pPr>
        <w:spacing w:after="0" w:line="480" w:lineRule="auto"/>
        <w:ind w:left="340" w:right="340"/>
        <w:jc w:val="both"/>
        <w:rPr>
          <w:rFonts w:ascii="Arial" w:hAnsi="Arial" w:cs="Arial"/>
          <w:b/>
          <w:bCs/>
          <w:sz w:val="20"/>
          <w:szCs w:val="20"/>
        </w:rPr>
      </w:pPr>
      <w:r w:rsidRPr="007C0DC3">
        <w:rPr>
          <w:rFonts w:ascii="Arial" w:hAnsi="Arial" w:cs="Arial"/>
          <w:b/>
          <w:bCs/>
          <w:sz w:val="20"/>
          <w:szCs w:val="20"/>
        </w:rPr>
        <w:t>Fig</w:t>
      </w:r>
      <w:r w:rsidR="00C83EFE" w:rsidRPr="007C0DC3">
        <w:rPr>
          <w:rFonts w:ascii="Arial" w:hAnsi="Arial" w:cs="Arial"/>
          <w:b/>
          <w:bCs/>
          <w:sz w:val="20"/>
          <w:szCs w:val="20"/>
        </w:rPr>
        <w:t xml:space="preserve">. </w:t>
      </w:r>
      <w:r w:rsidR="00092D5C" w:rsidRPr="007C0DC3">
        <w:rPr>
          <w:rFonts w:ascii="Arial" w:hAnsi="Arial" w:cs="Arial"/>
          <w:b/>
          <w:bCs/>
          <w:sz w:val="20"/>
          <w:szCs w:val="20"/>
        </w:rPr>
        <w:t>2</w:t>
      </w:r>
      <w:r w:rsidRPr="007C0DC3">
        <w:rPr>
          <w:rFonts w:ascii="Arial" w:hAnsi="Arial" w:cs="Arial"/>
          <w:b/>
          <w:bCs/>
          <w:sz w:val="20"/>
          <w:szCs w:val="20"/>
        </w:rPr>
        <w:t>:</w:t>
      </w:r>
      <w:r w:rsidR="003E1B18" w:rsidRPr="007C0DC3">
        <w:rPr>
          <w:rFonts w:ascii="Arial" w:hAnsi="Arial" w:cs="Arial"/>
          <w:b/>
          <w:bCs/>
          <w:sz w:val="20"/>
          <w:szCs w:val="20"/>
        </w:rPr>
        <w:t xml:space="preserve"> A)</w:t>
      </w:r>
      <w:r w:rsidRPr="007C0DC3">
        <w:rPr>
          <w:rFonts w:ascii="Arial" w:hAnsi="Arial" w:cs="Arial"/>
          <w:sz w:val="20"/>
          <w:szCs w:val="20"/>
        </w:rPr>
        <w:t xml:space="preserve"> </w:t>
      </w:r>
      <w:r w:rsidRPr="007C0DC3">
        <w:rPr>
          <w:rFonts w:ascii="Arial" w:hAnsi="Arial" w:cs="Arial"/>
          <w:b/>
          <w:bCs/>
          <w:sz w:val="20"/>
          <w:szCs w:val="20"/>
        </w:rPr>
        <w:t xml:space="preserve">UV Spectrum </w:t>
      </w:r>
      <w:r w:rsidR="00E73D56" w:rsidRPr="007C0DC3">
        <w:rPr>
          <w:rFonts w:ascii="Arial" w:hAnsi="Arial" w:cs="Arial"/>
          <w:b/>
          <w:bCs/>
          <w:sz w:val="20"/>
          <w:szCs w:val="20"/>
        </w:rPr>
        <w:t xml:space="preserve">and </w:t>
      </w:r>
      <w:r w:rsidR="00606C24" w:rsidRPr="007C0DC3">
        <w:rPr>
          <w:rFonts w:ascii="Arial" w:hAnsi="Arial" w:cs="Arial"/>
          <w:b/>
          <w:bCs/>
          <w:sz w:val="20"/>
          <w:szCs w:val="20"/>
        </w:rPr>
        <w:t xml:space="preserve">B) </w:t>
      </w:r>
      <w:r w:rsidR="00E73D56" w:rsidRPr="007C0DC3">
        <w:rPr>
          <w:rFonts w:ascii="Arial" w:hAnsi="Arial" w:cs="Arial"/>
          <w:b/>
          <w:bCs/>
          <w:sz w:val="20"/>
          <w:szCs w:val="20"/>
        </w:rPr>
        <w:t xml:space="preserve">Calibration curve </w:t>
      </w:r>
      <w:r w:rsidRPr="007C0DC3">
        <w:rPr>
          <w:rFonts w:ascii="Arial" w:hAnsi="Arial" w:cs="Arial"/>
          <w:b/>
          <w:bCs/>
          <w:sz w:val="20"/>
          <w:szCs w:val="20"/>
        </w:rPr>
        <w:t>of Clomipramine HCl using Phosphate Buffer pH 6.8</w:t>
      </w:r>
    </w:p>
    <w:p w14:paraId="682ACC40" w14:textId="77777777" w:rsidR="002B52DB" w:rsidRPr="007C0DC3" w:rsidRDefault="002B52DB" w:rsidP="00606C24">
      <w:pPr>
        <w:spacing w:after="0" w:line="480" w:lineRule="auto"/>
        <w:ind w:left="340" w:right="340"/>
        <w:jc w:val="both"/>
        <w:rPr>
          <w:rFonts w:ascii="Arial" w:hAnsi="Arial" w:cs="Arial"/>
          <w:b/>
          <w:bCs/>
          <w:sz w:val="20"/>
          <w:szCs w:val="20"/>
          <w:u w:val="single"/>
        </w:rPr>
      </w:pPr>
    </w:p>
    <w:p w14:paraId="4CEAADD5" w14:textId="77777777" w:rsidR="000F2DBA" w:rsidRPr="007C0DC3" w:rsidRDefault="00000000">
      <w:pPr>
        <w:jc w:val="both"/>
      </w:pPr>
      <w:r w:rsidRPr="007C0DC3">
        <w:rPr>
          <w:rFonts w:ascii="Arial" w:hAnsi="Arial"/>
          <w:sz w:val="20"/>
        </w:rPr>
        <w:t>Use of 254 nm for clomipramine quantification has precedent in ultraviolet-detection methods, although the optimal analytical wavelength depends on solvent, matrix, and assay configuration. The recorded spectrum therefore provides method-specific justification for using 254 nm in the present phosphate-buffer assay (Aymard et al., 1997; Tanaka et al., 1997; Palego et al., 2000).</w:t>
      </w:r>
    </w:p>
    <w:p w14:paraId="621BA483" w14:textId="77777777" w:rsidR="0057452C" w:rsidRPr="007C0DC3" w:rsidRDefault="0059371B" w:rsidP="00606C24">
      <w:pPr>
        <w:spacing w:after="0" w:line="480" w:lineRule="auto"/>
        <w:ind w:left="340" w:right="340"/>
        <w:jc w:val="both"/>
        <w:rPr>
          <w:rFonts w:ascii="Arial" w:hAnsi="Arial" w:cs="Arial"/>
          <w:sz w:val="20"/>
          <w:szCs w:val="20"/>
          <w:u w:val="single"/>
        </w:rPr>
      </w:pPr>
      <w:r w:rsidRPr="007C0DC3">
        <w:rPr>
          <w:rFonts w:ascii="Arial" w:hAnsi="Arial" w:cs="Arial"/>
          <w:b/>
          <w:bCs/>
          <w:sz w:val="20"/>
          <w:szCs w:val="20"/>
          <w:u w:val="single"/>
        </w:rPr>
        <w:t xml:space="preserve">3.1.6 </w:t>
      </w:r>
      <w:r w:rsidR="0010685D" w:rsidRPr="007C0DC3">
        <w:rPr>
          <w:rFonts w:ascii="Arial" w:hAnsi="Arial" w:cs="Arial"/>
          <w:b/>
          <w:bCs/>
          <w:sz w:val="20"/>
          <w:szCs w:val="20"/>
          <w:u w:val="single"/>
        </w:rPr>
        <w:t>Standard Calibration Curve of Clomipramine H</w:t>
      </w:r>
      <w:r w:rsidRPr="007C0DC3">
        <w:rPr>
          <w:rFonts w:ascii="Arial" w:hAnsi="Arial" w:cs="Arial"/>
          <w:b/>
          <w:bCs/>
          <w:sz w:val="20"/>
          <w:szCs w:val="20"/>
          <w:u w:val="single"/>
        </w:rPr>
        <w:t>C</w:t>
      </w:r>
      <w:r w:rsidR="0010685D" w:rsidRPr="007C0DC3">
        <w:rPr>
          <w:rFonts w:ascii="Arial" w:hAnsi="Arial" w:cs="Arial"/>
          <w:b/>
          <w:bCs/>
          <w:sz w:val="20"/>
          <w:szCs w:val="20"/>
          <w:u w:val="single"/>
        </w:rPr>
        <w:t xml:space="preserve">l using Phosphate Buffer </w:t>
      </w:r>
      <w:r w:rsidR="0057452C" w:rsidRPr="007C0DC3">
        <w:rPr>
          <w:rFonts w:ascii="Arial" w:hAnsi="Arial" w:cs="Arial"/>
          <w:b/>
          <w:bCs/>
          <w:sz w:val="20"/>
          <w:szCs w:val="20"/>
          <w:u w:val="single"/>
        </w:rPr>
        <w:t>pH 6.8</w:t>
      </w:r>
    </w:p>
    <w:p w14:paraId="59831127" w14:textId="77777777" w:rsidR="0057452C" w:rsidRPr="007C0DC3" w:rsidRDefault="0057452C" w:rsidP="00606C24">
      <w:pPr>
        <w:spacing w:after="0" w:line="480" w:lineRule="auto"/>
        <w:ind w:left="340" w:right="340"/>
        <w:jc w:val="both"/>
        <w:rPr>
          <w:rFonts w:ascii="Arial" w:hAnsi="Arial" w:cs="Arial"/>
          <w:sz w:val="20"/>
          <w:szCs w:val="20"/>
        </w:rPr>
      </w:pPr>
      <w:r w:rsidRPr="007C0DC3">
        <w:rPr>
          <w:rFonts w:ascii="Arial" w:hAnsi="Arial" w:cs="Arial"/>
          <w:sz w:val="20"/>
          <w:szCs w:val="20"/>
        </w:rPr>
        <w:t xml:space="preserve">The absorbance of the drug in of concentration ranging from 5-25 µg/ml was measured at a wavelength of 254 nm against blank. </w:t>
      </w:r>
    </w:p>
    <w:p w14:paraId="1435DDA9" w14:textId="77777777" w:rsidR="0057452C" w:rsidRPr="007C0DC3" w:rsidRDefault="0057452C" w:rsidP="00606C24">
      <w:pPr>
        <w:tabs>
          <w:tab w:val="left" w:pos="2664"/>
        </w:tabs>
        <w:spacing w:after="0" w:line="480" w:lineRule="auto"/>
        <w:ind w:left="340" w:right="340"/>
        <w:jc w:val="both"/>
        <w:rPr>
          <w:rFonts w:ascii="Arial" w:hAnsi="Arial" w:cs="Arial"/>
          <w:b/>
          <w:bCs/>
          <w:sz w:val="20"/>
          <w:szCs w:val="20"/>
        </w:rPr>
      </w:pPr>
      <w:r w:rsidRPr="007C0DC3">
        <w:rPr>
          <w:rFonts w:ascii="Arial" w:hAnsi="Arial" w:cs="Arial"/>
          <w:b/>
          <w:bCs/>
          <w:sz w:val="20"/>
          <w:szCs w:val="20"/>
        </w:rPr>
        <w:t>Table</w:t>
      </w:r>
      <w:r w:rsidR="002059B7" w:rsidRPr="007C0DC3">
        <w:rPr>
          <w:rFonts w:ascii="Arial" w:hAnsi="Arial" w:cs="Arial"/>
          <w:b/>
          <w:bCs/>
          <w:sz w:val="20"/>
          <w:szCs w:val="20"/>
        </w:rPr>
        <w:t xml:space="preserve"> </w:t>
      </w:r>
      <w:r w:rsidR="00EB4711" w:rsidRPr="007C0DC3">
        <w:rPr>
          <w:rFonts w:ascii="Arial" w:hAnsi="Arial" w:cs="Arial"/>
          <w:b/>
          <w:bCs/>
          <w:sz w:val="20"/>
          <w:szCs w:val="20"/>
        </w:rPr>
        <w:t>3</w:t>
      </w:r>
      <w:r w:rsidRPr="007C0DC3">
        <w:rPr>
          <w:rFonts w:ascii="Arial" w:hAnsi="Arial" w:cs="Arial"/>
          <w:b/>
          <w:bCs/>
          <w:sz w:val="20"/>
          <w:szCs w:val="20"/>
        </w:rPr>
        <w:t>:</w:t>
      </w:r>
      <w:r w:rsidRPr="007C0DC3">
        <w:rPr>
          <w:rFonts w:ascii="Arial" w:hAnsi="Arial" w:cs="Arial"/>
          <w:sz w:val="20"/>
          <w:szCs w:val="20"/>
        </w:rPr>
        <w:t xml:space="preserve"> </w:t>
      </w:r>
      <w:r w:rsidRPr="007C0DC3">
        <w:rPr>
          <w:rFonts w:ascii="Arial" w:hAnsi="Arial" w:cs="Arial"/>
          <w:b/>
          <w:bCs/>
          <w:sz w:val="20"/>
          <w:szCs w:val="20"/>
        </w:rPr>
        <w:t>Data for Calibration curve of Clomipramine HCl using Phosphate Buffer pH 6.8</w:t>
      </w:r>
    </w:p>
    <w:tbl>
      <w:tblPr>
        <w:tblStyle w:val="PlainTable2"/>
        <w:tblW w:w="0" w:type="auto"/>
        <w:tblInd w:w="492" w:type="dxa"/>
        <w:tblLook w:val="04A0" w:firstRow="1" w:lastRow="0" w:firstColumn="1" w:lastColumn="0" w:noHBand="0" w:noVBand="1"/>
      </w:tblPr>
      <w:tblGrid>
        <w:gridCol w:w="1215"/>
        <w:gridCol w:w="2749"/>
        <w:gridCol w:w="2694"/>
      </w:tblGrid>
      <w:tr w:rsidR="0057452C" w:rsidRPr="007C0DC3" w14:paraId="66FCE88F" w14:textId="77777777" w:rsidTr="004B3A35">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215" w:type="dxa"/>
            <w:vAlign w:val="center"/>
          </w:tcPr>
          <w:p w14:paraId="718563B9" w14:textId="77777777" w:rsidR="0057452C" w:rsidRPr="007C0DC3" w:rsidRDefault="0057452C" w:rsidP="004B3A35">
            <w:pPr>
              <w:rPr>
                <w:rFonts w:ascii="Arial" w:hAnsi="Arial" w:cs="Arial"/>
                <w:sz w:val="20"/>
                <w:szCs w:val="20"/>
              </w:rPr>
            </w:pPr>
            <w:r w:rsidRPr="007C0DC3">
              <w:rPr>
                <w:rFonts w:ascii="Arial" w:hAnsi="Arial" w:cs="Arial"/>
                <w:sz w:val="20"/>
                <w:szCs w:val="20"/>
              </w:rPr>
              <w:t>S. No</w:t>
            </w:r>
          </w:p>
        </w:tc>
        <w:tc>
          <w:tcPr>
            <w:tcW w:w="2749" w:type="dxa"/>
            <w:vAlign w:val="center"/>
          </w:tcPr>
          <w:p w14:paraId="254FAD6A" w14:textId="77777777" w:rsidR="0057452C" w:rsidRPr="007C0DC3" w:rsidRDefault="0057452C" w:rsidP="004B3A35">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Concentration (µg/ml)</w:t>
            </w:r>
          </w:p>
        </w:tc>
        <w:tc>
          <w:tcPr>
            <w:tcW w:w="2694" w:type="dxa"/>
            <w:vAlign w:val="center"/>
          </w:tcPr>
          <w:p w14:paraId="7CBC8310" w14:textId="77777777" w:rsidR="0057452C" w:rsidRPr="007C0DC3" w:rsidRDefault="0057452C" w:rsidP="004B3A35">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Absorbance</w:t>
            </w:r>
            <w:r w:rsidR="00A83CA8" w:rsidRPr="007C0DC3">
              <w:rPr>
                <w:rFonts w:ascii="Arial" w:hAnsi="Arial" w:cs="Arial"/>
                <w:sz w:val="20"/>
                <w:szCs w:val="20"/>
              </w:rPr>
              <w:t xml:space="preserve"> (A)</w:t>
            </w:r>
          </w:p>
        </w:tc>
      </w:tr>
      <w:tr w:rsidR="002B6CD4" w:rsidRPr="007C0DC3" w14:paraId="763E6FA1" w14:textId="77777777" w:rsidTr="004B3A35">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215" w:type="dxa"/>
            <w:vAlign w:val="center"/>
          </w:tcPr>
          <w:p w14:paraId="0F729796" w14:textId="77777777" w:rsidR="002B6CD4" w:rsidRPr="007C0DC3" w:rsidRDefault="00FD6B6D" w:rsidP="004B3A35">
            <w:pPr>
              <w:rPr>
                <w:rFonts w:ascii="Arial" w:hAnsi="Arial" w:cs="Arial"/>
                <w:b w:val="0"/>
                <w:bCs w:val="0"/>
                <w:sz w:val="20"/>
                <w:szCs w:val="20"/>
              </w:rPr>
            </w:pPr>
            <w:r w:rsidRPr="007C0DC3">
              <w:rPr>
                <w:rFonts w:ascii="Arial" w:hAnsi="Arial" w:cs="Arial"/>
                <w:b w:val="0"/>
                <w:bCs w:val="0"/>
                <w:sz w:val="20"/>
                <w:szCs w:val="20"/>
              </w:rPr>
              <w:t>1.</w:t>
            </w:r>
          </w:p>
        </w:tc>
        <w:tc>
          <w:tcPr>
            <w:tcW w:w="2749" w:type="dxa"/>
            <w:vAlign w:val="center"/>
          </w:tcPr>
          <w:p w14:paraId="3A2DFC9B" w14:textId="77777777" w:rsidR="002B6CD4" w:rsidRPr="007C0DC3" w:rsidRDefault="00FD6B6D" w:rsidP="004B3A3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0</w:t>
            </w:r>
          </w:p>
        </w:tc>
        <w:tc>
          <w:tcPr>
            <w:tcW w:w="2694" w:type="dxa"/>
            <w:vAlign w:val="center"/>
          </w:tcPr>
          <w:p w14:paraId="1140991C" w14:textId="77777777" w:rsidR="002B6CD4" w:rsidRPr="007C0DC3" w:rsidRDefault="00FD6B6D" w:rsidP="004B3A3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0</w:t>
            </w:r>
          </w:p>
        </w:tc>
      </w:tr>
      <w:tr w:rsidR="0057452C" w:rsidRPr="007C0DC3" w14:paraId="2459F8DF" w14:textId="77777777" w:rsidTr="004B3A35">
        <w:trPr>
          <w:trHeight w:val="297"/>
        </w:trPr>
        <w:tc>
          <w:tcPr>
            <w:cnfStyle w:val="001000000000" w:firstRow="0" w:lastRow="0" w:firstColumn="1" w:lastColumn="0" w:oddVBand="0" w:evenVBand="0" w:oddHBand="0" w:evenHBand="0" w:firstRowFirstColumn="0" w:firstRowLastColumn="0" w:lastRowFirstColumn="0" w:lastRowLastColumn="0"/>
            <w:tcW w:w="1215" w:type="dxa"/>
            <w:vAlign w:val="center"/>
          </w:tcPr>
          <w:p w14:paraId="544D76FD" w14:textId="77777777" w:rsidR="0057452C" w:rsidRPr="007C0DC3" w:rsidRDefault="00FD6B6D" w:rsidP="004B3A35">
            <w:pPr>
              <w:rPr>
                <w:rFonts w:ascii="Arial" w:hAnsi="Arial" w:cs="Arial"/>
                <w:b w:val="0"/>
                <w:bCs w:val="0"/>
                <w:sz w:val="20"/>
                <w:szCs w:val="20"/>
              </w:rPr>
            </w:pPr>
            <w:r w:rsidRPr="007C0DC3">
              <w:rPr>
                <w:rFonts w:ascii="Arial" w:hAnsi="Arial" w:cs="Arial"/>
                <w:b w:val="0"/>
                <w:bCs w:val="0"/>
                <w:sz w:val="20"/>
                <w:szCs w:val="20"/>
              </w:rPr>
              <w:lastRenderedPageBreak/>
              <w:t>2</w:t>
            </w:r>
            <w:r w:rsidR="0057452C" w:rsidRPr="007C0DC3">
              <w:rPr>
                <w:rFonts w:ascii="Arial" w:hAnsi="Arial" w:cs="Arial"/>
                <w:b w:val="0"/>
                <w:bCs w:val="0"/>
                <w:sz w:val="20"/>
                <w:szCs w:val="20"/>
              </w:rPr>
              <w:t>.</w:t>
            </w:r>
          </w:p>
        </w:tc>
        <w:tc>
          <w:tcPr>
            <w:tcW w:w="2749" w:type="dxa"/>
            <w:vAlign w:val="center"/>
          </w:tcPr>
          <w:p w14:paraId="3ADA995C" w14:textId="77777777" w:rsidR="0057452C" w:rsidRPr="007C0DC3" w:rsidRDefault="0057452C" w:rsidP="004B3A3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5 </w:t>
            </w:r>
          </w:p>
        </w:tc>
        <w:tc>
          <w:tcPr>
            <w:tcW w:w="2694" w:type="dxa"/>
            <w:vAlign w:val="center"/>
          </w:tcPr>
          <w:p w14:paraId="6F3A22E7" w14:textId="77777777" w:rsidR="0057452C" w:rsidRPr="007C0DC3" w:rsidRDefault="0057452C" w:rsidP="004B3A3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0.128</w:t>
            </w:r>
          </w:p>
        </w:tc>
      </w:tr>
      <w:tr w:rsidR="0057452C" w:rsidRPr="007C0DC3" w14:paraId="419112E6" w14:textId="77777777" w:rsidTr="004B3A35">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215" w:type="dxa"/>
            <w:vAlign w:val="center"/>
          </w:tcPr>
          <w:p w14:paraId="2AAD4DB8" w14:textId="77777777" w:rsidR="0057452C" w:rsidRPr="007C0DC3" w:rsidRDefault="00FD6B6D" w:rsidP="004B3A35">
            <w:pPr>
              <w:rPr>
                <w:rFonts w:ascii="Arial" w:hAnsi="Arial" w:cs="Arial"/>
                <w:b w:val="0"/>
                <w:bCs w:val="0"/>
                <w:sz w:val="20"/>
                <w:szCs w:val="20"/>
              </w:rPr>
            </w:pPr>
            <w:r w:rsidRPr="007C0DC3">
              <w:rPr>
                <w:rFonts w:ascii="Arial" w:hAnsi="Arial" w:cs="Arial"/>
                <w:b w:val="0"/>
                <w:bCs w:val="0"/>
                <w:sz w:val="20"/>
                <w:szCs w:val="20"/>
              </w:rPr>
              <w:t>3</w:t>
            </w:r>
            <w:r w:rsidR="0057452C" w:rsidRPr="007C0DC3">
              <w:rPr>
                <w:rFonts w:ascii="Arial" w:hAnsi="Arial" w:cs="Arial"/>
                <w:b w:val="0"/>
                <w:bCs w:val="0"/>
                <w:sz w:val="20"/>
                <w:szCs w:val="20"/>
              </w:rPr>
              <w:t>.</w:t>
            </w:r>
          </w:p>
        </w:tc>
        <w:tc>
          <w:tcPr>
            <w:tcW w:w="2749" w:type="dxa"/>
            <w:vAlign w:val="center"/>
          </w:tcPr>
          <w:p w14:paraId="558B42FD" w14:textId="77777777" w:rsidR="0057452C" w:rsidRPr="007C0DC3" w:rsidRDefault="0057452C" w:rsidP="004B3A3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10 </w:t>
            </w:r>
          </w:p>
        </w:tc>
        <w:tc>
          <w:tcPr>
            <w:tcW w:w="2694" w:type="dxa"/>
            <w:vAlign w:val="center"/>
          </w:tcPr>
          <w:p w14:paraId="5A95D81F" w14:textId="77777777" w:rsidR="0057452C" w:rsidRPr="007C0DC3" w:rsidRDefault="0057452C" w:rsidP="004B3A3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0.245 </w:t>
            </w:r>
          </w:p>
        </w:tc>
      </w:tr>
      <w:tr w:rsidR="0057452C" w:rsidRPr="007C0DC3" w14:paraId="76719ED2" w14:textId="77777777" w:rsidTr="004B3A35">
        <w:trPr>
          <w:trHeight w:val="291"/>
        </w:trPr>
        <w:tc>
          <w:tcPr>
            <w:cnfStyle w:val="001000000000" w:firstRow="0" w:lastRow="0" w:firstColumn="1" w:lastColumn="0" w:oddVBand="0" w:evenVBand="0" w:oddHBand="0" w:evenHBand="0" w:firstRowFirstColumn="0" w:firstRowLastColumn="0" w:lastRowFirstColumn="0" w:lastRowLastColumn="0"/>
            <w:tcW w:w="1215" w:type="dxa"/>
            <w:vAlign w:val="center"/>
          </w:tcPr>
          <w:p w14:paraId="758EE222" w14:textId="77777777" w:rsidR="0057452C" w:rsidRPr="007C0DC3" w:rsidRDefault="00FD6B6D" w:rsidP="004B3A35">
            <w:pPr>
              <w:rPr>
                <w:rFonts w:ascii="Arial" w:hAnsi="Arial" w:cs="Arial"/>
                <w:b w:val="0"/>
                <w:bCs w:val="0"/>
                <w:sz w:val="20"/>
                <w:szCs w:val="20"/>
              </w:rPr>
            </w:pPr>
            <w:r w:rsidRPr="007C0DC3">
              <w:rPr>
                <w:rFonts w:ascii="Arial" w:hAnsi="Arial" w:cs="Arial"/>
                <w:b w:val="0"/>
                <w:bCs w:val="0"/>
                <w:sz w:val="20"/>
                <w:szCs w:val="20"/>
              </w:rPr>
              <w:t>4</w:t>
            </w:r>
            <w:r w:rsidR="0057452C" w:rsidRPr="007C0DC3">
              <w:rPr>
                <w:rFonts w:ascii="Arial" w:hAnsi="Arial" w:cs="Arial"/>
                <w:b w:val="0"/>
                <w:bCs w:val="0"/>
                <w:sz w:val="20"/>
                <w:szCs w:val="20"/>
              </w:rPr>
              <w:t>.</w:t>
            </w:r>
          </w:p>
        </w:tc>
        <w:tc>
          <w:tcPr>
            <w:tcW w:w="2749" w:type="dxa"/>
            <w:vAlign w:val="center"/>
          </w:tcPr>
          <w:p w14:paraId="058637BA" w14:textId="77777777" w:rsidR="0057452C" w:rsidRPr="007C0DC3" w:rsidRDefault="0057452C" w:rsidP="004B3A3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15 </w:t>
            </w:r>
          </w:p>
        </w:tc>
        <w:tc>
          <w:tcPr>
            <w:tcW w:w="2694" w:type="dxa"/>
            <w:vAlign w:val="center"/>
          </w:tcPr>
          <w:p w14:paraId="09149A57" w14:textId="77777777" w:rsidR="0057452C" w:rsidRPr="007C0DC3" w:rsidRDefault="0057452C" w:rsidP="004B3A3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0.361 </w:t>
            </w:r>
          </w:p>
        </w:tc>
      </w:tr>
      <w:tr w:rsidR="0057452C" w:rsidRPr="007C0DC3" w14:paraId="45A86C88" w14:textId="77777777" w:rsidTr="004B3A35">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215" w:type="dxa"/>
            <w:vAlign w:val="center"/>
          </w:tcPr>
          <w:p w14:paraId="7FE6C65C" w14:textId="77777777" w:rsidR="0057452C" w:rsidRPr="007C0DC3" w:rsidRDefault="00FD6B6D" w:rsidP="004B3A35">
            <w:pPr>
              <w:rPr>
                <w:rFonts w:ascii="Arial" w:hAnsi="Arial" w:cs="Arial"/>
                <w:b w:val="0"/>
                <w:bCs w:val="0"/>
                <w:sz w:val="20"/>
                <w:szCs w:val="20"/>
              </w:rPr>
            </w:pPr>
            <w:r w:rsidRPr="007C0DC3">
              <w:rPr>
                <w:rFonts w:ascii="Arial" w:hAnsi="Arial" w:cs="Arial"/>
                <w:b w:val="0"/>
                <w:bCs w:val="0"/>
                <w:sz w:val="20"/>
                <w:szCs w:val="20"/>
              </w:rPr>
              <w:t>5</w:t>
            </w:r>
            <w:r w:rsidR="0057452C" w:rsidRPr="007C0DC3">
              <w:rPr>
                <w:rFonts w:ascii="Arial" w:hAnsi="Arial" w:cs="Arial"/>
                <w:b w:val="0"/>
                <w:bCs w:val="0"/>
                <w:sz w:val="20"/>
                <w:szCs w:val="20"/>
              </w:rPr>
              <w:t>.</w:t>
            </w:r>
          </w:p>
        </w:tc>
        <w:tc>
          <w:tcPr>
            <w:tcW w:w="2749" w:type="dxa"/>
            <w:vAlign w:val="center"/>
          </w:tcPr>
          <w:p w14:paraId="5354C32A" w14:textId="77777777" w:rsidR="0057452C" w:rsidRPr="007C0DC3" w:rsidRDefault="0057452C" w:rsidP="004B3A3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20 </w:t>
            </w:r>
          </w:p>
        </w:tc>
        <w:tc>
          <w:tcPr>
            <w:tcW w:w="2694" w:type="dxa"/>
            <w:vAlign w:val="center"/>
          </w:tcPr>
          <w:p w14:paraId="75CFF2F4" w14:textId="77777777" w:rsidR="0057452C" w:rsidRPr="007C0DC3" w:rsidRDefault="0057452C" w:rsidP="004B3A3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0.488 </w:t>
            </w:r>
          </w:p>
        </w:tc>
      </w:tr>
      <w:tr w:rsidR="000C6ECF" w:rsidRPr="007C0DC3" w14:paraId="5D4CD190" w14:textId="77777777" w:rsidTr="004B3A35">
        <w:trPr>
          <w:trHeight w:val="353"/>
        </w:trPr>
        <w:tc>
          <w:tcPr>
            <w:cnfStyle w:val="001000000000" w:firstRow="0" w:lastRow="0" w:firstColumn="1" w:lastColumn="0" w:oddVBand="0" w:evenVBand="0" w:oddHBand="0" w:evenHBand="0" w:firstRowFirstColumn="0" w:firstRowLastColumn="0" w:lastRowFirstColumn="0" w:lastRowLastColumn="0"/>
            <w:tcW w:w="1215" w:type="dxa"/>
            <w:vAlign w:val="center"/>
          </w:tcPr>
          <w:p w14:paraId="69587AD7" w14:textId="77777777" w:rsidR="000C6ECF" w:rsidRPr="007C0DC3" w:rsidRDefault="000C6ECF" w:rsidP="004B3A35">
            <w:pPr>
              <w:rPr>
                <w:rFonts w:ascii="Arial" w:hAnsi="Arial" w:cs="Arial"/>
                <w:b w:val="0"/>
                <w:bCs w:val="0"/>
                <w:sz w:val="20"/>
                <w:szCs w:val="20"/>
              </w:rPr>
            </w:pPr>
            <w:r w:rsidRPr="007C0DC3">
              <w:rPr>
                <w:rFonts w:ascii="Arial" w:hAnsi="Arial" w:cs="Arial"/>
                <w:b w:val="0"/>
                <w:bCs w:val="0"/>
                <w:sz w:val="20"/>
                <w:szCs w:val="20"/>
              </w:rPr>
              <w:t>6.</w:t>
            </w:r>
          </w:p>
        </w:tc>
        <w:tc>
          <w:tcPr>
            <w:tcW w:w="2749" w:type="dxa"/>
            <w:vAlign w:val="center"/>
          </w:tcPr>
          <w:p w14:paraId="026D775B" w14:textId="77777777" w:rsidR="000C6ECF" w:rsidRPr="007C0DC3" w:rsidRDefault="000C6ECF" w:rsidP="004B3A3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25</w:t>
            </w:r>
          </w:p>
        </w:tc>
        <w:tc>
          <w:tcPr>
            <w:tcW w:w="2694" w:type="dxa"/>
            <w:vAlign w:val="center"/>
          </w:tcPr>
          <w:p w14:paraId="3C888B17" w14:textId="77777777" w:rsidR="000C6ECF" w:rsidRPr="007C0DC3" w:rsidRDefault="004B3A35" w:rsidP="004B3A3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0.598</w:t>
            </w:r>
          </w:p>
        </w:tc>
      </w:tr>
    </w:tbl>
    <w:p w14:paraId="67107AD8" w14:textId="77777777" w:rsidR="004B3A35" w:rsidRPr="007C0DC3" w:rsidRDefault="004B3A35" w:rsidP="007D1626">
      <w:pPr>
        <w:tabs>
          <w:tab w:val="left" w:pos="2664"/>
        </w:tabs>
        <w:spacing w:after="0" w:line="480" w:lineRule="auto"/>
        <w:ind w:right="113"/>
        <w:jc w:val="both"/>
        <w:rPr>
          <w:rFonts w:ascii="Arial" w:hAnsi="Arial" w:cs="Arial"/>
          <w:b/>
          <w:bCs/>
          <w:sz w:val="20"/>
          <w:szCs w:val="20"/>
        </w:rPr>
      </w:pPr>
    </w:p>
    <w:p w14:paraId="7E45A222" w14:textId="77777777" w:rsidR="00085DAD" w:rsidRPr="007C0DC3" w:rsidRDefault="00085DAD" w:rsidP="00EB4711">
      <w:pPr>
        <w:tabs>
          <w:tab w:val="left" w:pos="2664"/>
        </w:tabs>
        <w:spacing w:after="0" w:line="480" w:lineRule="auto"/>
        <w:ind w:left="340" w:right="340"/>
        <w:jc w:val="both"/>
        <w:rPr>
          <w:rFonts w:ascii="Arial" w:hAnsi="Arial" w:cs="Arial"/>
          <w:sz w:val="20"/>
          <w:szCs w:val="20"/>
        </w:rPr>
      </w:pPr>
      <w:r w:rsidRPr="007C0DC3">
        <w:rPr>
          <w:rFonts w:ascii="Arial" w:hAnsi="Arial" w:cs="Arial"/>
          <w:b/>
          <w:bCs/>
          <w:sz w:val="20"/>
          <w:szCs w:val="20"/>
        </w:rPr>
        <w:t>Inference</w:t>
      </w:r>
    </w:p>
    <w:p w14:paraId="5069E13F" w14:textId="77777777" w:rsidR="0057452C" w:rsidRPr="007C0DC3" w:rsidRDefault="0057452C" w:rsidP="00EB4711">
      <w:pPr>
        <w:tabs>
          <w:tab w:val="left" w:pos="2664"/>
        </w:tabs>
        <w:spacing w:after="0" w:line="480" w:lineRule="auto"/>
        <w:ind w:left="340" w:right="340"/>
        <w:jc w:val="both"/>
        <w:rPr>
          <w:rFonts w:ascii="Arial" w:hAnsi="Arial" w:cs="Arial"/>
          <w:sz w:val="20"/>
          <w:szCs w:val="20"/>
        </w:rPr>
      </w:pPr>
      <w:r w:rsidRPr="007C0DC3">
        <w:rPr>
          <w:rFonts w:ascii="Arial" w:hAnsi="Arial" w:cs="Arial"/>
          <w:sz w:val="20"/>
          <w:szCs w:val="20"/>
        </w:rPr>
        <w:t>It was found that the solutions show linearity (R2 = 0.9996) at a concentration of 5-25 µg/ml and obeys Beer Lambert’s law.</w:t>
      </w:r>
    </w:p>
    <w:p w14:paraId="08F30123" w14:textId="77777777" w:rsidR="000F2DBA" w:rsidRPr="007C0DC3" w:rsidRDefault="00000000">
      <w:pPr>
        <w:jc w:val="both"/>
      </w:pPr>
      <w:r w:rsidRPr="007C0DC3">
        <w:rPr>
          <w:rFonts w:ascii="Arial" w:hAnsi="Arial"/>
          <w:sz w:val="20"/>
        </w:rPr>
        <w:t>The high coefficient of determination (R² = 0.9996) indicates a strong linear concentration-response relationship over the tested 5–25 µg/mL range. Such linearity is an important prerequisite for quantitative drug-content and release measurements, although complete analytical validation also requires consideration of accuracy, precision, selectivity, and sensitivity (Rahman &amp; Afaq, 2010; Ali et al., 2016; Michael et al., 2023).</w:t>
      </w:r>
    </w:p>
    <w:p w14:paraId="6D7F479F" w14:textId="77777777" w:rsidR="00085DAD" w:rsidRPr="007C0DC3" w:rsidRDefault="0059371B" w:rsidP="00EB4711">
      <w:pPr>
        <w:tabs>
          <w:tab w:val="left" w:pos="2664"/>
        </w:tabs>
        <w:spacing w:after="0" w:line="480" w:lineRule="auto"/>
        <w:ind w:left="340" w:right="340"/>
        <w:jc w:val="both"/>
        <w:rPr>
          <w:rFonts w:ascii="Arial" w:hAnsi="Arial" w:cs="Arial"/>
          <w:b/>
          <w:bCs/>
          <w:sz w:val="22"/>
          <w:szCs w:val="22"/>
        </w:rPr>
      </w:pPr>
      <w:r w:rsidRPr="007C0DC3">
        <w:rPr>
          <w:rFonts w:ascii="Arial" w:hAnsi="Arial" w:cs="Arial"/>
          <w:b/>
          <w:bCs/>
          <w:sz w:val="22"/>
          <w:szCs w:val="22"/>
        </w:rPr>
        <w:t xml:space="preserve">3.2 </w:t>
      </w:r>
      <w:r w:rsidR="000719FA" w:rsidRPr="007C0DC3">
        <w:rPr>
          <w:rFonts w:ascii="Arial" w:hAnsi="Arial" w:cs="Arial"/>
          <w:b/>
          <w:bCs/>
          <w:sz w:val="22"/>
          <w:szCs w:val="22"/>
        </w:rPr>
        <w:t xml:space="preserve">Characterization of </w:t>
      </w:r>
      <w:r w:rsidR="0083778A" w:rsidRPr="007C0DC3">
        <w:rPr>
          <w:rFonts w:ascii="Arial" w:hAnsi="Arial" w:cs="Arial"/>
          <w:b/>
          <w:bCs/>
          <w:sz w:val="22"/>
          <w:szCs w:val="22"/>
        </w:rPr>
        <w:t xml:space="preserve">Mucoadhesive Buccal Patch </w:t>
      </w:r>
      <w:r w:rsidR="00656E98" w:rsidRPr="007C0DC3">
        <w:rPr>
          <w:rFonts w:ascii="Arial" w:hAnsi="Arial" w:cs="Arial"/>
          <w:b/>
          <w:bCs/>
          <w:sz w:val="22"/>
          <w:szCs w:val="22"/>
        </w:rPr>
        <w:t>of Clomipramine HCl</w:t>
      </w:r>
    </w:p>
    <w:p w14:paraId="46EB8989" w14:textId="77777777" w:rsidR="00656E98" w:rsidRPr="007C0DC3" w:rsidRDefault="00BA7E2E" w:rsidP="00EB4711">
      <w:pPr>
        <w:tabs>
          <w:tab w:val="left" w:pos="2664"/>
        </w:tabs>
        <w:spacing w:after="0" w:line="480" w:lineRule="auto"/>
        <w:ind w:left="340" w:right="340"/>
        <w:jc w:val="both"/>
        <w:rPr>
          <w:rFonts w:ascii="Arial" w:hAnsi="Arial" w:cs="Arial"/>
          <w:b/>
          <w:bCs/>
          <w:sz w:val="20"/>
          <w:szCs w:val="20"/>
          <w:u w:val="single"/>
        </w:rPr>
      </w:pPr>
      <w:r w:rsidRPr="007C0DC3">
        <w:rPr>
          <w:rFonts w:ascii="Arial" w:hAnsi="Arial" w:cs="Arial"/>
          <w:b/>
          <w:bCs/>
          <w:sz w:val="20"/>
          <w:szCs w:val="20"/>
          <w:u w:val="single"/>
        </w:rPr>
        <w:t xml:space="preserve">3.2.1 </w:t>
      </w:r>
      <w:r w:rsidR="00656E98" w:rsidRPr="007C0DC3">
        <w:rPr>
          <w:rFonts w:ascii="Arial" w:hAnsi="Arial" w:cs="Arial"/>
          <w:b/>
          <w:bCs/>
          <w:sz w:val="20"/>
          <w:szCs w:val="20"/>
          <w:u w:val="single"/>
        </w:rPr>
        <w:t>Physical Appearance</w:t>
      </w:r>
    </w:p>
    <w:p w14:paraId="55082077" w14:textId="77777777" w:rsidR="00656E98" w:rsidRPr="007C0DC3" w:rsidRDefault="00656E98" w:rsidP="00EB4711">
      <w:pPr>
        <w:tabs>
          <w:tab w:val="left" w:pos="2664"/>
        </w:tabs>
        <w:spacing w:after="0" w:line="480" w:lineRule="auto"/>
        <w:ind w:left="340" w:right="340"/>
        <w:jc w:val="both"/>
        <w:rPr>
          <w:rFonts w:ascii="Arial" w:hAnsi="Arial" w:cs="Arial"/>
          <w:sz w:val="20"/>
          <w:szCs w:val="20"/>
        </w:rPr>
      </w:pPr>
      <w:r w:rsidRPr="007C0DC3">
        <w:rPr>
          <w:rFonts w:ascii="Arial" w:hAnsi="Arial" w:cs="Arial"/>
          <w:sz w:val="20"/>
          <w:szCs w:val="20"/>
        </w:rPr>
        <w:t>These parameters were checked simply with visual inspection of patches and by feel or touch.</w:t>
      </w:r>
    </w:p>
    <w:p w14:paraId="33D24AF3" w14:textId="77777777" w:rsidR="000F2DBA" w:rsidRPr="007C0DC3" w:rsidRDefault="00000000">
      <w:pPr>
        <w:jc w:val="both"/>
      </w:pPr>
      <w:r w:rsidRPr="007C0DC3">
        <w:rPr>
          <w:rFonts w:ascii="Arial" w:hAnsi="Arial"/>
          <w:sz w:val="20"/>
        </w:rPr>
        <w:t>A smooth and flexible appearance is desirable for buccal patches because visible defects can reflect nonuniform casting or poor polymer-plasticizer balance and may affect handling during application. Comparable visual and tactile criteria are routinely used during evaluation of solvent-cast mucoadhesive patches (Anu et al., 2020; Barde et al., 2022; Umarani et al., 2024).</w:t>
      </w:r>
    </w:p>
    <w:p w14:paraId="25921E53" w14:textId="77777777" w:rsidR="00075073" w:rsidRPr="007C0DC3" w:rsidRDefault="00BA7E2E" w:rsidP="00EB4711">
      <w:pPr>
        <w:tabs>
          <w:tab w:val="left" w:pos="2664"/>
        </w:tabs>
        <w:spacing w:after="0" w:line="480" w:lineRule="auto"/>
        <w:ind w:left="340" w:right="340"/>
        <w:jc w:val="both"/>
        <w:rPr>
          <w:rFonts w:ascii="Arial" w:hAnsi="Arial" w:cs="Arial"/>
          <w:b/>
          <w:bCs/>
          <w:sz w:val="20"/>
          <w:szCs w:val="20"/>
          <w:u w:val="single"/>
        </w:rPr>
      </w:pPr>
      <w:r w:rsidRPr="007C0DC3">
        <w:rPr>
          <w:rFonts w:ascii="Arial" w:hAnsi="Arial" w:cs="Arial"/>
          <w:b/>
          <w:bCs/>
          <w:sz w:val="20"/>
          <w:szCs w:val="20"/>
          <w:u w:val="single"/>
        </w:rPr>
        <w:t xml:space="preserve">3.2.2 </w:t>
      </w:r>
      <w:r w:rsidR="00313457" w:rsidRPr="007C0DC3">
        <w:rPr>
          <w:rFonts w:ascii="Arial" w:hAnsi="Arial" w:cs="Arial"/>
          <w:b/>
          <w:bCs/>
          <w:sz w:val="20"/>
          <w:szCs w:val="20"/>
          <w:u w:val="single"/>
        </w:rPr>
        <w:t>Weight Uniformity</w:t>
      </w:r>
    </w:p>
    <w:p w14:paraId="71A22C04" w14:textId="77777777" w:rsidR="00075073" w:rsidRPr="007C0DC3" w:rsidRDefault="00075073" w:rsidP="00EB4711">
      <w:pPr>
        <w:tabs>
          <w:tab w:val="left" w:pos="2664"/>
        </w:tabs>
        <w:spacing w:after="0" w:line="480" w:lineRule="auto"/>
        <w:ind w:left="340" w:right="340"/>
        <w:jc w:val="both"/>
        <w:rPr>
          <w:rFonts w:ascii="Arial" w:hAnsi="Arial" w:cs="Arial"/>
          <w:sz w:val="20"/>
          <w:szCs w:val="20"/>
        </w:rPr>
      </w:pPr>
      <w:r w:rsidRPr="007C0DC3">
        <w:rPr>
          <w:rFonts w:ascii="Arial" w:hAnsi="Arial" w:cs="Arial"/>
          <w:sz w:val="20"/>
          <w:szCs w:val="20"/>
        </w:rPr>
        <w:t>The individual weights of three different patches from each batch were weighed using digital balance and the average weight was calculated.</w:t>
      </w:r>
    </w:p>
    <w:p w14:paraId="757F9BCC" w14:textId="77777777" w:rsidR="000F2DBA" w:rsidRPr="007C0DC3" w:rsidRDefault="00000000">
      <w:pPr>
        <w:jc w:val="both"/>
      </w:pPr>
      <w:r w:rsidRPr="007C0DC3">
        <w:rPr>
          <w:rFonts w:ascii="Arial" w:hAnsi="Arial"/>
          <w:sz w:val="20"/>
        </w:rPr>
        <w:t>The limited variation in patch weight is relevant because mass uniformity indirectly reflects reproducibility of casting and can influence dose uniformity when the drug is dispersed throughout the polymeric matrix. Weight uniformity is therefore commonly evaluated together with thickness and drug-content uniformity in buccal patch development (Anil &amp; Sudheer, 2018; Ikram et al., 2015; Shivane &amp; Solanki, 2017).</w:t>
      </w:r>
    </w:p>
    <w:p w14:paraId="3B88D52D" w14:textId="77777777" w:rsidR="00B666C2" w:rsidRPr="007C0DC3" w:rsidRDefault="008255E1" w:rsidP="00EB4711">
      <w:pPr>
        <w:spacing w:after="0" w:line="480" w:lineRule="auto"/>
        <w:ind w:left="340" w:right="340"/>
        <w:jc w:val="both"/>
        <w:rPr>
          <w:rFonts w:ascii="Arial" w:hAnsi="Arial" w:cs="Arial"/>
          <w:b/>
          <w:bCs/>
          <w:sz w:val="20"/>
          <w:szCs w:val="20"/>
          <w:u w:val="single"/>
        </w:rPr>
      </w:pPr>
      <w:r w:rsidRPr="007C0DC3">
        <w:rPr>
          <w:rFonts w:ascii="Arial" w:hAnsi="Arial" w:cs="Arial"/>
          <w:b/>
          <w:bCs/>
          <w:sz w:val="20"/>
          <w:szCs w:val="20"/>
          <w:u w:val="single"/>
        </w:rPr>
        <w:t>3.2.3 T</w:t>
      </w:r>
      <w:r w:rsidR="00313457" w:rsidRPr="007C0DC3">
        <w:rPr>
          <w:rFonts w:ascii="Arial" w:hAnsi="Arial" w:cs="Arial"/>
          <w:b/>
          <w:bCs/>
          <w:sz w:val="20"/>
          <w:szCs w:val="20"/>
          <w:u w:val="single"/>
        </w:rPr>
        <w:t>hickness</w:t>
      </w:r>
    </w:p>
    <w:p w14:paraId="0B66E0C3" w14:textId="77777777" w:rsidR="00B666C2" w:rsidRPr="007C0DC3" w:rsidRDefault="00B666C2" w:rsidP="00EB4711">
      <w:pPr>
        <w:spacing w:after="0" w:line="480" w:lineRule="auto"/>
        <w:ind w:left="340" w:right="340"/>
        <w:jc w:val="both"/>
        <w:rPr>
          <w:rFonts w:ascii="Arial" w:hAnsi="Arial" w:cs="Arial"/>
          <w:sz w:val="20"/>
          <w:szCs w:val="20"/>
        </w:rPr>
      </w:pPr>
      <w:r w:rsidRPr="007C0DC3">
        <w:rPr>
          <w:rFonts w:ascii="Arial" w:hAnsi="Arial" w:cs="Arial"/>
          <w:sz w:val="20"/>
          <w:szCs w:val="20"/>
        </w:rPr>
        <w:t xml:space="preserve">The thickness of the patch was measured using vernier </w:t>
      </w:r>
      <w:proofErr w:type="spellStart"/>
      <w:r w:rsidRPr="007C0DC3">
        <w:rPr>
          <w:rFonts w:ascii="Arial" w:hAnsi="Arial" w:cs="Arial"/>
          <w:sz w:val="20"/>
          <w:szCs w:val="20"/>
        </w:rPr>
        <w:t>caliper</w:t>
      </w:r>
      <w:proofErr w:type="spellEnd"/>
      <w:r w:rsidRPr="007C0DC3">
        <w:rPr>
          <w:rFonts w:ascii="Arial" w:hAnsi="Arial" w:cs="Arial"/>
          <w:sz w:val="20"/>
          <w:szCs w:val="20"/>
        </w:rPr>
        <w:t xml:space="preserve"> with least count 0.002 mm. The thickness ranged from 0.14 to 0.2 was shown in table </w:t>
      </w:r>
      <w:r w:rsidR="007D7ADF" w:rsidRPr="007C0DC3">
        <w:rPr>
          <w:rFonts w:ascii="Arial" w:hAnsi="Arial" w:cs="Arial"/>
          <w:sz w:val="20"/>
          <w:szCs w:val="20"/>
        </w:rPr>
        <w:t>4</w:t>
      </w:r>
      <w:r w:rsidR="00791E1C" w:rsidRPr="007C0DC3">
        <w:rPr>
          <w:rFonts w:ascii="Arial" w:hAnsi="Arial" w:cs="Arial"/>
          <w:sz w:val="20"/>
          <w:szCs w:val="20"/>
        </w:rPr>
        <w:t>.</w:t>
      </w:r>
    </w:p>
    <w:p w14:paraId="04C96246" w14:textId="77777777" w:rsidR="000F2DBA" w:rsidRPr="007C0DC3" w:rsidRDefault="00000000">
      <w:pPr>
        <w:jc w:val="both"/>
      </w:pPr>
      <w:r w:rsidRPr="007C0DC3">
        <w:rPr>
          <w:rFonts w:ascii="Arial" w:hAnsi="Arial"/>
          <w:sz w:val="20"/>
        </w:rPr>
        <w:t>The observed thickness range is consistent with the thin-film character expected for buccal dosage forms and should be considered together with mechanical flexibility and drug loading. Polymer amount and composition can alter film thickness and, consequently, hydration and release behavior, so the relatively narrow range supports acceptable manufacturing consistency among the batches (Habib et al., 2010; Gite et al., 2013; Dandge &amp; Mundhe, 2024).</w:t>
      </w:r>
    </w:p>
    <w:p w14:paraId="3CCBCB35" w14:textId="77777777" w:rsidR="00DC0F2A" w:rsidRPr="007C0DC3" w:rsidRDefault="008255E1" w:rsidP="00EB4711">
      <w:pPr>
        <w:tabs>
          <w:tab w:val="left" w:pos="2664"/>
        </w:tabs>
        <w:spacing w:after="0" w:line="480" w:lineRule="auto"/>
        <w:ind w:left="340" w:right="340"/>
        <w:jc w:val="both"/>
        <w:rPr>
          <w:rFonts w:ascii="Arial" w:hAnsi="Arial" w:cs="Arial"/>
          <w:b/>
          <w:bCs/>
          <w:sz w:val="20"/>
          <w:szCs w:val="20"/>
          <w:u w:val="single"/>
        </w:rPr>
      </w:pPr>
      <w:r w:rsidRPr="007C0DC3">
        <w:rPr>
          <w:rFonts w:ascii="Arial" w:hAnsi="Arial" w:cs="Arial"/>
          <w:b/>
          <w:bCs/>
          <w:sz w:val="20"/>
          <w:szCs w:val="20"/>
          <w:u w:val="single"/>
        </w:rPr>
        <w:t xml:space="preserve">3.2.4 </w:t>
      </w:r>
      <w:r w:rsidR="00DC0F2A" w:rsidRPr="007C0DC3">
        <w:rPr>
          <w:rFonts w:ascii="Arial" w:hAnsi="Arial" w:cs="Arial"/>
          <w:b/>
          <w:bCs/>
          <w:sz w:val="20"/>
          <w:szCs w:val="20"/>
          <w:u w:val="single"/>
        </w:rPr>
        <w:t>Folding Endurance</w:t>
      </w:r>
    </w:p>
    <w:p w14:paraId="713F776F" w14:textId="77777777" w:rsidR="00FB721C" w:rsidRPr="007C0DC3" w:rsidRDefault="00DC0F2A" w:rsidP="00EB4711">
      <w:pPr>
        <w:tabs>
          <w:tab w:val="left" w:pos="2664"/>
        </w:tabs>
        <w:spacing w:after="0" w:line="480" w:lineRule="auto"/>
        <w:ind w:left="340" w:right="340"/>
        <w:jc w:val="both"/>
        <w:rPr>
          <w:rFonts w:ascii="Arial" w:hAnsi="Arial" w:cs="Arial"/>
          <w:sz w:val="20"/>
          <w:szCs w:val="20"/>
        </w:rPr>
      </w:pPr>
      <w:r w:rsidRPr="007C0DC3">
        <w:rPr>
          <w:rFonts w:ascii="Arial" w:hAnsi="Arial" w:cs="Arial"/>
          <w:sz w:val="20"/>
          <w:szCs w:val="20"/>
        </w:rPr>
        <w:lastRenderedPageBreak/>
        <w:t>The folding endurance of the buccal patch from each batch was measured manually and it did not show any cracks even after folding at one place for more than 300 times.</w:t>
      </w:r>
    </w:p>
    <w:p w14:paraId="2AD5CC98" w14:textId="77777777" w:rsidR="000F2DBA" w:rsidRPr="007C0DC3" w:rsidRDefault="00000000">
      <w:pPr>
        <w:jc w:val="both"/>
      </w:pPr>
      <w:r w:rsidRPr="007C0DC3">
        <w:rPr>
          <w:rFonts w:ascii="Arial" w:hAnsi="Arial"/>
          <w:sz w:val="20"/>
        </w:rPr>
        <w:t>Folding endurance above 300 indicates that the patches tolerated repeated mechanical deformation without visible cracking, which is favorable for handling and the dynamic environment of the oral cavity. Similar folding-endurance testing is widely used as a practical indicator of film flexibility and integrity in mucoadhesive buccal systems (Hussain et al., 2015; Zile et al., 2017; Pasi et al., 2021).</w:t>
      </w:r>
    </w:p>
    <w:p w14:paraId="6716B304" w14:textId="77777777" w:rsidR="00DC0F2A" w:rsidRPr="007C0DC3" w:rsidRDefault="008255E1" w:rsidP="00EB4711">
      <w:pPr>
        <w:tabs>
          <w:tab w:val="left" w:pos="2664"/>
        </w:tabs>
        <w:spacing w:after="0" w:line="480" w:lineRule="auto"/>
        <w:ind w:left="340" w:right="340"/>
        <w:jc w:val="both"/>
        <w:rPr>
          <w:rFonts w:ascii="Arial" w:hAnsi="Arial" w:cs="Arial"/>
          <w:sz w:val="20"/>
          <w:szCs w:val="20"/>
          <w:u w:val="single"/>
        </w:rPr>
      </w:pPr>
      <w:r w:rsidRPr="007C0DC3">
        <w:rPr>
          <w:rFonts w:ascii="Arial" w:hAnsi="Arial" w:cs="Arial"/>
          <w:b/>
          <w:bCs/>
          <w:sz w:val="20"/>
          <w:szCs w:val="20"/>
          <w:u w:val="single"/>
        </w:rPr>
        <w:t xml:space="preserve">3.2.5 </w:t>
      </w:r>
      <w:r w:rsidR="00DC0F2A" w:rsidRPr="007C0DC3">
        <w:rPr>
          <w:rFonts w:ascii="Arial" w:hAnsi="Arial" w:cs="Arial"/>
          <w:b/>
          <w:bCs/>
          <w:sz w:val="20"/>
          <w:szCs w:val="20"/>
          <w:u w:val="single"/>
        </w:rPr>
        <w:t>Surface pH</w:t>
      </w:r>
    </w:p>
    <w:p w14:paraId="6CDE8B73" w14:textId="77777777" w:rsidR="00EB4711" w:rsidRPr="007C0DC3" w:rsidRDefault="00DC0F2A" w:rsidP="00EB4711">
      <w:pPr>
        <w:tabs>
          <w:tab w:val="left" w:pos="2664"/>
        </w:tabs>
        <w:spacing w:after="0" w:line="480" w:lineRule="auto"/>
        <w:ind w:left="340" w:right="340"/>
        <w:jc w:val="both"/>
        <w:rPr>
          <w:rFonts w:ascii="Arial" w:hAnsi="Arial" w:cs="Arial"/>
          <w:sz w:val="20"/>
          <w:szCs w:val="20"/>
        </w:rPr>
      </w:pPr>
      <w:r w:rsidRPr="007C0DC3">
        <w:rPr>
          <w:rFonts w:ascii="Arial" w:hAnsi="Arial" w:cs="Arial"/>
          <w:sz w:val="20"/>
          <w:szCs w:val="20"/>
        </w:rPr>
        <w:t xml:space="preserve">The surface pH of the buccal patch was determined to optimize both drug permeation and </w:t>
      </w:r>
    </w:p>
    <w:p w14:paraId="3098A34E" w14:textId="77777777" w:rsidR="00DC0F2A" w:rsidRPr="007C0DC3" w:rsidRDefault="00EB4711" w:rsidP="00EB4711">
      <w:pPr>
        <w:tabs>
          <w:tab w:val="left" w:pos="2664"/>
        </w:tabs>
        <w:spacing w:after="0" w:line="480" w:lineRule="auto"/>
        <w:ind w:left="340" w:right="340"/>
        <w:jc w:val="both"/>
        <w:rPr>
          <w:rFonts w:ascii="Arial" w:hAnsi="Arial" w:cs="Arial"/>
          <w:sz w:val="20"/>
          <w:szCs w:val="20"/>
        </w:rPr>
      </w:pPr>
      <w:r w:rsidRPr="007C0DC3">
        <w:rPr>
          <w:rFonts w:ascii="Arial" w:hAnsi="Arial" w:cs="Arial"/>
          <w:sz w:val="20"/>
          <w:szCs w:val="20"/>
        </w:rPr>
        <w:t>m</w:t>
      </w:r>
      <w:r w:rsidR="00DC0F2A" w:rsidRPr="007C0DC3">
        <w:rPr>
          <w:rFonts w:ascii="Arial" w:hAnsi="Arial" w:cs="Arial"/>
          <w:sz w:val="20"/>
          <w:szCs w:val="20"/>
        </w:rPr>
        <w:t>ucoadhesion</w:t>
      </w:r>
      <w:r w:rsidRPr="007C0DC3">
        <w:rPr>
          <w:rFonts w:ascii="Arial" w:hAnsi="Arial" w:cs="Arial"/>
          <w:sz w:val="20"/>
          <w:szCs w:val="20"/>
        </w:rPr>
        <w:t xml:space="preserve">. </w:t>
      </w:r>
      <w:r w:rsidR="00DC0F2A" w:rsidRPr="007C0DC3">
        <w:rPr>
          <w:rFonts w:ascii="Arial" w:hAnsi="Arial" w:cs="Arial"/>
          <w:sz w:val="20"/>
          <w:szCs w:val="20"/>
        </w:rPr>
        <w:t xml:space="preserve">The pH values of all the formulation were within the range of salivary </w:t>
      </w:r>
      <w:proofErr w:type="spellStart"/>
      <w:r w:rsidR="00DC0F2A" w:rsidRPr="007C0DC3">
        <w:rPr>
          <w:rFonts w:ascii="Arial" w:hAnsi="Arial" w:cs="Arial"/>
          <w:sz w:val="20"/>
          <w:szCs w:val="20"/>
        </w:rPr>
        <w:t>pH</w:t>
      </w:r>
      <w:r w:rsidRPr="007C0DC3">
        <w:rPr>
          <w:rFonts w:ascii="Arial" w:hAnsi="Arial" w:cs="Arial"/>
          <w:sz w:val="20"/>
          <w:szCs w:val="20"/>
        </w:rPr>
        <w:t>.</w:t>
      </w:r>
      <w:proofErr w:type="spellEnd"/>
    </w:p>
    <w:p w14:paraId="6ABDA9CC" w14:textId="77777777" w:rsidR="00EB4711" w:rsidRPr="007C0DC3" w:rsidRDefault="00EB4711" w:rsidP="00EB4711">
      <w:pPr>
        <w:tabs>
          <w:tab w:val="left" w:pos="2664"/>
        </w:tabs>
        <w:spacing w:after="0" w:line="480" w:lineRule="auto"/>
        <w:ind w:left="340" w:right="340"/>
        <w:jc w:val="both"/>
        <w:rPr>
          <w:rFonts w:ascii="Arial" w:hAnsi="Arial" w:cs="Arial"/>
          <w:b/>
          <w:bCs/>
          <w:sz w:val="20"/>
          <w:szCs w:val="20"/>
          <w:u w:val="single"/>
        </w:rPr>
      </w:pPr>
    </w:p>
    <w:p w14:paraId="0927D55F" w14:textId="77777777" w:rsidR="00EB4711" w:rsidRPr="007C0DC3" w:rsidRDefault="00EB4711" w:rsidP="007D1626">
      <w:pPr>
        <w:tabs>
          <w:tab w:val="left" w:pos="2664"/>
        </w:tabs>
        <w:spacing w:after="0" w:line="480" w:lineRule="auto"/>
        <w:ind w:right="113"/>
        <w:jc w:val="both"/>
        <w:rPr>
          <w:rFonts w:ascii="Arial" w:hAnsi="Arial" w:cs="Arial"/>
          <w:b/>
          <w:bCs/>
          <w:sz w:val="20"/>
          <w:szCs w:val="20"/>
          <w:u w:val="single"/>
        </w:rPr>
      </w:pPr>
    </w:p>
    <w:p w14:paraId="58316451" w14:textId="77777777" w:rsidR="000F2DBA" w:rsidRPr="007C0DC3" w:rsidRDefault="00000000">
      <w:pPr>
        <w:jc w:val="both"/>
      </w:pPr>
      <w:r w:rsidRPr="007C0DC3">
        <w:rPr>
          <w:rFonts w:ascii="Arial" w:hAnsi="Arial"/>
          <w:sz w:val="20"/>
        </w:rPr>
        <w:t>Surface pH values close to the physiological salivary range are desirable because pronounced acidity or alkalinity may increase the risk of local irritation and can also influence polymer hydration and mucoadhesion. The observed values therefore support the suitability of the formulations for further buccal evaluation, while direct mucosal-tolerance studies would still be required for confirmation (Yousif &amp; Maraie, 2015; Khatik et al., 2025; Chemate et al., 2016).</w:t>
      </w:r>
    </w:p>
    <w:p w14:paraId="79E26A36" w14:textId="77777777" w:rsidR="00FB721C" w:rsidRPr="007C0DC3" w:rsidRDefault="008255E1" w:rsidP="00EB4711">
      <w:pPr>
        <w:tabs>
          <w:tab w:val="left" w:pos="2664"/>
        </w:tabs>
        <w:spacing w:after="0" w:line="480" w:lineRule="auto"/>
        <w:ind w:left="340" w:right="340"/>
        <w:jc w:val="both"/>
        <w:rPr>
          <w:rFonts w:ascii="Arial" w:hAnsi="Arial" w:cs="Arial"/>
          <w:b/>
          <w:bCs/>
          <w:sz w:val="20"/>
          <w:szCs w:val="20"/>
          <w:u w:val="single"/>
        </w:rPr>
      </w:pPr>
      <w:r w:rsidRPr="007C0DC3">
        <w:rPr>
          <w:rFonts w:ascii="Arial" w:hAnsi="Arial" w:cs="Arial"/>
          <w:b/>
          <w:bCs/>
          <w:sz w:val="20"/>
          <w:szCs w:val="20"/>
          <w:u w:val="single"/>
        </w:rPr>
        <w:t>3.2.</w:t>
      </w:r>
      <w:r w:rsidR="00791E1C" w:rsidRPr="007C0DC3">
        <w:rPr>
          <w:rFonts w:ascii="Arial" w:hAnsi="Arial" w:cs="Arial"/>
          <w:b/>
          <w:bCs/>
          <w:sz w:val="20"/>
          <w:szCs w:val="20"/>
          <w:u w:val="single"/>
        </w:rPr>
        <w:t xml:space="preserve">6 </w:t>
      </w:r>
      <w:r w:rsidR="00FB721C" w:rsidRPr="007C0DC3">
        <w:rPr>
          <w:rFonts w:ascii="Arial" w:hAnsi="Arial" w:cs="Arial"/>
          <w:b/>
          <w:bCs/>
          <w:sz w:val="20"/>
          <w:szCs w:val="20"/>
          <w:u w:val="single"/>
        </w:rPr>
        <w:t>Drug Content Uniformity</w:t>
      </w:r>
    </w:p>
    <w:p w14:paraId="7E11A44E" w14:textId="77777777" w:rsidR="00FB721C" w:rsidRPr="007C0DC3" w:rsidRDefault="00FB721C" w:rsidP="00EB4711">
      <w:pPr>
        <w:tabs>
          <w:tab w:val="left" w:pos="2664"/>
        </w:tabs>
        <w:spacing w:after="0" w:line="480" w:lineRule="auto"/>
        <w:ind w:left="340" w:right="340"/>
        <w:jc w:val="both"/>
        <w:rPr>
          <w:rFonts w:ascii="Arial" w:hAnsi="Arial" w:cs="Arial"/>
          <w:sz w:val="20"/>
          <w:szCs w:val="20"/>
        </w:rPr>
      </w:pPr>
      <w:r w:rsidRPr="007C0DC3">
        <w:rPr>
          <w:rFonts w:ascii="Arial" w:hAnsi="Arial" w:cs="Arial"/>
          <w:sz w:val="20"/>
          <w:szCs w:val="20"/>
        </w:rPr>
        <w:t>The</w:t>
      </w:r>
      <w:r w:rsidRPr="007C0DC3">
        <w:rPr>
          <w:rFonts w:ascii="Arial" w:hAnsi="Arial" w:cs="Arial"/>
          <w:spacing w:val="-5"/>
          <w:sz w:val="20"/>
          <w:szCs w:val="20"/>
        </w:rPr>
        <w:t xml:space="preserve"> </w:t>
      </w:r>
      <w:r w:rsidRPr="007C0DC3">
        <w:rPr>
          <w:rFonts w:ascii="Arial" w:hAnsi="Arial" w:cs="Arial"/>
          <w:sz w:val="20"/>
          <w:szCs w:val="20"/>
        </w:rPr>
        <w:t>UV-visible</w:t>
      </w:r>
      <w:r w:rsidRPr="007C0DC3">
        <w:rPr>
          <w:rFonts w:ascii="Arial" w:hAnsi="Arial" w:cs="Arial"/>
          <w:spacing w:val="-5"/>
          <w:sz w:val="20"/>
          <w:szCs w:val="20"/>
        </w:rPr>
        <w:t xml:space="preserve"> </w:t>
      </w:r>
      <w:r w:rsidRPr="007C0DC3">
        <w:rPr>
          <w:rFonts w:ascii="Arial" w:hAnsi="Arial" w:cs="Arial"/>
          <w:sz w:val="20"/>
          <w:szCs w:val="20"/>
        </w:rPr>
        <w:t>spectrophotometric</w:t>
      </w:r>
      <w:r w:rsidRPr="007C0DC3">
        <w:rPr>
          <w:rFonts w:ascii="Arial" w:hAnsi="Arial" w:cs="Arial"/>
          <w:spacing w:val="-1"/>
          <w:sz w:val="20"/>
          <w:szCs w:val="20"/>
        </w:rPr>
        <w:t xml:space="preserve"> </w:t>
      </w:r>
      <w:r w:rsidRPr="007C0DC3">
        <w:rPr>
          <w:rFonts w:ascii="Arial" w:hAnsi="Arial" w:cs="Arial"/>
          <w:sz w:val="20"/>
          <w:szCs w:val="20"/>
        </w:rPr>
        <w:t>method</w:t>
      </w:r>
      <w:r w:rsidRPr="007C0DC3">
        <w:rPr>
          <w:rFonts w:ascii="Arial" w:hAnsi="Arial" w:cs="Arial"/>
          <w:spacing w:val="-4"/>
          <w:sz w:val="20"/>
          <w:szCs w:val="20"/>
        </w:rPr>
        <w:t xml:space="preserve"> </w:t>
      </w:r>
      <w:r w:rsidRPr="007C0DC3">
        <w:rPr>
          <w:rFonts w:ascii="Arial" w:hAnsi="Arial" w:cs="Arial"/>
          <w:sz w:val="20"/>
          <w:szCs w:val="20"/>
        </w:rPr>
        <w:t>was</w:t>
      </w:r>
      <w:r w:rsidRPr="007C0DC3">
        <w:rPr>
          <w:rFonts w:ascii="Arial" w:hAnsi="Arial" w:cs="Arial"/>
          <w:spacing w:val="-6"/>
          <w:sz w:val="20"/>
          <w:szCs w:val="20"/>
        </w:rPr>
        <w:t xml:space="preserve"> </w:t>
      </w:r>
      <w:r w:rsidRPr="007C0DC3">
        <w:rPr>
          <w:rFonts w:ascii="Arial" w:hAnsi="Arial" w:cs="Arial"/>
          <w:sz w:val="20"/>
          <w:szCs w:val="20"/>
        </w:rPr>
        <w:t>used</w:t>
      </w:r>
      <w:r w:rsidRPr="007C0DC3">
        <w:rPr>
          <w:rFonts w:ascii="Arial" w:hAnsi="Arial" w:cs="Arial"/>
          <w:spacing w:val="-9"/>
          <w:sz w:val="20"/>
          <w:szCs w:val="20"/>
        </w:rPr>
        <w:t xml:space="preserve"> </w:t>
      </w:r>
      <w:r w:rsidRPr="007C0DC3">
        <w:rPr>
          <w:rFonts w:ascii="Arial" w:hAnsi="Arial" w:cs="Arial"/>
          <w:sz w:val="20"/>
          <w:szCs w:val="20"/>
        </w:rPr>
        <w:t>to</w:t>
      </w:r>
      <w:r w:rsidRPr="007C0DC3">
        <w:rPr>
          <w:rFonts w:ascii="Arial" w:hAnsi="Arial" w:cs="Arial"/>
          <w:spacing w:val="-4"/>
          <w:sz w:val="20"/>
          <w:szCs w:val="20"/>
        </w:rPr>
        <w:t xml:space="preserve"> </w:t>
      </w:r>
      <w:r w:rsidRPr="007C0DC3">
        <w:rPr>
          <w:rFonts w:ascii="Arial" w:hAnsi="Arial" w:cs="Arial"/>
          <w:sz w:val="20"/>
          <w:szCs w:val="20"/>
        </w:rPr>
        <w:t>determine</w:t>
      </w:r>
      <w:r w:rsidRPr="007C0DC3">
        <w:rPr>
          <w:rFonts w:ascii="Arial" w:hAnsi="Arial" w:cs="Arial"/>
          <w:spacing w:val="-5"/>
          <w:sz w:val="20"/>
          <w:szCs w:val="20"/>
        </w:rPr>
        <w:t xml:space="preserve"> </w:t>
      </w:r>
      <w:r w:rsidRPr="007C0DC3">
        <w:rPr>
          <w:rFonts w:ascii="Arial" w:hAnsi="Arial" w:cs="Arial"/>
          <w:sz w:val="20"/>
          <w:szCs w:val="20"/>
        </w:rPr>
        <w:t>the</w:t>
      </w:r>
      <w:r w:rsidRPr="007C0DC3">
        <w:rPr>
          <w:rFonts w:ascii="Arial" w:hAnsi="Arial" w:cs="Arial"/>
          <w:spacing w:val="-5"/>
          <w:sz w:val="20"/>
          <w:szCs w:val="20"/>
        </w:rPr>
        <w:t xml:space="preserve"> </w:t>
      </w:r>
      <w:r w:rsidRPr="007C0DC3">
        <w:rPr>
          <w:rFonts w:ascii="Arial" w:hAnsi="Arial" w:cs="Arial"/>
          <w:sz w:val="20"/>
          <w:szCs w:val="20"/>
        </w:rPr>
        <w:t>drug</w:t>
      </w:r>
      <w:r w:rsidRPr="007C0DC3">
        <w:rPr>
          <w:rFonts w:ascii="Arial" w:hAnsi="Arial" w:cs="Arial"/>
          <w:spacing w:val="-4"/>
          <w:sz w:val="20"/>
          <w:szCs w:val="20"/>
        </w:rPr>
        <w:t xml:space="preserve"> </w:t>
      </w:r>
      <w:r w:rsidRPr="007C0DC3">
        <w:rPr>
          <w:rFonts w:ascii="Arial" w:hAnsi="Arial" w:cs="Arial"/>
          <w:sz w:val="20"/>
          <w:szCs w:val="20"/>
        </w:rPr>
        <w:t>content</w:t>
      </w:r>
      <w:r w:rsidRPr="007C0DC3">
        <w:rPr>
          <w:rFonts w:ascii="Arial" w:hAnsi="Arial" w:cs="Arial"/>
          <w:spacing w:val="-8"/>
          <w:sz w:val="20"/>
          <w:szCs w:val="20"/>
        </w:rPr>
        <w:t xml:space="preserve"> </w:t>
      </w:r>
      <w:r w:rsidRPr="007C0DC3">
        <w:rPr>
          <w:rFonts w:ascii="Arial" w:hAnsi="Arial" w:cs="Arial"/>
          <w:sz w:val="20"/>
          <w:szCs w:val="20"/>
        </w:rPr>
        <w:t xml:space="preserve">of Mucoadhesive buccal patch. The drug content of all the formulation ranged from 89 to 98 % was shown in table </w:t>
      </w:r>
      <w:r w:rsidR="00901037" w:rsidRPr="007C0DC3">
        <w:rPr>
          <w:rFonts w:ascii="Arial" w:hAnsi="Arial" w:cs="Arial"/>
          <w:sz w:val="20"/>
          <w:szCs w:val="20"/>
        </w:rPr>
        <w:t>4</w:t>
      </w:r>
      <w:r w:rsidRPr="007C0DC3">
        <w:rPr>
          <w:rFonts w:ascii="Arial" w:hAnsi="Arial" w:cs="Arial"/>
          <w:sz w:val="20"/>
          <w:szCs w:val="20"/>
        </w:rPr>
        <w:t>.</w:t>
      </w:r>
    </w:p>
    <w:p w14:paraId="05D94CEF" w14:textId="77777777" w:rsidR="00DC0F2A" w:rsidRPr="007C0DC3" w:rsidRDefault="00574C63" w:rsidP="00EB4711">
      <w:pPr>
        <w:tabs>
          <w:tab w:val="left" w:pos="2664"/>
        </w:tabs>
        <w:spacing w:after="0" w:line="360" w:lineRule="auto"/>
        <w:ind w:left="340" w:right="340"/>
        <w:jc w:val="both"/>
        <w:rPr>
          <w:rFonts w:ascii="Arial" w:hAnsi="Arial" w:cs="Arial"/>
          <w:sz w:val="20"/>
          <w:szCs w:val="20"/>
        </w:rPr>
      </w:pPr>
      <w:r w:rsidRPr="007C0DC3">
        <w:rPr>
          <w:rFonts w:ascii="Arial" w:hAnsi="Arial" w:cs="Arial"/>
          <w:b/>
          <w:bCs/>
          <w:sz w:val="20"/>
          <w:szCs w:val="20"/>
        </w:rPr>
        <w:t xml:space="preserve">Table </w:t>
      </w:r>
      <w:r w:rsidR="00EB4711" w:rsidRPr="007C0DC3">
        <w:rPr>
          <w:rFonts w:ascii="Arial" w:hAnsi="Arial" w:cs="Arial"/>
          <w:b/>
          <w:bCs/>
          <w:sz w:val="20"/>
          <w:szCs w:val="20"/>
        </w:rPr>
        <w:t>4</w:t>
      </w:r>
      <w:r w:rsidRPr="007C0DC3">
        <w:rPr>
          <w:rFonts w:ascii="Arial" w:hAnsi="Arial" w:cs="Arial"/>
          <w:b/>
          <w:bCs/>
          <w:sz w:val="20"/>
          <w:szCs w:val="20"/>
        </w:rPr>
        <w:t xml:space="preserve">: </w:t>
      </w:r>
      <w:r w:rsidR="00941391" w:rsidRPr="007C0DC3">
        <w:rPr>
          <w:rFonts w:ascii="Arial" w:hAnsi="Arial" w:cs="Arial"/>
          <w:b/>
          <w:bCs/>
          <w:sz w:val="20"/>
          <w:szCs w:val="20"/>
        </w:rPr>
        <w:t>P</w:t>
      </w:r>
      <w:r w:rsidR="00CC262F" w:rsidRPr="007C0DC3">
        <w:rPr>
          <w:rFonts w:ascii="Arial" w:hAnsi="Arial" w:cs="Arial"/>
          <w:b/>
          <w:bCs/>
          <w:sz w:val="20"/>
          <w:szCs w:val="20"/>
        </w:rPr>
        <w:t xml:space="preserve">hysical Parameters </w:t>
      </w:r>
      <w:r w:rsidRPr="007C0DC3">
        <w:rPr>
          <w:rFonts w:ascii="Arial" w:hAnsi="Arial" w:cs="Arial"/>
          <w:b/>
          <w:bCs/>
          <w:sz w:val="20"/>
          <w:szCs w:val="20"/>
        </w:rPr>
        <w:t>of Mucoadhesive Buccal Patch</w:t>
      </w:r>
    </w:p>
    <w:tbl>
      <w:tblPr>
        <w:tblStyle w:val="PlainTable2"/>
        <w:tblpPr w:leftFromText="180" w:rightFromText="180" w:vertAnchor="text" w:horzAnchor="margin" w:tblpXSpec="center" w:tblpY="133"/>
        <w:tblW w:w="8217" w:type="dxa"/>
        <w:tblLook w:val="04A0" w:firstRow="1" w:lastRow="0" w:firstColumn="1" w:lastColumn="0" w:noHBand="0" w:noVBand="1"/>
      </w:tblPr>
      <w:tblGrid>
        <w:gridCol w:w="1482"/>
        <w:gridCol w:w="1342"/>
        <w:gridCol w:w="1415"/>
        <w:gridCol w:w="1285"/>
        <w:gridCol w:w="1275"/>
        <w:gridCol w:w="1418"/>
      </w:tblGrid>
      <w:tr w:rsidR="00F84B4C" w:rsidRPr="007C0DC3" w14:paraId="1F1B8481" w14:textId="77777777" w:rsidTr="00DC008C">
        <w:trPr>
          <w:cnfStyle w:val="100000000000" w:firstRow="1" w:lastRow="0" w:firstColumn="0" w:lastColumn="0" w:oddVBand="0" w:evenVBand="0" w:oddHBand="0"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1482" w:type="dxa"/>
            <w:vAlign w:val="center"/>
          </w:tcPr>
          <w:p w14:paraId="7C692564" w14:textId="77777777" w:rsidR="00F84B4C" w:rsidRPr="007C0DC3" w:rsidRDefault="00F84B4C" w:rsidP="00DC008C">
            <w:pPr>
              <w:rPr>
                <w:rFonts w:ascii="Arial" w:hAnsi="Arial" w:cs="Arial"/>
                <w:sz w:val="20"/>
                <w:szCs w:val="20"/>
              </w:rPr>
            </w:pPr>
            <w:r w:rsidRPr="007C0DC3">
              <w:rPr>
                <w:rFonts w:ascii="Arial" w:hAnsi="Arial" w:cs="Arial"/>
                <w:sz w:val="20"/>
                <w:szCs w:val="20"/>
              </w:rPr>
              <w:t>Formulation Code</w:t>
            </w:r>
          </w:p>
        </w:tc>
        <w:tc>
          <w:tcPr>
            <w:tcW w:w="1342" w:type="dxa"/>
            <w:vAlign w:val="center"/>
          </w:tcPr>
          <w:p w14:paraId="68CC72D9" w14:textId="77777777" w:rsidR="00F84B4C" w:rsidRPr="007C0DC3" w:rsidRDefault="00F84B4C" w:rsidP="00DC008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Weight </w:t>
            </w:r>
            <w:proofErr w:type="spellStart"/>
            <w:r w:rsidRPr="007C0DC3">
              <w:rPr>
                <w:rFonts w:ascii="Arial" w:hAnsi="Arial" w:cs="Arial"/>
                <w:sz w:val="20"/>
                <w:szCs w:val="20"/>
              </w:rPr>
              <w:t>Uniformiy</w:t>
            </w:r>
            <w:proofErr w:type="spellEnd"/>
            <w:r w:rsidRPr="007C0DC3">
              <w:rPr>
                <w:rFonts w:ascii="Arial" w:hAnsi="Arial" w:cs="Arial"/>
                <w:sz w:val="20"/>
                <w:szCs w:val="20"/>
              </w:rPr>
              <w:t xml:space="preserve"> (g)</w:t>
            </w:r>
          </w:p>
        </w:tc>
        <w:tc>
          <w:tcPr>
            <w:tcW w:w="1415" w:type="dxa"/>
            <w:vAlign w:val="center"/>
          </w:tcPr>
          <w:p w14:paraId="065EE30D" w14:textId="77777777" w:rsidR="00F84B4C" w:rsidRPr="007C0DC3" w:rsidRDefault="00F84B4C" w:rsidP="00DC008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Thickness (mm)</w:t>
            </w:r>
          </w:p>
        </w:tc>
        <w:tc>
          <w:tcPr>
            <w:tcW w:w="1285" w:type="dxa"/>
            <w:vAlign w:val="center"/>
          </w:tcPr>
          <w:p w14:paraId="013912A3" w14:textId="77777777" w:rsidR="00F84B4C" w:rsidRPr="007C0DC3" w:rsidRDefault="00F84B4C" w:rsidP="00DC008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Folding Endurance</w:t>
            </w:r>
          </w:p>
        </w:tc>
        <w:tc>
          <w:tcPr>
            <w:tcW w:w="1275" w:type="dxa"/>
            <w:vAlign w:val="center"/>
          </w:tcPr>
          <w:p w14:paraId="058CB170" w14:textId="77777777" w:rsidR="00F84B4C" w:rsidRPr="007C0DC3" w:rsidRDefault="00F84B4C" w:rsidP="00DC008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Surface pH</w:t>
            </w:r>
          </w:p>
        </w:tc>
        <w:tc>
          <w:tcPr>
            <w:tcW w:w="1418" w:type="dxa"/>
            <w:vAlign w:val="center"/>
          </w:tcPr>
          <w:p w14:paraId="017FCE57" w14:textId="77777777" w:rsidR="00F84B4C" w:rsidRPr="007C0DC3" w:rsidRDefault="00F84B4C" w:rsidP="00DC008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 Drug Content </w:t>
            </w:r>
          </w:p>
        </w:tc>
      </w:tr>
      <w:tr w:rsidR="00F84B4C" w:rsidRPr="007C0DC3" w14:paraId="11711AFD" w14:textId="77777777" w:rsidTr="00DC008C">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482" w:type="dxa"/>
            <w:vAlign w:val="center"/>
          </w:tcPr>
          <w:p w14:paraId="7DB71976" w14:textId="77777777" w:rsidR="00F84B4C" w:rsidRPr="007C0DC3" w:rsidRDefault="00F84B4C" w:rsidP="00DC008C">
            <w:pPr>
              <w:rPr>
                <w:rFonts w:ascii="Arial" w:hAnsi="Arial" w:cs="Arial"/>
                <w:b w:val="0"/>
                <w:bCs w:val="0"/>
                <w:sz w:val="20"/>
                <w:szCs w:val="20"/>
              </w:rPr>
            </w:pPr>
            <w:r w:rsidRPr="007C0DC3">
              <w:rPr>
                <w:rFonts w:ascii="Arial" w:hAnsi="Arial" w:cs="Arial"/>
                <w:b w:val="0"/>
                <w:bCs w:val="0"/>
                <w:sz w:val="20"/>
                <w:szCs w:val="20"/>
              </w:rPr>
              <w:t>F1</w:t>
            </w:r>
          </w:p>
        </w:tc>
        <w:tc>
          <w:tcPr>
            <w:tcW w:w="1342" w:type="dxa"/>
            <w:vAlign w:val="center"/>
          </w:tcPr>
          <w:p w14:paraId="7458BA83"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0.0396 </w:t>
            </w:r>
          </w:p>
        </w:tc>
        <w:tc>
          <w:tcPr>
            <w:tcW w:w="1415" w:type="dxa"/>
            <w:vAlign w:val="center"/>
          </w:tcPr>
          <w:p w14:paraId="0AF838BE"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0.16 </w:t>
            </w:r>
          </w:p>
        </w:tc>
        <w:tc>
          <w:tcPr>
            <w:tcW w:w="1285" w:type="dxa"/>
            <w:vAlign w:val="center"/>
          </w:tcPr>
          <w:p w14:paraId="6FA57BF4"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&gt;300</w:t>
            </w:r>
          </w:p>
        </w:tc>
        <w:tc>
          <w:tcPr>
            <w:tcW w:w="1275" w:type="dxa"/>
            <w:vAlign w:val="center"/>
          </w:tcPr>
          <w:p w14:paraId="3A9142EA"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6.75</w:t>
            </w:r>
          </w:p>
        </w:tc>
        <w:tc>
          <w:tcPr>
            <w:tcW w:w="1418" w:type="dxa"/>
            <w:vAlign w:val="center"/>
          </w:tcPr>
          <w:p w14:paraId="71C0EDD6"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89.14 </w:t>
            </w:r>
          </w:p>
        </w:tc>
      </w:tr>
      <w:tr w:rsidR="00F84B4C" w:rsidRPr="007C0DC3" w14:paraId="719AE0D0" w14:textId="77777777" w:rsidTr="00DC008C">
        <w:trPr>
          <w:trHeight w:val="388"/>
        </w:trPr>
        <w:tc>
          <w:tcPr>
            <w:cnfStyle w:val="001000000000" w:firstRow="0" w:lastRow="0" w:firstColumn="1" w:lastColumn="0" w:oddVBand="0" w:evenVBand="0" w:oddHBand="0" w:evenHBand="0" w:firstRowFirstColumn="0" w:firstRowLastColumn="0" w:lastRowFirstColumn="0" w:lastRowLastColumn="0"/>
            <w:tcW w:w="1482" w:type="dxa"/>
            <w:vAlign w:val="center"/>
          </w:tcPr>
          <w:p w14:paraId="3B251348" w14:textId="77777777" w:rsidR="00F84B4C" w:rsidRPr="007C0DC3" w:rsidRDefault="00F84B4C" w:rsidP="00DC008C">
            <w:pPr>
              <w:rPr>
                <w:rFonts w:ascii="Arial" w:hAnsi="Arial" w:cs="Arial"/>
                <w:b w:val="0"/>
                <w:bCs w:val="0"/>
                <w:sz w:val="20"/>
                <w:szCs w:val="20"/>
              </w:rPr>
            </w:pPr>
            <w:r w:rsidRPr="007C0DC3">
              <w:rPr>
                <w:rFonts w:ascii="Arial" w:hAnsi="Arial" w:cs="Arial"/>
                <w:b w:val="0"/>
                <w:bCs w:val="0"/>
                <w:sz w:val="20"/>
                <w:szCs w:val="20"/>
              </w:rPr>
              <w:t>F2</w:t>
            </w:r>
          </w:p>
        </w:tc>
        <w:tc>
          <w:tcPr>
            <w:tcW w:w="1342" w:type="dxa"/>
            <w:vAlign w:val="center"/>
          </w:tcPr>
          <w:p w14:paraId="186193EA"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0.0403 </w:t>
            </w:r>
          </w:p>
        </w:tc>
        <w:tc>
          <w:tcPr>
            <w:tcW w:w="1415" w:type="dxa"/>
            <w:vAlign w:val="center"/>
          </w:tcPr>
          <w:p w14:paraId="72743AEB"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0.18 </w:t>
            </w:r>
          </w:p>
        </w:tc>
        <w:tc>
          <w:tcPr>
            <w:tcW w:w="1285" w:type="dxa"/>
            <w:vAlign w:val="center"/>
          </w:tcPr>
          <w:p w14:paraId="70052B13"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&gt;300</w:t>
            </w:r>
          </w:p>
        </w:tc>
        <w:tc>
          <w:tcPr>
            <w:tcW w:w="1275" w:type="dxa"/>
            <w:vAlign w:val="center"/>
          </w:tcPr>
          <w:p w14:paraId="115272B7"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6.28</w:t>
            </w:r>
          </w:p>
        </w:tc>
        <w:tc>
          <w:tcPr>
            <w:tcW w:w="1418" w:type="dxa"/>
            <w:vAlign w:val="center"/>
          </w:tcPr>
          <w:p w14:paraId="23077EDE"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92.10 </w:t>
            </w:r>
          </w:p>
        </w:tc>
      </w:tr>
      <w:tr w:rsidR="00F84B4C" w:rsidRPr="007C0DC3" w14:paraId="260DA869" w14:textId="77777777" w:rsidTr="00DC008C">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482" w:type="dxa"/>
            <w:vAlign w:val="center"/>
          </w:tcPr>
          <w:p w14:paraId="5DAF876B" w14:textId="77777777" w:rsidR="00F84B4C" w:rsidRPr="007C0DC3" w:rsidRDefault="00F84B4C" w:rsidP="00DC008C">
            <w:pPr>
              <w:rPr>
                <w:rFonts w:ascii="Arial" w:hAnsi="Arial" w:cs="Arial"/>
                <w:b w:val="0"/>
                <w:bCs w:val="0"/>
                <w:sz w:val="20"/>
                <w:szCs w:val="20"/>
              </w:rPr>
            </w:pPr>
            <w:r w:rsidRPr="007C0DC3">
              <w:rPr>
                <w:rFonts w:ascii="Arial" w:hAnsi="Arial" w:cs="Arial"/>
                <w:b w:val="0"/>
                <w:bCs w:val="0"/>
                <w:sz w:val="20"/>
                <w:szCs w:val="20"/>
              </w:rPr>
              <w:t>F3</w:t>
            </w:r>
          </w:p>
        </w:tc>
        <w:tc>
          <w:tcPr>
            <w:tcW w:w="1342" w:type="dxa"/>
            <w:vAlign w:val="center"/>
          </w:tcPr>
          <w:p w14:paraId="31EAF774"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0.0513 </w:t>
            </w:r>
          </w:p>
        </w:tc>
        <w:tc>
          <w:tcPr>
            <w:tcW w:w="1415" w:type="dxa"/>
            <w:vAlign w:val="center"/>
          </w:tcPr>
          <w:p w14:paraId="1E23DFFB"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0.18 </w:t>
            </w:r>
          </w:p>
        </w:tc>
        <w:tc>
          <w:tcPr>
            <w:tcW w:w="1285" w:type="dxa"/>
            <w:vAlign w:val="center"/>
          </w:tcPr>
          <w:p w14:paraId="6154548F"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&gt;300</w:t>
            </w:r>
          </w:p>
        </w:tc>
        <w:tc>
          <w:tcPr>
            <w:tcW w:w="1275" w:type="dxa"/>
            <w:vAlign w:val="center"/>
          </w:tcPr>
          <w:p w14:paraId="7B3CCA83"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6.52</w:t>
            </w:r>
          </w:p>
        </w:tc>
        <w:tc>
          <w:tcPr>
            <w:tcW w:w="1418" w:type="dxa"/>
            <w:vAlign w:val="center"/>
          </w:tcPr>
          <w:p w14:paraId="6631F840"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98.26 </w:t>
            </w:r>
          </w:p>
        </w:tc>
      </w:tr>
      <w:tr w:rsidR="00F84B4C" w:rsidRPr="007C0DC3" w14:paraId="7A6006B8" w14:textId="77777777" w:rsidTr="00DC008C">
        <w:trPr>
          <w:trHeight w:val="388"/>
        </w:trPr>
        <w:tc>
          <w:tcPr>
            <w:cnfStyle w:val="001000000000" w:firstRow="0" w:lastRow="0" w:firstColumn="1" w:lastColumn="0" w:oddVBand="0" w:evenVBand="0" w:oddHBand="0" w:evenHBand="0" w:firstRowFirstColumn="0" w:firstRowLastColumn="0" w:lastRowFirstColumn="0" w:lastRowLastColumn="0"/>
            <w:tcW w:w="1482" w:type="dxa"/>
            <w:vAlign w:val="center"/>
          </w:tcPr>
          <w:p w14:paraId="750292F7" w14:textId="77777777" w:rsidR="00F84B4C" w:rsidRPr="007C0DC3" w:rsidRDefault="00F84B4C" w:rsidP="00DC008C">
            <w:pPr>
              <w:rPr>
                <w:rFonts w:ascii="Arial" w:hAnsi="Arial" w:cs="Arial"/>
                <w:b w:val="0"/>
                <w:bCs w:val="0"/>
                <w:sz w:val="20"/>
                <w:szCs w:val="20"/>
              </w:rPr>
            </w:pPr>
            <w:r w:rsidRPr="007C0DC3">
              <w:rPr>
                <w:rFonts w:ascii="Arial" w:hAnsi="Arial" w:cs="Arial"/>
                <w:b w:val="0"/>
                <w:bCs w:val="0"/>
                <w:sz w:val="20"/>
                <w:szCs w:val="20"/>
              </w:rPr>
              <w:t>F4</w:t>
            </w:r>
          </w:p>
        </w:tc>
        <w:tc>
          <w:tcPr>
            <w:tcW w:w="1342" w:type="dxa"/>
            <w:vAlign w:val="center"/>
          </w:tcPr>
          <w:p w14:paraId="7ECD113A"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0.05 </w:t>
            </w:r>
          </w:p>
        </w:tc>
        <w:tc>
          <w:tcPr>
            <w:tcW w:w="1415" w:type="dxa"/>
            <w:vAlign w:val="center"/>
          </w:tcPr>
          <w:p w14:paraId="1C1AD5E2"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0.14 </w:t>
            </w:r>
          </w:p>
        </w:tc>
        <w:tc>
          <w:tcPr>
            <w:tcW w:w="1285" w:type="dxa"/>
            <w:vAlign w:val="center"/>
          </w:tcPr>
          <w:p w14:paraId="4C8C03A9"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&gt;300</w:t>
            </w:r>
          </w:p>
        </w:tc>
        <w:tc>
          <w:tcPr>
            <w:tcW w:w="1275" w:type="dxa"/>
            <w:vAlign w:val="center"/>
          </w:tcPr>
          <w:p w14:paraId="32754BF4"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6.67</w:t>
            </w:r>
          </w:p>
        </w:tc>
        <w:tc>
          <w:tcPr>
            <w:tcW w:w="1418" w:type="dxa"/>
            <w:vAlign w:val="center"/>
          </w:tcPr>
          <w:p w14:paraId="58EF9626"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96.54 </w:t>
            </w:r>
          </w:p>
        </w:tc>
      </w:tr>
      <w:tr w:rsidR="00F84B4C" w:rsidRPr="007C0DC3" w14:paraId="142CD825" w14:textId="77777777" w:rsidTr="00DC008C">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482" w:type="dxa"/>
            <w:vAlign w:val="center"/>
          </w:tcPr>
          <w:p w14:paraId="50EEB5A8" w14:textId="77777777" w:rsidR="00F84B4C" w:rsidRPr="007C0DC3" w:rsidRDefault="00F84B4C" w:rsidP="00DC008C">
            <w:pPr>
              <w:rPr>
                <w:rFonts w:ascii="Arial" w:hAnsi="Arial" w:cs="Arial"/>
                <w:b w:val="0"/>
                <w:bCs w:val="0"/>
                <w:sz w:val="20"/>
                <w:szCs w:val="20"/>
              </w:rPr>
            </w:pPr>
            <w:r w:rsidRPr="007C0DC3">
              <w:rPr>
                <w:rFonts w:ascii="Arial" w:hAnsi="Arial" w:cs="Arial"/>
                <w:b w:val="0"/>
                <w:bCs w:val="0"/>
                <w:sz w:val="20"/>
                <w:szCs w:val="20"/>
              </w:rPr>
              <w:t>F5</w:t>
            </w:r>
          </w:p>
        </w:tc>
        <w:tc>
          <w:tcPr>
            <w:tcW w:w="1342" w:type="dxa"/>
            <w:vAlign w:val="center"/>
          </w:tcPr>
          <w:p w14:paraId="70BBCEC3"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0.0553 </w:t>
            </w:r>
          </w:p>
        </w:tc>
        <w:tc>
          <w:tcPr>
            <w:tcW w:w="1415" w:type="dxa"/>
            <w:vAlign w:val="center"/>
          </w:tcPr>
          <w:p w14:paraId="6FF7FBC8"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0.2 </w:t>
            </w:r>
          </w:p>
        </w:tc>
        <w:tc>
          <w:tcPr>
            <w:tcW w:w="1285" w:type="dxa"/>
            <w:vAlign w:val="center"/>
          </w:tcPr>
          <w:p w14:paraId="17832C0F"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&gt;300</w:t>
            </w:r>
          </w:p>
        </w:tc>
        <w:tc>
          <w:tcPr>
            <w:tcW w:w="1275" w:type="dxa"/>
            <w:vAlign w:val="center"/>
          </w:tcPr>
          <w:p w14:paraId="1E3DED6E"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6.56</w:t>
            </w:r>
          </w:p>
        </w:tc>
        <w:tc>
          <w:tcPr>
            <w:tcW w:w="1418" w:type="dxa"/>
            <w:vAlign w:val="center"/>
          </w:tcPr>
          <w:p w14:paraId="48CA4E5B" w14:textId="77777777" w:rsidR="00F84B4C" w:rsidRPr="007C0DC3"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95.06 </w:t>
            </w:r>
          </w:p>
        </w:tc>
      </w:tr>
      <w:tr w:rsidR="00F84B4C" w:rsidRPr="007C0DC3" w14:paraId="25FBBCE5" w14:textId="77777777" w:rsidTr="00DC008C">
        <w:trPr>
          <w:trHeight w:val="377"/>
        </w:trPr>
        <w:tc>
          <w:tcPr>
            <w:cnfStyle w:val="001000000000" w:firstRow="0" w:lastRow="0" w:firstColumn="1" w:lastColumn="0" w:oddVBand="0" w:evenVBand="0" w:oddHBand="0" w:evenHBand="0" w:firstRowFirstColumn="0" w:firstRowLastColumn="0" w:lastRowFirstColumn="0" w:lastRowLastColumn="0"/>
            <w:tcW w:w="1482" w:type="dxa"/>
            <w:vAlign w:val="center"/>
          </w:tcPr>
          <w:p w14:paraId="176CCA2D" w14:textId="77777777" w:rsidR="00F84B4C" w:rsidRPr="007C0DC3" w:rsidRDefault="00F84B4C" w:rsidP="00DC008C">
            <w:pPr>
              <w:rPr>
                <w:rFonts w:ascii="Arial" w:hAnsi="Arial" w:cs="Arial"/>
                <w:b w:val="0"/>
                <w:bCs w:val="0"/>
                <w:sz w:val="20"/>
                <w:szCs w:val="20"/>
              </w:rPr>
            </w:pPr>
            <w:r w:rsidRPr="007C0DC3">
              <w:rPr>
                <w:rFonts w:ascii="Arial" w:hAnsi="Arial" w:cs="Arial"/>
                <w:b w:val="0"/>
                <w:bCs w:val="0"/>
                <w:sz w:val="20"/>
                <w:szCs w:val="20"/>
              </w:rPr>
              <w:t>F6</w:t>
            </w:r>
          </w:p>
        </w:tc>
        <w:tc>
          <w:tcPr>
            <w:tcW w:w="1342" w:type="dxa"/>
            <w:vAlign w:val="center"/>
          </w:tcPr>
          <w:p w14:paraId="4394E5CE"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0.0486 </w:t>
            </w:r>
          </w:p>
        </w:tc>
        <w:tc>
          <w:tcPr>
            <w:tcW w:w="1415" w:type="dxa"/>
            <w:vAlign w:val="center"/>
          </w:tcPr>
          <w:p w14:paraId="4240F849"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0.16 </w:t>
            </w:r>
          </w:p>
        </w:tc>
        <w:tc>
          <w:tcPr>
            <w:tcW w:w="1285" w:type="dxa"/>
            <w:vAlign w:val="center"/>
          </w:tcPr>
          <w:p w14:paraId="5181EA4D"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&gt;300</w:t>
            </w:r>
          </w:p>
        </w:tc>
        <w:tc>
          <w:tcPr>
            <w:tcW w:w="1275" w:type="dxa"/>
            <w:vAlign w:val="center"/>
          </w:tcPr>
          <w:p w14:paraId="00066764"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6.43</w:t>
            </w:r>
          </w:p>
        </w:tc>
        <w:tc>
          <w:tcPr>
            <w:tcW w:w="1418" w:type="dxa"/>
            <w:vAlign w:val="center"/>
          </w:tcPr>
          <w:p w14:paraId="10B90B86" w14:textId="77777777" w:rsidR="00F84B4C" w:rsidRPr="007C0DC3"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93.83 </w:t>
            </w:r>
          </w:p>
        </w:tc>
      </w:tr>
    </w:tbl>
    <w:p w14:paraId="458A5A94" w14:textId="77777777" w:rsidR="001015D9" w:rsidRPr="007C0DC3" w:rsidRDefault="001015D9" w:rsidP="006C18EA">
      <w:pPr>
        <w:tabs>
          <w:tab w:val="left" w:pos="2664"/>
        </w:tabs>
        <w:spacing w:after="0" w:line="360" w:lineRule="auto"/>
        <w:ind w:right="113"/>
        <w:jc w:val="both"/>
        <w:rPr>
          <w:rFonts w:ascii="Arial" w:hAnsi="Arial" w:cs="Arial"/>
          <w:b/>
          <w:bCs/>
          <w:sz w:val="20"/>
          <w:szCs w:val="20"/>
        </w:rPr>
      </w:pPr>
    </w:p>
    <w:p w14:paraId="67C1A8AB" w14:textId="77777777" w:rsidR="000F2DBA" w:rsidRPr="007C0DC3" w:rsidRDefault="00000000">
      <w:pPr>
        <w:jc w:val="both"/>
      </w:pPr>
      <w:r w:rsidRPr="007C0DC3">
        <w:rPr>
          <w:rFonts w:ascii="Arial" w:hAnsi="Arial"/>
          <w:sz w:val="20"/>
        </w:rPr>
        <w:t>The drug-content range indicates formulation-dependent differences in recovery, with F3 showing the highest measured content. High and reproducible content uniformity is important in matrix-type buccal films because variability may translate directly into dose variability and can confound comparison of release profiles among formulations (Viswanad et al., 2018; Kumar et al., 2011; Salehi &amp; Boddohi, 2017).</w:t>
      </w:r>
    </w:p>
    <w:p w14:paraId="0B709E36" w14:textId="77777777" w:rsidR="00075073" w:rsidRPr="007C0DC3" w:rsidRDefault="009C1863" w:rsidP="00DC008C">
      <w:pPr>
        <w:tabs>
          <w:tab w:val="left" w:pos="2664"/>
        </w:tabs>
        <w:spacing w:after="0" w:line="480" w:lineRule="auto"/>
        <w:ind w:left="340" w:right="340"/>
        <w:jc w:val="both"/>
        <w:rPr>
          <w:rFonts w:ascii="Arial" w:hAnsi="Arial" w:cs="Arial"/>
          <w:b/>
          <w:bCs/>
          <w:sz w:val="20"/>
          <w:szCs w:val="20"/>
          <w:u w:val="single"/>
        </w:rPr>
      </w:pPr>
      <w:r w:rsidRPr="007C0DC3">
        <w:rPr>
          <w:rFonts w:ascii="Arial" w:hAnsi="Arial" w:cs="Arial"/>
          <w:b/>
          <w:bCs/>
          <w:sz w:val="20"/>
          <w:szCs w:val="20"/>
          <w:u w:val="single"/>
        </w:rPr>
        <w:t xml:space="preserve">3.2.7 </w:t>
      </w:r>
      <w:r w:rsidR="004D4EA2" w:rsidRPr="007C0DC3">
        <w:rPr>
          <w:rFonts w:ascii="Arial" w:hAnsi="Arial" w:cs="Arial"/>
          <w:b/>
          <w:bCs/>
          <w:sz w:val="20"/>
          <w:szCs w:val="20"/>
          <w:u w:val="single"/>
        </w:rPr>
        <w:t>Flatness</w:t>
      </w:r>
    </w:p>
    <w:p w14:paraId="7A723B48" w14:textId="77777777" w:rsidR="00075073" w:rsidRPr="007C0DC3" w:rsidRDefault="00075073" w:rsidP="009B66E3">
      <w:pPr>
        <w:tabs>
          <w:tab w:val="left" w:pos="2664"/>
        </w:tabs>
        <w:spacing w:after="0" w:line="480" w:lineRule="auto"/>
        <w:ind w:left="340" w:right="340"/>
        <w:jc w:val="both"/>
        <w:rPr>
          <w:rFonts w:ascii="Arial" w:hAnsi="Arial" w:cs="Arial"/>
          <w:sz w:val="20"/>
          <w:szCs w:val="20"/>
        </w:rPr>
      </w:pPr>
      <w:r w:rsidRPr="007C0DC3">
        <w:rPr>
          <w:rFonts w:ascii="Arial" w:hAnsi="Arial" w:cs="Arial"/>
          <w:sz w:val="20"/>
          <w:szCs w:val="20"/>
        </w:rPr>
        <w:lastRenderedPageBreak/>
        <w:t xml:space="preserve">Flatness is an important parameter for mucoadhesive buccal patches, as the patch should possess a smooth, uniform surface and retain its original dimensions without significant constriction over time. The flatness study was performed to evaluate whether the prepared patches met these requirements. </w:t>
      </w:r>
      <w:r w:rsidR="00651C6B" w:rsidRPr="007C0DC3">
        <w:rPr>
          <w:rFonts w:ascii="Arial" w:hAnsi="Arial" w:cs="Arial"/>
          <w:sz w:val="20"/>
          <w:szCs w:val="20"/>
        </w:rPr>
        <w:t>All formulations exhibited identical strip length before and after cutting, confirming complete flatness (100%) with no constriction (0%).</w:t>
      </w:r>
    </w:p>
    <w:p w14:paraId="0B5925CE" w14:textId="77777777" w:rsidR="000F2DBA" w:rsidRPr="007C0DC3" w:rsidRDefault="00000000">
      <w:pPr>
        <w:jc w:val="both"/>
      </w:pPr>
      <w:r w:rsidRPr="007C0DC3">
        <w:rPr>
          <w:rFonts w:ascii="Arial" w:hAnsi="Arial"/>
          <w:sz w:val="20"/>
        </w:rPr>
        <w:t>Complete flatness with no measurable constriction indicates good dimensional stability after film formation. Dimensional stability is relevant because curling or contraction can reduce effective mucosal contact area and complicate reproducible application, whereas controlled film structure and mechanical integrity support consistent buccal performance (Morales &amp; McConville, 2011; Nair et al., 2021; Salehi &amp; Boddohi, 2017).</w:t>
      </w:r>
    </w:p>
    <w:p w14:paraId="760C11FF" w14:textId="77777777" w:rsidR="00B20CC9" w:rsidRPr="007C0DC3" w:rsidRDefault="00AA5132" w:rsidP="009B66E3">
      <w:pPr>
        <w:tabs>
          <w:tab w:val="left" w:pos="2664"/>
        </w:tabs>
        <w:spacing w:after="0" w:line="480" w:lineRule="auto"/>
        <w:ind w:left="340" w:right="340"/>
        <w:jc w:val="both"/>
        <w:rPr>
          <w:rFonts w:ascii="Arial" w:hAnsi="Arial" w:cs="Arial"/>
          <w:b/>
          <w:bCs/>
          <w:sz w:val="20"/>
          <w:szCs w:val="20"/>
          <w:u w:val="single"/>
        </w:rPr>
      </w:pPr>
      <w:r w:rsidRPr="007C0DC3">
        <w:rPr>
          <w:rFonts w:ascii="Arial" w:hAnsi="Arial" w:cs="Arial"/>
          <w:b/>
          <w:bCs/>
          <w:sz w:val="20"/>
          <w:szCs w:val="20"/>
          <w:u w:val="single"/>
        </w:rPr>
        <w:t xml:space="preserve">3.2.8 </w:t>
      </w:r>
      <w:r w:rsidR="00B20CC9" w:rsidRPr="007C0DC3">
        <w:rPr>
          <w:rFonts w:ascii="Arial" w:hAnsi="Arial" w:cs="Arial"/>
          <w:b/>
          <w:bCs/>
          <w:sz w:val="20"/>
          <w:szCs w:val="20"/>
          <w:u w:val="single"/>
        </w:rPr>
        <w:t>Swelling Index</w:t>
      </w:r>
    </w:p>
    <w:p w14:paraId="481B4C63" w14:textId="77777777" w:rsidR="003B6532" w:rsidRPr="007C0DC3" w:rsidRDefault="003B6532" w:rsidP="009B66E3">
      <w:pPr>
        <w:spacing w:after="0" w:line="480" w:lineRule="auto"/>
        <w:ind w:left="340" w:right="340"/>
        <w:jc w:val="both"/>
        <w:rPr>
          <w:rFonts w:ascii="Arial" w:hAnsi="Arial" w:cs="Arial"/>
          <w:sz w:val="20"/>
          <w:szCs w:val="20"/>
        </w:rPr>
      </w:pPr>
      <w:r w:rsidRPr="007C0DC3">
        <w:rPr>
          <w:rFonts w:ascii="Arial" w:hAnsi="Arial" w:cs="Arial"/>
          <w:sz w:val="20"/>
          <w:szCs w:val="20"/>
        </w:rPr>
        <w:t>The swelling index of each patch was determined by measuring its increased weight after a predetermined time.</w:t>
      </w:r>
      <w:r w:rsidR="00AA5FD4" w:rsidRPr="007C0DC3">
        <w:rPr>
          <w:rFonts w:ascii="Arial" w:hAnsi="Arial" w:cs="Arial"/>
          <w:sz w:val="20"/>
          <w:szCs w:val="20"/>
        </w:rPr>
        <w:t xml:space="preserve"> </w:t>
      </w:r>
      <w:r w:rsidRPr="007C0DC3">
        <w:rPr>
          <w:rFonts w:ascii="Arial" w:hAnsi="Arial" w:cs="Arial"/>
          <w:sz w:val="20"/>
          <w:szCs w:val="20"/>
        </w:rPr>
        <w:t>F3 showed optimal hydration and adhesion, with a swelling index of 537.13%, due to its balanced HPMC E15–Carbopol 940 ratio.</w:t>
      </w:r>
    </w:p>
    <w:p w14:paraId="5A4E4968" w14:textId="77777777" w:rsidR="000F2DBA" w:rsidRPr="007C0DC3" w:rsidRDefault="00000000">
      <w:pPr>
        <w:jc w:val="both"/>
      </w:pPr>
      <w:r w:rsidRPr="007C0DC3">
        <w:rPr>
          <w:rFonts w:ascii="Arial" w:hAnsi="Arial"/>
          <w:sz w:val="20"/>
        </w:rPr>
        <w:t>The substantial swelling observed for all formulations confirms rapid hydration of the hydrophilic polymer matrices. Hydration is required to mobilize polymer chains and expose functional groups involved in mucoadhesion, but excessive swelling may weaken matrix integrity; therefore, the intermediate swelling of F3 can reasonably be viewed as a balance between hydration and structural retention rather than simply as the maximum swelling response (Smart, 2005; Andrews et al., 2009; Muzib &amp; Kumari, 2011).</w:t>
      </w:r>
    </w:p>
    <w:p w14:paraId="0862F3A6" w14:textId="77777777" w:rsidR="00397782" w:rsidRPr="007C0DC3" w:rsidRDefault="00AA5132" w:rsidP="009B66E3">
      <w:pPr>
        <w:spacing w:after="0" w:line="480" w:lineRule="auto"/>
        <w:ind w:left="340" w:right="340"/>
        <w:jc w:val="both"/>
        <w:rPr>
          <w:rFonts w:ascii="Arial" w:hAnsi="Arial" w:cs="Arial"/>
          <w:b/>
          <w:bCs/>
          <w:sz w:val="20"/>
          <w:szCs w:val="20"/>
          <w:u w:val="single"/>
        </w:rPr>
      </w:pPr>
      <w:r w:rsidRPr="007C0DC3">
        <w:rPr>
          <w:rFonts w:ascii="Arial" w:hAnsi="Arial" w:cs="Arial"/>
          <w:b/>
          <w:bCs/>
          <w:sz w:val="20"/>
          <w:szCs w:val="20"/>
          <w:u w:val="single"/>
        </w:rPr>
        <w:t xml:space="preserve">3.2.9 </w:t>
      </w:r>
      <w:r w:rsidR="00397782" w:rsidRPr="007C0DC3">
        <w:rPr>
          <w:rFonts w:ascii="Arial" w:hAnsi="Arial" w:cs="Arial"/>
          <w:b/>
          <w:bCs/>
          <w:sz w:val="20"/>
          <w:szCs w:val="20"/>
          <w:u w:val="single"/>
        </w:rPr>
        <w:t>Moisture Absorption Studies</w:t>
      </w:r>
    </w:p>
    <w:p w14:paraId="5729EB1D" w14:textId="77777777" w:rsidR="003F3D91" w:rsidRPr="007C0DC3" w:rsidRDefault="003F3D91" w:rsidP="009B66E3">
      <w:pPr>
        <w:spacing w:after="0" w:line="480" w:lineRule="auto"/>
        <w:ind w:left="340" w:right="340"/>
        <w:jc w:val="both"/>
        <w:rPr>
          <w:rFonts w:ascii="Arial" w:hAnsi="Arial" w:cs="Arial"/>
          <w:sz w:val="20"/>
          <w:szCs w:val="20"/>
        </w:rPr>
      </w:pPr>
      <w:r w:rsidRPr="007C0DC3">
        <w:rPr>
          <w:rFonts w:ascii="Arial" w:hAnsi="Arial" w:cs="Arial"/>
          <w:sz w:val="20"/>
          <w:szCs w:val="20"/>
        </w:rPr>
        <w:t xml:space="preserve">Moisture absorption increased patch weight, with Carbopol 940–rich formulations showing </w:t>
      </w:r>
    </w:p>
    <w:p w14:paraId="7E2DA022" w14:textId="77777777" w:rsidR="003F3D91" w:rsidRPr="007C0DC3" w:rsidRDefault="00FC1732" w:rsidP="009B66E3">
      <w:pPr>
        <w:spacing w:after="0" w:line="480" w:lineRule="auto"/>
        <w:ind w:left="340" w:right="340"/>
        <w:jc w:val="both"/>
        <w:rPr>
          <w:rFonts w:ascii="Arial" w:hAnsi="Arial" w:cs="Arial"/>
          <w:sz w:val="20"/>
          <w:szCs w:val="20"/>
        </w:rPr>
      </w:pPr>
      <w:r w:rsidRPr="007C0DC3">
        <w:rPr>
          <w:rFonts w:ascii="Arial" w:hAnsi="Arial" w:cs="Arial"/>
          <w:sz w:val="20"/>
          <w:szCs w:val="20"/>
        </w:rPr>
        <w:t xml:space="preserve">greater uptake due to its hygroscopic nature. </w:t>
      </w:r>
      <w:r w:rsidR="003F3D91" w:rsidRPr="007C0DC3">
        <w:rPr>
          <w:rFonts w:ascii="Arial" w:hAnsi="Arial" w:cs="Arial"/>
          <w:sz w:val="20"/>
          <w:szCs w:val="20"/>
        </w:rPr>
        <w:t>Patches containing more HPMC E15 showed lower weight gain and maintained better structural stability.</w:t>
      </w:r>
    </w:p>
    <w:p w14:paraId="37652812" w14:textId="77777777" w:rsidR="000F2DBA" w:rsidRPr="007C0DC3" w:rsidRDefault="00000000">
      <w:pPr>
        <w:jc w:val="both"/>
      </w:pPr>
      <w:r w:rsidRPr="007C0DC3">
        <w:rPr>
          <w:rFonts w:ascii="Arial" w:hAnsi="Arial"/>
          <w:sz w:val="20"/>
        </w:rPr>
        <w:t>The higher moisture uptake in Carbopol-rich films is consistent with the strong hydrophilicity of carbomer-containing matrices, whereas lower uptake may favor dimensional and mechanical stability during storage. Moisture sorption should nevertheless be controlled because excessive water uptake can soften films and alter drug release, while very low moisture can promote brittleness (Adhikari et al., 2010; Ikram et al., 2015; Vasantha et al., 2011).</w:t>
      </w:r>
    </w:p>
    <w:p w14:paraId="3EBF0DC9" w14:textId="77777777" w:rsidR="002D2C52" w:rsidRPr="007C0DC3" w:rsidRDefault="00AA5132" w:rsidP="009B66E3">
      <w:pPr>
        <w:spacing w:after="0" w:line="480" w:lineRule="auto"/>
        <w:ind w:left="340" w:right="340"/>
        <w:rPr>
          <w:rFonts w:ascii="Arial" w:hAnsi="Arial" w:cs="Arial"/>
          <w:b/>
          <w:bCs/>
          <w:sz w:val="20"/>
          <w:szCs w:val="20"/>
          <w:u w:val="single"/>
        </w:rPr>
      </w:pPr>
      <w:r w:rsidRPr="007C0DC3">
        <w:rPr>
          <w:rFonts w:ascii="Arial" w:hAnsi="Arial" w:cs="Arial"/>
          <w:b/>
          <w:bCs/>
          <w:sz w:val="20"/>
          <w:szCs w:val="20"/>
          <w:u w:val="single"/>
        </w:rPr>
        <w:t>3.</w:t>
      </w:r>
      <w:r w:rsidR="00A45637" w:rsidRPr="007C0DC3">
        <w:rPr>
          <w:rFonts w:ascii="Arial" w:hAnsi="Arial" w:cs="Arial"/>
          <w:b/>
          <w:bCs/>
          <w:sz w:val="20"/>
          <w:szCs w:val="20"/>
          <w:u w:val="single"/>
        </w:rPr>
        <w:t xml:space="preserve">2.10 </w:t>
      </w:r>
      <w:r w:rsidR="002D2C52" w:rsidRPr="007C0DC3">
        <w:rPr>
          <w:rFonts w:ascii="Arial" w:hAnsi="Arial" w:cs="Arial"/>
          <w:b/>
          <w:bCs/>
          <w:sz w:val="20"/>
          <w:szCs w:val="20"/>
          <w:u w:val="single"/>
        </w:rPr>
        <w:t>Moisture Loss Studies</w:t>
      </w:r>
    </w:p>
    <w:p w14:paraId="4280AA4A" w14:textId="77777777" w:rsidR="009B66E3" w:rsidRPr="007C0DC3" w:rsidRDefault="00D02643" w:rsidP="009B66E3">
      <w:pPr>
        <w:tabs>
          <w:tab w:val="left" w:pos="2664"/>
        </w:tabs>
        <w:spacing w:after="0" w:line="480" w:lineRule="auto"/>
        <w:ind w:left="340" w:right="340"/>
        <w:jc w:val="both"/>
        <w:rPr>
          <w:rFonts w:ascii="Arial" w:hAnsi="Arial" w:cs="Arial"/>
          <w:sz w:val="20"/>
          <w:szCs w:val="20"/>
        </w:rPr>
      </w:pPr>
      <w:r w:rsidRPr="007C0DC3">
        <w:rPr>
          <w:rFonts w:ascii="Arial" w:hAnsi="Arial" w:cs="Arial"/>
          <w:sz w:val="20"/>
          <w:szCs w:val="20"/>
        </w:rPr>
        <w:t xml:space="preserve">The moisture loss study showed a decrease in patch weight, with HPMC E15–rich formulations losing more weight due to lower hygroscopicity. Carbopol 940–based patches retained more moisture and therefore showed comparatively less weight loss. </w:t>
      </w:r>
    </w:p>
    <w:p w14:paraId="5D11C3A7" w14:textId="77777777" w:rsidR="00B20CC9" w:rsidRPr="007C0DC3" w:rsidRDefault="00765B33" w:rsidP="009B66E3">
      <w:pPr>
        <w:tabs>
          <w:tab w:val="left" w:pos="2664"/>
        </w:tabs>
        <w:spacing w:after="0" w:line="480" w:lineRule="auto"/>
        <w:ind w:left="340" w:right="340"/>
        <w:jc w:val="both"/>
        <w:rPr>
          <w:rFonts w:ascii="Arial" w:hAnsi="Arial" w:cs="Arial"/>
          <w:sz w:val="20"/>
          <w:szCs w:val="20"/>
        </w:rPr>
      </w:pPr>
      <w:r w:rsidRPr="007C0DC3">
        <w:rPr>
          <w:rFonts w:ascii="Arial" w:hAnsi="Arial" w:cs="Arial"/>
          <w:b/>
          <w:bCs/>
          <w:sz w:val="20"/>
          <w:szCs w:val="20"/>
        </w:rPr>
        <w:t>Tab</w:t>
      </w:r>
      <w:r w:rsidR="00FD4F3E" w:rsidRPr="007C0DC3">
        <w:rPr>
          <w:rFonts w:ascii="Arial" w:hAnsi="Arial" w:cs="Arial"/>
          <w:b/>
          <w:bCs/>
          <w:sz w:val="20"/>
          <w:szCs w:val="20"/>
        </w:rPr>
        <w:t xml:space="preserve">le </w:t>
      </w:r>
      <w:r w:rsidR="009B66E3" w:rsidRPr="007C0DC3">
        <w:rPr>
          <w:rFonts w:ascii="Arial" w:hAnsi="Arial" w:cs="Arial"/>
          <w:b/>
          <w:bCs/>
          <w:sz w:val="20"/>
          <w:szCs w:val="20"/>
        </w:rPr>
        <w:t>5</w:t>
      </w:r>
      <w:r w:rsidR="00FD4F3E" w:rsidRPr="007C0DC3">
        <w:rPr>
          <w:rFonts w:ascii="Arial" w:hAnsi="Arial" w:cs="Arial"/>
          <w:b/>
          <w:bCs/>
          <w:sz w:val="20"/>
          <w:szCs w:val="20"/>
        </w:rPr>
        <w:t>: Characterization of Mucoadhesive Buccal Patch</w:t>
      </w:r>
    </w:p>
    <w:tbl>
      <w:tblPr>
        <w:tblStyle w:val="PlainTable2"/>
        <w:tblW w:w="8179" w:type="dxa"/>
        <w:tblInd w:w="284" w:type="dxa"/>
        <w:tblLook w:val="04A0" w:firstRow="1" w:lastRow="0" w:firstColumn="1" w:lastColumn="0" w:noHBand="0" w:noVBand="1"/>
      </w:tblPr>
      <w:tblGrid>
        <w:gridCol w:w="1994"/>
        <w:gridCol w:w="2268"/>
        <w:gridCol w:w="2126"/>
        <w:gridCol w:w="1791"/>
      </w:tblGrid>
      <w:tr w:rsidR="001C384E" w:rsidRPr="007C0DC3" w14:paraId="63035721" w14:textId="77777777" w:rsidTr="00E76B72">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994" w:type="dxa"/>
            <w:vAlign w:val="center"/>
          </w:tcPr>
          <w:p w14:paraId="0D8BD7A8" w14:textId="77777777" w:rsidR="001C384E" w:rsidRPr="007C0DC3" w:rsidRDefault="001C384E" w:rsidP="00DC008C">
            <w:pPr>
              <w:rPr>
                <w:rFonts w:ascii="Arial" w:hAnsi="Arial" w:cs="Arial"/>
                <w:b w:val="0"/>
                <w:bCs w:val="0"/>
                <w:sz w:val="20"/>
                <w:szCs w:val="20"/>
              </w:rPr>
            </w:pPr>
            <w:r w:rsidRPr="007C0DC3">
              <w:rPr>
                <w:rFonts w:ascii="Arial" w:hAnsi="Arial" w:cs="Arial"/>
                <w:sz w:val="20"/>
                <w:szCs w:val="20"/>
              </w:rPr>
              <w:t>Formulation Code</w:t>
            </w:r>
          </w:p>
        </w:tc>
        <w:tc>
          <w:tcPr>
            <w:tcW w:w="2268" w:type="dxa"/>
            <w:vAlign w:val="center"/>
          </w:tcPr>
          <w:p w14:paraId="48DCF06B" w14:textId="77777777" w:rsidR="001C384E" w:rsidRPr="007C0DC3" w:rsidRDefault="002377CE" w:rsidP="00DC008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C0DC3">
              <w:rPr>
                <w:rFonts w:ascii="Arial" w:hAnsi="Arial" w:cs="Arial"/>
                <w:sz w:val="20"/>
                <w:szCs w:val="20"/>
              </w:rPr>
              <w:t>Swelling Index</w:t>
            </w:r>
            <w:r w:rsidR="00C91A27" w:rsidRPr="007C0DC3">
              <w:rPr>
                <w:rFonts w:ascii="Arial" w:hAnsi="Arial" w:cs="Arial"/>
                <w:sz w:val="20"/>
                <w:szCs w:val="20"/>
              </w:rPr>
              <w:t xml:space="preserve"> (%)</w:t>
            </w:r>
          </w:p>
        </w:tc>
        <w:tc>
          <w:tcPr>
            <w:tcW w:w="2126" w:type="dxa"/>
            <w:vAlign w:val="center"/>
          </w:tcPr>
          <w:p w14:paraId="5F000F09" w14:textId="77777777" w:rsidR="001C384E" w:rsidRPr="007C0DC3" w:rsidRDefault="00F62B31" w:rsidP="00DC008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C0DC3">
              <w:rPr>
                <w:rFonts w:ascii="Arial" w:hAnsi="Arial" w:cs="Arial"/>
                <w:sz w:val="20"/>
                <w:szCs w:val="20"/>
              </w:rPr>
              <w:t xml:space="preserve">% </w:t>
            </w:r>
            <w:r w:rsidR="002377CE" w:rsidRPr="007C0DC3">
              <w:rPr>
                <w:rFonts w:ascii="Arial" w:hAnsi="Arial" w:cs="Arial"/>
                <w:sz w:val="20"/>
                <w:szCs w:val="20"/>
              </w:rPr>
              <w:t xml:space="preserve">Moisture </w:t>
            </w:r>
            <w:r w:rsidRPr="007C0DC3">
              <w:rPr>
                <w:rFonts w:ascii="Arial" w:hAnsi="Arial" w:cs="Arial"/>
                <w:sz w:val="20"/>
                <w:szCs w:val="20"/>
              </w:rPr>
              <w:t>Uptake</w:t>
            </w:r>
          </w:p>
        </w:tc>
        <w:tc>
          <w:tcPr>
            <w:tcW w:w="1791" w:type="dxa"/>
            <w:vAlign w:val="center"/>
          </w:tcPr>
          <w:p w14:paraId="204DC821" w14:textId="77777777" w:rsidR="001C384E" w:rsidRPr="007C0DC3" w:rsidRDefault="00F62B31" w:rsidP="00DC008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C0DC3">
              <w:rPr>
                <w:rFonts w:ascii="Arial" w:hAnsi="Arial" w:cs="Arial"/>
                <w:sz w:val="20"/>
                <w:szCs w:val="20"/>
              </w:rPr>
              <w:t>% Moisture Loss</w:t>
            </w:r>
          </w:p>
        </w:tc>
      </w:tr>
      <w:tr w:rsidR="001C384E" w:rsidRPr="007C0DC3" w14:paraId="4DB7C71A" w14:textId="77777777" w:rsidTr="00DC008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994" w:type="dxa"/>
            <w:vAlign w:val="center"/>
          </w:tcPr>
          <w:p w14:paraId="12326F39" w14:textId="77777777" w:rsidR="001C384E" w:rsidRPr="007C0DC3" w:rsidRDefault="007C53FD" w:rsidP="00DC008C">
            <w:pPr>
              <w:rPr>
                <w:rFonts w:ascii="Arial" w:hAnsi="Arial" w:cs="Arial"/>
                <w:b w:val="0"/>
                <w:bCs w:val="0"/>
                <w:sz w:val="20"/>
                <w:szCs w:val="20"/>
              </w:rPr>
            </w:pPr>
            <w:r w:rsidRPr="007C0DC3">
              <w:rPr>
                <w:rFonts w:ascii="Arial" w:hAnsi="Arial" w:cs="Arial"/>
                <w:b w:val="0"/>
                <w:bCs w:val="0"/>
                <w:sz w:val="20"/>
                <w:szCs w:val="20"/>
              </w:rPr>
              <w:t>F1</w:t>
            </w:r>
          </w:p>
        </w:tc>
        <w:tc>
          <w:tcPr>
            <w:tcW w:w="2268" w:type="dxa"/>
            <w:vAlign w:val="center"/>
          </w:tcPr>
          <w:p w14:paraId="33E19634" w14:textId="77777777" w:rsidR="001C384E" w:rsidRPr="007C0DC3" w:rsidRDefault="00B577AE"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464.89 </w:t>
            </w:r>
          </w:p>
        </w:tc>
        <w:tc>
          <w:tcPr>
            <w:tcW w:w="2126" w:type="dxa"/>
            <w:vAlign w:val="center"/>
          </w:tcPr>
          <w:p w14:paraId="704C2114" w14:textId="77777777" w:rsidR="001C384E" w:rsidRPr="007C0DC3" w:rsidRDefault="00406644"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9.17 </w:t>
            </w:r>
          </w:p>
        </w:tc>
        <w:tc>
          <w:tcPr>
            <w:tcW w:w="1791" w:type="dxa"/>
            <w:vAlign w:val="center"/>
          </w:tcPr>
          <w:p w14:paraId="339DF474" w14:textId="77777777" w:rsidR="001C384E" w:rsidRPr="007C0DC3" w:rsidRDefault="00B609ED"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9.95</w:t>
            </w:r>
            <w:r w:rsidR="0036708B" w:rsidRPr="007C0DC3">
              <w:rPr>
                <w:rFonts w:ascii="Arial" w:hAnsi="Arial" w:cs="Arial"/>
                <w:sz w:val="20"/>
                <w:szCs w:val="20"/>
              </w:rPr>
              <w:t xml:space="preserve"> </w:t>
            </w:r>
          </w:p>
        </w:tc>
      </w:tr>
      <w:tr w:rsidR="001C384E" w:rsidRPr="007C0DC3" w14:paraId="6C0DDF6F" w14:textId="77777777" w:rsidTr="00DC008C">
        <w:trPr>
          <w:trHeight w:val="344"/>
        </w:trPr>
        <w:tc>
          <w:tcPr>
            <w:cnfStyle w:val="001000000000" w:firstRow="0" w:lastRow="0" w:firstColumn="1" w:lastColumn="0" w:oddVBand="0" w:evenVBand="0" w:oddHBand="0" w:evenHBand="0" w:firstRowFirstColumn="0" w:firstRowLastColumn="0" w:lastRowFirstColumn="0" w:lastRowLastColumn="0"/>
            <w:tcW w:w="1994" w:type="dxa"/>
            <w:vAlign w:val="center"/>
          </w:tcPr>
          <w:p w14:paraId="1E5E1CCB" w14:textId="77777777" w:rsidR="001C384E" w:rsidRPr="007C0DC3" w:rsidRDefault="007C53FD" w:rsidP="00DC008C">
            <w:pPr>
              <w:rPr>
                <w:rFonts w:ascii="Arial" w:hAnsi="Arial" w:cs="Arial"/>
                <w:b w:val="0"/>
                <w:bCs w:val="0"/>
                <w:sz w:val="20"/>
                <w:szCs w:val="20"/>
              </w:rPr>
            </w:pPr>
            <w:r w:rsidRPr="007C0DC3">
              <w:rPr>
                <w:rFonts w:ascii="Arial" w:hAnsi="Arial" w:cs="Arial"/>
                <w:b w:val="0"/>
                <w:bCs w:val="0"/>
                <w:sz w:val="20"/>
                <w:szCs w:val="20"/>
              </w:rPr>
              <w:lastRenderedPageBreak/>
              <w:t>F2</w:t>
            </w:r>
          </w:p>
        </w:tc>
        <w:tc>
          <w:tcPr>
            <w:tcW w:w="2268" w:type="dxa"/>
            <w:vAlign w:val="center"/>
          </w:tcPr>
          <w:p w14:paraId="1B836440" w14:textId="77777777" w:rsidR="001C384E" w:rsidRPr="007C0DC3" w:rsidRDefault="00B577AE"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627.75 </w:t>
            </w:r>
          </w:p>
        </w:tc>
        <w:tc>
          <w:tcPr>
            <w:tcW w:w="2126" w:type="dxa"/>
            <w:vAlign w:val="center"/>
          </w:tcPr>
          <w:p w14:paraId="1AA9B030" w14:textId="77777777" w:rsidR="001C384E" w:rsidRPr="007C0DC3" w:rsidRDefault="00406644"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11.62</w:t>
            </w:r>
          </w:p>
        </w:tc>
        <w:tc>
          <w:tcPr>
            <w:tcW w:w="1791" w:type="dxa"/>
            <w:vAlign w:val="center"/>
          </w:tcPr>
          <w:p w14:paraId="7AD8D91B" w14:textId="77777777" w:rsidR="001C384E" w:rsidRPr="007C0DC3" w:rsidRDefault="0036708B"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10.84</w:t>
            </w:r>
          </w:p>
        </w:tc>
      </w:tr>
      <w:tr w:rsidR="001C384E" w:rsidRPr="007C0DC3" w14:paraId="58EE64BA" w14:textId="77777777" w:rsidTr="00DC008C">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994" w:type="dxa"/>
            <w:vAlign w:val="center"/>
          </w:tcPr>
          <w:p w14:paraId="6B41A4A0" w14:textId="77777777" w:rsidR="001C384E" w:rsidRPr="007C0DC3" w:rsidRDefault="007C53FD" w:rsidP="00DC008C">
            <w:pPr>
              <w:rPr>
                <w:rFonts w:ascii="Arial" w:hAnsi="Arial" w:cs="Arial"/>
                <w:b w:val="0"/>
                <w:bCs w:val="0"/>
                <w:sz w:val="20"/>
                <w:szCs w:val="20"/>
              </w:rPr>
            </w:pPr>
            <w:r w:rsidRPr="007C0DC3">
              <w:rPr>
                <w:rFonts w:ascii="Arial" w:hAnsi="Arial" w:cs="Arial"/>
                <w:b w:val="0"/>
                <w:bCs w:val="0"/>
                <w:sz w:val="20"/>
                <w:szCs w:val="20"/>
              </w:rPr>
              <w:t>F3</w:t>
            </w:r>
          </w:p>
        </w:tc>
        <w:tc>
          <w:tcPr>
            <w:tcW w:w="2268" w:type="dxa"/>
            <w:vAlign w:val="center"/>
          </w:tcPr>
          <w:p w14:paraId="50557F57" w14:textId="77777777" w:rsidR="001C384E" w:rsidRPr="007C0DC3" w:rsidRDefault="00B577AE"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537. </w:t>
            </w:r>
            <w:r w:rsidR="009B6DA7" w:rsidRPr="007C0DC3">
              <w:rPr>
                <w:rFonts w:ascii="Arial" w:hAnsi="Arial" w:cs="Arial"/>
                <w:sz w:val="20"/>
                <w:szCs w:val="20"/>
              </w:rPr>
              <w:t xml:space="preserve">13 </w:t>
            </w:r>
          </w:p>
        </w:tc>
        <w:tc>
          <w:tcPr>
            <w:tcW w:w="2126" w:type="dxa"/>
            <w:vAlign w:val="center"/>
          </w:tcPr>
          <w:p w14:paraId="7B031820" w14:textId="77777777" w:rsidR="001C384E" w:rsidRPr="007C0DC3" w:rsidRDefault="00406644"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11.39 </w:t>
            </w:r>
          </w:p>
        </w:tc>
        <w:tc>
          <w:tcPr>
            <w:tcW w:w="1791" w:type="dxa"/>
            <w:vAlign w:val="center"/>
          </w:tcPr>
          <w:p w14:paraId="40C17691" w14:textId="77777777" w:rsidR="001C384E" w:rsidRPr="007C0DC3" w:rsidRDefault="0036708B"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10.48 </w:t>
            </w:r>
          </w:p>
        </w:tc>
      </w:tr>
      <w:tr w:rsidR="001C384E" w:rsidRPr="007C0DC3" w14:paraId="1E6CD26D" w14:textId="77777777" w:rsidTr="00DC008C">
        <w:trPr>
          <w:trHeight w:val="344"/>
        </w:trPr>
        <w:tc>
          <w:tcPr>
            <w:cnfStyle w:val="001000000000" w:firstRow="0" w:lastRow="0" w:firstColumn="1" w:lastColumn="0" w:oddVBand="0" w:evenVBand="0" w:oddHBand="0" w:evenHBand="0" w:firstRowFirstColumn="0" w:firstRowLastColumn="0" w:lastRowFirstColumn="0" w:lastRowLastColumn="0"/>
            <w:tcW w:w="1994" w:type="dxa"/>
            <w:vAlign w:val="center"/>
          </w:tcPr>
          <w:p w14:paraId="4C9B1B6C" w14:textId="77777777" w:rsidR="001C384E" w:rsidRPr="007C0DC3" w:rsidRDefault="007C53FD" w:rsidP="00DC008C">
            <w:pPr>
              <w:rPr>
                <w:rFonts w:ascii="Arial" w:hAnsi="Arial" w:cs="Arial"/>
                <w:b w:val="0"/>
                <w:bCs w:val="0"/>
                <w:sz w:val="20"/>
                <w:szCs w:val="20"/>
              </w:rPr>
            </w:pPr>
            <w:r w:rsidRPr="007C0DC3">
              <w:rPr>
                <w:rFonts w:ascii="Arial" w:hAnsi="Arial" w:cs="Arial"/>
                <w:b w:val="0"/>
                <w:bCs w:val="0"/>
                <w:sz w:val="20"/>
                <w:szCs w:val="20"/>
              </w:rPr>
              <w:t>F4</w:t>
            </w:r>
          </w:p>
        </w:tc>
        <w:tc>
          <w:tcPr>
            <w:tcW w:w="2268" w:type="dxa"/>
            <w:vAlign w:val="center"/>
          </w:tcPr>
          <w:p w14:paraId="7577CEA1" w14:textId="77777777" w:rsidR="001C384E" w:rsidRPr="007C0DC3" w:rsidRDefault="009B6DA7"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544.07 </w:t>
            </w:r>
          </w:p>
        </w:tc>
        <w:tc>
          <w:tcPr>
            <w:tcW w:w="2126" w:type="dxa"/>
            <w:vAlign w:val="center"/>
          </w:tcPr>
          <w:p w14:paraId="103EF2DF" w14:textId="77777777" w:rsidR="001C384E" w:rsidRPr="007C0DC3" w:rsidRDefault="00406644"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11.34 </w:t>
            </w:r>
          </w:p>
        </w:tc>
        <w:tc>
          <w:tcPr>
            <w:tcW w:w="1791" w:type="dxa"/>
            <w:vAlign w:val="center"/>
          </w:tcPr>
          <w:p w14:paraId="59F81C91" w14:textId="77777777" w:rsidR="001C384E" w:rsidRPr="007C0DC3" w:rsidRDefault="0036708B"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10.31 </w:t>
            </w:r>
          </w:p>
        </w:tc>
      </w:tr>
      <w:tr w:rsidR="001C384E" w:rsidRPr="007C0DC3" w14:paraId="5A9B95D9" w14:textId="77777777" w:rsidTr="00DC008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994" w:type="dxa"/>
            <w:vAlign w:val="center"/>
          </w:tcPr>
          <w:p w14:paraId="4FD15AB7" w14:textId="77777777" w:rsidR="001C384E" w:rsidRPr="007C0DC3" w:rsidRDefault="007C53FD" w:rsidP="00DC008C">
            <w:pPr>
              <w:rPr>
                <w:rFonts w:ascii="Arial" w:hAnsi="Arial" w:cs="Arial"/>
                <w:b w:val="0"/>
                <w:bCs w:val="0"/>
                <w:sz w:val="20"/>
                <w:szCs w:val="20"/>
              </w:rPr>
            </w:pPr>
            <w:r w:rsidRPr="007C0DC3">
              <w:rPr>
                <w:rFonts w:ascii="Arial" w:hAnsi="Arial" w:cs="Arial"/>
                <w:b w:val="0"/>
                <w:bCs w:val="0"/>
                <w:sz w:val="20"/>
                <w:szCs w:val="20"/>
              </w:rPr>
              <w:t>F5</w:t>
            </w:r>
          </w:p>
        </w:tc>
        <w:tc>
          <w:tcPr>
            <w:tcW w:w="2268" w:type="dxa"/>
            <w:vAlign w:val="center"/>
          </w:tcPr>
          <w:p w14:paraId="2D920462" w14:textId="77777777" w:rsidR="001C384E" w:rsidRPr="007C0DC3" w:rsidRDefault="009B6DA7"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579.99 </w:t>
            </w:r>
          </w:p>
        </w:tc>
        <w:tc>
          <w:tcPr>
            <w:tcW w:w="2126" w:type="dxa"/>
            <w:vAlign w:val="center"/>
          </w:tcPr>
          <w:p w14:paraId="55BEFEA3" w14:textId="77777777" w:rsidR="001C384E" w:rsidRPr="007C0DC3" w:rsidRDefault="00406644"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11.52 </w:t>
            </w:r>
          </w:p>
        </w:tc>
        <w:tc>
          <w:tcPr>
            <w:tcW w:w="1791" w:type="dxa"/>
            <w:vAlign w:val="center"/>
          </w:tcPr>
          <w:p w14:paraId="1B3BA7A8" w14:textId="77777777" w:rsidR="001C384E" w:rsidRPr="007C0DC3" w:rsidRDefault="0036708B"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10.66 </w:t>
            </w:r>
          </w:p>
        </w:tc>
      </w:tr>
      <w:tr w:rsidR="001C384E" w:rsidRPr="007C0DC3" w14:paraId="554BA585" w14:textId="77777777" w:rsidTr="00DC008C">
        <w:trPr>
          <w:trHeight w:val="355"/>
        </w:trPr>
        <w:tc>
          <w:tcPr>
            <w:cnfStyle w:val="001000000000" w:firstRow="0" w:lastRow="0" w:firstColumn="1" w:lastColumn="0" w:oddVBand="0" w:evenVBand="0" w:oddHBand="0" w:evenHBand="0" w:firstRowFirstColumn="0" w:firstRowLastColumn="0" w:lastRowFirstColumn="0" w:lastRowLastColumn="0"/>
            <w:tcW w:w="1994" w:type="dxa"/>
            <w:vAlign w:val="center"/>
          </w:tcPr>
          <w:p w14:paraId="1DD07A0E" w14:textId="77777777" w:rsidR="001C384E" w:rsidRPr="007C0DC3" w:rsidRDefault="007C53FD" w:rsidP="00DC008C">
            <w:pPr>
              <w:rPr>
                <w:rFonts w:ascii="Arial" w:hAnsi="Arial" w:cs="Arial"/>
                <w:b w:val="0"/>
                <w:bCs w:val="0"/>
                <w:sz w:val="20"/>
                <w:szCs w:val="20"/>
              </w:rPr>
            </w:pPr>
            <w:r w:rsidRPr="007C0DC3">
              <w:rPr>
                <w:rFonts w:ascii="Arial" w:hAnsi="Arial" w:cs="Arial"/>
                <w:b w:val="0"/>
                <w:bCs w:val="0"/>
                <w:sz w:val="20"/>
                <w:szCs w:val="20"/>
              </w:rPr>
              <w:t>F6</w:t>
            </w:r>
          </w:p>
        </w:tc>
        <w:tc>
          <w:tcPr>
            <w:tcW w:w="2268" w:type="dxa"/>
            <w:vAlign w:val="center"/>
          </w:tcPr>
          <w:p w14:paraId="61E724DB" w14:textId="77777777" w:rsidR="001C384E" w:rsidRPr="007C0DC3" w:rsidRDefault="009B6DA7"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458.36 </w:t>
            </w:r>
          </w:p>
        </w:tc>
        <w:tc>
          <w:tcPr>
            <w:tcW w:w="2126" w:type="dxa"/>
            <w:vAlign w:val="center"/>
          </w:tcPr>
          <w:p w14:paraId="7B7DC11E" w14:textId="77777777" w:rsidR="001C384E" w:rsidRPr="007C0DC3" w:rsidRDefault="00406644"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9.15 </w:t>
            </w:r>
          </w:p>
        </w:tc>
        <w:tc>
          <w:tcPr>
            <w:tcW w:w="1791" w:type="dxa"/>
            <w:vAlign w:val="center"/>
          </w:tcPr>
          <w:p w14:paraId="22669AC1" w14:textId="77777777" w:rsidR="001C384E" w:rsidRPr="007C0DC3" w:rsidRDefault="0036708B"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 xml:space="preserve">10.20 </w:t>
            </w:r>
          </w:p>
        </w:tc>
      </w:tr>
    </w:tbl>
    <w:p w14:paraId="5219BD20" w14:textId="77777777" w:rsidR="00075073" w:rsidRPr="007C0DC3" w:rsidRDefault="00075073" w:rsidP="006C18EA">
      <w:pPr>
        <w:tabs>
          <w:tab w:val="left" w:pos="2664"/>
        </w:tabs>
        <w:spacing w:after="0" w:line="360" w:lineRule="auto"/>
        <w:ind w:right="113"/>
        <w:jc w:val="both"/>
        <w:rPr>
          <w:b/>
          <w:bCs/>
        </w:rPr>
      </w:pPr>
    </w:p>
    <w:p w14:paraId="40795E59" w14:textId="77777777" w:rsidR="000F2DBA" w:rsidRPr="007C0DC3" w:rsidRDefault="00000000">
      <w:pPr>
        <w:jc w:val="both"/>
      </w:pPr>
      <w:r w:rsidRPr="007C0DC3">
        <w:rPr>
          <w:rFonts w:ascii="Arial" w:hAnsi="Arial"/>
          <w:sz w:val="20"/>
        </w:rPr>
        <w:t>The moisture-loss values indicate that all formulations retained a measurable fraction of bound or absorbed water under desiccating conditions. This balance is important because residual moisture can contribute to flexibility, whereas excessive drying may increase brittleness and excessive retained moisture may compromise physical stability (Adhikari et al., 2010; Ikram et al., 2015; Vasantha et al., 2011).</w:t>
      </w:r>
    </w:p>
    <w:p w14:paraId="0B25617D" w14:textId="77777777" w:rsidR="005E5915" w:rsidRPr="007C0DC3" w:rsidRDefault="001069D7" w:rsidP="00311545">
      <w:pPr>
        <w:spacing w:after="0" w:line="480" w:lineRule="auto"/>
        <w:ind w:left="340" w:right="340"/>
        <w:jc w:val="both"/>
        <w:rPr>
          <w:rFonts w:ascii="Arial" w:hAnsi="Arial" w:cs="Arial"/>
          <w:b/>
          <w:bCs/>
          <w:sz w:val="20"/>
          <w:szCs w:val="20"/>
          <w:u w:val="single"/>
        </w:rPr>
      </w:pPr>
      <w:r w:rsidRPr="007C0DC3">
        <w:rPr>
          <w:rFonts w:ascii="Arial" w:hAnsi="Arial" w:cs="Arial"/>
          <w:b/>
          <w:bCs/>
          <w:sz w:val="20"/>
          <w:szCs w:val="20"/>
          <w:u w:val="single"/>
        </w:rPr>
        <w:t xml:space="preserve">3.2.11 </w:t>
      </w:r>
      <w:r w:rsidR="007A00CB" w:rsidRPr="007C0DC3">
        <w:rPr>
          <w:rFonts w:ascii="Arial" w:hAnsi="Arial" w:cs="Arial"/>
          <w:b/>
          <w:bCs/>
          <w:sz w:val="20"/>
          <w:szCs w:val="20"/>
          <w:u w:val="single"/>
        </w:rPr>
        <w:t>In-Vitro Drug Release</w:t>
      </w:r>
    </w:p>
    <w:p w14:paraId="3419B421" w14:textId="77777777" w:rsidR="007A00CB" w:rsidRPr="007C0DC3" w:rsidRDefault="00DC008C" w:rsidP="00311545">
      <w:pPr>
        <w:spacing w:line="480" w:lineRule="auto"/>
        <w:ind w:right="340"/>
        <w:jc w:val="both"/>
        <w:rPr>
          <w:rFonts w:ascii="Arial" w:hAnsi="Arial" w:cs="Arial"/>
          <w:b/>
          <w:bCs/>
          <w:sz w:val="20"/>
          <w:szCs w:val="20"/>
        </w:rPr>
      </w:pPr>
      <w:r w:rsidRPr="007C0DC3">
        <w:rPr>
          <w:rFonts w:ascii="Arial" w:hAnsi="Arial" w:cs="Arial"/>
          <w:b/>
          <w:bCs/>
          <w:sz w:val="20"/>
          <w:szCs w:val="20"/>
        </w:rPr>
        <w:t xml:space="preserve">      </w:t>
      </w:r>
      <w:r w:rsidR="007A00CB" w:rsidRPr="007C0DC3">
        <w:rPr>
          <w:rFonts w:ascii="Arial" w:hAnsi="Arial" w:cs="Arial"/>
          <w:b/>
          <w:bCs/>
          <w:sz w:val="20"/>
          <w:szCs w:val="20"/>
        </w:rPr>
        <w:t>Table</w:t>
      </w:r>
      <w:r w:rsidR="00EA0368" w:rsidRPr="007C0DC3">
        <w:rPr>
          <w:rFonts w:ascii="Arial" w:hAnsi="Arial" w:cs="Arial"/>
          <w:b/>
          <w:bCs/>
          <w:sz w:val="20"/>
          <w:szCs w:val="20"/>
        </w:rPr>
        <w:t xml:space="preserve"> 6</w:t>
      </w:r>
      <w:r w:rsidR="007A00CB" w:rsidRPr="007C0DC3">
        <w:rPr>
          <w:rFonts w:ascii="Arial" w:hAnsi="Arial" w:cs="Arial"/>
          <w:b/>
          <w:bCs/>
          <w:sz w:val="20"/>
          <w:szCs w:val="20"/>
        </w:rPr>
        <w:t>: Cumulative % drug release</w:t>
      </w:r>
    </w:p>
    <w:tbl>
      <w:tblPr>
        <w:tblStyle w:val="PlainTable2"/>
        <w:tblpPr w:leftFromText="180" w:rightFromText="180" w:vertAnchor="text" w:horzAnchor="margin" w:tblpXSpec="center" w:tblpY="19"/>
        <w:tblW w:w="0" w:type="auto"/>
        <w:tblLook w:val="04A0" w:firstRow="1" w:lastRow="0" w:firstColumn="1" w:lastColumn="0" w:noHBand="0" w:noVBand="1"/>
      </w:tblPr>
      <w:tblGrid>
        <w:gridCol w:w="1196"/>
        <w:gridCol w:w="1196"/>
        <w:gridCol w:w="1198"/>
        <w:gridCol w:w="1198"/>
        <w:gridCol w:w="1198"/>
        <w:gridCol w:w="1198"/>
        <w:gridCol w:w="1214"/>
      </w:tblGrid>
      <w:tr w:rsidR="00DC008C" w:rsidRPr="007C0DC3" w14:paraId="23DA6557" w14:textId="77777777" w:rsidTr="00E76B72">
        <w:trPr>
          <w:cnfStyle w:val="100000000000" w:firstRow="1" w:lastRow="0" w:firstColumn="0" w:lastColumn="0" w:oddVBand="0" w:evenVBand="0" w:oddHBand="0"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196" w:type="dxa"/>
            <w:vMerge w:val="restart"/>
            <w:vAlign w:val="center"/>
          </w:tcPr>
          <w:p w14:paraId="592026E9" w14:textId="77777777" w:rsidR="00DC008C" w:rsidRPr="007C0DC3" w:rsidRDefault="00DC008C" w:rsidP="00E76B72">
            <w:pPr>
              <w:ind w:right="113"/>
              <w:jc w:val="center"/>
              <w:rPr>
                <w:rFonts w:ascii="Arial" w:hAnsi="Arial" w:cs="Arial"/>
                <w:b w:val="0"/>
                <w:bCs w:val="0"/>
                <w:sz w:val="20"/>
                <w:szCs w:val="20"/>
              </w:rPr>
            </w:pPr>
            <w:r w:rsidRPr="007C0DC3">
              <w:rPr>
                <w:rFonts w:ascii="Arial" w:hAnsi="Arial" w:cs="Arial"/>
                <w:sz w:val="20"/>
                <w:szCs w:val="20"/>
              </w:rPr>
              <w:t>Time (Hrs)</w:t>
            </w:r>
          </w:p>
        </w:tc>
        <w:tc>
          <w:tcPr>
            <w:tcW w:w="7202" w:type="dxa"/>
            <w:gridSpan w:val="6"/>
            <w:vAlign w:val="center"/>
          </w:tcPr>
          <w:p w14:paraId="41819914" w14:textId="77777777" w:rsidR="00DC008C" w:rsidRPr="007C0DC3" w:rsidRDefault="00DC008C" w:rsidP="00E76B72">
            <w:pPr>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C0DC3">
              <w:rPr>
                <w:rFonts w:ascii="Arial" w:hAnsi="Arial" w:cs="Arial"/>
                <w:sz w:val="20"/>
                <w:szCs w:val="20"/>
              </w:rPr>
              <w:t>Cumulative % Drug Release</w:t>
            </w:r>
          </w:p>
        </w:tc>
      </w:tr>
      <w:tr w:rsidR="00DC008C" w:rsidRPr="007C0DC3" w14:paraId="313EC50F" w14:textId="77777777" w:rsidTr="00E76B7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196" w:type="dxa"/>
            <w:vMerge/>
            <w:vAlign w:val="center"/>
          </w:tcPr>
          <w:p w14:paraId="0C6E829D" w14:textId="77777777" w:rsidR="00DC008C" w:rsidRPr="007C0DC3" w:rsidRDefault="00DC008C" w:rsidP="00E76B72">
            <w:pPr>
              <w:ind w:right="113"/>
              <w:jc w:val="center"/>
              <w:rPr>
                <w:rFonts w:ascii="Arial" w:hAnsi="Arial" w:cs="Arial"/>
                <w:b w:val="0"/>
                <w:bCs w:val="0"/>
                <w:sz w:val="20"/>
                <w:szCs w:val="20"/>
              </w:rPr>
            </w:pPr>
          </w:p>
        </w:tc>
        <w:tc>
          <w:tcPr>
            <w:tcW w:w="1196" w:type="dxa"/>
            <w:vAlign w:val="center"/>
          </w:tcPr>
          <w:p w14:paraId="069589DF"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F1</w:t>
            </w:r>
          </w:p>
        </w:tc>
        <w:tc>
          <w:tcPr>
            <w:tcW w:w="1198" w:type="dxa"/>
            <w:vAlign w:val="center"/>
          </w:tcPr>
          <w:p w14:paraId="31D6D268"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F2</w:t>
            </w:r>
          </w:p>
        </w:tc>
        <w:tc>
          <w:tcPr>
            <w:tcW w:w="1198" w:type="dxa"/>
            <w:vAlign w:val="center"/>
          </w:tcPr>
          <w:p w14:paraId="1952A192"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F3</w:t>
            </w:r>
          </w:p>
        </w:tc>
        <w:tc>
          <w:tcPr>
            <w:tcW w:w="1198" w:type="dxa"/>
            <w:vAlign w:val="center"/>
          </w:tcPr>
          <w:p w14:paraId="120D23F3"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F4</w:t>
            </w:r>
          </w:p>
        </w:tc>
        <w:tc>
          <w:tcPr>
            <w:tcW w:w="1198" w:type="dxa"/>
            <w:vAlign w:val="center"/>
          </w:tcPr>
          <w:p w14:paraId="1D28E6D0"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F5</w:t>
            </w:r>
          </w:p>
        </w:tc>
        <w:tc>
          <w:tcPr>
            <w:tcW w:w="1211" w:type="dxa"/>
            <w:vAlign w:val="center"/>
          </w:tcPr>
          <w:p w14:paraId="452B829E"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F6</w:t>
            </w:r>
          </w:p>
        </w:tc>
      </w:tr>
      <w:tr w:rsidR="00DC008C" w:rsidRPr="007C0DC3" w14:paraId="45448B8D" w14:textId="77777777" w:rsidTr="00E76B72">
        <w:trPr>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14:paraId="501AAC3C" w14:textId="77777777" w:rsidR="00DC008C" w:rsidRPr="007C0DC3" w:rsidRDefault="00DC008C" w:rsidP="00E76B72">
            <w:pPr>
              <w:ind w:right="113"/>
              <w:jc w:val="center"/>
              <w:rPr>
                <w:rFonts w:ascii="Arial" w:hAnsi="Arial" w:cs="Arial"/>
                <w:b w:val="0"/>
                <w:bCs w:val="0"/>
                <w:sz w:val="20"/>
                <w:szCs w:val="20"/>
              </w:rPr>
            </w:pPr>
            <w:r w:rsidRPr="007C0DC3">
              <w:rPr>
                <w:rFonts w:ascii="Arial" w:hAnsi="Arial" w:cs="Arial"/>
                <w:b w:val="0"/>
                <w:bCs w:val="0"/>
                <w:sz w:val="20"/>
                <w:szCs w:val="20"/>
              </w:rPr>
              <w:t>0</w:t>
            </w:r>
          </w:p>
        </w:tc>
        <w:tc>
          <w:tcPr>
            <w:tcW w:w="1196" w:type="dxa"/>
            <w:vAlign w:val="center"/>
          </w:tcPr>
          <w:p w14:paraId="2A4E6732"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w:t>
            </w:r>
          </w:p>
        </w:tc>
        <w:tc>
          <w:tcPr>
            <w:tcW w:w="1198" w:type="dxa"/>
            <w:vAlign w:val="center"/>
          </w:tcPr>
          <w:p w14:paraId="1CD9A423"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w:t>
            </w:r>
          </w:p>
        </w:tc>
        <w:tc>
          <w:tcPr>
            <w:tcW w:w="1198" w:type="dxa"/>
            <w:vAlign w:val="center"/>
          </w:tcPr>
          <w:p w14:paraId="647A8451"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w:t>
            </w:r>
          </w:p>
        </w:tc>
        <w:tc>
          <w:tcPr>
            <w:tcW w:w="1198" w:type="dxa"/>
            <w:vAlign w:val="center"/>
          </w:tcPr>
          <w:p w14:paraId="4B32FAB5"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w:t>
            </w:r>
          </w:p>
        </w:tc>
        <w:tc>
          <w:tcPr>
            <w:tcW w:w="1198" w:type="dxa"/>
            <w:vAlign w:val="center"/>
          </w:tcPr>
          <w:p w14:paraId="7DC8BF14"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w:t>
            </w:r>
          </w:p>
        </w:tc>
        <w:tc>
          <w:tcPr>
            <w:tcW w:w="1211" w:type="dxa"/>
            <w:vAlign w:val="center"/>
          </w:tcPr>
          <w:p w14:paraId="19574D7E"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w:t>
            </w:r>
          </w:p>
        </w:tc>
      </w:tr>
      <w:tr w:rsidR="00DC008C" w:rsidRPr="007C0DC3" w14:paraId="65C42CDB" w14:textId="77777777" w:rsidTr="00E76B7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14:paraId="71AA8393" w14:textId="77777777" w:rsidR="00DC008C" w:rsidRPr="007C0DC3" w:rsidRDefault="00DC008C" w:rsidP="00E76B72">
            <w:pPr>
              <w:ind w:right="113"/>
              <w:jc w:val="center"/>
              <w:rPr>
                <w:rFonts w:ascii="Arial" w:hAnsi="Arial" w:cs="Arial"/>
                <w:b w:val="0"/>
                <w:bCs w:val="0"/>
                <w:sz w:val="20"/>
                <w:szCs w:val="20"/>
              </w:rPr>
            </w:pPr>
            <w:r w:rsidRPr="007C0DC3">
              <w:rPr>
                <w:rFonts w:ascii="Arial" w:hAnsi="Arial" w:cs="Arial"/>
                <w:b w:val="0"/>
                <w:bCs w:val="0"/>
                <w:sz w:val="20"/>
                <w:szCs w:val="20"/>
              </w:rPr>
              <w:t>0.25</w:t>
            </w:r>
          </w:p>
        </w:tc>
        <w:tc>
          <w:tcPr>
            <w:tcW w:w="1196" w:type="dxa"/>
            <w:vAlign w:val="center"/>
          </w:tcPr>
          <w:p w14:paraId="35869910"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19.9</w:t>
            </w:r>
          </w:p>
        </w:tc>
        <w:tc>
          <w:tcPr>
            <w:tcW w:w="1198" w:type="dxa"/>
            <w:vAlign w:val="center"/>
          </w:tcPr>
          <w:p w14:paraId="07AABBA1"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20.32</w:t>
            </w:r>
          </w:p>
        </w:tc>
        <w:tc>
          <w:tcPr>
            <w:tcW w:w="1198" w:type="dxa"/>
            <w:vAlign w:val="center"/>
          </w:tcPr>
          <w:p w14:paraId="3BECC789"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21.43</w:t>
            </w:r>
          </w:p>
        </w:tc>
        <w:tc>
          <w:tcPr>
            <w:tcW w:w="1198" w:type="dxa"/>
            <w:vAlign w:val="center"/>
          </w:tcPr>
          <w:p w14:paraId="05AFA784"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21.01</w:t>
            </w:r>
          </w:p>
        </w:tc>
        <w:tc>
          <w:tcPr>
            <w:tcW w:w="1198" w:type="dxa"/>
            <w:vAlign w:val="center"/>
          </w:tcPr>
          <w:p w14:paraId="3EBA3723"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20.46</w:t>
            </w:r>
          </w:p>
        </w:tc>
        <w:tc>
          <w:tcPr>
            <w:tcW w:w="1211" w:type="dxa"/>
            <w:vAlign w:val="center"/>
          </w:tcPr>
          <w:p w14:paraId="08E21ECC"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20.73</w:t>
            </w:r>
          </w:p>
        </w:tc>
      </w:tr>
      <w:tr w:rsidR="00DC008C" w:rsidRPr="007C0DC3" w14:paraId="62820052" w14:textId="77777777" w:rsidTr="00E76B72">
        <w:trPr>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14:paraId="31F9C8F7" w14:textId="77777777" w:rsidR="00DC008C" w:rsidRPr="007C0DC3" w:rsidRDefault="00DC008C" w:rsidP="00E76B72">
            <w:pPr>
              <w:ind w:right="113"/>
              <w:jc w:val="center"/>
              <w:rPr>
                <w:rFonts w:ascii="Arial" w:hAnsi="Arial" w:cs="Arial"/>
                <w:b w:val="0"/>
                <w:bCs w:val="0"/>
                <w:sz w:val="20"/>
                <w:szCs w:val="20"/>
              </w:rPr>
            </w:pPr>
            <w:r w:rsidRPr="007C0DC3">
              <w:rPr>
                <w:rFonts w:ascii="Arial" w:hAnsi="Arial" w:cs="Arial"/>
                <w:b w:val="0"/>
                <w:bCs w:val="0"/>
                <w:sz w:val="20"/>
                <w:szCs w:val="20"/>
              </w:rPr>
              <w:t>0.50</w:t>
            </w:r>
          </w:p>
        </w:tc>
        <w:tc>
          <w:tcPr>
            <w:tcW w:w="1196" w:type="dxa"/>
            <w:vAlign w:val="center"/>
          </w:tcPr>
          <w:p w14:paraId="569F8BCA"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26.03</w:t>
            </w:r>
          </w:p>
        </w:tc>
        <w:tc>
          <w:tcPr>
            <w:tcW w:w="1198" w:type="dxa"/>
            <w:vAlign w:val="center"/>
          </w:tcPr>
          <w:p w14:paraId="41C298FA"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25.34</w:t>
            </w:r>
          </w:p>
        </w:tc>
        <w:tc>
          <w:tcPr>
            <w:tcW w:w="1198" w:type="dxa"/>
            <w:vAlign w:val="center"/>
          </w:tcPr>
          <w:p w14:paraId="61738B6E"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27.15</w:t>
            </w:r>
          </w:p>
        </w:tc>
        <w:tc>
          <w:tcPr>
            <w:tcW w:w="1198" w:type="dxa"/>
            <w:vAlign w:val="center"/>
          </w:tcPr>
          <w:p w14:paraId="28B8E848"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25.76</w:t>
            </w:r>
          </w:p>
        </w:tc>
        <w:tc>
          <w:tcPr>
            <w:tcW w:w="1198" w:type="dxa"/>
            <w:vAlign w:val="center"/>
          </w:tcPr>
          <w:p w14:paraId="58B3EC85"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25.89</w:t>
            </w:r>
          </w:p>
        </w:tc>
        <w:tc>
          <w:tcPr>
            <w:tcW w:w="1211" w:type="dxa"/>
            <w:vAlign w:val="center"/>
          </w:tcPr>
          <w:p w14:paraId="09858668"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26.17</w:t>
            </w:r>
          </w:p>
        </w:tc>
      </w:tr>
      <w:tr w:rsidR="00DC008C" w:rsidRPr="007C0DC3" w14:paraId="02419279" w14:textId="77777777" w:rsidTr="00E76B7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14:paraId="30534100" w14:textId="77777777" w:rsidR="00DC008C" w:rsidRPr="007C0DC3" w:rsidRDefault="00DC008C" w:rsidP="00E76B72">
            <w:pPr>
              <w:ind w:right="113"/>
              <w:jc w:val="center"/>
              <w:rPr>
                <w:rFonts w:ascii="Arial" w:hAnsi="Arial" w:cs="Arial"/>
                <w:b w:val="0"/>
                <w:bCs w:val="0"/>
                <w:sz w:val="20"/>
                <w:szCs w:val="20"/>
              </w:rPr>
            </w:pPr>
            <w:r w:rsidRPr="007C0DC3">
              <w:rPr>
                <w:rFonts w:ascii="Arial" w:hAnsi="Arial" w:cs="Arial"/>
                <w:b w:val="0"/>
                <w:bCs w:val="0"/>
                <w:sz w:val="20"/>
                <w:szCs w:val="20"/>
              </w:rPr>
              <w:t>1</w:t>
            </w:r>
          </w:p>
        </w:tc>
        <w:tc>
          <w:tcPr>
            <w:tcW w:w="1196" w:type="dxa"/>
            <w:vAlign w:val="center"/>
          </w:tcPr>
          <w:p w14:paraId="04F17678"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28.96</w:t>
            </w:r>
          </w:p>
        </w:tc>
        <w:tc>
          <w:tcPr>
            <w:tcW w:w="1198" w:type="dxa"/>
            <w:vAlign w:val="center"/>
          </w:tcPr>
          <w:p w14:paraId="3E5A886D"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28.27</w:t>
            </w:r>
          </w:p>
        </w:tc>
        <w:tc>
          <w:tcPr>
            <w:tcW w:w="1198" w:type="dxa"/>
            <w:vAlign w:val="center"/>
          </w:tcPr>
          <w:p w14:paraId="3230853B"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29.38</w:t>
            </w:r>
          </w:p>
        </w:tc>
        <w:tc>
          <w:tcPr>
            <w:tcW w:w="1198" w:type="dxa"/>
            <w:vAlign w:val="center"/>
          </w:tcPr>
          <w:p w14:paraId="0A73F4CA"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29.24</w:t>
            </w:r>
          </w:p>
        </w:tc>
        <w:tc>
          <w:tcPr>
            <w:tcW w:w="1198" w:type="dxa"/>
            <w:vAlign w:val="center"/>
          </w:tcPr>
          <w:p w14:paraId="1D82A062"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28.41</w:t>
            </w:r>
          </w:p>
        </w:tc>
        <w:tc>
          <w:tcPr>
            <w:tcW w:w="1211" w:type="dxa"/>
            <w:vAlign w:val="center"/>
          </w:tcPr>
          <w:p w14:paraId="374F8F84"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29.80</w:t>
            </w:r>
          </w:p>
        </w:tc>
      </w:tr>
      <w:tr w:rsidR="00DC008C" w:rsidRPr="007C0DC3" w14:paraId="5DCA08A3" w14:textId="77777777" w:rsidTr="00E76B72">
        <w:trPr>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14:paraId="289CE56E" w14:textId="77777777" w:rsidR="00DC008C" w:rsidRPr="007C0DC3" w:rsidRDefault="00DC008C" w:rsidP="00E76B72">
            <w:pPr>
              <w:ind w:right="113"/>
              <w:jc w:val="center"/>
              <w:rPr>
                <w:rFonts w:ascii="Arial" w:hAnsi="Arial" w:cs="Arial"/>
                <w:b w:val="0"/>
                <w:bCs w:val="0"/>
                <w:sz w:val="20"/>
                <w:szCs w:val="20"/>
              </w:rPr>
            </w:pPr>
            <w:r w:rsidRPr="007C0DC3">
              <w:rPr>
                <w:rFonts w:ascii="Arial" w:hAnsi="Arial" w:cs="Arial"/>
                <w:b w:val="0"/>
                <w:bCs w:val="0"/>
                <w:sz w:val="20"/>
                <w:szCs w:val="20"/>
              </w:rPr>
              <w:t>2</w:t>
            </w:r>
          </w:p>
        </w:tc>
        <w:tc>
          <w:tcPr>
            <w:tcW w:w="1196" w:type="dxa"/>
            <w:vAlign w:val="center"/>
          </w:tcPr>
          <w:p w14:paraId="261A6CA7"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32.59</w:t>
            </w:r>
          </w:p>
        </w:tc>
        <w:tc>
          <w:tcPr>
            <w:tcW w:w="1198" w:type="dxa"/>
            <w:vAlign w:val="center"/>
          </w:tcPr>
          <w:p w14:paraId="5EC71C48"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34.82</w:t>
            </w:r>
          </w:p>
        </w:tc>
        <w:tc>
          <w:tcPr>
            <w:tcW w:w="1198" w:type="dxa"/>
            <w:vAlign w:val="center"/>
          </w:tcPr>
          <w:p w14:paraId="1794D94A"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45.14</w:t>
            </w:r>
          </w:p>
        </w:tc>
        <w:tc>
          <w:tcPr>
            <w:tcW w:w="1198" w:type="dxa"/>
            <w:vAlign w:val="center"/>
          </w:tcPr>
          <w:p w14:paraId="4460AB46"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38.86</w:t>
            </w:r>
          </w:p>
        </w:tc>
        <w:tc>
          <w:tcPr>
            <w:tcW w:w="1198" w:type="dxa"/>
            <w:vAlign w:val="center"/>
          </w:tcPr>
          <w:p w14:paraId="4B976988"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37.47</w:t>
            </w:r>
          </w:p>
        </w:tc>
        <w:tc>
          <w:tcPr>
            <w:tcW w:w="1211" w:type="dxa"/>
            <w:vAlign w:val="center"/>
          </w:tcPr>
          <w:p w14:paraId="0AB85CBA"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38.17</w:t>
            </w:r>
          </w:p>
        </w:tc>
      </w:tr>
      <w:tr w:rsidR="00DC008C" w:rsidRPr="007C0DC3" w14:paraId="26E53118" w14:textId="77777777" w:rsidTr="00E76B7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14:paraId="2ABA307B" w14:textId="77777777" w:rsidR="00DC008C" w:rsidRPr="007C0DC3" w:rsidRDefault="00DC008C" w:rsidP="00E76B72">
            <w:pPr>
              <w:ind w:right="113"/>
              <w:jc w:val="center"/>
              <w:rPr>
                <w:rFonts w:ascii="Arial" w:hAnsi="Arial" w:cs="Arial"/>
                <w:b w:val="0"/>
                <w:bCs w:val="0"/>
                <w:sz w:val="20"/>
                <w:szCs w:val="20"/>
              </w:rPr>
            </w:pPr>
            <w:r w:rsidRPr="007C0DC3">
              <w:rPr>
                <w:rFonts w:ascii="Arial" w:hAnsi="Arial" w:cs="Arial"/>
                <w:b w:val="0"/>
                <w:bCs w:val="0"/>
                <w:sz w:val="20"/>
                <w:szCs w:val="20"/>
              </w:rPr>
              <w:t>3</w:t>
            </w:r>
          </w:p>
        </w:tc>
        <w:tc>
          <w:tcPr>
            <w:tcW w:w="1196" w:type="dxa"/>
            <w:vAlign w:val="center"/>
          </w:tcPr>
          <w:p w14:paraId="43E29B4D"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44.03</w:t>
            </w:r>
          </w:p>
        </w:tc>
        <w:tc>
          <w:tcPr>
            <w:tcW w:w="1198" w:type="dxa"/>
            <w:vAlign w:val="center"/>
          </w:tcPr>
          <w:p w14:paraId="676CB0C9"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44.72</w:t>
            </w:r>
          </w:p>
        </w:tc>
        <w:tc>
          <w:tcPr>
            <w:tcW w:w="1198" w:type="dxa"/>
            <w:vAlign w:val="center"/>
          </w:tcPr>
          <w:p w14:paraId="4FC70ABA"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54.48</w:t>
            </w:r>
          </w:p>
        </w:tc>
        <w:tc>
          <w:tcPr>
            <w:tcW w:w="1198" w:type="dxa"/>
            <w:vAlign w:val="center"/>
          </w:tcPr>
          <w:p w14:paraId="21F35724"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45.42</w:t>
            </w:r>
          </w:p>
        </w:tc>
        <w:tc>
          <w:tcPr>
            <w:tcW w:w="1198" w:type="dxa"/>
            <w:vAlign w:val="center"/>
          </w:tcPr>
          <w:p w14:paraId="0F62C431"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44.72</w:t>
            </w:r>
          </w:p>
        </w:tc>
        <w:tc>
          <w:tcPr>
            <w:tcW w:w="1211" w:type="dxa"/>
            <w:vAlign w:val="center"/>
          </w:tcPr>
          <w:p w14:paraId="5B0D438C"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44.30</w:t>
            </w:r>
          </w:p>
        </w:tc>
      </w:tr>
      <w:tr w:rsidR="00DC008C" w:rsidRPr="007C0DC3" w14:paraId="7CB239A4" w14:textId="77777777" w:rsidTr="00E76B72">
        <w:trPr>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14:paraId="41993A63" w14:textId="77777777" w:rsidR="00DC008C" w:rsidRPr="007C0DC3" w:rsidRDefault="00DC008C" w:rsidP="00E76B72">
            <w:pPr>
              <w:ind w:right="113"/>
              <w:jc w:val="center"/>
              <w:rPr>
                <w:rFonts w:ascii="Arial" w:hAnsi="Arial" w:cs="Arial"/>
                <w:b w:val="0"/>
                <w:bCs w:val="0"/>
                <w:sz w:val="20"/>
                <w:szCs w:val="20"/>
              </w:rPr>
            </w:pPr>
            <w:r w:rsidRPr="007C0DC3">
              <w:rPr>
                <w:rFonts w:ascii="Arial" w:hAnsi="Arial" w:cs="Arial"/>
                <w:b w:val="0"/>
                <w:bCs w:val="0"/>
                <w:sz w:val="20"/>
                <w:szCs w:val="20"/>
              </w:rPr>
              <w:t>4</w:t>
            </w:r>
          </w:p>
        </w:tc>
        <w:tc>
          <w:tcPr>
            <w:tcW w:w="1196" w:type="dxa"/>
            <w:vAlign w:val="center"/>
          </w:tcPr>
          <w:p w14:paraId="2E61CB8C"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52.25</w:t>
            </w:r>
          </w:p>
        </w:tc>
        <w:tc>
          <w:tcPr>
            <w:tcW w:w="1198" w:type="dxa"/>
            <w:vAlign w:val="center"/>
          </w:tcPr>
          <w:p w14:paraId="78CA7CB1"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52.67</w:t>
            </w:r>
          </w:p>
        </w:tc>
        <w:tc>
          <w:tcPr>
            <w:tcW w:w="1198" w:type="dxa"/>
            <w:vAlign w:val="center"/>
          </w:tcPr>
          <w:p w14:paraId="0B1E9368"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63.97</w:t>
            </w:r>
          </w:p>
        </w:tc>
        <w:tc>
          <w:tcPr>
            <w:tcW w:w="1198" w:type="dxa"/>
            <w:vAlign w:val="center"/>
          </w:tcPr>
          <w:p w14:paraId="2F09AF0F"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55.04</w:t>
            </w:r>
          </w:p>
        </w:tc>
        <w:tc>
          <w:tcPr>
            <w:tcW w:w="1198" w:type="dxa"/>
            <w:vAlign w:val="center"/>
          </w:tcPr>
          <w:p w14:paraId="218DA7B8"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54.63</w:t>
            </w:r>
          </w:p>
        </w:tc>
        <w:tc>
          <w:tcPr>
            <w:tcW w:w="1211" w:type="dxa"/>
            <w:vAlign w:val="center"/>
          </w:tcPr>
          <w:p w14:paraId="52680C71"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53.65</w:t>
            </w:r>
          </w:p>
        </w:tc>
      </w:tr>
      <w:tr w:rsidR="00DC008C" w:rsidRPr="007C0DC3" w14:paraId="70149DD6" w14:textId="77777777" w:rsidTr="00E76B7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14:paraId="5C5A4CAD" w14:textId="77777777" w:rsidR="00DC008C" w:rsidRPr="007C0DC3" w:rsidRDefault="00DC008C" w:rsidP="00E76B72">
            <w:pPr>
              <w:ind w:right="113"/>
              <w:jc w:val="center"/>
              <w:rPr>
                <w:rFonts w:ascii="Arial" w:hAnsi="Arial" w:cs="Arial"/>
                <w:b w:val="0"/>
                <w:bCs w:val="0"/>
                <w:sz w:val="20"/>
                <w:szCs w:val="20"/>
              </w:rPr>
            </w:pPr>
            <w:r w:rsidRPr="007C0DC3">
              <w:rPr>
                <w:rFonts w:ascii="Arial" w:hAnsi="Arial" w:cs="Arial"/>
                <w:b w:val="0"/>
                <w:bCs w:val="0"/>
                <w:sz w:val="20"/>
                <w:szCs w:val="20"/>
              </w:rPr>
              <w:t>5</w:t>
            </w:r>
          </w:p>
        </w:tc>
        <w:tc>
          <w:tcPr>
            <w:tcW w:w="1196" w:type="dxa"/>
            <w:vAlign w:val="center"/>
          </w:tcPr>
          <w:p w14:paraId="0F3C6BAE"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62.85</w:t>
            </w:r>
          </w:p>
        </w:tc>
        <w:tc>
          <w:tcPr>
            <w:tcW w:w="1198" w:type="dxa"/>
            <w:vAlign w:val="center"/>
          </w:tcPr>
          <w:p w14:paraId="1BFBBC18"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63.55</w:t>
            </w:r>
          </w:p>
        </w:tc>
        <w:tc>
          <w:tcPr>
            <w:tcW w:w="1198" w:type="dxa"/>
            <w:vAlign w:val="center"/>
          </w:tcPr>
          <w:p w14:paraId="236B9BF1"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72.06</w:t>
            </w:r>
          </w:p>
        </w:tc>
        <w:tc>
          <w:tcPr>
            <w:tcW w:w="1198" w:type="dxa"/>
            <w:vAlign w:val="center"/>
          </w:tcPr>
          <w:p w14:paraId="724A415E"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63.13</w:t>
            </w:r>
          </w:p>
        </w:tc>
        <w:tc>
          <w:tcPr>
            <w:tcW w:w="1198" w:type="dxa"/>
            <w:vAlign w:val="center"/>
          </w:tcPr>
          <w:p w14:paraId="25BAA4AB"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62.44</w:t>
            </w:r>
          </w:p>
        </w:tc>
        <w:tc>
          <w:tcPr>
            <w:tcW w:w="1211" w:type="dxa"/>
            <w:vAlign w:val="center"/>
          </w:tcPr>
          <w:p w14:paraId="044BEECB" w14:textId="77777777" w:rsidR="00DC008C" w:rsidRPr="007C0DC3"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7C0DC3">
              <w:rPr>
                <w:rFonts w:ascii="Arial" w:hAnsi="Arial" w:cs="Arial"/>
                <w:sz w:val="20"/>
                <w:szCs w:val="20"/>
              </w:rPr>
              <w:t>62.16</w:t>
            </w:r>
          </w:p>
        </w:tc>
      </w:tr>
      <w:tr w:rsidR="00DC008C" w:rsidRPr="007C0DC3" w14:paraId="5A1283F5" w14:textId="77777777" w:rsidTr="00E76B72">
        <w:trPr>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14:paraId="61F80E81" w14:textId="77777777" w:rsidR="00DC008C" w:rsidRPr="007C0DC3" w:rsidRDefault="00DC008C" w:rsidP="00E76B72">
            <w:pPr>
              <w:ind w:right="113"/>
              <w:jc w:val="center"/>
              <w:rPr>
                <w:rFonts w:ascii="Arial" w:hAnsi="Arial" w:cs="Arial"/>
                <w:b w:val="0"/>
                <w:bCs w:val="0"/>
                <w:sz w:val="20"/>
                <w:szCs w:val="20"/>
              </w:rPr>
            </w:pPr>
            <w:r w:rsidRPr="007C0DC3">
              <w:rPr>
                <w:rFonts w:ascii="Arial" w:hAnsi="Arial" w:cs="Arial"/>
                <w:b w:val="0"/>
                <w:bCs w:val="0"/>
                <w:sz w:val="20"/>
                <w:szCs w:val="20"/>
              </w:rPr>
              <w:t>6</w:t>
            </w:r>
          </w:p>
        </w:tc>
        <w:tc>
          <w:tcPr>
            <w:tcW w:w="1196" w:type="dxa"/>
            <w:vAlign w:val="center"/>
          </w:tcPr>
          <w:p w14:paraId="04515D22"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79.87</w:t>
            </w:r>
          </w:p>
        </w:tc>
        <w:tc>
          <w:tcPr>
            <w:tcW w:w="1198" w:type="dxa"/>
            <w:vAlign w:val="center"/>
          </w:tcPr>
          <w:p w14:paraId="406E94E7"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80.29</w:t>
            </w:r>
          </w:p>
        </w:tc>
        <w:tc>
          <w:tcPr>
            <w:tcW w:w="1198" w:type="dxa"/>
            <w:vAlign w:val="center"/>
          </w:tcPr>
          <w:p w14:paraId="6D533A8E"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82.52</w:t>
            </w:r>
          </w:p>
        </w:tc>
        <w:tc>
          <w:tcPr>
            <w:tcW w:w="1198" w:type="dxa"/>
            <w:vAlign w:val="center"/>
          </w:tcPr>
          <w:p w14:paraId="2CFA5538"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81.96</w:t>
            </w:r>
          </w:p>
        </w:tc>
        <w:tc>
          <w:tcPr>
            <w:tcW w:w="1198" w:type="dxa"/>
            <w:vAlign w:val="center"/>
          </w:tcPr>
          <w:p w14:paraId="1AA41419"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81.68</w:t>
            </w:r>
          </w:p>
        </w:tc>
        <w:tc>
          <w:tcPr>
            <w:tcW w:w="1211" w:type="dxa"/>
            <w:vAlign w:val="center"/>
          </w:tcPr>
          <w:p w14:paraId="23A3B2E3" w14:textId="77777777" w:rsidR="00DC008C" w:rsidRPr="007C0DC3"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81.40</w:t>
            </w:r>
          </w:p>
        </w:tc>
      </w:tr>
    </w:tbl>
    <w:p w14:paraId="135D3183" w14:textId="77777777" w:rsidR="00DC008C" w:rsidRPr="007C0DC3" w:rsidRDefault="00DC008C" w:rsidP="006C18EA">
      <w:pPr>
        <w:spacing w:line="360" w:lineRule="auto"/>
        <w:ind w:right="113"/>
        <w:jc w:val="both"/>
        <w:rPr>
          <w:rFonts w:ascii="Arial" w:hAnsi="Arial" w:cs="Arial"/>
          <w:b/>
          <w:bCs/>
          <w:sz w:val="20"/>
          <w:szCs w:val="20"/>
        </w:rPr>
      </w:pPr>
    </w:p>
    <w:p w14:paraId="79412A74" w14:textId="77777777" w:rsidR="00A4246E" w:rsidRPr="007C0DC3" w:rsidRDefault="00A4246E" w:rsidP="00EA0368">
      <w:pPr>
        <w:spacing w:after="0" w:line="360" w:lineRule="auto"/>
        <w:ind w:left="720" w:right="113" w:firstLine="720"/>
        <w:jc w:val="both"/>
        <w:rPr>
          <w:rFonts w:ascii="Arial" w:hAnsi="Arial" w:cs="Arial"/>
          <w:b/>
          <w:bCs/>
        </w:rPr>
      </w:pPr>
      <w:r w:rsidRPr="007C0DC3">
        <w:rPr>
          <w:rFonts w:ascii="Arial" w:hAnsi="Arial" w:cs="Arial"/>
        </w:rPr>
        <w:t xml:space="preserve">    </w:t>
      </w:r>
      <w:r w:rsidRPr="007C0DC3">
        <w:rPr>
          <w:rFonts w:ascii="Arial" w:hAnsi="Arial" w:cs="Arial"/>
          <w:noProof/>
        </w:rPr>
        <w:drawing>
          <wp:inline distT="0" distB="0" distL="0" distR="0" wp14:anchorId="7E8051E0" wp14:editId="0CBAA986">
            <wp:extent cx="3672840" cy="2444534"/>
            <wp:effectExtent l="0" t="0" r="3810" b="0"/>
            <wp:docPr id="210905720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57204" name="Picture 210905720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50022" cy="2495904"/>
                    </a:xfrm>
                    <a:prstGeom prst="rect">
                      <a:avLst/>
                    </a:prstGeom>
                  </pic:spPr>
                </pic:pic>
              </a:graphicData>
            </a:graphic>
          </wp:inline>
        </w:drawing>
      </w:r>
    </w:p>
    <w:p w14:paraId="5406A95D" w14:textId="77777777" w:rsidR="00A4246E" w:rsidRPr="007C0DC3" w:rsidRDefault="00C8158E" w:rsidP="00EA0368">
      <w:pPr>
        <w:jc w:val="center"/>
        <w:rPr>
          <w:rFonts w:ascii="Arial" w:hAnsi="Arial" w:cs="Arial"/>
          <w:b/>
          <w:bCs/>
          <w:sz w:val="20"/>
          <w:szCs w:val="20"/>
        </w:rPr>
      </w:pPr>
      <w:r w:rsidRPr="007C0DC3">
        <w:rPr>
          <w:rFonts w:ascii="Arial" w:hAnsi="Arial" w:cs="Arial"/>
          <w:b/>
          <w:bCs/>
          <w:sz w:val="20"/>
          <w:szCs w:val="20"/>
        </w:rPr>
        <w:t>Fig</w:t>
      </w:r>
      <w:r w:rsidR="00C83EFE" w:rsidRPr="007C0DC3">
        <w:rPr>
          <w:rFonts w:ascii="Arial" w:hAnsi="Arial" w:cs="Arial"/>
          <w:b/>
          <w:bCs/>
          <w:sz w:val="20"/>
          <w:szCs w:val="20"/>
        </w:rPr>
        <w:t>.</w:t>
      </w:r>
      <w:r w:rsidRPr="007C0DC3">
        <w:rPr>
          <w:rFonts w:ascii="Arial" w:hAnsi="Arial" w:cs="Arial"/>
          <w:b/>
          <w:bCs/>
          <w:sz w:val="20"/>
          <w:szCs w:val="20"/>
        </w:rPr>
        <w:t xml:space="preserve"> </w:t>
      </w:r>
      <w:r w:rsidR="00EA0368" w:rsidRPr="007C0DC3">
        <w:rPr>
          <w:rFonts w:ascii="Arial" w:hAnsi="Arial" w:cs="Arial"/>
          <w:b/>
          <w:bCs/>
          <w:sz w:val="20"/>
          <w:szCs w:val="20"/>
        </w:rPr>
        <w:t>3</w:t>
      </w:r>
      <w:r w:rsidRPr="007C0DC3">
        <w:rPr>
          <w:rFonts w:ascii="Arial" w:hAnsi="Arial" w:cs="Arial"/>
          <w:b/>
          <w:bCs/>
          <w:sz w:val="20"/>
          <w:szCs w:val="20"/>
        </w:rPr>
        <w:t>:</w:t>
      </w:r>
      <w:r w:rsidRPr="007C0DC3">
        <w:rPr>
          <w:rFonts w:ascii="Arial" w:hAnsi="Arial" w:cs="Arial"/>
          <w:sz w:val="20"/>
          <w:szCs w:val="20"/>
        </w:rPr>
        <w:t xml:space="preserve"> </w:t>
      </w:r>
      <w:r w:rsidRPr="007C0DC3">
        <w:rPr>
          <w:rFonts w:ascii="Arial" w:hAnsi="Arial" w:cs="Arial"/>
          <w:b/>
          <w:bCs/>
          <w:sz w:val="20"/>
          <w:szCs w:val="20"/>
        </w:rPr>
        <w:t>Comparative in-vitro drug release of formulations F1-F6</w:t>
      </w:r>
    </w:p>
    <w:p w14:paraId="1E9C2D21" w14:textId="77777777" w:rsidR="00EA0368" w:rsidRPr="007C0DC3" w:rsidRDefault="00EA0368" w:rsidP="00EA0368">
      <w:pPr>
        <w:spacing w:after="0" w:line="360" w:lineRule="auto"/>
        <w:ind w:right="340"/>
        <w:jc w:val="both"/>
        <w:rPr>
          <w:rFonts w:ascii="Arial" w:hAnsi="Arial" w:cs="Arial"/>
          <w:b/>
          <w:bCs/>
          <w:sz w:val="20"/>
          <w:szCs w:val="20"/>
        </w:rPr>
      </w:pPr>
    </w:p>
    <w:p w14:paraId="687C0462" w14:textId="77777777" w:rsidR="000F2DBA" w:rsidRPr="007C0DC3" w:rsidRDefault="00000000">
      <w:pPr>
        <w:jc w:val="both"/>
      </w:pPr>
      <w:r w:rsidRPr="007C0DC3">
        <w:rPr>
          <w:rFonts w:ascii="Arial" w:hAnsi="Arial"/>
          <w:sz w:val="20"/>
        </w:rPr>
        <w:t>All formulations showed progressive release over 6 h, with F3 reaching the highest cumulative value (82.52%) at the final sampling point. The separation of the profiles after approximately 2 h suggests that polymer composition increasingly influenced diffusion and matrix relaxation as hydration progressed, a pattern consistent with HPMC-based buccal matrices in which polymer viscosity and swelling regulate sustained release (Lodhi et al., 2013; Muzib &amp; Kumari, 2011; Semalty et al., 2008).</w:t>
      </w:r>
    </w:p>
    <w:p w14:paraId="78C102AF" w14:textId="77777777" w:rsidR="00C34425" w:rsidRPr="007C0DC3" w:rsidRDefault="001069D7" w:rsidP="00EA0368">
      <w:pPr>
        <w:spacing w:after="0" w:line="360" w:lineRule="auto"/>
        <w:ind w:right="340" w:firstLine="340"/>
        <w:jc w:val="both"/>
        <w:rPr>
          <w:rFonts w:ascii="Arial" w:hAnsi="Arial" w:cs="Arial"/>
          <w:b/>
          <w:bCs/>
          <w:sz w:val="20"/>
          <w:szCs w:val="20"/>
          <w:u w:val="single"/>
        </w:rPr>
      </w:pPr>
      <w:r w:rsidRPr="007C0DC3">
        <w:rPr>
          <w:rFonts w:ascii="Arial" w:hAnsi="Arial" w:cs="Arial"/>
          <w:b/>
          <w:bCs/>
          <w:sz w:val="20"/>
          <w:szCs w:val="20"/>
          <w:u w:val="single"/>
        </w:rPr>
        <w:t xml:space="preserve">3.2.12 </w:t>
      </w:r>
      <w:r w:rsidR="007E4083" w:rsidRPr="007C0DC3">
        <w:rPr>
          <w:rFonts w:ascii="Arial" w:hAnsi="Arial" w:cs="Arial"/>
          <w:b/>
          <w:bCs/>
          <w:sz w:val="20"/>
          <w:szCs w:val="20"/>
          <w:u w:val="single"/>
        </w:rPr>
        <w:t>Release Kinetic of F3</w:t>
      </w:r>
    </w:p>
    <w:p w14:paraId="1F90E0AC" w14:textId="77777777" w:rsidR="00C34425" w:rsidRPr="007C0DC3" w:rsidRDefault="00C34425" w:rsidP="00EA0368">
      <w:pPr>
        <w:spacing w:after="0"/>
        <w:ind w:left="340" w:right="340"/>
        <w:rPr>
          <w:rFonts w:ascii="Arial" w:hAnsi="Arial" w:cs="Arial"/>
          <w:b/>
          <w:bCs/>
          <w:spacing w:val="-2"/>
          <w:sz w:val="20"/>
          <w:szCs w:val="20"/>
        </w:rPr>
      </w:pPr>
      <w:r w:rsidRPr="007C0DC3">
        <w:rPr>
          <w:rFonts w:ascii="Arial" w:hAnsi="Arial" w:cs="Arial"/>
          <w:b/>
          <w:bCs/>
          <w:sz w:val="20"/>
          <w:szCs w:val="20"/>
        </w:rPr>
        <w:t xml:space="preserve">Table </w:t>
      </w:r>
      <w:r w:rsidR="00D751B2" w:rsidRPr="007C0DC3">
        <w:rPr>
          <w:rFonts w:ascii="Arial" w:hAnsi="Arial" w:cs="Arial"/>
          <w:b/>
          <w:bCs/>
          <w:sz w:val="20"/>
          <w:szCs w:val="20"/>
        </w:rPr>
        <w:t>7</w:t>
      </w:r>
      <w:r w:rsidRPr="007C0DC3">
        <w:rPr>
          <w:rFonts w:ascii="Arial" w:hAnsi="Arial" w:cs="Arial"/>
          <w:b/>
          <w:bCs/>
          <w:sz w:val="20"/>
          <w:szCs w:val="20"/>
        </w:rPr>
        <w:t>: Release</w:t>
      </w:r>
      <w:r w:rsidRPr="007C0DC3">
        <w:rPr>
          <w:rFonts w:ascii="Arial" w:hAnsi="Arial" w:cs="Arial"/>
          <w:b/>
          <w:bCs/>
          <w:spacing w:val="-2"/>
          <w:sz w:val="20"/>
          <w:szCs w:val="20"/>
        </w:rPr>
        <w:t xml:space="preserve"> </w:t>
      </w:r>
      <w:r w:rsidRPr="007C0DC3">
        <w:rPr>
          <w:rFonts w:ascii="Arial" w:hAnsi="Arial" w:cs="Arial"/>
          <w:b/>
          <w:bCs/>
          <w:sz w:val="20"/>
          <w:szCs w:val="20"/>
        </w:rPr>
        <w:t>kinetics</w:t>
      </w:r>
      <w:r w:rsidRPr="007C0DC3">
        <w:rPr>
          <w:rFonts w:ascii="Arial" w:hAnsi="Arial" w:cs="Arial"/>
          <w:b/>
          <w:bCs/>
          <w:spacing w:val="-4"/>
          <w:sz w:val="20"/>
          <w:szCs w:val="20"/>
        </w:rPr>
        <w:t xml:space="preserve"> </w:t>
      </w:r>
      <w:r w:rsidRPr="007C0DC3">
        <w:rPr>
          <w:rFonts w:ascii="Arial" w:hAnsi="Arial" w:cs="Arial"/>
          <w:b/>
          <w:bCs/>
          <w:sz w:val="20"/>
          <w:szCs w:val="20"/>
        </w:rPr>
        <w:t>of</w:t>
      </w:r>
      <w:r w:rsidRPr="007C0DC3">
        <w:rPr>
          <w:rFonts w:ascii="Arial" w:hAnsi="Arial" w:cs="Arial"/>
          <w:b/>
          <w:bCs/>
          <w:spacing w:val="-4"/>
          <w:sz w:val="20"/>
          <w:szCs w:val="20"/>
        </w:rPr>
        <w:t xml:space="preserve"> </w:t>
      </w:r>
      <w:r w:rsidRPr="007C0DC3">
        <w:rPr>
          <w:rFonts w:ascii="Arial" w:hAnsi="Arial" w:cs="Arial"/>
          <w:b/>
          <w:bCs/>
          <w:sz w:val="20"/>
          <w:szCs w:val="20"/>
        </w:rPr>
        <w:t>F3</w:t>
      </w:r>
      <w:r w:rsidRPr="007C0DC3">
        <w:rPr>
          <w:rFonts w:ascii="Arial" w:hAnsi="Arial" w:cs="Arial"/>
          <w:b/>
          <w:bCs/>
          <w:spacing w:val="-1"/>
          <w:sz w:val="20"/>
          <w:szCs w:val="20"/>
        </w:rPr>
        <w:t xml:space="preserve"> </w:t>
      </w:r>
    </w:p>
    <w:tbl>
      <w:tblPr>
        <w:tblStyle w:val="PlainTable2"/>
        <w:tblW w:w="8227" w:type="dxa"/>
        <w:tblInd w:w="415" w:type="dxa"/>
        <w:tblLayout w:type="fixed"/>
        <w:tblLook w:val="04A0" w:firstRow="1" w:lastRow="0" w:firstColumn="1" w:lastColumn="0" w:noHBand="0" w:noVBand="1"/>
      </w:tblPr>
      <w:tblGrid>
        <w:gridCol w:w="770"/>
        <w:gridCol w:w="950"/>
        <w:gridCol w:w="1306"/>
        <w:gridCol w:w="1207"/>
        <w:gridCol w:w="869"/>
        <w:gridCol w:w="867"/>
        <w:gridCol w:w="993"/>
        <w:gridCol w:w="1265"/>
      </w:tblGrid>
      <w:tr w:rsidR="00C34425" w:rsidRPr="007C0DC3" w14:paraId="0E7FD79E" w14:textId="77777777" w:rsidTr="00E11514">
        <w:trPr>
          <w:cnfStyle w:val="100000000000" w:firstRow="1" w:lastRow="0" w:firstColumn="0" w:lastColumn="0" w:oddVBand="0" w:evenVBand="0" w:oddHBand="0"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770" w:type="dxa"/>
            <w:vAlign w:val="center"/>
          </w:tcPr>
          <w:p w14:paraId="1407EBF2" w14:textId="77777777" w:rsidR="00C34425" w:rsidRPr="007C0DC3" w:rsidRDefault="00C34425" w:rsidP="00A47668">
            <w:pPr>
              <w:ind w:right="113"/>
              <w:rPr>
                <w:rFonts w:ascii="Arial" w:hAnsi="Arial" w:cs="Arial"/>
                <w:spacing w:val="-2"/>
                <w:sz w:val="18"/>
                <w:szCs w:val="18"/>
              </w:rPr>
            </w:pPr>
            <w:r w:rsidRPr="007C0DC3">
              <w:rPr>
                <w:rFonts w:ascii="Arial" w:hAnsi="Arial" w:cs="Arial"/>
                <w:spacing w:val="-2"/>
                <w:sz w:val="18"/>
                <w:szCs w:val="18"/>
              </w:rPr>
              <w:t>Time (Hrs)</w:t>
            </w:r>
          </w:p>
        </w:tc>
        <w:tc>
          <w:tcPr>
            <w:tcW w:w="950" w:type="dxa"/>
            <w:vAlign w:val="center"/>
          </w:tcPr>
          <w:p w14:paraId="0EF36501" w14:textId="77777777" w:rsidR="00C34425" w:rsidRPr="007C0DC3"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Cum. % drug release</w:t>
            </w:r>
          </w:p>
        </w:tc>
        <w:tc>
          <w:tcPr>
            <w:tcW w:w="1306" w:type="dxa"/>
            <w:vAlign w:val="center"/>
          </w:tcPr>
          <w:p w14:paraId="2A7692C8" w14:textId="77777777" w:rsidR="00C34425" w:rsidRPr="007C0DC3"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Cum. % drug remaining</w:t>
            </w:r>
          </w:p>
        </w:tc>
        <w:tc>
          <w:tcPr>
            <w:tcW w:w="1207" w:type="dxa"/>
            <w:vAlign w:val="center"/>
          </w:tcPr>
          <w:p w14:paraId="21E9DE12" w14:textId="77777777" w:rsidR="00C34425" w:rsidRPr="007C0DC3"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Log Cum. % drug remaining</w:t>
            </w:r>
          </w:p>
        </w:tc>
        <w:tc>
          <w:tcPr>
            <w:tcW w:w="869" w:type="dxa"/>
            <w:vAlign w:val="center"/>
          </w:tcPr>
          <w:p w14:paraId="23F92318" w14:textId="77777777" w:rsidR="00C34425" w:rsidRPr="007C0DC3"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√Time</w:t>
            </w:r>
          </w:p>
        </w:tc>
        <w:tc>
          <w:tcPr>
            <w:tcW w:w="867" w:type="dxa"/>
            <w:vAlign w:val="center"/>
          </w:tcPr>
          <w:p w14:paraId="27C41F4B" w14:textId="77777777" w:rsidR="00C34425" w:rsidRPr="007C0DC3"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 xml:space="preserve">Log </w:t>
            </w:r>
            <w:r w:rsidRPr="007C0DC3">
              <w:rPr>
                <w:rFonts w:ascii="Arial" w:hAnsi="Arial" w:cs="Arial"/>
                <w:spacing w:val="-2"/>
                <w:sz w:val="18"/>
                <w:szCs w:val="18"/>
              </w:rPr>
              <w:br/>
              <w:t>Time</w:t>
            </w:r>
          </w:p>
        </w:tc>
        <w:tc>
          <w:tcPr>
            <w:tcW w:w="993" w:type="dxa"/>
            <w:vAlign w:val="center"/>
          </w:tcPr>
          <w:p w14:paraId="29F15657" w14:textId="77777777" w:rsidR="00C34425" w:rsidRPr="007C0DC3"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Log Cum. % drug release</w:t>
            </w:r>
          </w:p>
        </w:tc>
        <w:tc>
          <w:tcPr>
            <w:tcW w:w="1265" w:type="dxa"/>
            <w:vAlign w:val="center"/>
          </w:tcPr>
          <w:p w14:paraId="2A8A1622" w14:textId="77777777" w:rsidR="00C34425" w:rsidRPr="007C0DC3"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Cube root log Cum. % drug remaining</w:t>
            </w:r>
          </w:p>
        </w:tc>
      </w:tr>
      <w:tr w:rsidR="00C34425" w:rsidRPr="007C0DC3" w14:paraId="2770B8AB" w14:textId="77777777" w:rsidTr="00E1151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14:paraId="597F83E4" w14:textId="77777777" w:rsidR="00C34425" w:rsidRPr="007C0DC3" w:rsidRDefault="00C34425" w:rsidP="00A47668">
            <w:pPr>
              <w:ind w:right="113"/>
              <w:rPr>
                <w:rFonts w:ascii="Arial" w:hAnsi="Arial" w:cs="Arial"/>
                <w:b w:val="0"/>
                <w:bCs w:val="0"/>
                <w:spacing w:val="-2"/>
                <w:sz w:val="18"/>
                <w:szCs w:val="18"/>
              </w:rPr>
            </w:pPr>
            <w:r w:rsidRPr="007C0DC3">
              <w:rPr>
                <w:rFonts w:ascii="Arial" w:hAnsi="Arial" w:cs="Arial"/>
                <w:b w:val="0"/>
                <w:bCs w:val="0"/>
                <w:spacing w:val="-2"/>
                <w:sz w:val="18"/>
                <w:szCs w:val="18"/>
              </w:rPr>
              <w:t>0</w:t>
            </w:r>
          </w:p>
        </w:tc>
        <w:tc>
          <w:tcPr>
            <w:tcW w:w="950" w:type="dxa"/>
            <w:vAlign w:val="center"/>
          </w:tcPr>
          <w:p w14:paraId="0BF3A436"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0</w:t>
            </w:r>
          </w:p>
        </w:tc>
        <w:tc>
          <w:tcPr>
            <w:tcW w:w="1306" w:type="dxa"/>
            <w:vAlign w:val="center"/>
          </w:tcPr>
          <w:p w14:paraId="1CEF720D"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100</w:t>
            </w:r>
          </w:p>
        </w:tc>
        <w:tc>
          <w:tcPr>
            <w:tcW w:w="1207" w:type="dxa"/>
            <w:vAlign w:val="center"/>
          </w:tcPr>
          <w:p w14:paraId="28F72CAC"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2</w:t>
            </w:r>
          </w:p>
        </w:tc>
        <w:tc>
          <w:tcPr>
            <w:tcW w:w="869" w:type="dxa"/>
            <w:vAlign w:val="center"/>
          </w:tcPr>
          <w:p w14:paraId="2D79950F"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0</w:t>
            </w:r>
          </w:p>
        </w:tc>
        <w:tc>
          <w:tcPr>
            <w:tcW w:w="867" w:type="dxa"/>
            <w:vAlign w:val="center"/>
          </w:tcPr>
          <w:p w14:paraId="2C581A5F"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w:t>
            </w:r>
          </w:p>
        </w:tc>
        <w:tc>
          <w:tcPr>
            <w:tcW w:w="993" w:type="dxa"/>
            <w:vAlign w:val="center"/>
          </w:tcPr>
          <w:p w14:paraId="4AF871A6"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w:t>
            </w:r>
          </w:p>
        </w:tc>
        <w:tc>
          <w:tcPr>
            <w:tcW w:w="1265" w:type="dxa"/>
            <w:vAlign w:val="center"/>
          </w:tcPr>
          <w:p w14:paraId="382CBD8E"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4.642</w:t>
            </w:r>
          </w:p>
        </w:tc>
      </w:tr>
      <w:tr w:rsidR="00C34425" w:rsidRPr="007C0DC3" w14:paraId="7F549739" w14:textId="77777777" w:rsidTr="00E11514">
        <w:trPr>
          <w:trHeight w:val="282"/>
        </w:trPr>
        <w:tc>
          <w:tcPr>
            <w:cnfStyle w:val="001000000000" w:firstRow="0" w:lastRow="0" w:firstColumn="1" w:lastColumn="0" w:oddVBand="0" w:evenVBand="0" w:oddHBand="0" w:evenHBand="0" w:firstRowFirstColumn="0" w:firstRowLastColumn="0" w:lastRowFirstColumn="0" w:lastRowLastColumn="0"/>
            <w:tcW w:w="770" w:type="dxa"/>
            <w:vAlign w:val="center"/>
          </w:tcPr>
          <w:p w14:paraId="2A6947EC" w14:textId="77777777" w:rsidR="00C34425" w:rsidRPr="007C0DC3" w:rsidRDefault="00C34425" w:rsidP="00A47668">
            <w:pPr>
              <w:ind w:right="113"/>
              <w:rPr>
                <w:rFonts w:ascii="Arial" w:hAnsi="Arial" w:cs="Arial"/>
                <w:b w:val="0"/>
                <w:bCs w:val="0"/>
                <w:spacing w:val="-2"/>
                <w:sz w:val="18"/>
                <w:szCs w:val="18"/>
              </w:rPr>
            </w:pPr>
            <w:r w:rsidRPr="007C0DC3">
              <w:rPr>
                <w:rFonts w:ascii="Arial" w:hAnsi="Arial" w:cs="Arial"/>
                <w:b w:val="0"/>
                <w:bCs w:val="0"/>
                <w:spacing w:val="-2"/>
                <w:sz w:val="18"/>
                <w:szCs w:val="18"/>
              </w:rPr>
              <w:t>0.25</w:t>
            </w:r>
          </w:p>
        </w:tc>
        <w:tc>
          <w:tcPr>
            <w:tcW w:w="950" w:type="dxa"/>
            <w:vAlign w:val="center"/>
          </w:tcPr>
          <w:p w14:paraId="23F8ED5F"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21.43</w:t>
            </w:r>
          </w:p>
        </w:tc>
        <w:tc>
          <w:tcPr>
            <w:tcW w:w="1306" w:type="dxa"/>
            <w:vAlign w:val="center"/>
          </w:tcPr>
          <w:p w14:paraId="1FB717AD"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78.57</w:t>
            </w:r>
          </w:p>
        </w:tc>
        <w:tc>
          <w:tcPr>
            <w:tcW w:w="1207" w:type="dxa"/>
            <w:vAlign w:val="center"/>
          </w:tcPr>
          <w:p w14:paraId="4E140A3C"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1.895</w:t>
            </w:r>
          </w:p>
        </w:tc>
        <w:tc>
          <w:tcPr>
            <w:tcW w:w="869" w:type="dxa"/>
            <w:vAlign w:val="center"/>
          </w:tcPr>
          <w:p w14:paraId="71D97716"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0.l5</w:t>
            </w:r>
          </w:p>
        </w:tc>
        <w:tc>
          <w:tcPr>
            <w:tcW w:w="867" w:type="dxa"/>
            <w:vAlign w:val="center"/>
          </w:tcPr>
          <w:p w14:paraId="3EBA7849"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-0.602</w:t>
            </w:r>
          </w:p>
        </w:tc>
        <w:tc>
          <w:tcPr>
            <w:tcW w:w="993" w:type="dxa"/>
            <w:vAlign w:val="center"/>
          </w:tcPr>
          <w:p w14:paraId="12A55493"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1.331</w:t>
            </w:r>
          </w:p>
        </w:tc>
        <w:tc>
          <w:tcPr>
            <w:tcW w:w="1265" w:type="dxa"/>
            <w:vAlign w:val="center"/>
          </w:tcPr>
          <w:p w14:paraId="6BAA4CE3"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4.289</w:t>
            </w:r>
          </w:p>
        </w:tc>
      </w:tr>
      <w:tr w:rsidR="00C34425" w:rsidRPr="007C0DC3" w14:paraId="4CC1FF25" w14:textId="77777777" w:rsidTr="00E1151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14:paraId="6B3A6229" w14:textId="77777777" w:rsidR="00C34425" w:rsidRPr="007C0DC3" w:rsidRDefault="00C34425" w:rsidP="00A47668">
            <w:pPr>
              <w:ind w:right="113"/>
              <w:rPr>
                <w:rFonts w:ascii="Arial" w:hAnsi="Arial" w:cs="Arial"/>
                <w:b w:val="0"/>
                <w:bCs w:val="0"/>
                <w:spacing w:val="-2"/>
                <w:sz w:val="18"/>
                <w:szCs w:val="18"/>
              </w:rPr>
            </w:pPr>
            <w:r w:rsidRPr="007C0DC3">
              <w:rPr>
                <w:rFonts w:ascii="Arial" w:hAnsi="Arial" w:cs="Arial"/>
                <w:b w:val="0"/>
                <w:bCs w:val="0"/>
                <w:spacing w:val="-2"/>
                <w:sz w:val="18"/>
                <w:szCs w:val="18"/>
              </w:rPr>
              <w:t>0.50</w:t>
            </w:r>
          </w:p>
        </w:tc>
        <w:tc>
          <w:tcPr>
            <w:tcW w:w="950" w:type="dxa"/>
            <w:vAlign w:val="center"/>
          </w:tcPr>
          <w:p w14:paraId="39D4B3DC"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27.15</w:t>
            </w:r>
          </w:p>
        </w:tc>
        <w:tc>
          <w:tcPr>
            <w:tcW w:w="1306" w:type="dxa"/>
            <w:vAlign w:val="center"/>
          </w:tcPr>
          <w:p w14:paraId="3004C73B"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72.85</w:t>
            </w:r>
          </w:p>
        </w:tc>
        <w:tc>
          <w:tcPr>
            <w:tcW w:w="1207" w:type="dxa"/>
            <w:vAlign w:val="center"/>
          </w:tcPr>
          <w:p w14:paraId="425BE0C6"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1.862</w:t>
            </w:r>
          </w:p>
        </w:tc>
        <w:tc>
          <w:tcPr>
            <w:tcW w:w="869" w:type="dxa"/>
            <w:vAlign w:val="center"/>
          </w:tcPr>
          <w:p w14:paraId="59CAEA90"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0.707</w:t>
            </w:r>
          </w:p>
        </w:tc>
        <w:tc>
          <w:tcPr>
            <w:tcW w:w="867" w:type="dxa"/>
            <w:vAlign w:val="center"/>
          </w:tcPr>
          <w:p w14:paraId="58957FF6"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-0.301</w:t>
            </w:r>
          </w:p>
        </w:tc>
        <w:tc>
          <w:tcPr>
            <w:tcW w:w="993" w:type="dxa"/>
            <w:vAlign w:val="center"/>
          </w:tcPr>
          <w:p w14:paraId="7A5ADE8C"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1.434</w:t>
            </w:r>
          </w:p>
        </w:tc>
        <w:tc>
          <w:tcPr>
            <w:tcW w:w="1265" w:type="dxa"/>
            <w:vAlign w:val="center"/>
          </w:tcPr>
          <w:p w14:paraId="0B18AD6E"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4.191</w:t>
            </w:r>
          </w:p>
        </w:tc>
      </w:tr>
      <w:tr w:rsidR="00C34425" w:rsidRPr="007C0DC3" w14:paraId="26D088D2" w14:textId="77777777" w:rsidTr="00E11514">
        <w:trPr>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14:paraId="49661265" w14:textId="77777777" w:rsidR="00C34425" w:rsidRPr="007C0DC3" w:rsidRDefault="00C34425" w:rsidP="00A47668">
            <w:pPr>
              <w:ind w:right="113"/>
              <w:rPr>
                <w:rFonts w:ascii="Arial" w:hAnsi="Arial" w:cs="Arial"/>
                <w:b w:val="0"/>
                <w:bCs w:val="0"/>
                <w:spacing w:val="-2"/>
                <w:sz w:val="18"/>
                <w:szCs w:val="18"/>
              </w:rPr>
            </w:pPr>
            <w:r w:rsidRPr="007C0DC3">
              <w:rPr>
                <w:rFonts w:ascii="Arial" w:hAnsi="Arial" w:cs="Arial"/>
                <w:b w:val="0"/>
                <w:bCs w:val="0"/>
                <w:spacing w:val="-2"/>
                <w:sz w:val="18"/>
                <w:szCs w:val="18"/>
              </w:rPr>
              <w:t>1</w:t>
            </w:r>
          </w:p>
        </w:tc>
        <w:tc>
          <w:tcPr>
            <w:tcW w:w="950" w:type="dxa"/>
            <w:vAlign w:val="center"/>
          </w:tcPr>
          <w:p w14:paraId="6BDC925E"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29.38</w:t>
            </w:r>
          </w:p>
        </w:tc>
        <w:tc>
          <w:tcPr>
            <w:tcW w:w="1306" w:type="dxa"/>
            <w:vAlign w:val="center"/>
          </w:tcPr>
          <w:p w14:paraId="07E80CA6"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70.62</w:t>
            </w:r>
          </w:p>
        </w:tc>
        <w:tc>
          <w:tcPr>
            <w:tcW w:w="1207" w:type="dxa"/>
            <w:vAlign w:val="center"/>
          </w:tcPr>
          <w:p w14:paraId="6C39F061"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1.849</w:t>
            </w:r>
          </w:p>
        </w:tc>
        <w:tc>
          <w:tcPr>
            <w:tcW w:w="869" w:type="dxa"/>
            <w:vAlign w:val="center"/>
          </w:tcPr>
          <w:p w14:paraId="05C79C4C"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w:t>
            </w:r>
          </w:p>
        </w:tc>
        <w:tc>
          <w:tcPr>
            <w:tcW w:w="867" w:type="dxa"/>
            <w:vAlign w:val="center"/>
          </w:tcPr>
          <w:p w14:paraId="55C3C82E"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0</w:t>
            </w:r>
          </w:p>
        </w:tc>
        <w:tc>
          <w:tcPr>
            <w:tcW w:w="993" w:type="dxa"/>
            <w:vAlign w:val="center"/>
          </w:tcPr>
          <w:p w14:paraId="52E36BDE"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1.468</w:t>
            </w:r>
          </w:p>
        </w:tc>
        <w:tc>
          <w:tcPr>
            <w:tcW w:w="1265" w:type="dxa"/>
            <w:vAlign w:val="center"/>
          </w:tcPr>
          <w:p w14:paraId="79AE17B6"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4.123</w:t>
            </w:r>
          </w:p>
        </w:tc>
      </w:tr>
      <w:tr w:rsidR="00C34425" w:rsidRPr="007C0DC3" w14:paraId="2C7B05A0" w14:textId="77777777" w:rsidTr="00E1151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14:paraId="291DA2C1" w14:textId="77777777" w:rsidR="00C34425" w:rsidRPr="007C0DC3" w:rsidRDefault="00C34425" w:rsidP="00A47668">
            <w:pPr>
              <w:ind w:right="113"/>
              <w:rPr>
                <w:rFonts w:ascii="Arial" w:hAnsi="Arial" w:cs="Arial"/>
                <w:b w:val="0"/>
                <w:bCs w:val="0"/>
                <w:spacing w:val="-2"/>
                <w:sz w:val="18"/>
                <w:szCs w:val="18"/>
              </w:rPr>
            </w:pPr>
            <w:r w:rsidRPr="007C0DC3">
              <w:rPr>
                <w:rFonts w:ascii="Arial" w:hAnsi="Arial" w:cs="Arial"/>
                <w:b w:val="0"/>
                <w:bCs w:val="0"/>
                <w:spacing w:val="-2"/>
                <w:sz w:val="18"/>
                <w:szCs w:val="18"/>
              </w:rPr>
              <w:t>2</w:t>
            </w:r>
          </w:p>
        </w:tc>
        <w:tc>
          <w:tcPr>
            <w:tcW w:w="950" w:type="dxa"/>
            <w:vAlign w:val="center"/>
          </w:tcPr>
          <w:p w14:paraId="70F97E02"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45.47</w:t>
            </w:r>
          </w:p>
        </w:tc>
        <w:tc>
          <w:tcPr>
            <w:tcW w:w="1306" w:type="dxa"/>
            <w:vAlign w:val="center"/>
          </w:tcPr>
          <w:p w14:paraId="2E63FFE6"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54.53</w:t>
            </w:r>
          </w:p>
        </w:tc>
        <w:tc>
          <w:tcPr>
            <w:tcW w:w="1207" w:type="dxa"/>
            <w:vAlign w:val="center"/>
          </w:tcPr>
          <w:p w14:paraId="4D5CE70E"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1.737</w:t>
            </w:r>
          </w:p>
        </w:tc>
        <w:tc>
          <w:tcPr>
            <w:tcW w:w="869" w:type="dxa"/>
            <w:vAlign w:val="center"/>
          </w:tcPr>
          <w:p w14:paraId="0018EF63"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1.414</w:t>
            </w:r>
          </w:p>
        </w:tc>
        <w:tc>
          <w:tcPr>
            <w:tcW w:w="867" w:type="dxa"/>
            <w:vAlign w:val="center"/>
          </w:tcPr>
          <w:p w14:paraId="57A460A3"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0.301</w:t>
            </w:r>
          </w:p>
        </w:tc>
        <w:tc>
          <w:tcPr>
            <w:tcW w:w="993" w:type="dxa"/>
            <w:vAlign w:val="center"/>
          </w:tcPr>
          <w:p w14:paraId="581C257B"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1.658</w:t>
            </w:r>
          </w:p>
        </w:tc>
        <w:tc>
          <w:tcPr>
            <w:tcW w:w="1265" w:type="dxa"/>
            <w:vAlign w:val="center"/>
          </w:tcPr>
          <w:p w14:paraId="4AD6C61C"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3.8</w:t>
            </w:r>
          </w:p>
        </w:tc>
      </w:tr>
      <w:tr w:rsidR="00C34425" w:rsidRPr="007C0DC3" w14:paraId="1C9FFCC6" w14:textId="77777777" w:rsidTr="00E11514">
        <w:trPr>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14:paraId="0693A2B8" w14:textId="77777777" w:rsidR="00C34425" w:rsidRPr="007C0DC3" w:rsidRDefault="00C34425" w:rsidP="00A47668">
            <w:pPr>
              <w:ind w:right="113"/>
              <w:rPr>
                <w:rFonts w:ascii="Arial" w:hAnsi="Arial" w:cs="Arial"/>
                <w:b w:val="0"/>
                <w:bCs w:val="0"/>
                <w:spacing w:val="-2"/>
                <w:sz w:val="18"/>
                <w:szCs w:val="18"/>
              </w:rPr>
            </w:pPr>
            <w:r w:rsidRPr="007C0DC3">
              <w:rPr>
                <w:rFonts w:ascii="Arial" w:hAnsi="Arial" w:cs="Arial"/>
                <w:b w:val="0"/>
                <w:bCs w:val="0"/>
                <w:spacing w:val="-2"/>
                <w:sz w:val="18"/>
                <w:szCs w:val="18"/>
              </w:rPr>
              <w:t>3</w:t>
            </w:r>
          </w:p>
        </w:tc>
        <w:tc>
          <w:tcPr>
            <w:tcW w:w="950" w:type="dxa"/>
            <w:vAlign w:val="center"/>
          </w:tcPr>
          <w:p w14:paraId="68D62D48"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54.48</w:t>
            </w:r>
          </w:p>
        </w:tc>
        <w:tc>
          <w:tcPr>
            <w:tcW w:w="1306" w:type="dxa"/>
            <w:vAlign w:val="center"/>
          </w:tcPr>
          <w:p w14:paraId="7B940516"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45.52</w:t>
            </w:r>
          </w:p>
        </w:tc>
        <w:tc>
          <w:tcPr>
            <w:tcW w:w="1207" w:type="dxa"/>
            <w:vAlign w:val="center"/>
          </w:tcPr>
          <w:p w14:paraId="78940657"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1.658</w:t>
            </w:r>
          </w:p>
        </w:tc>
        <w:tc>
          <w:tcPr>
            <w:tcW w:w="869" w:type="dxa"/>
            <w:vAlign w:val="center"/>
          </w:tcPr>
          <w:p w14:paraId="61C4206E"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1.732</w:t>
            </w:r>
          </w:p>
        </w:tc>
        <w:tc>
          <w:tcPr>
            <w:tcW w:w="867" w:type="dxa"/>
            <w:vAlign w:val="center"/>
          </w:tcPr>
          <w:p w14:paraId="3C1CFA4C"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0.477</w:t>
            </w:r>
          </w:p>
        </w:tc>
        <w:tc>
          <w:tcPr>
            <w:tcW w:w="993" w:type="dxa"/>
            <w:vAlign w:val="center"/>
          </w:tcPr>
          <w:p w14:paraId="3EBB0363"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1.736</w:t>
            </w:r>
          </w:p>
        </w:tc>
        <w:tc>
          <w:tcPr>
            <w:tcW w:w="1265" w:type="dxa"/>
            <w:vAlign w:val="center"/>
          </w:tcPr>
          <w:p w14:paraId="277DB546"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3.583</w:t>
            </w:r>
          </w:p>
        </w:tc>
      </w:tr>
      <w:tr w:rsidR="00C34425" w:rsidRPr="007C0DC3" w14:paraId="6A5003E4" w14:textId="77777777" w:rsidTr="00E1151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770" w:type="dxa"/>
            <w:vAlign w:val="center"/>
          </w:tcPr>
          <w:p w14:paraId="40B0F033" w14:textId="77777777" w:rsidR="00C34425" w:rsidRPr="007C0DC3" w:rsidRDefault="00C34425" w:rsidP="00A47668">
            <w:pPr>
              <w:ind w:right="113"/>
              <w:rPr>
                <w:rFonts w:ascii="Arial" w:hAnsi="Arial" w:cs="Arial"/>
                <w:b w:val="0"/>
                <w:bCs w:val="0"/>
                <w:spacing w:val="-2"/>
                <w:sz w:val="18"/>
                <w:szCs w:val="18"/>
              </w:rPr>
            </w:pPr>
            <w:r w:rsidRPr="007C0DC3">
              <w:rPr>
                <w:rFonts w:ascii="Arial" w:hAnsi="Arial" w:cs="Arial"/>
                <w:b w:val="0"/>
                <w:bCs w:val="0"/>
                <w:spacing w:val="-2"/>
                <w:sz w:val="18"/>
                <w:szCs w:val="18"/>
              </w:rPr>
              <w:t>4</w:t>
            </w:r>
          </w:p>
        </w:tc>
        <w:tc>
          <w:tcPr>
            <w:tcW w:w="950" w:type="dxa"/>
            <w:vAlign w:val="center"/>
          </w:tcPr>
          <w:p w14:paraId="5EFBBE2D"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63.97</w:t>
            </w:r>
          </w:p>
        </w:tc>
        <w:tc>
          <w:tcPr>
            <w:tcW w:w="1306" w:type="dxa"/>
            <w:vAlign w:val="center"/>
          </w:tcPr>
          <w:p w14:paraId="7ABBA287"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36.03</w:t>
            </w:r>
          </w:p>
        </w:tc>
        <w:tc>
          <w:tcPr>
            <w:tcW w:w="1207" w:type="dxa"/>
            <w:vAlign w:val="center"/>
          </w:tcPr>
          <w:p w14:paraId="0B57219D"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1.557</w:t>
            </w:r>
          </w:p>
        </w:tc>
        <w:tc>
          <w:tcPr>
            <w:tcW w:w="869" w:type="dxa"/>
            <w:vAlign w:val="center"/>
          </w:tcPr>
          <w:p w14:paraId="28B12E39"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2</w:t>
            </w:r>
          </w:p>
        </w:tc>
        <w:tc>
          <w:tcPr>
            <w:tcW w:w="867" w:type="dxa"/>
            <w:vAlign w:val="center"/>
          </w:tcPr>
          <w:p w14:paraId="3046FE4D"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0.602</w:t>
            </w:r>
          </w:p>
        </w:tc>
        <w:tc>
          <w:tcPr>
            <w:tcW w:w="993" w:type="dxa"/>
            <w:vAlign w:val="center"/>
          </w:tcPr>
          <w:p w14:paraId="2E968F4A"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1.806</w:t>
            </w:r>
          </w:p>
        </w:tc>
        <w:tc>
          <w:tcPr>
            <w:tcW w:w="1265" w:type="dxa"/>
            <w:vAlign w:val="center"/>
          </w:tcPr>
          <w:p w14:paraId="6103D004"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3.301</w:t>
            </w:r>
          </w:p>
        </w:tc>
      </w:tr>
      <w:tr w:rsidR="00C34425" w:rsidRPr="007C0DC3" w14:paraId="077BDC1B" w14:textId="77777777" w:rsidTr="00E11514">
        <w:trPr>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14:paraId="1AB224E3" w14:textId="77777777" w:rsidR="00C34425" w:rsidRPr="007C0DC3" w:rsidRDefault="00C34425" w:rsidP="00A47668">
            <w:pPr>
              <w:ind w:right="113"/>
              <w:rPr>
                <w:rFonts w:ascii="Arial" w:hAnsi="Arial" w:cs="Arial"/>
                <w:b w:val="0"/>
                <w:bCs w:val="0"/>
                <w:spacing w:val="-2"/>
                <w:sz w:val="18"/>
                <w:szCs w:val="18"/>
              </w:rPr>
            </w:pPr>
            <w:r w:rsidRPr="007C0DC3">
              <w:rPr>
                <w:rFonts w:ascii="Arial" w:hAnsi="Arial" w:cs="Arial"/>
                <w:b w:val="0"/>
                <w:bCs w:val="0"/>
                <w:spacing w:val="-2"/>
                <w:sz w:val="18"/>
                <w:szCs w:val="18"/>
              </w:rPr>
              <w:t>5</w:t>
            </w:r>
          </w:p>
        </w:tc>
        <w:tc>
          <w:tcPr>
            <w:tcW w:w="950" w:type="dxa"/>
            <w:vAlign w:val="center"/>
          </w:tcPr>
          <w:p w14:paraId="3F3DD0E3"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72.06</w:t>
            </w:r>
          </w:p>
        </w:tc>
        <w:tc>
          <w:tcPr>
            <w:tcW w:w="1306" w:type="dxa"/>
            <w:vAlign w:val="center"/>
          </w:tcPr>
          <w:p w14:paraId="418365B0"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27.94</w:t>
            </w:r>
          </w:p>
        </w:tc>
        <w:tc>
          <w:tcPr>
            <w:tcW w:w="1207" w:type="dxa"/>
            <w:vAlign w:val="center"/>
          </w:tcPr>
          <w:p w14:paraId="68E0E6E1"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1.446</w:t>
            </w:r>
          </w:p>
        </w:tc>
        <w:tc>
          <w:tcPr>
            <w:tcW w:w="869" w:type="dxa"/>
            <w:vAlign w:val="center"/>
          </w:tcPr>
          <w:p w14:paraId="17062CB1"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2.236</w:t>
            </w:r>
          </w:p>
        </w:tc>
        <w:tc>
          <w:tcPr>
            <w:tcW w:w="867" w:type="dxa"/>
            <w:vAlign w:val="center"/>
          </w:tcPr>
          <w:p w14:paraId="62ED4BCE"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0.699</w:t>
            </w:r>
          </w:p>
        </w:tc>
        <w:tc>
          <w:tcPr>
            <w:tcW w:w="993" w:type="dxa"/>
            <w:vAlign w:val="center"/>
          </w:tcPr>
          <w:p w14:paraId="4481FEF1"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1.858</w:t>
            </w:r>
          </w:p>
        </w:tc>
        <w:tc>
          <w:tcPr>
            <w:tcW w:w="1265" w:type="dxa"/>
            <w:vAlign w:val="center"/>
          </w:tcPr>
          <w:p w14:paraId="4A1E4CF9" w14:textId="77777777" w:rsidR="00C34425" w:rsidRPr="007C0DC3"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3.03</w:t>
            </w:r>
          </w:p>
        </w:tc>
      </w:tr>
      <w:tr w:rsidR="00C34425" w:rsidRPr="007C0DC3" w14:paraId="4DAD44BD" w14:textId="77777777" w:rsidTr="00E1151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14:paraId="35B79DA6" w14:textId="77777777" w:rsidR="00C34425" w:rsidRPr="007C0DC3" w:rsidRDefault="00C34425" w:rsidP="00A47668">
            <w:pPr>
              <w:ind w:right="113"/>
              <w:rPr>
                <w:rFonts w:ascii="Arial" w:hAnsi="Arial" w:cs="Arial"/>
                <w:b w:val="0"/>
                <w:bCs w:val="0"/>
                <w:spacing w:val="-2"/>
                <w:sz w:val="18"/>
                <w:szCs w:val="18"/>
              </w:rPr>
            </w:pPr>
            <w:r w:rsidRPr="007C0DC3">
              <w:rPr>
                <w:rFonts w:ascii="Arial" w:hAnsi="Arial" w:cs="Arial"/>
                <w:b w:val="0"/>
                <w:bCs w:val="0"/>
                <w:spacing w:val="-2"/>
                <w:sz w:val="18"/>
                <w:szCs w:val="18"/>
              </w:rPr>
              <w:t>6</w:t>
            </w:r>
          </w:p>
        </w:tc>
        <w:tc>
          <w:tcPr>
            <w:tcW w:w="950" w:type="dxa"/>
            <w:vAlign w:val="center"/>
          </w:tcPr>
          <w:p w14:paraId="6027B8BA"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82.52</w:t>
            </w:r>
          </w:p>
        </w:tc>
        <w:tc>
          <w:tcPr>
            <w:tcW w:w="1306" w:type="dxa"/>
            <w:vAlign w:val="center"/>
          </w:tcPr>
          <w:p w14:paraId="6EE6A616"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17.48</w:t>
            </w:r>
          </w:p>
        </w:tc>
        <w:tc>
          <w:tcPr>
            <w:tcW w:w="1207" w:type="dxa"/>
            <w:vAlign w:val="center"/>
          </w:tcPr>
          <w:p w14:paraId="217E9720"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1.242</w:t>
            </w:r>
          </w:p>
        </w:tc>
        <w:tc>
          <w:tcPr>
            <w:tcW w:w="869" w:type="dxa"/>
            <w:vAlign w:val="center"/>
          </w:tcPr>
          <w:p w14:paraId="1078674B"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2.449</w:t>
            </w:r>
          </w:p>
        </w:tc>
        <w:tc>
          <w:tcPr>
            <w:tcW w:w="867" w:type="dxa"/>
            <w:vAlign w:val="center"/>
          </w:tcPr>
          <w:p w14:paraId="761F525A"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0.788</w:t>
            </w:r>
          </w:p>
        </w:tc>
        <w:tc>
          <w:tcPr>
            <w:tcW w:w="993" w:type="dxa"/>
            <w:vAlign w:val="center"/>
          </w:tcPr>
          <w:p w14:paraId="2AA74A0C"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1.917</w:t>
            </w:r>
          </w:p>
        </w:tc>
        <w:tc>
          <w:tcPr>
            <w:tcW w:w="1265" w:type="dxa"/>
            <w:vAlign w:val="center"/>
          </w:tcPr>
          <w:p w14:paraId="6ED071DE" w14:textId="77777777" w:rsidR="00C34425" w:rsidRPr="007C0DC3"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7C0DC3">
              <w:rPr>
                <w:rFonts w:ascii="Arial" w:hAnsi="Arial" w:cs="Arial"/>
                <w:spacing w:val="-2"/>
                <w:sz w:val="18"/>
                <w:szCs w:val="18"/>
              </w:rPr>
              <w:t>2.596</w:t>
            </w:r>
          </w:p>
        </w:tc>
      </w:tr>
    </w:tbl>
    <w:p w14:paraId="0B32E081" w14:textId="77777777" w:rsidR="000F47B5" w:rsidRPr="007C0DC3" w:rsidRDefault="000F47B5" w:rsidP="009D7FE6">
      <w:pPr>
        <w:spacing w:after="0" w:line="360" w:lineRule="auto"/>
        <w:ind w:right="340"/>
        <w:jc w:val="both"/>
        <w:rPr>
          <w:rFonts w:ascii="Times New Roman" w:hAnsi="Times New Roman" w:cs="Times New Roman"/>
        </w:rPr>
      </w:pPr>
    </w:p>
    <w:p w14:paraId="39DB602C" w14:textId="77777777" w:rsidR="00522E00" w:rsidRPr="007C0DC3" w:rsidRDefault="00D31C32" w:rsidP="000F47B5">
      <w:pPr>
        <w:spacing w:after="0" w:line="360" w:lineRule="auto"/>
        <w:ind w:left="340" w:right="340"/>
        <w:jc w:val="both"/>
        <w:rPr>
          <w:b/>
          <w:bCs/>
        </w:rPr>
      </w:pPr>
      <w:r w:rsidRPr="007C0DC3">
        <w:rPr>
          <w:b/>
          <w:bCs/>
          <w:noProof/>
        </w:rPr>
        <w:lastRenderedPageBreak/>
        <w:drawing>
          <wp:inline distT="0" distB="0" distL="0" distR="0" wp14:anchorId="51F63115" wp14:editId="61978976">
            <wp:extent cx="5309432" cy="5402580"/>
            <wp:effectExtent l="0" t="0" r="5715" b="7620"/>
            <wp:docPr id="13349767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76784" name="Picture 1334976784"/>
                    <pic:cNvPicPr/>
                  </pic:nvPicPr>
                  <pic:blipFill rotWithShape="1">
                    <a:blip r:embed="rId23" cstate="print">
                      <a:extLst>
                        <a:ext uri="{28A0092B-C50C-407E-A947-70E740481C1C}">
                          <a14:useLocalDpi xmlns:a14="http://schemas.microsoft.com/office/drawing/2010/main" val="0"/>
                        </a:ext>
                      </a:extLst>
                    </a:blip>
                    <a:srcRect t="2889" b="1376"/>
                    <a:stretch>
                      <a:fillRect/>
                    </a:stretch>
                  </pic:blipFill>
                  <pic:spPr bwMode="auto">
                    <a:xfrm>
                      <a:off x="0" y="0"/>
                      <a:ext cx="5342982" cy="5436719"/>
                    </a:xfrm>
                    <a:prstGeom prst="rect">
                      <a:avLst/>
                    </a:prstGeom>
                    <a:ln>
                      <a:noFill/>
                    </a:ln>
                    <a:extLst>
                      <a:ext uri="{53640926-AAD7-44D8-BBD7-CCE9431645EC}">
                        <a14:shadowObscured xmlns:a14="http://schemas.microsoft.com/office/drawing/2010/main"/>
                      </a:ext>
                    </a:extLst>
                  </pic:spPr>
                </pic:pic>
              </a:graphicData>
            </a:graphic>
          </wp:inline>
        </w:drawing>
      </w:r>
    </w:p>
    <w:p w14:paraId="30055160" w14:textId="77777777" w:rsidR="00380A17" w:rsidRPr="007C0DC3" w:rsidRDefault="00F20336" w:rsidP="00B743E1">
      <w:pPr>
        <w:spacing w:before="60" w:after="200" w:line="480" w:lineRule="auto"/>
        <w:ind w:left="340" w:right="340"/>
        <w:jc w:val="both"/>
        <w:rPr>
          <w:rFonts w:ascii="Arial" w:eastAsia="Arial" w:hAnsi="Arial" w:cs="Arial"/>
          <w:sz w:val="20"/>
          <w:szCs w:val="20"/>
        </w:rPr>
      </w:pPr>
      <w:r w:rsidRPr="007C0DC3">
        <w:rPr>
          <w:rFonts w:ascii="Arial" w:eastAsia="Arial" w:hAnsi="Arial" w:cs="Arial"/>
          <w:b/>
          <w:sz w:val="20"/>
          <w:szCs w:val="20"/>
        </w:rPr>
        <w:t>Fig</w:t>
      </w:r>
      <w:r w:rsidR="00912EEF" w:rsidRPr="007C0DC3">
        <w:rPr>
          <w:rFonts w:ascii="Arial" w:eastAsia="Arial" w:hAnsi="Arial" w:cs="Arial"/>
          <w:b/>
          <w:sz w:val="20"/>
          <w:szCs w:val="20"/>
        </w:rPr>
        <w:t>.</w:t>
      </w:r>
      <w:r w:rsidR="00C83EFE" w:rsidRPr="007C0DC3">
        <w:rPr>
          <w:rFonts w:ascii="Arial" w:eastAsia="Arial" w:hAnsi="Arial" w:cs="Arial"/>
          <w:b/>
          <w:sz w:val="20"/>
          <w:szCs w:val="20"/>
        </w:rPr>
        <w:t>4</w:t>
      </w:r>
      <w:r w:rsidR="00E11514" w:rsidRPr="007C0DC3">
        <w:rPr>
          <w:rFonts w:ascii="Arial" w:eastAsia="Arial" w:hAnsi="Arial" w:cs="Arial"/>
          <w:b/>
          <w:sz w:val="20"/>
          <w:szCs w:val="20"/>
        </w:rPr>
        <w:t xml:space="preserve">: </w:t>
      </w:r>
      <w:r w:rsidRPr="007C0DC3">
        <w:rPr>
          <w:rFonts w:ascii="Arial" w:eastAsia="Arial" w:hAnsi="Arial" w:cs="Arial"/>
          <w:b/>
          <w:sz w:val="20"/>
          <w:szCs w:val="20"/>
        </w:rPr>
        <w:t>Release kinetics of F4 formulation: A) zero-order, B) first-order, C) Higuchi, D) Korsmeyer–Peppas and (E) Hixson–Crowell plots</w:t>
      </w:r>
    </w:p>
    <w:p w14:paraId="570F9E19" w14:textId="77777777" w:rsidR="009B11A8" w:rsidRPr="007C0DC3" w:rsidRDefault="009B11A8" w:rsidP="00B743E1">
      <w:pPr>
        <w:spacing w:before="60" w:after="200" w:line="480" w:lineRule="auto"/>
        <w:ind w:left="340" w:right="340"/>
        <w:jc w:val="both"/>
        <w:rPr>
          <w:rFonts w:ascii="Arial" w:eastAsia="Arial" w:hAnsi="Arial" w:cs="Arial"/>
          <w:sz w:val="20"/>
          <w:szCs w:val="20"/>
        </w:rPr>
      </w:pPr>
      <w:r w:rsidRPr="007C0DC3">
        <w:rPr>
          <w:rFonts w:ascii="Arial" w:hAnsi="Arial" w:cs="Arial"/>
          <w:b/>
          <w:bCs/>
          <w:sz w:val="20"/>
          <w:szCs w:val="20"/>
        </w:rPr>
        <w:t>Inference:</w:t>
      </w:r>
      <w:r w:rsidRPr="007C0DC3">
        <w:rPr>
          <w:rFonts w:ascii="Arial" w:hAnsi="Arial" w:cs="Arial"/>
          <w:sz w:val="20"/>
          <w:szCs w:val="20"/>
        </w:rPr>
        <w:t xml:space="preserve"> </w:t>
      </w:r>
    </w:p>
    <w:p w14:paraId="0D311734" w14:textId="77777777" w:rsidR="009B11A8" w:rsidRPr="007C0DC3" w:rsidRDefault="009B11A8" w:rsidP="00B743E1">
      <w:pPr>
        <w:tabs>
          <w:tab w:val="left" w:pos="1451"/>
        </w:tabs>
        <w:spacing w:after="0" w:line="480" w:lineRule="auto"/>
        <w:ind w:left="340" w:right="340"/>
        <w:jc w:val="both"/>
        <w:rPr>
          <w:rFonts w:ascii="Arial" w:hAnsi="Arial" w:cs="Arial"/>
          <w:sz w:val="20"/>
          <w:szCs w:val="20"/>
        </w:rPr>
      </w:pPr>
      <w:r w:rsidRPr="007C0DC3">
        <w:rPr>
          <w:rFonts w:ascii="Arial" w:hAnsi="Arial" w:cs="Arial"/>
          <w:sz w:val="20"/>
          <w:szCs w:val="20"/>
        </w:rPr>
        <w:t>The drug release kinetics of the optimized mucoadhesive buccal patch (F3) were analyzed using various kinetic models. The Higuchi model showed the best fit (R² = 0.9894), indicating release through matrix hydration and gradual dissolution.</w:t>
      </w:r>
    </w:p>
    <w:p w14:paraId="2F53CB82" w14:textId="77777777" w:rsidR="000F2DBA" w:rsidRPr="007C0DC3" w:rsidRDefault="00000000">
      <w:pPr>
        <w:jc w:val="both"/>
      </w:pPr>
      <w:r w:rsidRPr="007C0DC3">
        <w:rPr>
          <w:rFonts w:ascii="Arial" w:hAnsi="Arial"/>
          <w:sz w:val="20"/>
        </w:rPr>
        <w:t>The superior fit to the Higuchi model supports a predominantly diffusion-associated release process from a hydrated matrix, but the model fit alone does not exclude concurrent swelling or erosion. Similar mucoadhesive films have shown Higuchi-type or mixed diffusion-relaxation behavior, indicating that interpretation of mechanism should consider both kinetic fitting and polymer hydration characteristics (Muzib &amp; Kumari, 2011; Semalty et al., 2008; Vasantha et al., 2011).</w:t>
      </w:r>
    </w:p>
    <w:p w14:paraId="3CB2F4BF" w14:textId="77777777" w:rsidR="00695448" w:rsidRPr="007C0DC3" w:rsidRDefault="002C0861" w:rsidP="00B743E1">
      <w:pPr>
        <w:tabs>
          <w:tab w:val="left" w:pos="1451"/>
        </w:tabs>
        <w:spacing w:after="0" w:line="480" w:lineRule="auto"/>
        <w:ind w:left="340" w:right="340"/>
        <w:jc w:val="both"/>
        <w:rPr>
          <w:rFonts w:ascii="Arial" w:hAnsi="Arial" w:cs="Arial"/>
          <w:b/>
          <w:bCs/>
          <w:sz w:val="20"/>
          <w:szCs w:val="20"/>
          <w:u w:val="single"/>
        </w:rPr>
      </w:pPr>
      <w:r w:rsidRPr="007C0DC3">
        <w:rPr>
          <w:rFonts w:ascii="Arial" w:hAnsi="Arial" w:cs="Arial"/>
          <w:b/>
          <w:bCs/>
          <w:sz w:val="20"/>
          <w:szCs w:val="20"/>
          <w:u w:val="single"/>
        </w:rPr>
        <w:t xml:space="preserve">3.2.13 </w:t>
      </w:r>
      <w:r w:rsidR="00695448" w:rsidRPr="007C0DC3">
        <w:rPr>
          <w:rFonts w:ascii="Arial" w:hAnsi="Arial" w:cs="Arial"/>
          <w:b/>
          <w:bCs/>
          <w:sz w:val="20"/>
          <w:szCs w:val="20"/>
          <w:u w:val="single"/>
        </w:rPr>
        <w:t>Scanning Electron Microscopy (SEM) Analysis</w:t>
      </w:r>
    </w:p>
    <w:p w14:paraId="386417E8" w14:textId="77777777" w:rsidR="00841EF5" w:rsidRPr="007C0DC3" w:rsidRDefault="0037695A" w:rsidP="00B743E1">
      <w:pPr>
        <w:tabs>
          <w:tab w:val="left" w:pos="1451"/>
        </w:tabs>
        <w:spacing w:after="0" w:line="480" w:lineRule="auto"/>
        <w:ind w:left="340" w:right="340"/>
        <w:jc w:val="both"/>
        <w:rPr>
          <w:rFonts w:ascii="Arial" w:hAnsi="Arial" w:cs="Arial"/>
          <w:sz w:val="20"/>
          <w:szCs w:val="20"/>
        </w:rPr>
      </w:pPr>
      <w:r w:rsidRPr="007C0DC3">
        <w:rPr>
          <w:rFonts w:ascii="Arial" w:hAnsi="Arial" w:cs="Arial"/>
          <w:sz w:val="20"/>
          <w:szCs w:val="20"/>
        </w:rPr>
        <w:lastRenderedPageBreak/>
        <w:t>The formulated buccal patches were subjected to scanning electron microscopic examination to characterize their surface morphology</w:t>
      </w:r>
      <w:r w:rsidR="005A2A62" w:rsidRPr="007C0DC3">
        <w:rPr>
          <w:rFonts w:ascii="Arial" w:hAnsi="Arial" w:cs="Arial"/>
          <w:sz w:val="20"/>
          <w:szCs w:val="20"/>
        </w:rPr>
        <w:t>.</w:t>
      </w:r>
    </w:p>
    <w:p w14:paraId="72F5F4EC" w14:textId="77777777" w:rsidR="00695448" w:rsidRPr="007C0DC3" w:rsidRDefault="00695448" w:rsidP="00730DD1">
      <w:pPr>
        <w:tabs>
          <w:tab w:val="left" w:pos="1451"/>
        </w:tabs>
        <w:spacing w:after="0" w:line="360" w:lineRule="auto"/>
        <w:ind w:left="567" w:right="113"/>
        <w:jc w:val="both"/>
        <w:rPr>
          <w:rFonts w:ascii="Times New Roman" w:hAnsi="Times New Roman" w:cs="Times New Roman"/>
          <w:b/>
          <w:bCs/>
        </w:rPr>
      </w:pPr>
      <w:r w:rsidRPr="007C0DC3">
        <w:rPr>
          <w:rFonts w:ascii="Times New Roman" w:hAnsi="Times New Roman" w:cs="Times New Roman"/>
          <w:b/>
          <w:bCs/>
        </w:rPr>
        <w:t xml:space="preserve">  </w:t>
      </w:r>
      <w:r w:rsidR="00571796" w:rsidRPr="007C0DC3">
        <w:rPr>
          <w:rFonts w:ascii="Times New Roman" w:hAnsi="Times New Roman" w:cs="Times New Roman"/>
          <w:b/>
          <w:bCs/>
        </w:rPr>
        <w:t xml:space="preserve">        </w:t>
      </w:r>
      <w:r w:rsidRPr="007C0DC3">
        <w:rPr>
          <w:rFonts w:ascii="Times New Roman" w:hAnsi="Times New Roman" w:cs="Times New Roman"/>
          <w:b/>
          <w:bCs/>
        </w:rPr>
        <w:t xml:space="preserve">    </w:t>
      </w:r>
      <w:r w:rsidRPr="007C0DC3">
        <w:rPr>
          <w:rFonts w:ascii="Times New Roman" w:hAnsi="Times New Roman" w:cs="Times New Roman"/>
          <w:b/>
          <w:bCs/>
          <w:noProof/>
        </w:rPr>
        <w:drawing>
          <wp:inline distT="0" distB="0" distL="0" distR="0" wp14:anchorId="70411D0C" wp14:editId="4C54F6A4">
            <wp:extent cx="3573780" cy="2394019"/>
            <wp:effectExtent l="0" t="0" r="7620" b="6350"/>
            <wp:docPr id="829215368"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215368" name="Picture 829215368"/>
                    <pic:cNvPicPr/>
                  </pic:nvPicPr>
                  <pic:blipFill>
                    <a:blip r:embed="rId24">
                      <a:extLst>
                        <a:ext uri="{28A0092B-C50C-407E-A947-70E740481C1C}">
                          <a14:useLocalDpi xmlns:a14="http://schemas.microsoft.com/office/drawing/2010/main" val="0"/>
                        </a:ext>
                      </a:extLst>
                    </a:blip>
                    <a:stretch>
                      <a:fillRect/>
                    </a:stretch>
                  </pic:blipFill>
                  <pic:spPr>
                    <a:xfrm>
                      <a:off x="0" y="0"/>
                      <a:ext cx="3598068" cy="2410289"/>
                    </a:xfrm>
                    <a:prstGeom prst="rect">
                      <a:avLst/>
                    </a:prstGeom>
                  </pic:spPr>
                </pic:pic>
              </a:graphicData>
            </a:graphic>
          </wp:inline>
        </w:drawing>
      </w:r>
    </w:p>
    <w:p w14:paraId="60C1F32D" w14:textId="77777777" w:rsidR="00C8158E" w:rsidRPr="007C0DC3" w:rsidRDefault="00695448" w:rsidP="00C8158E">
      <w:pPr>
        <w:rPr>
          <w:rFonts w:ascii="Arial" w:hAnsi="Arial" w:cs="Arial"/>
          <w:b/>
          <w:bCs/>
          <w:sz w:val="20"/>
          <w:szCs w:val="20"/>
        </w:rPr>
      </w:pPr>
      <w:r w:rsidRPr="007C0DC3">
        <w:rPr>
          <w:rFonts w:ascii="Times New Roman" w:hAnsi="Times New Roman" w:cs="Times New Roman"/>
          <w:b/>
          <w:bCs/>
        </w:rPr>
        <w:t xml:space="preserve">                     </w:t>
      </w:r>
      <w:r w:rsidR="005A2A62" w:rsidRPr="007C0DC3">
        <w:rPr>
          <w:rFonts w:ascii="Times New Roman" w:hAnsi="Times New Roman" w:cs="Times New Roman"/>
          <w:b/>
          <w:bCs/>
        </w:rPr>
        <w:tab/>
      </w:r>
      <w:r w:rsidR="005A2A62" w:rsidRPr="007C0DC3">
        <w:rPr>
          <w:rFonts w:ascii="Times New Roman" w:hAnsi="Times New Roman" w:cs="Times New Roman"/>
          <w:b/>
          <w:bCs/>
        </w:rPr>
        <w:tab/>
      </w:r>
      <w:r w:rsidR="00466EF9" w:rsidRPr="007C0DC3">
        <w:rPr>
          <w:rFonts w:ascii="Arial" w:hAnsi="Arial" w:cs="Arial"/>
          <w:b/>
          <w:bCs/>
          <w:sz w:val="20"/>
          <w:szCs w:val="20"/>
        </w:rPr>
        <w:t xml:space="preserve"> </w:t>
      </w:r>
      <w:r w:rsidRPr="007C0DC3">
        <w:rPr>
          <w:rFonts w:ascii="Arial" w:hAnsi="Arial" w:cs="Arial"/>
          <w:b/>
          <w:bCs/>
          <w:sz w:val="20"/>
          <w:szCs w:val="20"/>
        </w:rPr>
        <w:t>Fig</w:t>
      </w:r>
      <w:r w:rsidR="002C0861" w:rsidRPr="007C0DC3">
        <w:rPr>
          <w:rFonts w:ascii="Arial" w:hAnsi="Arial" w:cs="Arial"/>
          <w:b/>
          <w:bCs/>
          <w:sz w:val="20"/>
          <w:szCs w:val="20"/>
        </w:rPr>
        <w:t>. 5</w:t>
      </w:r>
      <w:r w:rsidRPr="007C0DC3">
        <w:rPr>
          <w:rFonts w:ascii="Arial" w:hAnsi="Arial" w:cs="Arial"/>
          <w:b/>
          <w:bCs/>
          <w:sz w:val="20"/>
          <w:szCs w:val="20"/>
        </w:rPr>
        <w:t>: SEM</w:t>
      </w:r>
      <w:r w:rsidRPr="007C0DC3">
        <w:rPr>
          <w:rFonts w:ascii="Arial" w:hAnsi="Arial" w:cs="Arial"/>
          <w:b/>
          <w:bCs/>
          <w:spacing w:val="-8"/>
          <w:sz w:val="20"/>
          <w:szCs w:val="20"/>
        </w:rPr>
        <w:t xml:space="preserve"> </w:t>
      </w:r>
      <w:r w:rsidRPr="007C0DC3">
        <w:rPr>
          <w:rFonts w:ascii="Arial" w:hAnsi="Arial" w:cs="Arial"/>
          <w:b/>
          <w:bCs/>
          <w:sz w:val="20"/>
          <w:szCs w:val="20"/>
        </w:rPr>
        <w:t>image</w:t>
      </w:r>
      <w:r w:rsidRPr="007C0DC3">
        <w:rPr>
          <w:rFonts w:ascii="Arial" w:hAnsi="Arial" w:cs="Arial"/>
          <w:b/>
          <w:bCs/>
          <w:spacing w:val="-2"/>
          <w:sz w:val="20"/>
          <w:szCs w:val="20"/>
        </w:rPr>
        <w:t xml:space="preserve"> </w:t>
      </w:r>
      <w:r w:rsidRPr="007C0DC3">
        <w:rPr>
          <w:rFonts w:ascii="Arial" w:hAnsi="Arial" w:cs="Arial"/>
          <w:b/>
          <w:bCs/>
          <w:sz w:val="20"/>
          <w:szCs w:val="20"/>
        </w:rPr>
        <w:t>of</w:t>
      </w:r>
      <w:r w:rsidRPr="007C0DC3">
        <w:rPr>
          <w:rFonts w:ascii="Arial" w:hAnsi="Arial" w:cs="Arial"/>
          <w:b/>
          <w:bCs/>
          <w:spacing w:val="-9"/>
          <w:sz w:val="20"/>
          <w:szCs w:val="20"/>
        </w:rPr>
        <w:t xml:space="preserve"> </w:t>
      </w:r>
      <w:r w:rsidRPr="007C0DC3">
        <w:rPr>
          <w:rFonts w:ascii="Arial" w:hAnsi="Arial" w:cs="Arial"/>
          <w:b/>
          <w:bCs/>
          <w:sz w:val="20"/>
          <w:szCs w:val="20"/>
        </w:rPr>
        <w:t>F3 formulation</w:t>
      </w:r>
      <w:r w:rsidRPr="007C0DC3">
        <w:rPr>
          <w:rFonts w:ascii="Arial" w:hAnsi="Arial" w:cs="Arial"/>
          <w:b/>
          <w:bCs/>
          <w:sz w:val="20"/>
          <w:szCs w:val="20"/>
        </w:rPr>
        <w:tab/>
      </w:r>
    </w:p>
    <w:p w14:paraId="0B9ADF7D" w14:textId="77777777" w:rsidR="000F2DBA" w:rsidRPr="007C0DC3" w:rsidRDefault="00000000">
      <w:pPr>
        <w:jc w:val="both"/>
      </w:pPr>
      <w:r w:rsidRPr="007C0DC3">
        <w:rPr>
          <w:rFonts w:ascii="Arial" w:hAnsi="Arial"/>
          <w:sz w:val="20"/>
        </w:rPr>
        <w:t>SEM provides a qualitative assessment of surface topography and can reveal pores, cracks, drug crystals, or heterogeneity that may influence hydration and release. In comparable buccal-film studies, relatively uniform surfaces and limited visible defects have been interpreted as evidence of satisfactory dispersion within the polymeric matrix, although SEM should be considered complementary to physicochemical and release data (Salehi &amp; Boddohi, 2017; Nair et al., 2021; Kumar et al., 2013).</w:t>
      </w:r>
    </w:p>
    <w:p w14:paraId="4F7C8597" w14:textId="77777777" w:rsidR="00C366C0" w:rsidRPr="007C0DC3" w:rsidRDefault="002C0861" w:rsidP="00C76023">
      <w:pPr>
        <w:tabs>
          <w:tab w:val="left" w:pos="1451"/>
        </w:tabs>
        <w:spacing w:after="0" w:line="480" w:lineRule="auto"/>
        <w:ind w:left="340" w:right="340"/>
        <w:jc w:val="both"/>
        <w:rPr>
          <w:rFonts w:ascii="Arial" w:hAnsi="Arial" w:cs="Arial"/>
          <w:sz w:val="20"/>
          <w:szCs w:val="20"/>
          <w:u w:val="single"/>
        </w:rPr>
      </w:pPr>
      <w:r w:rsidRPr="007C0DC3">
        <w:rPr>
          <w:rFonts w:ascii="Arial" w:hAnsi="Arial" w:cs="Arial"/>
          <w:b/>
          <w:bCs/>
          <w:sz w:val="20"/>
          <w:szCs w:val="20"/>
          <w:u w:val="single"/>
        </w:rPr>
        <w:t xml:space="preserve">3.2.14 </w:t>
      </w:r>
      <w:r w:rsidR="004F6C69" w:rsidRPr="007C0DC3">
        <w:rPr>
          <w:rFonts w:ascii="Arial" w:hAnsi="Arial" w:cs="Arial"/>
          <w:b/>
          <w:bCs/>
          <w:sz w:val="20"/>
          <w:szCs w:val="20"/>
          <w:u w:val="single"/>
        </w:rPr>
        <w:t>Stability Studies of F3</w:t>
      </w:r>
    </w:p>
    <w:p w14:paraId="771DE11F" w14:textId="77777777" w:rsidR="00C366C0" w:rsidRPr="007C0DC3" w:rsidRDefault="00C366C0" w:rsidP="00C76023">
      <w:pPr>
        <w:tabs>
          <w:tab w:val="left" w:pos="1451"/>
        </w:tabs>
        <w:spacing w:after="0" w:line="480" w:lineRule="auto"/>
        <w:ind w:left="340" w:right="340"/>
        <w:jc w:val="both"/>
        <w:rPr>
          <w:rFonts w:ascii="Arial" w:hAnsi="Arial" w:cs="Arial"/>
          <w:b/>
          <w:bCs/>
          <w:sz w:val="20"/>
          <w:szCs w:val="20"/>
        </w:rPr>
      </w:pPr>
      <w:r w:rsidRPr="007C0DC3">
        <w:rPr>
          <w:rFonts w:ascii="Arial" w:hAnsi="Arial" w:cs="Arial"/>
          <w:sz w:val="20"/>
          <w:szCs w:val="20"/>
        </w:rPr>
        <w:t xml:space="preserve">The F3 formulation was subjected to stability studies as per ICH guidelines and the results shown in Table </w:t>
      </w:r>
      <w:r w:rsidR="00B743E1" w:rsidRPr="007C0DC3">
        <w:rPr>
          <w:rFonts w:ascii="Arial" w:hAnsi="Arial" w:cs="Arial"/>
          <w:sz w:val="20"/>
          <w:szCs w:val="20"/>
        </w:rPr>
        <w:t>8</w:t>
      </w:r>
      <w:r w:rsidRPr="007C0DC3">
        <w:rPr>
          <w:rFonts w:ascii="Arial" w:hAnsi="Arial" w:cs="Arial"/>
          <w:sz w:val="20"/>
          <w:szCs w:val="20"/>
        </w:rPr>
        <w:t>.</w:t>
      </w:r>
    </w:p>
    <w:p w14:paraId="50525859" w14:textId="77777777" w:rsidR="00C366C0" w:rsidRPr="007C0DC3" w:rsidRDefault="00C366C0" w:rsidP="00C76023">
      <w:pPr>
        <w:tabs>
          <w:tab w:val="left" w:pos="1451"/>
        </w:tabs>
        <w:spacing w:after="0" w:line="480" w:lineRule="auto"/>
        <w:ind w:left="340" w:right="340"/>
        <w:jc w:val="both"/>
        <w:rPr>
          <w:rFonts w:ascii="Arial" w:hAnsi="Arial" w:cs="Arial"/>
          <w:b/>
          <w:bCs/>
          <w:sz w:val="20"/>
          <w:szCs w:val="20"/>
        </w:rPr>
      </w:pPr>
      <w:r w:rsidRPr="007C0DC3">
        <w:rPr>
          <w:rFonts w:ascii="Arial" w:hAnsi="Arial" w:cs="Arial"/>
          <w:b/>
          <w:bCs/>
          <w:sz w:val="20"/>
          <w:szCs w:val="20"/>
        </w:rPr>
        <w:t xml:space="preserve">Table </w:t>
      </w:r>
      <w:r w:rsidR="00B743E1" w:rsidRPr="007C0DC3">
        <w:rPr>
          <w:rFonts w:ascii="Arial" w:hAnsi="Arial" w:cs="Arial"/>
          <w:b/>
          <w:bCs/>
          <w:sz w:val="20"/>
          <w:szCs w:val="20"/>
        </w:rPr>
        <w:t>8</w:t>
      </w:r>
      <w:r w:rsidRPr="007C0DC3">
        <w:rPr>
          <w:rFonts w:ascii="Arial" w:hAnsi="Arial" w:cs="Arial"/>
          <w:b/>
          <w:bCs/>
          <w:sz w:val="20"/>
          <w:szCs w:val="20"/>
        </w:rPr>
        <w:t>: Stability studies of F3</w:t>
      </w:r>
    </w:p>
    <w:tbl>
      <w:tblPr>
        <w:tblStyle w:val="PlainTable2"/>
        <w:tblW w:w="8052" w:type="dxa"/>
        <w:tblInd w:w="284" w:type="dxa"/>
        <w:tblLook w:val="04A0" w:firstRow="1" w:lastRow="0" w:firstColumn="1" w:lastColumn="0" w:noHBand="0" w:noVBand="1"/>
      </w:tblPr>
      <w:tblGrid>
        <w:gridCol w:w="1341"/>
        <w:gridCol w:w="1046"/>
        <w:gridCol w:w="1201"/>
        <w:gridCol w:w="852"/>
        <w:gridCol w:w="1260"/>
        <w:gridCol w:w="1030"/>
        <w:gridCol w:w="1322"/>
      </w:tblGrid>
      <w:tr w:rsidR="00C366C0" w:rsidRPr="007C0DC3" w14:paraId="3357B11A" w14:textId="77777777" w:rsidTr="00AB3586">
        <w:trPr>
          <w:cnfStyle w:val="100000000000" w:firstRow="1" w:lastRow="0" w:firstColumn="0" w:lastColumn="0" w:oddVBand="0" w:evenVBand="0" w:oddHBand="0"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341" w:type="dxa"/>
            <w:vMerge w:val="restart"/>
            <w:vAlign w:val="center"/>
          </w:tcPr>
          <w:p w14:paraId="0214325E" w14:textId="77777777" w:rsidR="00C366C0" w:rsidRPr="007C0DC3" w:rsidRDefault="00C366C0" w:rsidP="00AB3586">
            <w:pPr>
              <w:tabs>
                <w:tab w:val="left" w:pos="1451"/>
              </w:tabs>
              <w:spacing w:line="360" w:lineRule="auto"/>
              <w:ind w:right="113"/>
              <w:jc w:val="center"/>
              <w:rPr>
                <w:rFonts w:ascii="Arial" w:hAnsi="Arial" w:cs="Arial"/>
                <w:b w:val="0"/>
                <w:bCs w:val="0"/>
                <w:sz w:val="20"/>
                <w:szCs w:val="20"/>
              </w:rPr>
            </w:pPr>
            <w:r w:rsidRPr="007C0DC3">
              <w:rPr>
                <w:rFonts w:ascii="Arial" w:hAnsi="Arial" w:cs="Arial"/>
                <w:sz w:val="20"/>
                <w:szCs w:val="20"/>
              </w:rPr>
              <w:t>Stability conditions (F3)</w:t>
            </w:r>
          </w:p>
        </w:tc>
        <w:tc>
          <w:tcPr>
            <w:tcW w:w="2270" w:type="dxa"/>
            <w:gridSpan w:val="2"/>
            <w:vAlign w:val="center"/>
          </w:tcPr>
          <w:p w14:paraId="5BDCE011" w14:textId="77777777" w:rsidR="00C366C0" w:rsidRPr="007C0DC3" w:rsidRDefault="00C366C0" w:rsidP="00AB3586">
            <w:pPr>
              <w:tabs>
                <w:tab w:val="left" w:pos="1451"/>
              </w:tabs>
              <w:spacing w:line="360" w:lineRule="auto"/>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C0DC3">
              <w:rPr>
                <w:rFonts w:ascii="Arial" w:hAnsi="Arial" w:cs="Arial"/>
                <w:sz w:val="20"/>
                <w:szCs w:val="20"/>
              </w:rPr>
              <w:t>Physical Appearance</w:t>
            </w:r>
          </w:p>
        </w:tc>
        <w:tc>
          <w:tcPr>
            <w:tcW w:w="2061" w:type="dxa"/>
            <w:gridSpan w:val="2"/>
            <w:vAlign w:val="center"/>
          </w:tcPr>
          <w:p w14:paraId="438CD48E" w14:textId="77777777" w:rsidR="00C366C0" w:rsidRPr="007C0DC3" w:rsidRDefault="00C366C0" w:rsidP="00AB3586">
            <w:pPr>
              <w:tabs>
                <w:tab w:val="left" w:pos="1451"/>
              </w:tabs>
              <w:spacing w:line="360" w:lineRule="auto"/>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C0DC3">
              <w:rPr>
                <w:rFonts w:ascii="Arial" w:hAnsi="Arial" w:cs="Arial"/>
                <w:sz w:val="20"/>
                <w:szCs w:val="20"/>
              </w:rPr>
              <w:t>Thickness (mm)</w:t>
            </w:r>
          </w:p>
        </w:tc>
        <w:tc>
          <w:tcPr>
            <w:tcW w:w="2380" w:type="dxa"/>
            <w:gridSpan w:val="2"/>
            <w:vAlign w:val="center"/>
          </w:tcPr>
          <w:p w14:paraId="0CC3170B" w14:textId="77777777" w:rsidR="00C366C0" w:rsidRPr="007C0DC3" w:rsidRDefault="00C366C0" w:rsidP="00AB3586">
            <w:pPr>
              <w:tabs>
                <w:tab w:val="left" w:pos="1451"/>
              </w:tabs>
              <w:spacing w:line="360" w:lineRule="auto"/>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7C0DC3">
              <w:rPr>
                <w:rFonts w:ascii="Arial" w:hAnsi="Arial" w:cs="Arial"/>
                <w:sz w:val="20"/>
                <w:szCs w:val="20"/>
              </w:rPr>
              <w:t>Drug content (%)</w:t>
            </w:r>
          </w:p>
        </w:tc>
      </w:tr>
      <w:tr w:rsidR="00C366C0" w:rsidRPr="007C0DC3" w14:paraId="54C118C4" w14:textId="77777777" w:rsidTr="00AB3586">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341" w:type="dxa"/>
            <w:vMerge/>
            <w:vAlign w:val="center"/>
          </w:tcPr>
          <w:p w14:paraId="4631FD73" w14:textId="77777777" w:rsidR="00C366C0" w:rsidRPr="007C0DC3" w:rsidRDefault="00C366C0" w:rsidP="00AB3586">
            <w:pPr>
              <w:tabs>
                <w:tab w:val="left" w:pos="1451"/>
              </w:tabs>
              <w:spacing w:line="360" w:lineRule="auto"/>
              <w:ind w:right="113"/>
              <w:jc w:val="center"/>
              <w:rPr>
                <w:rFonts w:ascii="Arial" w:hAnsi="Arial" w:cs="Arial"/>
                <w:b w:val="0"/>
                <w:bCs w:val="0"/>
                <w:sz w:val="20"/>
                <w:szCs w:val="20"/>
              </w:rPr>
            </w:pPr>
          </w:p>
        </w:tc>
        <w:tc>
          <w:tcPr>
            <w:tcW w:w="1054" w:type="dxa"/>
            <w:vAlign w:val="center"/>
          </w:tcPr>
          <w:p w14:paraId="06D4F7CD" w14:textId="77777777" w:rsidR="00C366C0" w:rsidRPr="007C0DC3"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Initial</w:t>
            </w:r>
          </w:p>
        </w:tc>
        <w:tc>
          <w:tcPr>
            <w:tcW w:w="1216" w:type="dxa"/>
            <w:vAlign w:val="center"/>
          </w:tcPr>
          <w:p w14:paraId="333330D7" w14:textId="77777777" w:rsidR="00C366C0" w:rsidRPr="007C0DC3"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Final</w:t>
            </w:r>
          </w:p>
          <w:p w14:paraId="4DE578E1" w14:textId="77777777" w:rsidR="00C366C0" w:rsidRPr="007C0DC3"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(30 days)</w:t>
            </w:r>
          </w:p>
        </w:tc>
        <w:tc>
          <w:tcPr>
            <w:tcW w:w="783" w:type="dxa"/>
            <w:vAlign w:val="center"/>
          </w:tcPr>
          <w:p w14:paraId="775B223B" w14:textId="77777777" w:rsidR="00C366C0" w:rsidRPr="007C0DC3"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Initial</w:t>
            </w:r>
          </w:p>
        </w:tc>
        <w:tc>
          <w:tcPr>
            <w:tcW w:w="1278" w:type="dxa"/>
            <w:vAlign w:val="center"/>
          </w:tcPr>
          <w:p w14:paraId="7E3D311C" w14:textId="77777777" w:rsidR="00C366C0" w:rsidRPr="007C0DC3"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Final</w:t>
            </w:r>
          </w:p>
          <w:p w14:paraId="0C91ECCC" w14:textId="77777777" w:rsidR="00C366C0" w:rsidRPr="007C0DC3"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(30 days)</w:t>
            </w:r>
          </w:p>
        </w:tc>
        <w:tc>
          <w:tcPr>
            <w:tcW w:w="1038" w:type="dxa"/>
            <w:vAlign w:val="center"/>
          </w:tcPr>
          <w:p w14:paraId="5535F7B2" w14:textId="77777777" w:rsidR="00C366C0" w:rsidRPr="007C0DC3"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Initial</w:t>
            </w:r>
          </w:p>
        </w:tc>
        <w:tc>
          <w:tcPr>
            <w:tcW w:w="1342" w:type="dxa"/>
            <w:vAlign w:val="center"/>
          </w:tcPr>
          <w:p w14:paraId="126C3A3D" w14:textId="77777777" w:rsidR="00C366C0" w:rsidRPr="007C0DC3"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Final</w:t>
            </w:r>
          </w:p>
          <w:p w14:paraId="5D02F014" w14:textId="77777777" w:rsidR="00C366C0" w:rsidRPr="007C0DC3"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7C0DC3">
              <w:rPr>
                <w:rFonts w:ascii="Arial" w:hAnsi="Arial" w:cs="Arial"/>
                <w:b/>
                <w:bCs/>
                <w:sz w:val="20"/>
                <w:szCs w:val="20"/>
              </w:rPr>
              <w:t>(30 days)</w:t>
            </w:r>
          </w:p>
        </w:tc>
      </w:tr>
      <w:tr w:rsidR="00C366C0" w:rsidRPr="007C0DC3" w14:paraId="6E5AE226" w14:textId="77777777" w:rsidTr="00AB3586">
        <w:trPr>
          <w:trHeight w:val="177"/>
        </w:trPr>
        <w:tc>
          <w:tcPr>
            <w:cnfStyle w:val="001000000000" w:firstRow="0" w:lastRow="0" w:firstColumn="1" w:lastColumn="0" w:oddVBand="0" w:evenVBand="0" w:oddHBand="0" w:evenHBand="0" w:firstRowFirstColumn="0" w:firstRowLastColumn="0" w:lastRowFirstColumn="0" w:lastRowLastColumn="0"/>
            <w:tcW w:w="1341" w:type="dxa"/>
            <w:vAlign w:val="center"/>
          </w:tcPr>
          <w:p w14:paraId="0EDFE774" w14:textId="77777777" w:rsidR="00C366C0" w:rsidRPr="007C0DC3" w:rsidRDefault="00C366C0" w:rsidP="00AB3586">
            <w:pPr>
              <w:tabs>
                <w:tab w:val="left" w:pos="1451"/>
              </w:tabs>
              <w:spacing w:line="360" w:lineRule="auto"/>
              <w:ind w:right="113"/>
              <w:jc w:val="center"/>
              <w:rPr>
                <w:rFonts w:ascii="Arial" w:hAnsi="Arial" w:cs="Arial"/>
                <w:b w:val="0"/>
                <w:bCs w:val="0"/>
                <w:sz w:val="20"/>
                <w:szCs w:val="20"/>
              </w:rPr>
            </w:pPr>
            <w:r w:rsidRPr="007C0DC3">
              <w:rPr>
                <w:rFonts w:ascii="Arial" w:hAnsi="Arial" w:cs="Arial"/>
                <w:b w:val="0"/>
                <w:bCs w:val="0"/>
                <w:sz w:val="20"/>
                <w:szCs w:val="20"/>
              </w:rPr>
              <w:t>At room temp.</w:t>
            </w:r>
          </w:p>
        </w:tc>
        <w:tc>
          <w:tcPr>
            <w:tcW w:w="1054" w:type="dxa"/>
            <w:vAlign w:val="center"/>
          </w:tcPr>
          <w:p w14:paraId="3EBF1539" w14:textId="77777777" w:rsidR="00C366C0" w:rsidRPr="007C0DC3" w:rsidRDefault="00C366C0" w:rsidP="00AB3586">
            <w:pPr>
              <w:tabs>
                <w:tab w:val="left" w:pos="1451"/>
              </w:tabs>
              <w:spacing w:line="360" w:lineRule="auto"/>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NC</w:t>
            </w:r>
          </w:p>
        </w:tc>
        <w:tc>
          <w:tcPr>
            <w:tcW w:w="1216" w:type="dxa"/>
            <w:vAlign w:val="center"/>
          </w:tcPr>
          <w:p w14:paraId="439DFB81" w14:textId="77777777" w:rsidR="00C366C0" w:rsidRPr="007C0DC3" w:rsidRDefault="00C366C0" w:rsidP="00AB3586">
            <w:pPr>
              <w:tabs>
                <w:tab w:val="left" w:pos="1451"/>
              </w:tabs>
              <w:spacing w:line="360" w:lineRule="auto"/>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NC</w:t>
            </w:r>
          </w:p>
        </w:tc>
        <w:tc>
          <w:tcPr>
            <w:tcW w:w="783" w:type="dxa"/>
            <w:vAlign w:val="center"/>
          </w:tcPr>
          <w:p w14:paraId="1EC66EDD" w14:textId="77777777" w:rsidR="00C366C0" w:rsidRPr="007C0DC3" w:rsidRDefault="00C366C0" w:rsidP="00AB3586">
            <w:pPr>
              <w:tabs>
                <w:tab w:val="left" w:pos="1451"/>
              </w:tabs>
              <w:spacing w:line="360" w:lineRule="auto"/>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0.14</w:t>
            </w:r>
          </w:p>
        </w:tc>
        <w:tc>
          <w:tcPr>
            <w:tcW w:w="1278" w:type="dxa"/>
            <w:vAlign w:val="center"/>
          </w:tcPr>
          <w:p w14:paraId="3D97D673" w14:textId="77777777" w:rsidR="00C366C0" w:rsidRPr="007C0DC3" w:rsidRDefault="00C366C0" w:rsidP="00AB3586">
            <w:pPr>
              <w:tabs>
                <w:tab w:val="left" w:pos="1451"/>
              </w:tabs>
              <w:spacing w:line="360" w:lineRule="auto"/>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0.14</w:t>
            </w:r>
          </w:p>
        </w:tc>
        <w:tc>
          <w:tcPr>
            <w:tcW w:w="1038" w:type="dxa"/>
            <w:vAlign w:val="center"/>
          </w:tcPr>
          <w:p w14:paraId="050ABC2B" w14:textId="77777777" w:rsidR="00C366C0" w:rsidRPr="007C0DC3" w:rsidRDefault="00C366C0" w:rsidP="00AB3586">
            <w:pPr>
              <w:tabs>
                <w:tab w:val="left" w:pos="1451"/>
              </w:tabs>
              <w:spacing w:line="360" w:lineRule="auto"/>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98.26</w:t>
            </w:r>
          </w:p>
        </w:tc>
        <w:tc>
          <w:tcPr>
            <w:tcW w:w="1342" w:type="dxa"/>
            <w:vAlign w:val="center"/>
          </w:tcPr>
          <w:p w14:paraId="07E16E8E" w14:textId="77777777" w:rsidR="00C366C0" w:rsidRPr="007C0DC3" w:rsidRDefault="00C366C0" w:rsidP="00AB3586">
            <w:pPr>
              <w:tabs>
                <w:tab w:val="left" w:pos="1451"/>
              </w:tabs>
              <w:spacing w:line="360" w:lineRule="auto"/>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7C0DC3">
              <w:rPr>
                <w:rFonts w:ascii="Arial" w:hAnsi="Arial" w:cs="Arial"/>
                <w:sz w:val="20"/>
                <w:szCs w:val="20"/>
              </w:rPr>
              <w:t>97.52</w:t>
            </w:r>
          </w:p>
        </w:tc>
      </w:tr>
    </w:tbl>
    <w:p w14:paraId="2FA2BE39" w14:textId="77777777" w:rsidR="004F6C69" w:rsidRPr="007C0DC3" w:rsidRDefault="004F6C69" w:rsidP="004F6C69">
      <w:pPr>
        <w:pStyle w:val="BodyText"/>
        <w:spacing w:line="360" w:lineRule="auto"/>
      </w:pPr>
    </w:p>
    <w:p w14:paraId="11685246" w14:textId="77777777" w:rsidR="00C366C0" w:rsidRPr="007C0DC3" w:rsidRDefault="00C366C0" w:rsidP="00C76023">
      <w:pPr>
        <w:pStyle w:val="BodyText"/>
        <w:spacing w:line="480" w:lineRule="auto"/>
        <w:ind w:left="340" w:right="340"/>
        <w:rPr>
          <w:rFonts w:ascii="Arial" w:hAnsi="Arial" w:cs="Arial"/>
          <w:b/>
          <w:bCs/>
          <w:spacing w:val="-2"/>
          <w:sz w:val="20"/>
          <w:szCs w:val="20"/>
        </w:rPr>
      </w:pPr>
      <w:r w:rsidRPr="007C0DC3">
        <w:rPr>
          <w:rFonts w:ascii="Arial" w:hAnsi="Arial" w:cs="Arial"/>
          <w:b/>
          <w:bCs/>
          <w:sz w:val="20"/>
          <w:szCs w:val="20"/>
        </w:rPr>
        <w:t>*NC-No</w:t>
      </w:r>
      <w:r w:rsidRPr="007C0DC3">
        <w:rPr>
          <w:rFonts w:ascii="Arial" w:hAnsi="Arial" w:cs="Arial"/>
          <w:b/>
          <w:bCs/>
          <w:spacing w:val="-13"/>
          <w:sz w:val="20"/>
          <w:szCs w:val="20"/>
        </w:rPr>
        <w:t xml:space="preserve"> </w:t>
      </w:r>
      <w:r w:rsidRPr="007C0DC3">
        <w:rPr>
          <w:rFonts w:ascii="Arial" w:hAnsi="Arial" w:cs="Arial"/>
          <w:b/>
          <w:bCs/>
          <w:spacing w:val="-2"/>
          <w:sz w:val="20"/>
          <w:szCs w:val="20"/>
        </w:rPr>
        <w:t>change</w:t>
      </w:r>
    </w:p>
    <w:p w14:paraId="6A28F86E" w14:textId="77777777" w:rsidR="007F14E7" w:rsidRPr="007C0DC3" w:rsidRDefault="007F14E7" w:rsidP="00C76023">
      <w:pPr>
        <w:pStyle w:val="BodyText"/>
        <w:spacing w:line="480" w:lineRule="auto"/>
        <w:ind w:left="340" w:right="340"/>
        <w:rPr>
          <w:rFonts w:ascii="Arial" w:hAnsi="Arial" w:cs="Arial"/>
          <w:b/>
          <w:bCs/>
          <w:sz w:val="20"/>
          <w:szCs w:val="20"/>
        </w:rPr>
      </w:pPr>
    </w:p>
    <w:p w14:paraId="40CF8C39" w14:textId="77777777" w:rsidR="007F14E7" w:rsidRPr="007C0DC3" w:rsidRDefault="007F14E7" w:rsidP="00C76023">
      <w:pPr>
        <w:pStyle w:val="BodyText"/>
        <w:spacing w:line="480" w:lineRule="auto"/>
        <w:ind w:left="340" w:right="340"/>
        <w:rPr>
          <w:rFonts w:ascii="Arial" w:hAnsi="Arial" w:cs="Arial"/>
          <w:b/>
          <w:bCs/>
          <w:sz w:val="20"/>
          <w:szCs w:val="20"/>
        </w:rPr>
      </w:pPr>
    </w:p>
    <w:p w14:paraId="75432EA3" w14:textId="77777777" w:rsidR="007F14E7" w:rsidRPr="007C0DC3" w:rsidRDefault="007F14E7" w:rsidP="00C76023">
      <w:pPr>
        <w:pStyle w:val="BodyText"/>
        <w:spacing w:line="480" w:lineRule="auto"/>
        <w:ind w:left="340" w:right="340"/>
        <w:rPr>
          <w:rFonts w:ascii="Arial" w:hAnsi="Arial" w:cs="Arial"/>
          <w:b/>
          <w:bCs/>
          <w:sz w:val="20"/>
          <w:szCs w:val="20"/>
        </w:rPr>
      </w:pPr>
    </w:p>
    <w:p w14:paraId="2D610B71" w14:textId="77777777" w:rsidR="000F2DBA" w:rsidRPr="007C0DC3" w:rsidRDefault="00000000">
      <w:pPr>
        <w:jc w:val="both"/>
      </w:pPr>
      <w:r w:rsidRPr="007C0DC3">
        <w:rPr>
          <w:rFonts w:ascii="Arial" w:hAnsi="Arial"/>
          <w:sz w:val="20"/>
        </w:rPr>
        <w:t xml:space="preserve">The absence of visible change and the small reduction in drug content from 98.26% to 97.52% over 30 days suggest short-term physical and chemical stability under the tested room-temperature condition. However, this finding is preliminary because a 30-day study cannot substitute for longer, controlled </w:t>
      </w:r>
      <w:r w:rsidRPr="007C0DC3">
        <w:rPr>
          <w:rFonts w:ascii="Arial" w:hAnsi="Arial"/>
          <w:sz w:val="20"/>
        </w:rPr>
        <w:lastRenderedPageBreak/>
        <w:t>stability testing across defined temperature and humidity conditions; extended studies are needed to establish shelf-life and packaging requirements (Vasantha et al., 2011; Adhikari et al., 2010; Kumar et al., 2013).</w:t>
      </w:r>
    </w:p>
    <w:p w14:paraId="7F00BB00" w14:textId="77777777" w:rsidR="001164AE" w:rsidRPr="007C0DC3" w:rsidRDefault="007F14E7" w:rsidP="00AB3586">
      <w:pPr>
        <w:pStyle w:val="BodyText"/>
        <w:spacing w:line="480" w:lineRule="auto"/>
        <w:ind w:left="340" w:right="340"/>
        <w:jc w:val="both"/>
        <w:rPr>
          <w:rFonts w:ascii="Arial" w:hAnsi="Arial" w:cs="Arial"/>
          <w:b/>
          <w:bCs/>
          <w:sz w:val="22"/>
          <w:szCs w:val="22"/>
        </w:rPr>
      </w:pPr>
      <w:r w:rsidRPr="007C0DC3">
        <w:rPr>
          <w:rFonts w:ascii="Arial" w:hAnsi="Arial" w:cs="Arial"/>
          <w:b/>
          <w:bCs/>
          <w:sz w:val="22"/>
          <w:szCs w:val="22"/>
        </w:rPr>
        <w:t xml:space="preserve">4. </w:t>
      </w:r>
      <w:r w:rsidR="00712E48" w:rsidRPr="007C0DC3">
        <w:rPr>
          <w:rFonts w:ascii="Arial" w:hAnsi="Arial" w:cs="Arial"/>
          <w:b/>
          <w:bCs/>
          <w:sz w:val="22"/>
          <w:szCs w:val="22"/>
        </w:rPr>
        <w:t>CONCLUSION</w:t>
      </w:r>
    </w:p>
    <w:p w14:paraId="5A12DDBE" w14:textId="77777777" w:rsidR="004E18DE" w:rsidRPr="007C0DC3" w:rsidRDefault="00A56795" w:rsidP="00AB3586">
      <w:pPr>
        <w:pStyle w:val="BodyText"/>
        <w:spacing w:line="480" w:lineRule="auto"/>
        <w:ind w:left="340" w:right="340"/>
        <w:jc w:val="both"/>
        <w:rPr>
          <w:rFonts w:ascii="Arial" w:hAnsi="Arial" w:cs="Arial"/>
          <w:sz w:val="20"/>
          <w:szCs w:val="20"/>
          <w:lang w:val="en-IN"/>
        </w:rPr>
      </w:pPr>
      <w:r w:rsidRPr="007C0DC3">
        <w:rPr>
          <w:rFonts w:ascii="Arial" w:hAnsi="Arial" w:cs="Arial"/>
          <w:sz w:val="20"/>
          <w:szCs w:val="20"/>
          <w:lang w:val="en-IN"/>
        </w:rPr>
        <w:t xml:space="preserve">The present study aimed to formulate and evaluate mucoadhesive buccal patches of Clomipramine HCl for sustained drug delivery. </w:t>
      </w:r>
      <w:proofErr w:type="spellStart"/>
      <w:r w:rsidRPr="007C0DC3">
        <w:rPr>
          <w:rFonts w:ascii="Arial" w:hAnsi="Arial" w:cs="Arial"/>
          <w:sz w:val="20"/>
          <w:szCs w:val="20"/>
          <w:lang w:val="en-IN"/>
        </w:rPr>
        <w:t>Preformulation</w:t>
      </w:r>
      <w:proofErr w:type="spellEnd"/>
      <w:r w:rsidRPr="007C0DC3">
        <w:rPr>
          <w:rFonts w:ascii="Arial" w:hAnsi="Arial" w:cs="Arial"/>
          <w:sz w:val="20"/>
          <w:szCs w:val="20"/>
          <w:lang w:val="en-IN"/>
        </w:rPr>
        <w:t xml:space="preserve"> studies confirmed the drug’s physicochemical properties and suitability for formulation. FT-IR analysis indicated no </w:t>
      </w:r>
    </w:p>
    <w:p w14:paraId="20D1ADD9" w14:textId="77777777" w:rsidR="00A56795" w:rsidRPr="007C0DC3" w:rsidRDefault="00D921E6" w:rsidP="00AB3586">
      <w:pPr>
        <w:pStyle w:val="BodyText"/>
        <w:spacing w:line="480" w:lineRule="auto"/>
        <w:ind w:left="340" w:right="340"/>
        <w:jc w:val="both"/>
        <w:rPr>
          <w:rFonts w:ascii="Arial" w:hAnsi="Arial" w:cs="Arial"/>
          <w:sz w:val="20"/>
          <w:szCs w:val="20"/>
          <w:lang w:val="en-IN"/>
        </w:rPr>
      </w:pPr>
      <w:r w:rsidRPr="007C0DC3">
        <w:rPr>
          <w:rFonts w:ascii="Arial" w:hAnsi="Arial" w:cs="Arial"/>
          <w:sz w:val="20"/>
          <w:szCs w:val="20"/>
          <w:lang w:val="en-IN"/>
        </w:rPr>
        <w:t>s</w:t>
      </w:r>
      <w:r w:rsidR="004E18DE" w:rsidRPr="007C0DC3">
        <w:rPr>
          <w:rFonts w:ascii="Arial" w:hAnsi="Arial" w:cs="Arial"/>
          <w:sz w:val="20"/>
          <w:szCs w:val="20"/>
          <w:lang w:val="en-IN"/>
        </w:rPr>
        <w:t xml:space="preserve">ignificant interaction between the drug and the </w:t>
      </w:r>
      <w:r w:rsidRPr="007C0DC3">
        <w:rPr>
          <w:rFonts w:ascii="Arial" w:hAnsi="Arial" w:cs="Arial"/>
          <w:sz w:val="20"/>
          <w:szCs w:val="20"/>
          <w:lang w:val="en-IN"/>
        </w:rPr>
        <w:t xml:space="preserve">selected excipients. </w:t>
      </w:r>
      <w:r w:rsidR="00A56795" w:rsidRPr="007C0DC3">
        <w:rPr>
          <w:rFonts w:ascii="Arial" w:hAnsi="Arial" w:cs="Arial"/>
          <w:sz w:val="20"/>
          <w:szCs w:val="20"/>
          <w:lang w:val="en-IN"/>
        </w:rPr>
        <w:t xml:space="preserve">The UV method showed maximum absorbance at 254 nm and good linearity (R² = 0.9996). Six patch formulations (F1–F6) were prepared by solvent casting using HPMC E15 and Carbopol 940. The patches showed smooth, homogeneous surfaces, good flexibility, and a surface pH suitable for buccal application. Drug content ranged from 89.14% to 98.26%, with F3 showing the highest value. All formulations had 100% flatness, while swelling index values ranged from 458.36% to 627.75%. F3 showed a swelling index of 537.13% and cumulative drug release of 82.52% after 6 hours. The optimized F3 formulation contained 15 mg Clomipramine HCl, 750 mg HPMC E15, and 250 mg Carbopol 940. It also showed a thickness of 0.14 mm, surface pH of 6.52, and folding endurance exceeding 300 folds. Drug release increased gradually over 6 hours, indicating a sustained release profile. Among the tested kinetic models, the Higuchi model showed the best fit (R² = 0.9894). After 30 days at room temperature, F3 showed no significant change in appearance, thickness, or drug content. Overall, F3 was selected as the optimized formulation based on its physicochemical properties and drug-release performance. </w:t>
      </w:r>
    </w:p>
    <w:p w14:paraId="27071FEC" w14:textId="77777777" w:rsidR="00640689" w:rsidRPr="007C0DC3" w:rsidRDefault="001C7F34" w:rsidP="00AB3586">
      <w:pPr>
        <w:pStyle w:val="BodyText"/>
        <w:spacing w:line="480" w:lineRule="auto"/>
        <w:ind w:left="340" w:right="340"/>
        <w:jc w:val="both"/>
        <w:rPr>
          <w:rFonts w:ascii="Arial" w:hAnsi="Arial" w:cs="Arial"/>
          <w:b/>
          <w:bCs/>
          <w:sz w:val="20"/>
          <w:szCs w:val="20"/>
          <w:lang w:val="en-IN"/>
        </w:rPr>
      </w:pPr>
      <w:r w:rsidRPr="007C0DC3">
        <w:rPr>
          <w:rFonts w:ascii="Arial" w:hAnsi="Arial" w:cs="Arial"/>
          <w:b/>
          <w:bCs/>
          <w:sz w:val="20"/>
          <w:szCs w:val="20"/>
          <w:lang w:val="en-IN"/>
        </w:rPr>
        <w:t>Future Scope</w:t>
      </w:r>
    </w:p>
    <w:p w14:paraId="57605C27" w14:textId="77777777" w:rsidR="0007350D" w:rsidRPr="007C0DC3" w:rsidRDefault="0007350D" w:rsidP="00AB3586">
      <w:pPr>
        <w:pStyle w:val="BodyText"/>
        <w:numPr>
          <w:ilvl w:val="0"/>
          <w:numId w:val="3"/>
        </w:numPr>
        <w:spacing w:line="480" w:lineRule="auto"/>
        <w:ind w:left="700" w:right="340"/>
        <w:jc w:val="both"/>
        <w:rPr>
          <w:rFonts w:ascii="Arial" w:hAnsi="Arial" w:cs="Arial"/>
          <w:sz w:val="20"/>
          <w:szCs w:val="20"/>
        </w:rPr>
      </w:pPr>
      <w:r w:rsidRPr="007C0DC3">
        <w:rPr>
          <w:rFonts w:ascii="Arial" w:hAnsi="Arial" w:cs="Arial"/>
          <w:sz w:val="20"/>
          <w:szCs w:val="20"/>
        </w:rPr>
        <w:t>E</w:t>
      </w:r>
      <w:r w:rsidR="001164AE" w:rsidRPr="007C0DC3">
        <w:rPr>
          <w:rFonts w:ascii="Arial" w:hAnsi="Arial" w:cs="Arial"/>
          <w:sz w:val="20"/>
          <w:szCs w:val="20"/>
        </w:rPr>
        <w:t>x-vivo permeation</w:t>
      </w:r>
      <w:r w:rsidR="001643CA" w:rsidRPr="007C0DC3">
        <w:rPr>
          <w:rFonts w:ascii="Arial" w:hAnsi="Arial" w:cs="Arial"/>
          <w:sz w:val="20"/>
          <w:szCs w:val="20"/>
        </w:rPr>
        <w:t xml:space="preserve"> can be carried out</w:t>
      </w:r>
      <w:r w:rsidR="00E01103" w:rsidRPr="007C0DC3">
        <w:rPr>
          <w:rFonts w:ascii="Arial" w:hAnsi="Arial" w:cs="Arial"/>
          <w:sz w:val="20"/>
          <w:szCs w:val="20"/>
        </w:rPr>
        <w:t>.</w:t>
      </w:r>
    </w:p>
    <w:p w14:paraId="26BC1F95" w14:textId="77777777" w:rsidR="001643CA" w:rsidRPr="007C0DC3" w:rsidRDefault="0007350D" w:rsidP="00AB3586">
      <w:pPr>
        <w:pStyle w:val="BodyText"/>
        <w:numPr>
          <w:ilvl w:val="0"/>
          <w:numId w:val="3"/>
        </w:numPr>
        <w:spacing w:line="480" w:lineRule="auto"/>
        <w:ind w:left="700" w:right="340"/>
        <w:jc w:val="both"/>
        <w:rPr>
          <w:rFonts w:ascii="Arial" w:hAnsi="Arial" w:cs="Arial"/>
          <w:sz w:val="20"/>
          <w:szCs w:val="20"/>
        </w:rPr>
      </w:pPr>
      <w:r w:rsidRPr="007C0DC3">
        <w:rPr>
          <w:rFonts w:ascii="Arial" w:hAnsi="Arial" w:cs="Arial"/>
          <w:sz w:val="20"/>
          <w:szCs w:val="20"/>
        </w:rPr>
        <w:t>I</w:t>
      </w:r>
      <w:r w:rsidR="001164AE" w:rsidRPr="007C0DC3">
        <w:rPr>
          <w:rFonts w:ascii="Arial" w:hAnsi="Arial" w:cs="Arial"/>
          <w:sz w:val="20"/>
          <w:szCs w:val="20"/>
        </w:rPr>
        <w:t>n-vivo evaluatio</w:t>
      </w:r>
      <w:r w:rsidR="001643CA" w:rsidRPr="007C0DC3">
        <w:rPr>
          <w:rFonts w:ascii="Arial" w:hAnsi="Arial" w:cs="Arial"/>
          <w:sz w:val="20"/>
          <w:szCs w:val="20"/>
        </w:rPr>
        <w:t>n</w:t>
      </w:r>
      <w:r w:rsidR="00E01103" w:rsidRPr="007C0DC3">
        <w:rPr>
          <w:rFonts w:ascii="Arial" w:hAnsi="Arial" w:cs="Arial"/>
          <w:sz w:val="20"/>
          <w:szCs w:val="20"/>
        </w:rPr>
        <w:t xml:space="preserve"> </w:t>
      </w:r>
      <w:proofErr w:type="gramStart"/>
      <w:r w:rsidR="00E01103" w:rsidRPr="007C0DC3">
        <w:rPr>
          <w:rFonts w:ascii="Arial" w:hAnsi="Arial" w:cs="Arial"/>
          <w:sz w:val="20"/>
          <w:szCs w:val="20"/>
        </w:rPr>
        <w:t>need</w:t>
      </w:r>
      <w:proofErr w:type="gramEnd"/>
      <w:r w:rsidR="00E01103" w:rsidRPr="007C0DC3">
        <w:rPr>
          <w:rFonts w:ascii="Arial" w:hAnsi="Arial" w:cs="Arial"/>
          <w:sz w:val="20"/>
          <w:szCs w:val="20"/>
        </w:rPr>
        <w:t xml:space="preserve"> to be done.</w:t>
      </w:r>
    </w:p>
    <w:p w14:paraId="1A1461AF" w14:textId="77777777" w:rsidR="00707349" w:rsidRPr="007C0DC3" w:rsidRDefault="001643CA" w:rsidP="00D00D84">
      <w:pPr>
        <w:pStyle w:val="BodyText"/>
        <w:numPr>
          <w:ilvl w:val="0"/>
          <w:numId w:val="3"/>
        </w:numPr>
        <w:spacing w:line="480" w:lineRule="auto"/>
        <w:ind w:left="700" w:right="340"/>
        <w:jc w:val="both"/>
        <w:rPr>
          <w:rFonts w:ascii="Arial" w:hAnsi="Arial" w:cs="Arial"/>
          <w:sz w:val="20"/>
          <w:szCs w:val="20"/>
        </w:rPr>
      </w:pPr>
      <w:r w:rsidRPr="007C0DC3">
        <w:rPr>
          <w:rFonts w:ascii="Arial" w:hAnsi="Arial" w:cs="Arial"/>
          <w:sz w:val="20"/>
          <w:szCs w:val="20"/>
        </w:rPr>
        <w:t xml:space="preserve">Long term </w:t>
      </w:r>
      <w:r w:rsidR="001164AE" w:rsidRPr="007C0DC3">
        <w:rPr>
          <w:rFonts w:ascii="Arial" w:hAnsi="Arial" w:cs="Arial"/>
          <w:sz w:val="20"/>
          <w:szCs w:val="20"/>
        </w:rPr>
        <w:t>stability studies</w:t>
      </w:r>
      <w:r w:rsidR="00F56441" w:rsidRPr="007C0DC3">
        <w:rPr>
          <w:rFonts w:ascii="Arial" w:hAnsi="Arial" w:cs="Arial"/>
          <w:sz w:val="20"/>
          <w:szCs w:val="20"/>
        </w:rPr>
        <w:t xml:space="preserve"> </w:t>
      </w:r>
      <w:r w:rsidRPr="007C0DC3">
        <w:rPr>
          <w:rFonts w:ascii="Arial" w:hAnsi="Arial" w:cs="Arial"/>
          <w:sz w:val="20"/>
          <w:szCs w:val="20"/>
        </w:rPr>
        <w:t>need to be done.</w:t>
      </w:r>
    </w:p>
    <w:p w14:paraId="374CB1E4" w14:textId="77777777" w:rsidR="004B117D" w:rsidRPr="007C0DC3" w:rsidRDefault="004B117D" w:rsidP="009171DE">
      <w:pPr>
        <w:keepNext/>
        <w:pBdr>
          <w:top w:val="nil"/>
          <w:left w:val="nil"/>
          <w:bottom w:val="nil"/>
          <w:right w:val="nil"/>
          <w:between w:val="nil"/>
        </w:pBdr>
        <w:spacing w:before="200" w:after="100" w:line="480" w:lineRule="auto"/>
        <w:ind w:left="360"/>
        <w:rPr>
          <w:rFonts w:ascii="Arial" w:eastAsia="Arial" w:hAnsi="Arial" w:cs="Arial"/>
          <w:b/>
          <w:smallCaps/>
          <w:color w:val="000000"/>
          <w:sz w:val="22"/>
          <w:szCs w:val="22"/>
        </w:rPr>
      </w:pPr>
      <w:r w:rsidRPr="007C0DC3">
        <w:rPr>
          <w:rFonts w:ascii="Arial" w:eastAsia="Arial" w:hAnsi="Arial" w:cs="Arial"/>
          <w:b/>
          <w:smallCaps/>
          <w:color w:val="000000"/>
          <w:sz w:val="22"/>
          <w:szCs w:val="22"/>
        </w:rPr>
        <w:t xml:space="preserve">COMPETING INTERESTS  </w:t>
      </w:r>
    </w:p>
    <w:p w14:paraId="145159C3" w14:textId="77777777" w:rsidR="004B117D" w:rsidRPr="007C0DC3" w:rsidRDefault="004B117D" w:rsidP="009171DE">
      <w:pPr>
        <w:pBdr>
          <w:top w:val="nil"/>
          <w:left w:val="nil"/>
          <w:bottom w:val="nil"/>
          <w:right w:val="nil"/>
          <w:between w:val="nil"/>
        </w:pBdr>
        <w:spacing w:after="120" w:line="480" w:lineRule="auto"/>
        <w:ind w:left="360"/>
        <w:jc w:val="both"/>
        <w:rPr>
          <w:rFonts w:ascii="Arial" w:eastAsia="Arial" w:hAnsi="Arial" w:cs="Arial"/>
          <w:color w:val="000000"/>
          <w:sz w:val="20"/>
          <w:szCs w:val="20"/>
        </w:rPr>
      </w:pPr>
      <w:r w:rsidRPr="007C0DC3">
        <w:rPr>
          <w:rFonts w:ascii="Arial" w:eastAsia="Arial" w:hAnsi="Arial" w:cs="Arial"/>
          <w:color w:val="000000"/>
          <w:sz w:val="20"/>
          <w:szCs w:val="20"/>
        </w:rPr>
        <w:t>Authors have declared that no competing interests exist.</w:t>
      </w:r>
    </w:p>
    <w:p w14:paraId="4F1D37AB" w14:textId="77777777" w:rsidR="00817D06" w:rsidRDefault="00817D06" w:rsidP="00C72235">
      <w:pPr>
        <w:spacing w:after="0" w:line="240" w:lineRule="auto"/>
        <w:rPr>
          <w:rFonts w:ascii="Times New Roman" w:hAnsi="Times New Roman" w:cs="Times New Roman"/>
          <w:b/>
        </w:rPr>
      </w:pPr>
    </w:p>
    <w:p w14:paraId="69561463" w14:textId="77777777" w:rsidR="00817D06" w:rsidRDefault="00817D06" w:rsidP="00C72235">
      <w:pPr>
        <w:spacing w:after="0" w:line="240" w:lineRule="auto"/>
        <w:rPr>
          <w:rFonts w:ascii="Times New Roman" w:hAnsi="Times New Roman" w:cs="Times New Roman"/>
          <w:b/>
        </w:rPr>
      </w:pPr>
    </w:p>
    <w:p w14:paraId="4098F476" w14:textId="77777777" w:rsidR="00817D06" w:rsidRDefault="00817D06" w:rsidP="00C72235">
      <w:pPr>
        <w:spacing w:after="0" w:line="240" w:lineRule="auto"/>
        <w:rPr>
          <w:rFonts w:ascii="Times New Roman" w:hAnsi="Times New Roman" w:cs="Times New Roman"/>
          <w:b/>
        </w:rPr>
      </w:pPr>
    </w:p>
    <w:p w14:paraId="2CF5D593" w14:textId="77777777" w:rsidR="00817D06" w:rsidRDefault="00817D06" w:rsidP="00C72235">
      <w:pPr>
        <w:spacing w:after="0" w:line="240" w:lineRule="auto"/>
        <w:rPr>
          <w:rFonts w:ascii="Times New Roman" w:hAnsi="Times New Roman" w:cs="Times New Roman"/>
          <w:b/>
        </w:rPr>
      </w:pPr>
    </w:p>
    <w:p w14:paraId="5905C65C" w14:textId="77777777" w:rsidR="00817D06" w:rsidRDefault="00817D06" w:rsidP="00C72235">
      <w:pPr>
        <w:spacing w:after="0" w:line="240" w:lineRule="auto"/>
        <w:rPr>
          <w:rFonts w:ascii="Times New Roman" w:hAnsi="Times New Roman" w:cs="Times New Roman"/>
          <w:b/>
        </w:rPr>
      </w:pPr>
    </w:p>
    <w:p w14:paraId="7BB441D6" w14:textId="6E0F38DF" w:rsidR="00C72235" w:rsidRPr="007C0DC3" w:rsidRDefault="00C72235" w:rsidP="00C72235">
      <w:pPr>
        <w:spacing w:after="0" w:line="240" w:lineRule="auto"/>
        <w:rPr>
          <w:rFonts w:ascii="Times New Roman" w:hAnsi="Times New Roman" w:cs="Times New Roman"/>
          <w:b/>
        </w:rPr>
      </w:pPr>
      <w:r w:rsidRPr="007C0DC3">
        <w:rPr>
          <w:rFonts w:ascii="Times New Roman" w:hAnsi="Times New Roman" w:cs="Times New Roman"/>
          <w:b/>
        </w:rPr>
        <w:lastRenderedPageBreak/>
        <w:t>Declaration of AI Use</w:t>
      </w:r>
    </w:p>
    <w:p w14:paraId="4D4EA428" w14:textId="77777777" w:rsidR="00C72235" w:rsidRPr="007C0DC3" w:rsidRDefault="00C72235" w:rsidP="00C72235">
      <w:pPr>
        <w:spacing w:after="0" w:line="240" w:lineRule="auto"/>
        <w:rPr>
          <w:rFonts w:ascii="Times New Roman" w:hAnsi="Times New Roman" w:cs="Times New Roman"/>
          <w:b/>
        </w:rPr>
      </w:pPr>
    </w:p>
    <w:p w14:paraId="5CFC5E48" w14:textId="77777777" w:rsidR="00C72235" w:rsidRPr="007C0DC3" w:rsidRDefault="00C72235" w:rsidP="00C72235">
      <w:pPr>
        <w:spacing w:after="0" w:line="240" w:lineRule="auto"/>
        <w:rPr>
          <w:rFonts w:ascii="Times New Roman" w:hAnsi="Times New Roman" w:cs="Times New Roman"/>
          <w:b/>
        </w:rPr>
      </w:pPr>
    </w:p>
    <w:p w14:paraId="58B9E27F" w14:textId="77777777" w:rsidR="00C72235" w:rsidRPr="007C0DC3" w:rsidRDefault="00C72235" w:rsidP="00C72235">
      <w:pPr>
        <w:spacing w:after="0" w:line="240" w:lineRule="auto"/>
        <w:rPr>
          <w:rFonts w:ascii="Times New Roman" w:hAnsi="Times New Roman" w:cs="Times New Roman"/>
          <w:b/>
        </w:rPr>
      </w:pPr>
    </w:p>
    <w:p w14:paraId="6E330304" w14:textId="77777777" w:rsidR="00C72235" w:rsidRPr="007C0DC3" w:rsidRDefault="00C72235" w:rsidP="00C72235">
      <w:pPr>
        <w:spacing w:after="0" w:line="240" w:lineRule="auto"/>
        <w:rPr>
          <w:rFonts w:ascii="Arial" w:hAnsi="Arial" w:cs="Arial"/>
          <w:sz w:val="20"/>
          <w:szCs w:val="20"/>
        </w:rPr>
      </w:pPr>
      <w:r w:rsidRPr="007C0DC3">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607AB56" w14:textId="77777777" w:rsidR="00C72235" w:rsidRPr="007C0DC3" w:rsidRDefault="00C72235" w:rsidP="00A113A5">
      <w:pPr>
        <w:spacing w:line="480" w:lineRule="auto"/>
        <w:ind w:left="360"/>
        <w:jc w:val="both"/>
        <w:rPr>
          <w:rFonts w:ascii="Arial" w:hAnsi="Arial" w:cs="Arial"/>
          <w:sz w:val="20"/>
          <w:szCs w:val="20"/>
        </w:rPr>
      </w:pPr>
    </w:p>
    <w:p w14:paraId="5F44D7E2" w14:textId="77777777" w:rsidR="00023D44" w:rsidRPr="007C0DC3" w:rsidRDefault="00023D44" w:rsidP="00002BF3">
      <w:pPr>
        <w:tabs>
          <w:tab w:val="left" w:pos="1932"/>
        </w:tabs>
        <w:spacing w:line="480" w:lineRule="auto"/>
        <w:ind w:left="340" w:right="340"/>
        <w:jc w:val="both"/>
        <w:rPr>
          <w:rFonts w:ascii="Arial" w:hAnsi="Arial" w:cs="Arial"/>
          <w:sz w:val="22"/>
          <w:szCs w:val="22"/>
        </w:rPr>
      </w:pPr>
      <w:r w:rsidRPr="007C0DC3">
        <w:rPr>
          <w:rFonts w:ascii="Arial" w:hAnsi="Arial" w:cs="Arial"/>
          <w:b/>
          <w:bCs/>
          <w:sz w:val="22"/>
          <w:szCs w:val="22"/>
        </w:rPr>
        <w:t>REFERENCE</w:t>
      </w:r>
    </w:p>
    <w:p w14:paraId="6F1AEA8A" w14:textId="77777777" w:rsidR="00E113BC" w:rsidRPr="007C0DC3" w:rsidRDefault="00F075DB" w:rsidP="009A0149">
      <w:pPr>
        <w:pStyle w:val="BodyText"/>
        <w:numPr>
          <w:ilvl w:val="0"/>
          <w:numId w:val="4"/>
        </w:numPr>
        <w:spacing w:line="480" w:lineRule="auto"/>
        <w:ind w:left="700" w:right="340"/>
        <w:jc w:val="both"/>
        <w:rPr>
          <w:rFonts w:ascii="Arial" w:hAnsi="Arial" w:cs="Arial"/>
          <w:sz w:val="20"/>
          <w:szCs w:val="20"/>
        </w:rPr>
      </w:pPr>
      <w:r w:rsidRPr="007C0DC3">
        <w:rPr>
          <w:rFonts w:ascii="Arial" w:hAnsi="Arial" w:cs="Arial"/>
          <w:sz w:val="20"/>
          <w:szCs w:val="20"/>
        </w:rPr>
        <w:t>Anu A. L., Prasobh G. R., Subash Chandran M. P., Juno S., Subodh S. Satheesh, Aneesh Kumar A. L. and Pooja Nair K. R. A Review on Mucoadhesive Bilayer Buccal Patches. World Journal of Pharmaceutical Research. 2020; 9(2):259-271</w:t>
      </w:r>
      <w:r w:rsidR="001E11AB" w:rsidRPr="007C0DC3">
        <w:rPr>
          <w:rFonts w:ascii="Arial" w:hAnsi="Arial" w:cs="Arial"/>
          <w:sz w:val="20"/>
          <w:szCs w:val="20"/>
        </w:rPr>
        <w:t>.</w:t>
      </w:r>
    </w:p>
    <w:p w14:paraId="76A4B07B" w14:textId="77777777" w:rsidR="00F174E8" w:rsidRPr="007C0DC3" w:rsidRDefault="00BB643A" w:rsidP="009A0149">
      <w:pPr>
        <w:pStyle w:val="ListParagraph"/>
        <w:numPr>
          <w:ilvl w:val="0"/>
          <w:numId w:val="4"/>
        </w:numPr>
        <w:spacing w:after="0" w:line="480" w:lineRule="auto"/>
        <w:ind w:left="700" w:right="340"/>
        <w:jc w:val="both"/>
        <w:rPr>
          <w:rFonts w:ascii="Arial" w:hAnsi="Arial" w:cs="Arial"/>
          <w:sz w:val="20"/>
          <w:szCs w:val="20"/>
        </w:rPr>
      </w:pPr>
      <w:r w:rsidRPr="007C0DC3">
        <w:rPr>
          <w:rFonts w:ascii="Arial" w:hAnsi="Arial" w:cs="Arial"/>
          <w:sz w:val="20"/>
          <w:szCs w:val="20"/>
        </w:rPr>
        <w:t>Anjana Anil, Preethi Sudheer. Design and Evaluation of Mucoadhesive Buccal Patch of Ramipril. International Journal of Pharmaceutical Sciences Review and Research. 2018; 50(2):121-129.</w:t>
      </w:r>
    </w:p>
    <w:p w14:paraId="271364BB" w14:textId="77777777" w:rsidR="00F174E8" w:rsidRPr="007C0DC3" w:rsidRDefault="00F174E8" w:rsidP="009A0149">
      <w:pPr>
        <w:pStyle w:val="ListParagraph"/>
        <w:numPr>
          <w:ilvl w:val="0"/>
          <w:numId w:val="4"/>
        </w:numPr>
        <w:spacing w:after="0" w:line="480" w:lineRule="auto"/>
        <w:ind w:left="700" w:right="340"/>
        <w:jc w:val="both"/>
        <w:rPr>
          <w:rFonts w:ascii="Arial" w:hAnsi="Arial" w:cs="Arial"/>
          <w:sz w:val="20"/>
          <w:szCs w:val="20"/>
        </w:rPr>
      </w:pPr>
      <w:r w:rsidRPr="007C0DC3">
        <w:rPr>
          <w:rFonts w:ascii="Arial" w:hAnsi="Arial" w:cs="Arial"/>
          <w:sz w:val="20"/>
          <w:szCs w:val="20"/>
        </w:rPr>
        <w:t>Fawzia Habib, Maha Abdel Azeem, Gihan Fetih and Mohamed Safwat. Mucoadhesive Buccal Patches of Lornoxicam: I- Development and In-Vitro Characterization. Bulletin of Pharmaceutical Sciences. 2010; 33:59-68.</w:t>
      </w:r>
    </w:p>
    <w:p w14:paraId="2E0C3220" w14:textId="77777777" w:rsidR="00002BF3" w:rsidRPr="007C0DC3" w:rsidRDefault="00DE045E" w:rsidP="009A0149">
      <w:pPr>
        <w:pStyle w:val="ListParagraph"/>
        <w:numPr>
          <w:ilvl w:val="0"/>
          <w:numId w:val="4"/>
        </w:numPr>
        <w:spacing w:after="0" w:line="480" w:lineRule="auto"/>
        <w:ind w:left="700" w:right="340"/>
        <w:jc w:val="both"/>
        <w:rPr>
          <w:rFonts w:ascii="Arial" w:hAnsi="Arial" w:cs="Arial"/>
          <w:sz w:val="20"/>
          <w:szCs w:val="20"/>
        </w:rPr>
      </w:pPr>
      <w:r w:rsidRPr="007C0DC3">
        <w:rPr>
          <w:rFonts w:ascii="Arial" w:hAnsi="Arial" w:cs="Arial"/>
          <w:sz w:val="20"/>
          <w:szCs w:val="20"/>
        </w:rPr>
        <w:t xml:space="preserve">Gite Shital Shridhar, </w:t>
      </w:r>
      <w:proofErr w:type="spellStart"/>
      <w:r w:rsidRPr="007C0DC3">
        <w:rPr>
          <w:rFonts w:ascii="Arial" w:hAnsi="Arial" w:cs="Arial"/>
          <w:sz w:val="20"/>
          <w:szCs w:val="20"/>
        </w:rPr>
        <w:t>Shinkar</w:t>
      </w:r>
      <w:proofErr w:type="spellEnd"/>
      <w:r w:rsidRPr="007C0DC3">
        <w:rPr>
          <w:rFonts w:ascii="Arial" w:hAnsi="Arial" w:cs="Arial"/>
          <w:sz w:val="20"/>
          <w:szCs w:val="20"/>
        </w:rPr>
        <w:t xml:space="preserve"> Dattatraya Manohar, </w:t>
      </w:r>
      <w:proofErr w:type="spellStart"/>
      <w:r w:rsidRPr="007C0DC3">
        <w:rPr>
          <w:rFonts w:ascii="Arial" w:hAnsi="Arial" w:cs="Arial"/>
          <w:sz w:val="20"/>
          <w:szCs w:val="20"/>
        </w:rPr>
        <w:t>Saudagar</w:t>
      </w:r>
      <w:proofErr w:type="spellEnd"/>
      <w:r w:rsidRPr="007C0DC3">
        <w:rPr>
          <w:rFonts w:ascii="Arial" w:hAnsi="Arial" w:cs="Arial"/>
          <w:sz w:val="20"/>
          <w:szCs w:val="20"/>
        </w:rPr>
        <w:t xml:space="preserve"> Ravindra Bhanudas. Mucoadhesive buccal drug delivery: An Overview. Journal of Advanced Pharmacy Education &amp; Research. 2013; 3(4): 319-332.</w:t>
      </w:r>
    </w:p>
    <w:p w14:paraId="24EBC773" w14:textId="77777777" w:rsidR="00B8246D" w:rsidRPr="007C0DC3" w:rsidRDefault="00B8246D" w:rsidP="009A0149">
      <w:pPr>
        <w:pStyle w:val="ListParagraph"/>
        <w:numPr>
          <w:ilvl w:val="0"/>
          <w:numId w:val="4"/>
        </w:numPr>
        <w:spacing w:after="0" w:line="480" w:lineRule="auto"/>
        <w:ind w:left="700" w:right="340"/>
        <w:jc w:val="both"/>
        <w:rPr>
          <w:rFonts w:ascii="Arial" w:hAnsi="Arial" w:cs="Arial"/>
          <w:sz w:val="20"/>
          <w:szCs w:val="20"/>
        </w:rPr>
      </w:pPr>
      <w:r w:rsidRPr="007C0DC3">
        <w:rPr>
          <w:rFonts w:ascii="Arial" w:hAnsi="Arial" w:cs="Arial"/>
          <w:sz w:val="20"/>
          <w:szCs w:val="20"/>
        </w:rPr>
        <w:t>Hussain Mohammed Asif, T. Rama Rao, Nusrath Ayesha, Maimuna Anjum and Mohammed Azizur Rahman. Design and Evaluation of Mucoadhesive Buccal Patches of Venlafaxine. British Journal of Pharmaceutical Research. 2015; 6(2):96-106.</w:t>
      </w:r>
    </w:p>
    <w:p w14:paraId="044F47BF" w14:textId="77777777" w:rsidR="00DE045E" w:rsidRPr="007C0DC3" w:rsidRDefault="00A03434" w:rsidP="009A0149">
      <w:pPr>
        <w:pStyle w:val="ListParagraph"/>
        <w:numPr>
          <w:ilvl w:val="0"/>
          <w:numId w:val="4"/>
        </w:numPr>
        <w:spacing w:after="0" w:line="480" w:lineRule="auto"/>
        <w:ind w:left="700" w:right="340"/>
        <w:jc w:val="both"/>
        <w:rPr>
          <w:rFonts w:ascii="Arial" w:hAnsi="Arial" w:cs="Arial"/>
          <w:sz w:val="20"/>
          <w:szCs w:val="20"/>
        </w:rPr>
      </w:pPr>
      <w:r w:rsidRPr="007C0DC3">
        <w:rPr>
          <w:rFonts w:ascii="Arial" w:hAnsi="Arial" w:cs="Arial"/>
          <w:sz w:val="20"/>
          <w:szCs w:val="20"/>
        </w:rPr>
        <w:t xml:space="preserve">Harsha Rameshwar Barde, Dr. A. A. Harsulkar, Mohammad Zishan Ibrahim.  Design, Development and Characterization of </w:t>
      </w:r>
      <w:proofErr w:type="spellStart"/>
      <w:r w:rsidRPr="007C0DC3">
        <w:rPr>
          <w:rFonts w:ascii="Arial" w:hAnsi="Arial" w:cs="Arial"/>
          <w:sz w:val="20"/>
          <w:szCs w:val="20"/>
        </w:rPr>
        <w:t>Bioadhesive</w:t>
      </w:r>
      <w:proofErr w:type="spellEnd"/>
      <w:r w:rsidRPr="007C0DC3">
        <w:rPr>
          <w:rFonts w:ascii="Arial" w:hAnsi="Arial" w:cs="Arial"/>
          <w:sz w:val="20"/>
          <w:szCs w:val="20"/>
        </w:rPr>
        <w:t xml:space="preserve"> Buccal Patches for better Therapeutic Efficacy. Journal of Emerging Technologies and Innovative Research. 2022; 9(6).</w:t>
      </w:r>
    </w:p>
    <w:p w14:paraId="70800A01" w14:textId="77777777" w:rsidR="000C3D97" w:rsidRPr="007C0DC3" w:rsidRDefault="000C3D97" w:rsidP="009A0149">
      <w:pPr>
        <w:pStyle w:val="ListParagraph"/>
        <w:numPr>
          <w:ilvl w:val="0"/>
          <w:numId w:val="4"/>
        </w:numPr>
        <w:spacing w:after="4" w:line="480" w:lineRule="auto"/>
        <w:ind w:left="700" w:right="340"/>
        <w:jc w:val="both"/>
        <w:rPr>
          <w:rFonts w:ascii="Arial" w:hAnsi="Arial" w:cs="Arial"/>
          <w:sz w:val="20"/>
          <w:szCs w:val="20"/>
        </w:rPr>
      </w:pPr>
      <w:r w:rsidRPr="007C0DC3">
        <w:rPr>
          <w:rFonts w:ascii="Arial" w:hAnsi="Arial" w:cs="Arial"/>
          <w:sz w:val="20"/>
          <w:szCs w:val="20"/>
        </w:rPr>
        <w:t>Md. Ikram, Neeraj Gilhotra, Ritu Mehra Gilhotra. Formulation and optimization of mucoadhesive buccal patches of losartan potassium by using response surface methodology. Advanced Biomedical Research. 2015; 4:239.</w:t>
      </w:r>
    </w:p>
    <w:p w14:paraId="7B0CBB3A" w14:textId="77777777" w:rsidR="0064073D" w:rsidRPr="007C0DC3" w:rsidRDefault="0064073D" w:rsidP="009A0149">
      <w:pPr>
        <w:pStyle w:val="ListParagraph"/>
        <w:numPr>
          <w:ilvl w:val="0"/>
          <w:numId w:val="4"/>
        </w:numPr>
        <w:spacing w:after="4" w:line="480" w:lineRule="auto"/>
        <w:ind w:left="700" w:right="340"/>
        <w:jc w:val="both"/>
        <w:rPr>
          <w:rFonts w:ascii="Arial" w:hAnsi="Arial" w:cs="Arial"/>
          <w:sz w:val="20"/>
          <w:szCs w:val="20"/>
        </w:rPr>
      </w:pPr>
      <w:r w:rsidRPr="007C0DC3">
        <w:rPr>
          <w:rFonts w:ascii="Arial" w:hAnsi="Arial" w:cs="Arial"/>
          <w:sz w:val="20"/>
          <w:szCs w:val="20"/>
        </w:rPr>
        <w:lastRenderedPageBreak/>
        <w:t xml:space="preserve">Nora Zawar Yousif and Nidhal </w:t>
      </w:r>
      <w:proofErr w:type="spellStart"/>
      <w:r w:rsidRPr="007C0DC3">
        <w:rPr>
          <w:rFonts w:ascii="Arial" w:hAnsi="Arial" w:cs="Arial"/>
          <w:sz w:val="20"/>
          <w:szCs w:val="20"/>
        </w:rPr>
        <w:t>Khazaal</w:t>
      </w:r>
      <w:proofErr w:type="spellEnd"/>
      <w:r w:rsidRPr="007C0DC3">
        <w:rPr>
          <w:rFonts w:ascii="Arial" w:hAnsi="Arial" w:cs="Arial"/>
          <w:sz w:val="20"/>
          <w:szCs w:val="20"/>
        </w:rPr>
        <w:t xml:space="preserve"> Maraie. Optimization and Evaluation of Metoclopramide </w:t>
      </w:r>
      <w:proofErr w:type="spellStart"/>
      <w:r w:rsidRPr="007C0DC3">
        <w:rPr>
          <w:rFonts w:ascii="Arial" w:hAnsi="Arial" w:cs="Arial"/>
          <w:sz w:val="20"/>
          <w:szCs w:val="20"/>
        </w:rPr>
        <w:t>Hcl</w:t>
      </w:r>
      <w:proofErr w:type="spellEnd"/>
      <w:r w:rsidRPr="007C0DC3">
        <w:rPr>
          <w:rFonts w:ascii="Arial" w:hAnsi="Arial" w:cs="Arial"/>
          <w:sz w:val="20"/>
          <w:szCs w:val="20"/>
        </w:rPr>
        <w:t xml:space="preserve"> as Mucoadhesive Buccal Patch. World Journal of Pharmaceutical Research. 2015; 4(2):79-99.</w:t>
      </w:r>
    </w:p>
    <w:p w14:paraId="32778B72" w14:textId="77777777" w:rsidR="0064073D" w:rsidRPr="007C0DC3" w:rsidRDefault="0064073D" w:rsidP="009A0149">
      <w:pPr>
        <w:pStyle w:val="ListParagraph"/>
        <w:numPr>
          <w:ilvl w:val="0"/>
          <w:numId w:val="4"/>
        </w:numPr>
        <w:spacing w:after="4" w:line="480" w:lineRule="auto"/>
        <w:ind w:left="700" w:right="340"/>
        <w:jc w:val="both"/>
        <w:rPr>
          <w:rFonts w:ascii="Arial" w:hAnsi="Arial" w:cs="Arial"/>
          <w:sz w:val="20"/>
          <w:szCs w:val="20"/>
        </w:rPr>
      </w:pPr>
      <w:r w:rsidRPr="007C0DC3">
        <w:rPr>
          <w:rFonts w:ascii="Arial" w:hAnsi="Arial" w:cs="Arial"/>
          <w:sz w:val="20"/>
          <w:szCs w:val="20"/>
        </w:rPr>
        <w:t>N. Umarani, Saniya K. Meghana, G. Vaishnavi, D. Swathi, K. Ajay Prakash and N. Rohith Reddy. Formulation and Evaluation of Mucoadhesive Buccal Patches of Timolol Maleate. European Journal of Biomedical and Pharmaceutical Sciences. 2024; 11(10):200-204.</w:t>
      </w:r>
    </w:p>
    <w:p w14:paraId="2F2D5321" w14:textId="77777777" w:rsidR="00CF5819" w:rsidRPr="007C0DC3" w:rsidRDefault="00CF5819" w:rsidP="009A0149">
      <w:pPr>
        <w:pStyle w:val="ListParagraph"/>
        <w:numPr>
          <w:ilvl w:val="0"/>
          <w:numId w:val="4"/>
        </w:numPr>
        <w:spacing w:after="4" w:line="480" w:lineRule="auto"/>
        <w:ind w:left="700" w:right="340"/>
        <w:jc w:val="both"/>
        <w:rPr>
          <w:rFonts w:ascii="Arial" w:hAnsi="Arial" w:cs="Arial"/>
          <w:sz w:val="20"/>
          <w:szCs w:val="20"/>
        </w:rPr>
      </w:pPr>
      <w:r w:rsidRPr="007C0DC3">
        <w:rPr>
          <w:rFonts w:ascii="Arial" w:hAnsi="Arial" w:cs="Arial"/>
          <w:sz w:val="20"/>
          <w:szCs w:val="20"/>
        </w:rPr>
        <w:t>Nihal Shaikh Shahid Khatik, Shaikh Imran, Faizan Khan. Mucoadhesive Buccal Patch. International Journal of Research in Pharmacy and Allied Science. 2025; 4(2):86-104.</w:t>
      </w:r>
    </w:p>
    <w:p w14:paraId="78DAF419" w14:textId="77777777" w:rsidR="00935968" w:rsidRPr="007C0DC3" w:rsidRDefault="00935968" w:rsidP="009A0149">
      <w:pPr>
        <w:pStyle w:val="ListParagraph"/>
        <w:numPr>
          <w:ilvl w:val="0"/>
          <w:numId w:val="4"/>
        </w:numPr>
        <w:spacing w:after="4" w:line="480" w:lineRule="auto"/>
        <w:ind w:left="700" w:right="340"/>
        <w:jc w:val="both"/>
        <w:rPr>
          <w:rFonts w:ascii="Arial" w:hAnsi="Arial" w:cs="Arial"/>
          <w:sz w:val="20"/>
          <w:szCs w:val="20"/>
        </w:rPr>
      </w:pPr>
      <w:r w:rsidRPr="007C0DC3">
        <w:rPr>
          <w:rFonts w:ascii="Arial" w:hAnsi="Arial" w:cs="Arial"/>
          <w:sz w:val="20"/>
          <w:szCs w:val="20"/>
        </w:rPr>
        <w:t xml:space="preserve">Pooja Shivane, Dharmendra Solanki. Formulation and Evaluation of Mucoadhesive Buccal Patch of Timolol Maleate. American Journal of </w:t>
      </w:r>
      <w:proofErr w:type="spellStart"/>
      <w:r w:rsidRPr="007C0DC3">
        <w:rPr>
          <w:rFonts w:ascii="Arial" w:hAnsi="Arial" w:cs="Arial"/>
          <w:sz w:val="20"/>
          <w:szCs w:val="20"/>
        </w:rPr>
        <w:t>PharmTech</w:t>
      </w:r>
      <w:proofErr w:type="spellEnd"/>
      <w:r w:rsidRPr="007C0DC3">
        <w:rPr>
          <w:rFonts w:ascii="Arial" w:hAnsi="Arial" w:cs="Arial"/>
          <w:sz w:val="20"/>
          <w:szCs w:val="20"/>
        </w:rPr>
        <w:t xml:space="preserve"> Research. 2017; 7(2).</w:t>
      </w:r>
    </w:p>
    <w:p w14:paraId="02D35E7E" w14:textId="77777777" w:rsidR="00935968" w:rsidRPr="007C0DC3" w:rsidRDefault="00935968" w:rsidP="009A0149">
      <w:pPr>
        <w:pStyle w:val="ListParagraph"/>
        <w:numPr>
          <w:ilvl w:val="0"/>
          <w:numId w:val="4"/>
        </w:numPr>
        <w:spacing w:after="4" w:line="480" w:lineRule="auto"/>
        <w:ind w:left="700" w:right="340"/>
        <w:jc w:val="both"/>
        <w:rPr>
          <w:rFonts w:ascii="Arial" w:hAnsi="Arial" w:cs="Arial"/>
          <w:sz w:val="20"/>
          <w:szCs w:val="20"/>
        </w:rPr>
      </w:pPr>
      <w:r w:rsidRPr="007C0DC3">
        <w:rPr>
          <w:rFonts w:ascii="Arial" w:hAnsi="Arial" w:cs="Arial"/>
          <w:sz w:val="20"/>
          <w:szCs w:val="20"/>
        </w:rPr>
        <w:t>Pooja Dandge, Vinayak Mundhe. Formulation And Evaluation of Mucoadhesive Buccal Patches of Deflazacort. International Journal of Pharmaceutical Sciences. 2024; 2(10):550-565.</w:t>
      </w:r>
    </w:p>
    <w:p w14:paraId="01DCC18C" w14:textId="77777777" w:rsidR="00573169" w:rsidRPr="007C0DC3" w:rsidRDefault="00573169" w:rsidP="009A0149">
      <w:pPr>
        <w:pStyle w:val="ListParagraph"/>
        <w:numPr>
          <w:ilvl w:val="0"/>
          <w:numId w:val="4"/>
        </w:numPr>
        <w:spacing w:after="4" w:line="480" w:lineRule="auto"/>
        <w:ind w:left="700" w:right="340"/>
        <w:jc w:val="both"/>
        <w:rPr>
          <w:rFonts w:ascii="Arial" w:hAnsi="Arial" w:cs="Arial"/>
          <w:sz w:val="20"/>
          <w:szCs w:val="20"/>
        </w:rPr>
      </w:pPr>
      <w:r w:rsidRPr="007C0DC3">
        <w:rPr>
          <w:rFonts w:ascii="Arial" w:hAnsi="Arial" w:cs="Arial"/>
          <w:sz w:val="20"/>
          <w:szCs w:val="20"/>
        </w:rPr>
        <w:t xml:space="preserve">S. Z. </w:t>
      </w:r>
      <w:proofErr w:type="spellStart"/>
      <w:r w:rsidRPr="007C0DC3">
        <w:rPr>
          <w:rFonts w:ascii="Arial" w:hAnsi="Arial" w:cs="Arial"/>
          <w:sz w:val="20"/>
          <w:szCs w:val="20"/>
        </w:rPr>
        <w:t>Chemate</w:t>
      </w:r>
      <w:proofErr w:type="spellEnd"/>
      <w:r w:rsidRPr="007C0DC3">
        <w:rPr>
          <w:rFonts w:ascii="Arial" w:hAnsi="Arial" w:cs="Arial"/>
          <w:sz w:val="20"/>
          <w:szCs w:val="20"/>
        </w:rPr>
        <w:t xml:space="preserve">, Vaishali N. </w:t>
      </w:r>
      <w:proofErr w:type="spellStart"/>
      <w:r w:rsidRPr="007C0DC3">
        <w:rPr>
          <w:rFonts w:ascii="Arial" w:hAnsi="Arial" w:cs="Arial"/>
          <w:sz w:val="20"/>
          <w:szCs w:val="20"/>
        </w:rPr>
        <w:t>Garje</w:t>
      </w:r>
      <w:proofErr w:type="spellEnd"/>
      <w:r w:rsidRPr="007C0DC3">
        <w:rPr>
          <w:rFonts w:ascii="Arial" w:hAnsi="Arial" w:cs="Arial"/>
          <w:sz w:val="20"/>
          <w:szCs w:val="20"/>
        </w:rPr>
        <w:t xml:space="preserve">, Shubhada A. </w:t>
      </w:r>
      <w:proofErr w:type="spellStart"/>
      <w:r w:rsidRPr="007C0DC3">
        <w:rPr>
          <w:rFonts w:ascii="Arial" w:hAnsi="Arial" w:cs="Arial"/>
          <w:sz w:val="20"/>
          <w:szCs w:val="20"/>
        </w:rPr>
        <w:t>Gayake</w:t>
      </w:r>
      <w:proofErr w:type="spellEnd"/>
      <w:r w:rsidRPr="007C0DC3">
        <w:rPr>
          <w:rFonts w:ascii="Arial" w:hAnsi="Arial" w:cs="Arial"/>
          <w:sz w:val="20"/>
          <w:szCs w:val="20"/>
        </w:rPr>
        <w:t xml:space="preserve">. Formulation and Evaluation of Metformin Hydrochloride buccal patch. </w:t>
      </w:r>
      <w:proofErr w:type="spellStart"/>
      <w:r w:rsidRPr="007C0DC3">
        <w:rPr>
          <w:rFonts w:ascii="Arial" w:hAnsi="Arial" w:cs="Arial"/>
          <w:sz w:val="20"/>
          <w:szCs w:val="20"/>
        </w:rPr>
        <w:t>PharmaTutor</w:t>
      </w:r>
      <w:proofErr w:type="spellEnd"/>
      <w:r w:rsidRPr="007C0DC3">
        <w:rPr>
          <w:rFonts w:ascii="Arial" w:hAnsi="Arial" w:cs="Arial"/>
          <w:sz w:val="20"/>
          <w:szCs w:val="20"/>
        </w:rPr>
        <w:t>; 2016; 4(7); 52-58.</w:t>
      </w:r>
    </w:p>
    <w:p w14:paraId="0CF9CD10" w14:textId="77777777" w:rsidR="00573169" w:rsidRPr="007C0DC3" w:rsidRDefault="00573169" w:rsidP="009A0149">
      <w:pPr>
        <w:pStyle w:val="ListParagraph"/>
        <w:numPr>
          <w:ilvl w:val="0"/>
          <w:numId w:val="4"/>
        </w:numPr>
        <w:spacing w:after="4" w:line="480" w:lineRule="auto"/>
        <w:ind w:left="700" w:right="340"/>
        <w:jc w:val="both"/>
        <w:rPr>
          <w:rFonts w:ascii="Arial" w:hAnsi="Arial" w:cs="Arial"/>
          <w:sz w:val="20"/>
          <w:szCs w:val="20"/>
        </w:rPr>
      </w:pPr>
      <w:r w:rsidRPr="007C0DC3">
        <w:rPr>
          <w:rFonts w:ascii="Arial" w:hAnsi="Arial" w:cs="Arial"/>
          <w:sz w:val="20"/>
          <w:szCs w:val="20"/>
        </w:rPr>
        <w:t xml:space="preserve">Shrutika Zile, Vaishali Wasnik, Shilpa Gawande, Bharti Bakde, Madhuri </w:t>
      </w:r>
      <w:proofErr w:type="spellStart"/>
      <w:r w:rsidRPr="007C0DC3">
        <w:rPr>
          <w:rFonts w:ascii="Arial" w:hAnsi="Arial" w:cs="Arial"/>
          <w:sz w:val="20"/>
          <w:szCs w:val="20"/>
        </w:rPr>
        <w:t>Channawar</w:t>
      </w:r>
      <w:proofErr w:type="spellEnd"/>
      <w:r w:rsidRPr="007C0DC3">
        <w:rPr>
          <w:rFonts w:ascii="Arial" w:hAnsi="Arial" w:cs="Arial"/>
          <w:sz w:val="20"/>
          <w:szCs w:val="20"/>
        </w:rPr>
        <w:t>. Development and Evaluation of Mucoadhesive Buccal Patch. World Journal of Pharmaceutical Research. 2017; 6(8):1521-1533.</w:t>
      </w:r>
    </w:p>
    <w:p w14:paraId="663CA7F0" w14:textId="77777777" w:rsidR="00573169" w:rsidRPr="007C0DC3" w:rsidRDefault="00573169" w:rsidP="009A0149">
      <w:pPr>
        <w:pStyle w:val="ListParagraph"/>
        <w:numPr>
          <w:ilvl w:val="0"/>
          <w:numId w:val="4"/>
        </w:numPr>
        <w:spacing w:after="4" w:line="480" w:lineRule="auto"/>
        <w:ind w:left="700" w:right="340"/>
        <w:jc w:val="both"/>
        <w:rPr>
          <w:rFonts w:ascii="Arial" w:hAnsi="Arial" w:cs="Arial"/>
          <w:sz w:val="20"/>
          <w:szCs w:val="20"/>
        </w:rPr>
      </w:pPr>
      <w:r w:rsidRPr="007C0DC3">
        <w:rPr>
          <w:rFonts w:ascii="Arial" w:hAnsi="Arial" w:cs="Arial"/>
          <w:sz w:val="20"/>
          <w:szCs w:val="20"/>
        </w:rPr>
        <w:t xml:space="preserve">Spandhana Pasi, </w:t>
      </w:r>
      <w:proofErr w:type="spellStart"/>
      <w:r w:rsidRPr="007C0DC3">
        <w:rPr>
          <w:rFonts w:ascii="Arial" w:hAnsi="Arial" w:cs="Arial"/>
          <w:sz w:val="20"/>
          <w:szCs w:val="20"/>
        </w:rPr>
        <w:t>Polapally</w:t>
      </w:r>
      <w:proofErr w:type="spellEnd"/>
      <w:r w:rsidRPr="007C0DC3">
        <w:rPr>
          <w:rFonts w:ascii="Arial" w:hAnsi="Arial" w:cs="Arial"/>
          <w:sz w:val="20"/>
          <w:szCs w:val="20"/>
        </w:rPr>
        <w:t xml:space="preserve"> Archana, </w:t>
      </w:r>
      <w:proofErr w:type="spellStart"/>
      <w:r w:rsidRPr="007C0DC3">
        <w:rPr>
          <w:rFonts w:ascii="Arial" w:hAnsi="Arial" w:cs="Arial"/>
          <w:sz w:val="20"/>
          <w:szCs w:val="20"/>
        </w:rPr>
        <w:t>Edulakanti</w:t>
      </w:r>
      <w:proofErr w:type="spellEnd"/>
      <w:r w:rsidRPr="007C0DC3">
        <w:rPr>
          <w:rFonts w:ascii="Arial" w:hAnsi="Arial" w:cs="Arial"/>
          <w:sz w:val="20"/>
          <w:szCs w:val="20"/>
        </w:rPr>
        <w:t xml:space="preserve"> Bhavana, Rachakonda Maheshwari, Erra Mounika, </w:t>
      </w:r>
      <w:proofErr w:type="spellStart"/>
      <w:r w:rsidRPr="007C0DC3">
        <w:rPr>
          <w:rFonts w:ascii="Arial" w:hAnsi="Arial" w:cs="Arial"/>
          <w:sz w:val="20"/>
          <w:szCs w:val="20"/>
        </w:rPr>
        <w:t>Aerla</w:t>
      </w:r>
      <w:proofErr w:type="spellEnd"/>
      <w:r w:rsidRPr="007C0DC3">
        <w:rPr>
          <w:rFonts w:ascii="Arial" w:hAnsi="Arial" w:cs="Arial"/>
          <w:sz w:val="20"/>
          <w:szCs w:val="20"/>
        </w:rPr>
        <w:t xml:space="preserve"> Manisha. Formulation and Evaluation of Mucoadhesive Buccal Patches of Timolol Maleate. International Journal of Advanced Research </w:t>
      </w:r>
      <w:proofErr w:type="gramStart"/>
      <w:r w:rsidRPr="007C0DC3">
        <w:rPr>
          <w:rFonts w:ascii="Arial" w:hAnsi="Arial" w:cs="Arial"/>
          <w:sz w:val="20"/>
          <w:szCs w:val="20"/>
        </w:rPr>
        <w:t>In</w:t>
      </w:r>
      <w:proofErr w:type="gramEnd"/>
      <w:r w:rsidRPr="007C0DC3">
        <w:rPr>
          <w:rFonts w:ascii="Arial" w:hAnsi="Arial" w:cs="Arial"/>
          <w:sz w:val="20"/>
          <w:szCs w:val="20"/>
        </w:rPr>
        <w:t xml:space="preserve"> Medical &amp; Pharmaceutical Sciences. 2021; 6(6).</w:t>
      </w:r>
    </w:p>
    <w:p w14:paraId="40037F31" w14:textId="77777777" w:rsidR="003708B6" w:rsidRPr="007C0DC3" w:rsidRDefault="003708B6" w:rsidP="009A0149">
      <w:pPr>
        <w:pStyle w:val="ListParagraph"/>
        <w:numPr>
          <w:ilvl w:val="0"/>
          <w:numId w:val="4"/>
        </w:numPr>
        <w:spacing w:after="4" w:line="480" w:lineRule="auto"/>
        <w:ind w:left="700" w:right="340"/>
        <w:jc w:val="both"/>
        <w:rPr>
          <w:rFonts w:ascii="Arial" w:hAnsi="Arial" w:cs="Arial"/>
          <w:sz w:val="20"/>
          <w:szCs w:val="20"/>
        </w:rPr>
      </w:pPr>
      <w:r w:rsidRPr="007C0DC3">
        <w:rPr>
          <w:rFonts w:ascii="Arial" w:hAnsi="Arial" w:cs="Arial"/>
          <w:sz w:val="20"/>
          <w:szCs w:val="20"/>
        </w:rPr>
        <w:t xml:space="preserve">Sahar Salehi, Soheil </w:t>
      </w:r>
      <w:proofErr w:type="spellStart"/>
      <w:r w:rsidRPr="007C0DC3">
        <w:rPr>
          <w:rFonts w:ascii="Arial" w:hAnsi="Arial" w:cs="Arial"/>
          <w:sz w:val="20"/>
          <w:szCs w:val="20"/>
        </w:rPr>
        <w:t>Boddohi</w:t>
      </w:r>
      <w:proofErr w:type="spellEnd"/>
      <w:r w:rsidRPr="007C0DC3">
        <w:rPr>
          <w:rFonts w:ascii="Arial" w:hAnsi="Arial" w:cs="Arial"/>
          <w:sz w:val="20"/>
          <w:szCs w:val="20"/>
        </w:rPr>
        <w:t xml:space="preserve">. New formulation and approach for mucoadhesive buccal film of rizatriptan benzoate. Prog </w:t>
      </w:r>
      <w:proofErr w:type="spellStart"/>
      <w:r w:rsidRPr="007C0DC3">
        <w:rPr>
          <w:rFonts w:ascii="Arial" w:hAnsi="Arial" w:cs="Arial"/>
          <w:sz w:val="20"/>
          <w:szCs w:val="20"/>
        </w:rPr>
        <w:t>Biomater</w:t>
      </w:r>
      <w:proofErr w:type="spellEnd"/>
      <w:r w:rsidRPr="007C0DC3">
        <w:rPr>
          <w:rFonts w:ascii="Arial" w:hAnsi="Arial" w:cs="Arial"/>
          <w:sz w:val="20"/>
          <w:szCs w:val="20"/>
        </w:rPr>
        <w:t>. 2017; 6:175-187.</w:t>
      </w:r>
    </w:p>
    <w:p w14:paraId="61335CBB" w14:textId="77777777" w:rsidR="003708B6" w:rsidRPr="007C0DC3" w:rsidRDefault="003708B6" w:rsidP="009A0149">
      <w:pPr>
        <w:pStyle w:val="ListParagraph"/>
        <w:numPr>
          <w:ilvl w:val="0"/>
          <w:numId w:val="4"/>
        </w:numPr>
        <w:spacing w:after="4" w:line="480" w:lineRule="auto"/>
        <w:ind w:left="700" w:right="340"/>
        <w:jc w:val="both"/>
        <w:rPr>
          <w:rFonts w:ascii="Arial" w:hAnsi="Arial" w:cs="Arial"/>
          <w:sz w:val="20"/>
          <w:szCs w:val="20"/>
        </w:rPr>
      </w:pPr>
      <w:r w:rsidRPr="007C0DC3">
        <w:rPr>
          <w:rFonts w:ascii="Arial" w:hAnsi="Arial" w:cs="Arial"/>
          <w:sz w:val="20"/>
          <w:szCs w:val="20"/>
        </w:rPr>
        <w:t xml:space="preserve">Vidya </w:t>
      </w:r>
      <w:proofErr w:type="spellStart"/>
      <w:r w:rsidRPr="007C0DC3">
        <w:rPr>
          <w:rFonts w:ascii="Arial" w:hAnsi="Arial" w:cs="Arial"/>
          <w:sz w:val="20"/>
          <w:szCs w:val="20"/>
        </w:rPr>
        <w:t>Viswanad</w:t>
      </w:r>
      <w:proofErr w:type="spellEnd"/>
      <w:r w:rsidRPr="007C0DC3">
        <w:rPr>
          <w:rFonts w:ascii="Arial" w:hAnsi="Arial" w:cs="Arial"/>
          <w:sz w:val="20"/>
          <w:szCs w:val="20"/>
        </w:rPr>
        <w:t xml:space="preserve">, Chinmayi Ramachandran, Sivapriya G Nair, Gopika S Kumar, Vidya </w:t>
      </w:r>
      <w:proofErr w:type="spellStart"/>
      <w:r w:rsidRPr="007C0DC3">
        <w:rPr>
          <w:rFonts w:ascii="Arial" w:hAnsi="Arial" w:cs="Arial"/>
          <w:sz w:val="20"/>
          <w:szCs w:val="20"/>
        </w:rPr>
        <w:t>Viswanad</w:t>
      </w:r>
      <w:proofErr w:type="spellEnd"/>
      <w:r w:rsidRPr="007C0DC3">
        <w:rPr>
          <w:rFonts w:ascii="Arial" w:hAnsi="Arial" w:cs="Arial"/>
          <w:sz w:val="20"/>
          <w:szCs w:val="20"/>
        </w:rPr>
        <w:t>. Formulation and evaluation of mucoadhesive buccal patch containing Imipramine hydrochloride. International Journal of Research in Pharmaceutical Sciences. 2018; 9(4):1409-1422.</w:t>
      </w:r>
    </w:p>
    <w:p w14:paraId="0A795B49" w14:textId="77777777" w:rsidR="00366662" w:rsidRPr="007C0DC3" w:rsidRDefault="00366662" w:rsidP="009A0149">
      <w:pPr>
        <w:pStyle w:val="ListParagraph"/>
        <w:numPr>
          <w:ilvl w:val="0"/>
          <w:numId w:val="4"/>
        </w:numPr>
        <w:spacing w:after="4" w:line="480" w:lineRule="auto"/>
        <w:ind w:left="700" w:right="340"/>
        <w:jc w:val="both"/>
        <w:rPr>
          <w:rFonts w:ascii="Arial" w:hAnsi="Arial" w:cs="Arial"/>
          <w:sz w:val="20"/>
          <w:szCs w:val="20"/>
        </w:rPr>
      </w:pPr>
      <w:r w:rsidRPr="007C0DC3">
        <w:rPr>
          <w:rFonts w:ascii="Arial" w:hAnsi="Arial" w:cs="Arial"/>
          <w:sz w:val="20"/>
          <w:szCs w:val="20"/>
        </w:rPr>
        <w:lastRenderedPageBreak/>
        <w:t xml:space="preserve">Varinder Kumar, </w:t>
      </w:r>
      <w:proofErr w:type="spellStart"/>
      <w:r w:rsidRPr="007C0DC3">
        <w:rPr>
          <w:rFonts w:ascii="Arial" w:hAnsi="Arial" w:cs="Arial"/>
          <w:sz w:val="20"/>
          <w:szCs w:val="20"/>
        </w:rPr>
        <w:t>Foziyah</w:t>
      </w:r>
      <w:proofErr w:type="spellEnd"/>
      <w:r w:rsidRPr="007C0DC3">
        <w:rPr>
          <w:rFonts w:ascii="Arial" w:hAnsi="Arial" w:cs="Arial"/>
          <w:sz w:val="20"/>
          <w:szCs w:val="20"/>
        </w:rPr>
        <w:t xml:space="preserve"> Zakir, Geeta Agarwal, Ankush Choudhary. Formulation and Evaluation of Buccal Patches of Venlafaxine. International Journal of Pharmacy and Biological Sciences. 2011; 1(3).</w:t>
      </w:r>
    </w:p>
    <w:p w14:paraId="6CAFC1D4" w14:textId="77777777" w:rsidR="000F2DBA" w:rsidRPr="007C0DC3" w:rsidRDefault="00000000">
      <w:pPr>
        <w:pStyle w:val="ListParagraph"/>
        <w:numPr>
          <w:ilvl w:val="0"/>
          <w:numId w:val="4"/>
        </w:numPr>
        <w:jc w:val="both"/>
      </w:pPr>
      <w:r w:rsidRPr="007C0DC3">
        <w:rPr>
          <w:rFonts w:ascii="Arial" w:hAnsi="Arial"/>
          <w:sz w:val="20"/>
        </w:rPr>
        <w:t xml:space="preserve">Ghumman, S. A., Hameed, H., Noreen, S., Al-Hussain, S. A., Kausar, R., Irfan, A., Shabbir, R., Rana, M., Amanat, A., &amp; Zaki, M. E. A. (2023). In vitro/in vivo evaluation of clomipramine orodispersible tablets for the treatment of depression and obsessive-compulsive disorder. Pharmaceuticals, 16(2), 265. </w:t>
      </w:r>
      <w:hyperlink r:id="rId25">
        <w:r w:rsidR="000F2DBA" w:rsidRPr="007C0DC3">
          <w:rPr>
            <w:rFonts w:ascii="Arial" w:hAnsi="Arial"/>
            <w:color w:val="0563C1"/>
            <w:sz w:val="20"/>
            <w:szCs w:val="20"/>
            <w:u w:val="single"/>
          </w:rPr>
          <w:t>https://doi.org/10.3390/ph16020265</w:t>
        </w:r>
      </w:hyperlink>
    </w:p>
    <w:p w14:paraId="2DABD8B4" w14:textId="77777777" w:rsidR="000F2DBA" w:rsidRPr="007C0DC3" w:rsidRDefault="00000000">
      <w:pPr>
        <w:pStyle w:val="ListParagraph"/>
        <w:numPr>
          <w:ilvl w:val="0"/>
          <w:numId w:val="4"/>
        </w:numPr>
        <w:jc w:val="both"/>
      </w:pPr>
      <w:r w:rsidRPr="007C0DC3">
        <w:rPr>
          <w:rFonts w:ascii="Arial" w:hAnsi="Arial"/>
          <w:sz w:val="20"/>
        </w:rPr>
        <w:t xml:space="preserve">Rahman, N., &amp; Afaq, N. (2010). Optimization and validation of spectrofluorimetric method for the determination of clomipramine hydrochloride via ion-pair complexation with alizarin red S. Analytical Methods, 2, 513–518. </w:t>
      </w:r>
      <w:hyperlink r:id="rId26">
        <w:r w:rsidR="000F2DBA" w:rsidRPr="007C0DC3">
          <w:rPr>
            <w:rFonts w:ascii="Arial" w:hAnsi="Arial"/>
            <w:color w:val="0563C1"/>
            <w:sz w:val="20"/>
            <w:szCs w:val="20"/>
            <w:u w:val="single"/>
          </w:rPr>
          <w:t>https://doi.org/10.1039/C0AY00017E</w:t>
        </w:r>
      </w:hyperlink>
    </w:p>
    <w:p w14:paraId="34A54071" w14:textId="77777777" w:rsidR="000F2DBA" w:rsidRPr="007C0DC3" w:rsidRDefault="00000000">
      <w:pPr>
        <w:pStyle w:val="ListParagraph"/>
        <w:numPr>
          <w:ilvl w:val="0"/>
          <w:numId w:val="4"/>
        </w:numPr>
        <w:jc w:val="both"/>
      </w:pPr>
      <w:r w:rsidRPr="007C0DC3">
        <w:rPr>
          <w:rFonts w:ascii="Arial" w:hAnsi="Arial"/>
          <w:sz w:val="20"/>
        </w:rPr>
        <w:t xml:space="preserve">Ali, E. A., Adawy, A. M., El-Shahat, M. F., &amp; Amin, A. S. (2016). Simple spectrophotometric methods for determination of fluoxetine and clomipramine hydrochlorides in dosage forms and in some post-mortem biological </w:t>
      </w:r>
      <w:proofErr w:type="gramStart"/>
      <w:r w:rsidRPr="007C0DC3">
        <w:rPr>
          <w:rFonts w:ascii="Arial" w:hAnsi="Arial"/>
          <w:sz w:val="20"/>
        </w:rPr>
        <w:t>fluids</w:t>
      </w:r>
      <w:proofErr w:type="gramEnd"/>
      <w:r w:rsidRPr="007C0DC3">
        <w:rPr>
          <w:rFonts w:ascii="Arial" w:hAnsi="Arial"/>
          <w:sz w:val="20"/>
        </w:rPr>
        <w:t xml:space="preserve"> samples. Egyptian Journal of Forensic Sciences, 6(4), 370–380. </w:t>
      </w:r>
      <w:hyperlink r:id="rId27">
        <w:r w:rsidR="000F2DBA" w:rsidRPr="007C0DC3">
          <w:rPr>
            <w:rFonts w:ascii="Arial" w:hAnsi="Arial"/>
            <w:color w:val="0563C1"/>
            <w:sz w:val="20"/>
            <w:szCs w:val="20"/>
            <w:u w:val="single"/>
          </w:rPr>
          <w:t>https://doi.org/10.1016/j.ejfs.2016.05.007</w:t>
        </w:r>
      </w:hyperlink>
    </w:p>
    <w:p w14:paraId="42A5FABB" w14:textId="77777777" w:rsidR="000F2DBA" w:rsidRPr="007C0DC3" w:rsidRDefault="00000000">
      <w:pPr>
        <w:pStyle w:val="ListParagraph"/>
        <w:numPr>
          <w:ilvl w:val="0"/>
          <w:numId w:val="4"/>
        </w:numPr>
        <w:jc w:val="both"/>
      </w:pPr>
      <w:r w:rsidRPr="007C0DC3">
        <w:rPr>
          <w:rFonts w:ascii="Arial" w:hAnsi="Arial"/>
          <w:sz w:val="20"/>
        </w:rPr>
        <w:t xml:space="preserve">Patel, K. A., &amp; Karvekar, M. D. (2019). A study on synthesis and characterization of various polymorphic forms of trimipramine maleate and clomipramine hydrochloride. Journal of Pharmaceutical Research, 18(3), 1–7. </w:t>
      </w:r>
      <w:hyperlink r:id="rId28">
        <w:r w:rsidR="000F2DBA" w:rsidRPr="007C0DC3">
          <w:rPr>
            <w:rFonts w:ascii="Arial" w:hAnsi="Arial"/>
            <w:color w:val="0563C1"/>
            <w:sz w:val="20"/>
            <w:szCs w:val="20"/>
            <w:u w:val="single"/>
          </w:rPr>
          <w:t>https://doi.org/10.18579/jopcr/v18.3.patel</w:t>
        </w:r>
      </w:hyperlink>
    </w:p>
    <w:p w14:paraId="74909CF1" w14:textId="77777777" w:rsidR="000F2DBA" w:rsidRPr="007C0DC3" w:rsidRDefault="00000000">
      <w:pPr>
        <w:pStyle w:val="ListParagraph"/>
        <w:numPr>
          <w:ilvl w:val="0"/>
          <w:numId w:val="4"/>
        </w:numPr>
        <w:jc w:val="both"/>
      </w:pPr>
      <w:r w:rsidRPr="007C0DC3">
        <w:rPr>
          <w:rFonts w:ascii="Arial" w:hAnsi="Arial"/>
          <w:sz w:val="20"/>
        </w:rPr>
        <w:t xml:space="preserve">Naqvi, A. Z., Al-Ahmadi, M. D. A., Akram, M., &amp; Kabir-ud-Din. (2010). Surfactants and ureas affect the cloud point of amphiphilic drug, clomipramine hydrochloride. Colloids and Surfaces B: Biointerfaces, 81(1), 152–157. </w:t>
      </w:r>
      <w:hyperlink r:id="rId29">
        <w:r w:rsidR="000F2DBA" w:rsidRPr="007C0DC3">
          <w:rPr>
            <w:rFonts w:ascii="Arial" w:hAnsi="Arial"/>
            <w:color w:val="0563C1"/>
            <w:sz w:val="20"/>
            <w:szCs w:val="20"/>
            <w:u w:val="single"/>
          </w:rPr>
          <w:t>https://doi.org/10.1016/j.colsurfb.2010.07.003</w:t>
        </w:r>
      </w:hyperlink>
    </w:p>
    <w:p w14:paraId="6AE1AE8D" w14:textId="77777777" w:rsidR="000F2DBA" w:rsidRPr="007C0DC3" w:rsidRDefault="00000000">
      <w:pPr>
        <w:pStyle w:val="ListParagraph"/>
        <w:numPr>
          <w:ilvl w:val="0"/>
          <w:numId w:val="4"/>
        </w:numPr>
        <w:jc w:val="both"/>
      </w:pPr>
      <w:r w:rsidRPr="007C0DC3">
        <w:rPr>
          <w:rFonts w:ascii="Arial" w:hAnsi="Arial"/>
          <w:sz w:val="20"/>
        </w:rPr>
        <w:t xml:space="preserve">Aymard, G., Livi, P., Pham, Y. T., &amp; Diquet, B. (1997). Sensitive and rapid method for the simultaneous quantification of five antidepressants with their respective metabolites in plasma using high-performance liquid chromatography with diode-array detection. Journal of Chromatography B: Biomedical Sciences and Applications, 700(1–2), 183–189. </w:t>
      </w:r>
      <w:hyperlink r:id="rId30">
        <w:r w:rsidR="000F2DBA" w:rsidRPr="007C0DC3">
          <w:rPr>
            <w:rFonts w:ascii="Arial" w:hAnsi="Arial"/>
            <w:color w:val="0563C1"/>
            <w:sz w:val="20"/>
            <w:szCs w:val="20"/>
            <w:u w:val="single"/>
          </w:rPr>
          <w:t>https://doi.org/10.1016/S0378-4347(97)00327-7</w:t>
        </w:r>
      </w:hyperlink>
    </w:p>
    <w:p w14:paraId="6EF251BA" w14:textId="77777777" w:rsidR="000F2DBA" w:rsidRPr="007C0DC3" w:rsidRDefault="00000000">
      <w:pPr>
        <w:pStyle w:val="ListParagraph"/>
        <w:numPr>
          <w:ilvl w:val="0"/>
          <w:numId w:val="4"/>
        </w:numPr>
        <w:jc w:val="both"/>
      </w:pPr>
      <w:r w:rsidRPr="007C0DC3">
        <w:rPr>
          <w:rFonts w:ascii="Arial" w:hAnsi="Arial"/>
          <w:sz w:val="20"/>
        </w:rPr>
        <w:t xml:space="preserve">Tanaka, E., Terada, M., Nakamura, T., Misawa, S., &amp; Wakasugi, C. (1997). Forensic analysis of eleven cyclic antidepressants in human biological samples using a new reversed-phase chromatographic column of 2 µm porous microspherical silica gel. Journal of Chromatography B: Biomedical Sciences and Applications, 692(2), 405–412. </w:t>
      </w:r>
      <w:hyperlink r:id="rId31">
        <w:r w:rsidR="000F2DBA" w:rsidRPr="007C0DC3">
          <w:rPr>
            <w:rFonts w:ascii="Arial" w:hAnsi="Arial"/>
            <w:color w:val="0563C1"/>
            <w:sz w:val="20"/>
            <w:szCs w:val="20"/>
            <w:u w:val="single"/>
          </w:rPr>
          <w:t>https://doi.org/10.1016/S0378-4347(96)00510-5</w:t>
        </w:r>
      </w:hyperlink>
    </w:p>
    <w:p w14:paraId="61364C2C" w14:textId="77777777" w:rsidR="000F2DBA" w:rsidRPr="007C0DC3" w:rsidRDefault="00000000">
      <w:pPr>
        <w:pStyle w:val="ListParagraph"/>
        <w:numPr>
          <w:ilvl w:val="0"/>
          <w:numId w:val="4"/>
        </w:numPr>
        <w:jc w:val="both"/>
      </w:pPr>
      <w:r w:rsidRPr="007C0DC3">
        <w:rPr>
          <w:rFonts w:ascii="Arial" w:hAnsi="Arial"/>
          <w:sz w:val="20"/>
        </w:rPr>
        <w:t xml:space="preserve">Palego, L., Marazziti, D., Biondi, L., Giannaccini, G., Sarno, N., Armani, A., Lucacchini, A., Cassano, G. B., &amp; Dell'Osso, L. (2000). Simultaneous plasma level analysis of clomipramine, N-desmethylclomipramine, and fluvoxamine by reversed-phase liquid chromatography. Therapeutic Drug Monitoring, 22(2), 190–194. </w:t>
      </w:r>
      <w:hyperlink r:id="rId32">
        <w:r w:rsidR="000F2DBA" w:rsidRPr="007C0DC3">
          <w:rPr>
            <w:rFonts w:ascii="Arial" w:hAnsi="Arial"/>
            <w:color w:val="0563C1"/>
            <w:sz w:val="20"/>
            <w:szCs w:val="20"/>
            <w:u w:val="single"/>
          </w:rPr>
          <w:t>https://doi.org/10.1097/00007691-200004000-00009</w:t>
        </w:r>
      </w:hyperlink>
    </w:p>
    <w:p w14:paraId="7B151AB5" w14:textId="77777777" w:rsidR="000F2DBA" w:rsidRPr="007C0DC3" w:rsidRDefault="00000000">
      <w:pPr>
        <w:pStyle w:val="ListParagraph"/>
        <w:numPr>
          <w:ilvl w:val="0"/>
          <w:numId w:val="4"/>
        </w:numPr>
        <w:jc w:val="both"/>
      </w:pPr>
      <w:r w:rsidRPr="007C0DC3">
        <w:rPr>
          <w:rFonts w:ascii="Arial" w:hAnsi="Arial"/>
          <w:sz w:val="20"/>
        </w:rPr>
        <w:t xml:space="preserve">Michael, A. M., Mahmoud, A. M., &amp; Fahmy, N. M. (2023). Determination of clomipramine using eco-friendly solid-contact ionophore-doped potentiometric sensor. BMC Chemistry, 17, 27. </w:t>
      </w:r>
      <w:hyperlink r:id="rId33">
        <w:r w:rsidR="000F2DBA" w:rsidRPr="007C0DC3">
          <w:rPr>
            <w:rFonts w:ascii="Arial" w:hAnsi="Arial"/>
            <w:color w:val="0563C1"/>
            <w:sz w:val="20"/>
            <w:szCs w:val="20"/>
            <w:u w:val="single"/>
          </w:rPr>
          <w:t>https://doi.org/10.1186/s13065-023-00938-x</w:t>
        </w:r>
      </w:hyperlink>
    </w:p>
    <w:p w14:paraId="73AE9314" w14:textId="77777777" w:rsidR="000F2DBA" w:rsidRPr="007C0DC3" w:rsidRDefault="00000000">
      <w:pPr>
        <w:pStyle w:val="ListParagraph"/>
        <w:numPr>
          <w:ilvl w:val="0"/>
          <w:numId w:val="4"/>
        </w:numPr>
        <w:jc w:val="both"/>
      </w:pPr>
      <w:r w:rsidRPr="007C0DC3">
        <w:rPr>
          <w:rFonts w:ascii="Arial" w:hAnsi="Arial"/>
          <w:sz w:val="20"/>
        </w:rPr>
        <w:t xml:space="preserve">Morales, J. O., &amp; McConville, J. T. (2011). Manufacture and characterization of mucoadhesive buccal films. European Journal of Pharmaceutics and Biopharmaceutics, 77(2), 187–199. </w:t>
      </w:r>
      <w:hyperlink r:id="rId34">
        <w:r w:rsidR="000F2DBA" w:rsidRPr="007C0DC3">
          <w:rPr>
            <w:rFonts w:ascii="Arial" w:hAnsi="Arial"/>
            <w:color w:val="0563C1"/>
            <w:sz w:val="20"/>
            <w:szCs w:val="20"/>
            <w:u w:val="single"/>
          </w:rPr>
          <w:t>https://doi.org/10.1016/j.ejpb.2010.11.023</w:t>
        </w:r>
      </w:hyperlink>
    </w:p>
    <w:p w14:paraId="0B4D53E4" w14:textId="77777777" w:rsidR="000F2DBA" w:rsidRPr="007C0DC3" w:rsidRDefault="00000000">
      <w:pPr>
        <w:pStyle w:val="ListParagraph"/>
        <w:numPr>
          <w:ilvl w:val="0"/>
          <w:numId w:val="4"/>
        </w:numPr>
        <w:jc w:val="both"/>
      </w:pPr>
      <w:r w:rsidRPr="007C0DC3">
        <w:rPr>
          <w:rFonts w:ascii="Arial" w:hAnsi="Arial"/>
          <w:sz w:val="20"/>
        </w:rPr>
        <w:t xml:space="preserve">Andrews, G. P., Laverty, T. P., &amp; Jones, D. S. (2009). Mucoadhesive polymeric platforms for controlled drug delivery. European Journal of Pharmaceutics and Biopharmaceutics, 71(3), 505–518. </w:t>
      </w:r>
      <w:hyperlink r:id="rId35">
        <w:r w:rsidR="000F2DBA" w:rsidRPr="007C0DC3">
          <w:rPr>
            <w:rFonts w:ascii="Arial" w:hAnsi="Arial"/>
            <w:color w:val="0563C1"/>
            <w:sz w:val="20"/>
            <w:szCs w:val="20"/>
            <w:u w:val="single"/>
          </w:rPr>
          <w:t>https://doi.org/10.1016/j.ejpb.2008.09.028</w:t>
        </w:r>
      </w:hyperlink>
    </w:p>
    <w:p w14:paraId="3097FB6A" w14:textId="77777777" w:rsidR="000F2DBA" w:rsidRPr="007C0DC3" w:rsidRDefault="00000000">
      <w:pPr>
        <w:pStyle w:val="ListParagraph"/>
        <w:numPr>
          <w:ilvl w:val="0"/>
          <w:numId w:val="4"/>
        </w:numPr>
        <w:jc w:val="both"/>
      </w:pPr>
      <w:r w:rsidRPr="007C0DC3">
        <w:rPr>
          <w:rFonts w:ascii="Arial" w:hAnsi="Arial"/>
          <w:sz w:val="20"/>
        </w:rPr>
        <w:t xml:space="preserve">Smart, J. D. (2005). The basics and underlying mechanisms of mucoadhesion. Advanced Drug Delivery Reviews, 57(11), 1556–1568. </w:t>
      </w:r>
      <w:hyperlink r:id="rId36">
        <w:r w:rsidR="000F2DBA" w:rsidRPr="007C0DC3">
          <w:rPr>
            <w:rFonts w:ascii="Arial" w:hAnsi="Arial"/>
            <w:color w:val="0563C1"/>
            <w:sz w:val="20"/>
            <w:szCs w:val="20"/>
            <w:u w:val="single"/>
          </w:rPr>
          <w:t>https://doi.org/10.1016/j.addr.2005.07.001</w:t>
        </w:r>
      </w:hyperlink>
    </w:p>
    <w:p w14:paraId="5194E414" w14:textId="77777777" w:rsidR="000F2DBA" w:rsidRPr="007C0DC3" w:rsidRDefault="00000000">
      <w:pPr>
        <w:pStyle w:val="ListParagraph"/>
        <w:numPr>
          <w:ilvl w:val="0"/>
          <w:numId w:val="4"/>
        </w:numPr>
        <w:jc w:val="both"/>
      </w:pPr>
      <w:r w:rsidRPr="007C0DC3">
        <w:rPr>
          <w:rFonts w:ascii="Arial" w:hAnsi="Arial"/>
          <w:sz w:val="20"/>
        </w:rPr>
        <w:lastRenderedPageBreak/>
        <w:t xml:space="preserve">Vasantha, P. V., Puratchikody, A., Mathew, S. T., &amp; Balaraman, A. K. (2011). Development and characterization of Eudragit based mucoadhesive buccal patches of salbutamol sulfate. Saudi Pharmaceutical Journal, 19(4), 207–214. </w:t>
      </w:r>
      <w:hyperlink r:id="rId37">
        <w:r w:rsidR="000F2DBA" w:rsidRPr="007C0DC3">
          <w:rPr>
            <w:rFonts w:ascii="Arial" w:hAnsi="Arial"/>
            <w:color w:val="0563C1"/>
            <w:sz w:val="20"/>
            <w:szCs w:val="20"/>
            <w:u w:val="single"/>
          </w:rPr>
          <w:t>https://doi.org/10.1016/j.jsps.2011.07.003</w:t>
        </w:r>
      </w:hyperlink>
    </w:p>
    <w:p w14:paraId="57FEB38C" w14:textId="77777777" w:rsidR="000F2DBA" w:rsidRPr="007C0DC3" w:rsidRDefault="00000000">
      <w:pPr>
        <w:pStyle w:val="ListParagraph"/>
        <w:numPr>
          <w:ilvl w:val="0"/>
          <w:numId w:val="4"/>
        </w:numPr>
        <w:jc w:val="both"/>
      </w:pPr>
      <w:r w:rsidRPr="007C0DC3">
        <w:rPr>
          <w:rFonts w:ascii="Arial" w:hAnsi="Arial"/>
          <w:sz w:val="20"/>
        </w:rPr>
        <w:t xml:space="preserve">Muzib, Y. I., &amp; Kumari, K. S. (2011). Mucoadhesive buccal films of glibenclamide: Development and evaluation. International Journal of Pharmaceutical Investigation, 1(1), 42–47. </w:t>
      </w:r>
      <w:hyperlink r:id="rId38">
        <w:r w:rsidR="000F2DBA" w:rsidRPr="007C0DC3">
          <w:rPr>
            <w:rFonts w:ascii="Arial" w:hAnsi="Arial"/>
            <w:color w:val="0563C1"/>
            <w:sz w:val="20"/>
            <w:szCs w:val="20"/>
            <w:u w:val="single"/>
          </w:rPr>
          <w:t>https://doi.org/10.4103/2230-973X.76728</w:t>
        </w:r>
      </w:hyperlink>
    </w:p>
    <w:p w14:paraId="613AEB5B" w14:textId="77777777" w:rsidR="000F2DBA" w:rsidRPr="007C0DC3" w:rsidRDefault="00000000">
      <w:pPr>
        <w:pStyle w:val="ListParagraph"/>
        <w:numPr>
          <w:ilvl w:val="0"/>
          <w:numId w:val="4"/>
        </w:numPr>
        <w:jc w:val="both"/>
      </w:pPr>
      <w:r w:rsidRPr="007C0DC3">
        <w:rPr>
          <w:rFonts w:ascii="Arial" w:hAnsi="Arial"/>
          <w:sz w:val="20"/>
        </w:rPr>
        <w:t xml:space="preserve">Semalty, M., Semalty, A., &amp; Kumar, G. (2008). Formulation and characterization of mucoadhesive buccal films of glipizide. Indian Journal of Pharmaceutical Sciences, 70(1), 43–48. </w:t>
      </w:r>
      <w:hyperlink r:id="rId39">
        <w:r w:rsidR="000F2DBA" w:rsidRPr="007C0DC3">
          <w:rPr>
            <w:rFonts w:ascii="Arial" w:hAnsi="Arial"/>
            <w:color w:val="0563C1"/>
            <w:sz w:val="20"/>
            <w:szCs w:val="20"/>
            <w:u w:val="single"/>
          </w:rPr>
          <w:t>https://doi.org/10.4103/0250-474X.40330</w:t>
        </w:r>
      </w:hyperlink>
    </w:p>
    <w:p w14:paraId="2C63F8AC" w14:textId="77777777" w:rsidR="000F2DBA" w:rsidRPr="007C0DC3" w:rsidRDefault="00000000">
      <w:pPr>
        <w:pStyle w:val="ListParagraph"/>
        <w:numPr>
          <w:ilvl w:val="0"/>
          <w:numId w:val="4"/>
        </w:numPr>
        <w:jc w:val="both"/>
      </w:pPr>
      <w:r w:rsidRPr="007C0DC3">
        <w:rPr>
          <w:rFonts w:ascii="Arial" w:hAnsi="Arial"/>
          <w:sz w:val="20"/>
        </w:rPr>
        <w:t xml:space="preserve">Lodhi, M., Dubey, A., Narayan, R., Prabhu, P., &amp; Priya, S. (2013). Formulation and evaluation of buccal film of ivabradine hydrochloride for the treatment of stable angina pectoris. International Journal of Pharmaceutical Investigation, 3(1), 47–53. </w:t>
      </w:r>
      <w:hyperlink r:id="rId40">
        <w:r w:rsidR="000F2DBA" w:rsidRPr="007C0DC3">
          <w:rPr>
            <w:rFonts w:ascii="Arial" w:hAnsi="Arial"/>
            <w:color w:val="0563C1"/>
            <w:sz w:val="20"/>
            <w:szCs w:val="20"/>
            <w:u w:val="single"/>
          </w:rPr>
          <w:t>https://doi.org/10.4103/2230-973X.108963</w:t>
        </w:r>
      </w:hyperlink>
    </w:p>
    <w:p w14:paraId="1247A692" w14:textId="77777777" w:rsidR="000F2DBA" w:rsidRPr="007C0DC3" w:rsidRDefault="00000000">
      <w:pPr>
        <w:pStyle w:val="ListParagraph"/>
        <w:numPr>
          <w:ilvl w:val="0"/>
          <w:numId w:val="4"/>
        </w:numPr>
        <w:jc w:val="both"/>
      </w:pPr>
      <w:r w:rsidRPr="007C0DC3">
        <w:rPr>
          <w:rFonts w:ascii="Arial" w:hAnsi="Arial"/>
          <w:sz w:val="20"/>
        </w:rPr>
        <w:t xml:space="preserve">Adhikari, S. N. R., Nayak, B. S., Nayak, A. K., &amp; Mohanty, B. (2010). Formulation and evaluation of buccal patches for delivery of atenolol. AAPS PharmSciTech, 11(3), 1038–1044. </w:t>
      </w:r>
      <w:hyperlink r:id="rId41">
        <w:r w:rsidR="000F2DBA" w:rsidRPr="007C0DC3">
          <w:rPr>
            <w:rFonts w:ascii="Arial" w:hAnsi="Arial"/>
            <w:color w:val="0563C1"/>
            <w:sz w:val="20"/>
            <w:szCs w:val="20"/>
            <w:u w:val="single"/>
          </w:rPr>
          <w:t>https://doi.org/10.1208/s12249-010-9459-z</w:t>
        </w:r>
      </w:hyperlink>
    </w:p>
    <w:p w14:paraId="61CDD879" w14:textId="77777777" w:rsidR="000F2DBA" w:rsidRPr="007C0DC3" w:rsidRDefault="00000000">
      <w:pPr>
        <w:pStyle w:val="ListParagraph"/>
        <w:numPr>
          <w:ilvl w:val="0"/>
          <w:numId w:val="4"/>
        </w:numPr>
        <w:jc w:val="both"/>
      </w:pPr>
      <w:r w:rsidRPr="007C0DC3">
        <w:rPr>
          <w:rFonts w:ascii="Arial" w:hAnsi="Arial"/>
          <w:sz w:val="20"/>
        </w:rPr>
        <w:t xml:space="preserve">Nair, A. B., Shah, J., Jacob, S., Al-Dhubiab, B. E., Patel, V., Sreeharsha, N., &amp; Shinu, P. (2021). Development of mucoadhesive buccal film for rizatriptan: In vitro and in vivo evaluation. Pharmaceutics, 13(5), 728. </w:t>
      </w:r>
      <w:hyperlink r:id="rId42">
        <w:r w:rsidR="000F2DBA" w:rsidRPr="007C0DC3">
          <w:rPr>
            <w:rFonts w:ascii="Arial" w:hAnsi="Arial"/>
            <w:color w:val="0563C1"/>
            <w:sz w:val="20"/>
            <w:szCs w:val="20"/>
            <w:u w:val="single"/>
          </w:rPr>
          <w:t>https://doi.org/10.3390/pharmaceutics13050728</w:t>
        </w:r>
      </w:hyperlink>
    </w:p>
    <w:p w14:paraId="30F684F5" w14:textId="77777777" w:rsidR="000F2DBA" w:rsidRPr="007C0DC3" w:rsidRDefault="00000000">
      <w:pPr>
        <w:pStyle w:val="ListParagraph"/>
        <w:numPr>
          <w:ilvl w:val="0"/>
          <w:numId w:val="4"/>
        </w:numPr>
        <w:jc w:val="both"/>
      </w:pPr>
      <w:r w:rsidRPr="007C0DC3">
        <w:rPr>
          <w:rFonts w:ascii="Arial" w:hAnsi="Arial"/>
          <w:sz w:val="20"/>
        </w:rPr>
        <w:t xml:space="preserve">Kumar, A., Bali, V., Kumar, M., &amp; Pathak, K. (2013). Comparative evaluation of porous versus nonporous mucoadhesive films as buccal delivery system of glibenclamide. AAPS PharmSciTech, 14(4), 1321–1332. </w:t>
      </w:r>
      <w:hyperlink r:id="rId43">
        <w:r w:rsidR="000F2DBA" w:rsidRPr="007C0DC3">
          <w:rPr>
            <w:rFonts w:ascii="Arial" w:hAnsi="Arial"/>
            <w:color w:val="0563C1"/>
            <w:sz w:val="20"/>
            <w:szCs w:val="20"/>
            <w:u w:val="single"/>
          </w:rPr>
          <w:t>https://doi.org/10.1208/s12249-013-0014-6</w:t>
        </w:r>
      </w:hyperlink>
    </w:p>
    <w:p w14:paraId="7C576D2A" w14:textId="77777777" w:rsidR="00366662" w:rsidRPr="00DB14C0" w:rsidRDefault="00366662" w:rsidP="003708B6">
      <w:pPr>
        <w:spacing w:after="4" w:line="360" w:lineRule="auto"/>
        <w:ind w:right="113"/>
        <w:jc w:val="both"/>
        <w:rPr>
          <w:rFonts w:ascii="Arial" w:hAnsi="Arial" w:cs="Arial"/>
          <w:sz w:val="20"/>
          <w:szCs w:val="20"/>
        </w:rPr>
      </w:pPr>
    </w:p>
    <w:p w14:paraId="4103CD02" w14:textId="77777777" w:rsidR="00133C69" w:rsidRPr="00DB14C0" w:rsidRDefault="00133C69" w:rsidP="00573169">
      <w:pPr>
        <w:spacing w:after="4" w:line="360" w:lineRule="auto"/>
        <w:ind w:right="113"/>
        <w:jc w:val="both"/>
        <w:rPr>
          <w:rFonts w:ascii="Arial" w:hAnsi="Arial" w:cs="Arial"/>
          <w:sz w:val="20"/>
          <w:szCs w:val="20"/>
        </w:rPr>
      </w:pPr>
    </w:p>
    <w:p w14:paraId="49DC9D2B" w14:textId="77777777" w:rsidR="00935968" w:rsidRPr="00DB14C0" w:rsidRDefault="00935968" w:rsidP="00935968">
      <w:pPr>
        <w:spacing w:after="4" w:line="360" w:lineRule="auto"/>
        <w:ind w:right="113"/>
        <w:jc w:val="both"/>
        <w:rPr>
          <w:rFonts w:ascii="Arial" w:hAnsi="Arial" w:cs="Arial"/>
          <w:sz w:val="20"/>
          <w:szCs w:val="20"/>
        </w:rPr>
      </w:pPr>
    </w:p>
    <w:sectPr w:rsidR="00935968" w:rsidRPr="00DB14C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86E18" w14:textId="77777777" w:rsidR="00BB2D98" w:rsidRDefault="00BB2D98" w:rsidP="006A2CBA">
      <w:pPr>
        <w:spacing w:after="0" w:line="240" w:lineRule="auto"/>
      </w:pPr>
      <w:r>
        <w:separator/>
      </w:r>
    </w:p>
  </w:endnote>
  <w:endnote w:type="continuationSeparator" w:id="0">
    <w:p w14:paraId="2F0548F9" w14:textId="77777777" w:rsidR="00BB2D98" w:rsidRDefault="00BB2D98" w:rsidP="006A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09203" w14:textId="77777777" w:rsidR="00817D06" w:rsidRDefault="00817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5273" w14:textId="77777777" w:rsidR="00817D06" w:rsidRDefault="00817D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414EE" w14:textId="77777777" w:rsidR="00817D06" w:rsidRDefault="00817D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09051" w14:textId="77777777" w:rsidR="002C492A" w:rsidRPr="007A2520" w:rsidRDefault="002C492A" w:rsidP="00574ED5">
    <w:pPr>
      <w:pStyle w:val="Footer"/>
      <w:ind w:left="340" w:right="34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DB340" w14:textId="77777777" w:rsidR="00BB2D98" w:rsidRDefault="00BB2D98" w:rsidP="006A2CBA">
      <w:pPr>
        <w:spacing w:after="0" w:line="240" w:lineRule="auto"/>
      </w:pPr>
      <w:r>
        <w:separator/>
      </w:r>
    </w:p>
  </w:footnote>
  <w:footnote w:type="continuationSeparator" w:id="0">
    <w:p w14:paraId="47C5B084" w14:textId="77777777" w:rsidR="00BB2D98" w:rsidRDefault="00BB2D98" w:rsidP="006A2C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3AD56" w14:textId="41B86A07" w:rsidR="00817D06" w:rsidRDefault="00817D06">
    <w:pPr>
      <w:pStyle w:val="Header"/>
    </w:pPr>
    <w:r>
      <w:rPr>
        <w:noProof/>
      </w:rPr>
      <w:pict w14:anchorId="707132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488376"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3754D" w14:textId="27268FAE" w:rsidR="00817D06" w:rsidRDefault="00817D06">
    <w:pPr>
      <w:pStyle w:val="Header"/>
    </w:pPr>
    <w:r>
      <w:rPr>
        <w:noProof/>
      </w:rPr>
      <w:pict w14:anchorId="1C8EA3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488377"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DF821" w14:textId="64311EEC" w:rsidR="00817D06" w:rsidRDefault="00817D06">
    <w:pPr>
      <w:pStyle w:val="Header"/>
    </w:pPr>
    <w:r>
      <w:rPr>
        <w:noProof/>
      </w:rPr>
      <w:pict w14:anchorId="1A69B4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488375"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2F3A" w14:textId="50DC7923" w:rsidR="00817D06" w:rsidRDefault="00817D06">
    <w:pPr>
      <w:pStyle w:val="Header"/>
    </w:pPr>
    <w:r>
      <w:rPr>
        <w:noProof/>
      </w:rPr>
      <w:pict w14:anchorId="106369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488379" o:spid="_x0000_s1031" type="#_x0000_t136" style="position:absolute;margin-left:0;margin-top:0;width:535.8pt;height:100.45pt;rotation:315;z-index:-251644928;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43916BED">
        <v:shape id="_x0000_s1030" type="#_x0000_t136" style="position:absolute;margin-left:0;margin-top:0;width:535.8pt;height:100.45pt;rotation:315;z-index:-25164697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AA04" w14:textId="16A9D770" w:rsidR="00817D06" w:rsidRDefault="00817D06">
    <w:pPr>
      <w:pStyle w:val="Header"/>
    </w:pPr>
    <w:r>
      <w:rPr>
        <w:noProof/>
      </w:rPr>
      <w:pict w14:anchorId="1EC214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488380" o:spid="_x0000_s1033" type="#_x0000_t136" style="position:absolute;margin-left:0;margin-top:0;width:535.8pt;height:100.45pt;rotation:315;z-index:-251640832;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6B5A6265">
        <v:shape id="_x0000_s1032" type="#_x0000_t136" style="position:absolute;margin-left:0;margin-top:0;width:535.8pt;height:100.45pt;rotation:315;z-index:-25164288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603EB" w14:textId="7FA0F56A" w:rsidR="00817D06" w:rsidRDefault="00817D06">
    <w:pPr>
      <w:pStyle w:val="Header"/>
    </w:pPr>
    <w:r>
      <w:rPr>
        <w:noProof/>
      </w:rPr>
      <w:pict w14:anchorId="4CAF64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3488378" o:spid="_x0000_s1029" type="#_x0000_t136" style="position:absolute;margin-left:0;margin-top:0;width:535.8pt;height:100.45pt;rotation:315;z-index:-251649024;mso-position-horizontal:center;mso-position-horizontal-relative:margin;mso-position-vertical:center;mso-position-vertical-relative:margin" o:allowincell="f" fillcolor="silver" stroked="f">
          <v:fill opacity=".5"/>
          <v:textpath style="font-family:&quot;Calibri&quot;;font-size:1pt" string="UNDER PEER REVIEW"/>
        </v:shape>
      </w:pict>
    </w:r>
    <w:r>
      <w:rPr>
        <w:noProof/>
      </w:rPr>
      <w:pict w14:anchorId="51A83C81">
        <v:shape id="_x0000_s1028" type="#_x0000_t136" style="position:absolute;margin-left:0;margin-top:0;width:535.8pt;height:100.45pt;rotation:315;z-index:-251651072;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5076"/>
    <w:multiLevelType w:val="hybridMultilevel"/>
    <w:tmpl w:val="088E688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B726936"/>
    <w:multiLevelType w:val="hybridMultilevel"/>
    <w:tmpl w:val="2CF4D21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A2560E2"/>
    <w:multiLevelType w:val="hybridMultilevel"/>
    <w:tmpl w:val="0C8E12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79755040"/>
    <w:multiLevelType w:val="hybridMultilevel"/>
    <w:tmpl w:val="CA06FF8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25979282">
    <w:abstractNumId w:val="3"/>
  </w:num>
  <w:num w:numId="2" w16cid:durableId="2136021872">
    <w:abstractNumId w:val="1"/>
  </w:num>
  <w:num w:numId="3" w16cid:durableId="2054229632">
    <w:abstractNumId w:val="2"/>
  </w:num>
  <w:num w:numId="4" w16cid:durableId="145898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C02"/>
    <w:rsid w:val="00002BF3"/>
    <w:rsid w:val="00007DB7"/>
    <w:rsid w:val="0001038A"/>
    <w:rsid w:val="0001567D"/>
    <w:rsid w:val="00023D44"/>
    <w:rsid w:val="00027B28"/>
    <w:rsid w:val="00030644"/>
    <w:rsid w:val="00031CA0"/>
    <w:rsid w:val="000335E3"/>
    <w:rsid w:val="00044396"/>
    <w:rsid w:val="00050D6D"/>
    <w:rsid w:val="000524BB"/>
    <w:rsid w:val="00052ED3"/>
    <w:rsid w:val="00056428"/>
    <w:rsid w:val="00060391"/>
    <w:rsid w:val="000719FA"/>
    <w:rsid w:val="0007350D"/>
    <w:rsid w:val="00075073"/>
    <w:rsid w:val="00075D20"/>
    <w:rsid w:val="0008089B"/>
    <w:rsid w:val="00081685"/>
    <w:rsid w:val="00085937"/>
    <w:rsid w:val="00085DAD"/>
    <w:rsid w:val="00087D49"/>
    <w:rsid w:val="00087ED4"/>
    <w:rsid w:val="00092D5C"/>
    <w:rsid w:val="000A054F"/>
    <w:rsid w:val="000A2104"/>
    <w:rsid w:val="000C3D97"/>
    <w:rsid w:val="000C6ECF"/>
    <w:rsid w:val="000D63AE"/>
    <w:rsid w:val="000E1EB0"/>
    <w:rsid w:val="000F0B0E"/>
    <w:rsid w:val="000F1BD7"/>
    <w:rsid w:val="000F2DBA"/>
    <w:rsid w:val="000F47B5"/>
    <w:rsid w:val="00100A40"/>
    <w:rsid w:val="001015D9"/>
    <w:rsid w:val="0010685D"/>
    <w:rsid w:val="001069D7"/>
    <w:rsid w:val="001164AE"/>
    <w:rsid w:val="00133C69"/>
    <w:rsid w:val="001369A4"/>
    <w:rsid w:val="00141DF7"/>
    <w:rsid w:val="00160428"/>
    <w:rsid w:val="001610B8"/>
    <w:rsid w:val="001643CA"/>
    <w:rsid w:val="00164F14"/>
    <w:rsid w:val="00173C45"/>
    <w:rsid w:val="00175662"/>
    <w:rsid w:val="0017780A"/>
    <w:rsid w:val="001864D5"/>
    <w:rsid w:val="001A1286"/>
    <w:rsid w:val="001A510E"/>
    <w:rsid w:val="001B5324"/>
    <w:rsid w:val="001B566F"/>
    <w:rsid w:val="001C342D"/>
    <w:rsid w:val="001C384E"/>
    <w:rsid w:val="001C7F34"/>
    <w:rsid w:val="001E11AB"/>
    <w:rsid w:val="001E4D54"/>
    <w:rsid w:val="002002C4"/>
    <w:rsid w:val="002033F4"/>
    <w:rsid w:val="002059B7"/>
    <w:rsid w:val="00210AA1"/>
    <w:rsid w:val="00231370"/>
    <w:rsid w:val="002377CE"/>
    <w:rsid w:val="00237D41"/>
    <w:rsid w:val="002462F7"/>
    <w:rsid w:val="00250666"/>
    <w:rsid w:val="002559C5"/>
    <w:rsid w:val="002670BD"/>
    <w:rsid w:val="00272787"/>
    <w:rsid w:val="00283E29"/>
    <w:rsid w:val="0028539B"/>
    <w:rsid w:val="00290CA7"/>
    <w:rsid w:val="002A5E9C"/>
    <w:rsid w:val="002A7A04"/>
    <w:rsid w:val="002B4209"/>
    <w:rsid w:val="002B52DB"/>
    <w:rsid w:val="002B6CD4"/>
    <w:rsid w:val="002B7F58"/>
    <w:rsid w:val="002C0861"/>
    <w:rsid w:val="002C2AC8"/>
    <w:rsid w:val="002C492A"/>
    <w:rsid w:val="002C69A6"/>
    <w:rsid w:val="002D2C52"/>
    <w:rsid w:val="002E09D2"/>
    <w:rsid w:val="002E19F9"/>
    <w:rsid w:val="002E4685"/>
    <w:rsid w:val="002F33ED"/>
    <w:rsid w:val="002F3F78"/>
    <w:rsid w:val="002F5BB9"/>
    <w:rsid w:val="00307D7D"/>
    <w:rsid w:val="00311545"/>
    <w:rsid w:val="00313457"/>
    <w:rsid w:val="00320702"/>
    <w:rsid w:val="00324771"/>
    <w:rsid w:val="00327506"/>
    <w:rsid w:val="0033012F"/>
    <w:rsid w:val="0033466F"/>
    <w:rsid w:val="00334ABE"/>
    <w:rsid w:val="003412CA"/>
    <w:rsid w:val="003523B7"/>
    <w:rsid w:val="00363D87"/>
    <w:rsid w:val="00366662"/>
    <w:rsid w:val="0036708B"/>
    <w:rsid w:val="003708B6"/>
    <w:rsid w:val="0037695A"/>
    <w:rsid w:val="00380A17"/>
    <w:rsid w:val="00384C12"/>
    <w:rsid w:val="00384C67"/>
    <w:rsid w:val="00391615"/>
    <w:rsid w:val="00397782"/>
    <w:rsid w:val="003A242A"/>
    <w:rsid w:val="003B34AE"/>
    <w:rsid w:val="003B34CA"/>
    <w:rsid w:val="003B6532"/>
    <w:rsid w:val="003C00BC"/>
    <w:rsid w:val="003D11D8"/>
    <w:rsid w:val="003E068C"/>
    <w:rsid w:val="003E1B18"/>
    <w:rsid w:val="003E202A"/>
    <w:rsid w:val="003F3D91"/>
    <w:rsid w:val="003F4C70"/>
    <w:rsid w:val="003F76C5"/>
    <w:rsid w:val="004014D8"/>
    <w:rsid w:val="00406644"/>
    <w:rsid w:val="00411A9C"/>
    <w:rsid w:val="004122FA"/>
    <w:rsid w:val="004176E1"/>
    <w:rsid w:val="004327F9"/>
    <w:rsid w:val="004414BF"/>
    <w:rsid w:val="00443D7A"/>
    <w:rsid w:val="00450F62"/>
    <w:rsid w:val="004617EB"/>
    <w:rsid w:val="00464EDD"/>
    <w:rsid w:val="00466EF9"/>
    <w:rsid w:val="004716B7"/>
    <w:rsid w:val="00474802"/>
    <w:rsid w:val="0047670D"/>
    <w:rsid w:val="00481CF9"/>
    <w:rsid w:val="004833F9"/>
    <w:rsid w:val="00497A5B"/>
    <w:rsid w:val="004B0042"/>
    <w:rsid w:val="004B007E"/>
    <w:rsid w:val="004B0812"/>
    <w:rsid w:val="004B117D"/>
    <w:rsid w:val="004B2639"/>
    <w:rsid w:val="004B3951"/>
    <w:rsid w:val="004B3A35"/>
    <w:rsid w:val="004B597E"/>
    <w:rsid w:val="004C78B9"/>
    <w:rsid w:val="004D4EA2"/>
    <w:rsid w:val="004D5AF1"/>
    <w:rsid w:val="004E18DE"/>
    <w:rsid w:val="004F6C69"/>
    <w:rsid w:val="00502B41"/>
    <w:rsid w:val="00506207"/>
    <w:rsid w:val="0050650D"/>
    <w:rsid w:val="00511722"/>
    <w:rsid w:val="00515537"/>
    <w:rsid w:val="00515A27"/>
    <w:rsid w:val="00520A26"/>
    <w:rsid w:val="00522E00"/>
    <w:rsid w:val="005233D6"/>
    <w:rsid w:val="00537BCE"/>
    <w:rsid w:val="00543B21"/>
    <w:rsid w:val="005510A7"/>
    <w:rsid w:val="0055793A"/>
    <w:rsid w:val="00560CFF"/>
    <w:rsid w:val="005644FF"/>
    <w:rsid w:val="00571796"/>
    <w:rsid w:val="00571DAA"/>
    <w:rsid w:val="00573169"/>
    <w:rsid w:val="00574494"/>
    <w:rsid w:val="0057452C"/>
    <w:rsid w:val="00574C63"/>
    <w:rsid w:val="00574ED5"/>
    <w:rsid w:val="0059364A"/>
    <w:rsid w:val="0059371B"/>
    <w:rsid w:val="00596E4B"/>
    <w:rsid w:val="005A1BA8"/>
    <w:rsid w:val="005A2A62"/>
    <w:rsid w:val="005B4926"/>
    <w:rsid w:val="005B5E64"/>
    <w:rsid w:val="005B6526"/>
    <w:rsid w:val="005C0F52"/>
    <w:rsid w:val="005C2D12"/>
    <w:rsid w:val="005C38E0"/>
    <w:rsid w:val="005C4330"/>
    <w:rsid w:val="005C6160"/>
    <w:rsid w:val="005C7C4D"/>
    <w:rsid w:val="005D0E0D"/>
    <w:rsid w:val="005D5238"/>
    <w:rsid w:val="005E5915"/>
    <w:rsid w:val="005E7876"/>
    <w:rsid w:val="00606C24"/>
    <w:rsid w:val="00611AEF"/>
    <w:rsid w:val="00615F1C"/>
    <w:rsid w:val="006257AB"/>
    <w:rsid w:val="0062738F"/>
    <w:rsid w:val="0062763C"/>
    <w:rsid w:val="00633757"/>
    <w:rsid w:val="006342FF"/>
    <w:rsid w:val="00640689"/>
    <w:rsid w:val="0064073D"/>
    <w:rsid w:val="00651C6B"/>
    <w:rsid w:val="00656E98"/>
    <w:rsid w:val="00661BB0"/>
    <w:rsid w:val="00663751"/>
    <w:rsid w:val="006753C5"/>
    <w:rsid w:val="00683118"/>
    <w:rsid w:val="006877FB"/>
    <w:rsid w:val="00695448"/>
    <w:rsid w:val="006A2CBA"/>
    <w:rsid w:val="006A3433"/>
    <w:rsid w:val="006B7235"/>
    <w:rsid w:val="006C0240"/>
    <w:rsid w:val="006C18EA"/>
    <w:rsid w:val="006C7212"/>
    <w:rsid w:val="006D5998"/>
    <w:rsid w:val="006D7E6B"/>
    <w:rsid w:val="006E1E68"/>
    <w:rsid w:val="006F5918"/>
    <w:rsid w:val="00701627"/>
    <w:rsid w:val="007031B9"/>
    <w:rsid w:val="00707349"/>
    <w:rsid w:val="00711B9D"/>
    <w:rsid w:val="0071208A"/>
    <w:rsid w:val="00712E48"/>
    <w:rsid w:val="00721A78"/>
    <w:rsid w:val="00726C02"/>
    <w:rsid w:val="007309DE"/>
    <w:rsid w:val="00730DD1"/>
    <w:rsid w:val="00735E3A"/>
    <w:rsid w:val="007565AC"/>
    <w:rsid w:val="00761EA5"/>
    <w:rsid w:val="00765B33"/>
    <w:rsid w:val="00770B1B"/>
    <w:rsid w:val="00771947"/>
    <w:rsid w:val="00772DE8"/>
    <w:rsid w:val="00791E1C"/>
    <w:rsid w:val="00792B2C"/>
    <w:rsid w:val="00796ED0"/>
    <w:rsid w:val="007A00CB"/>
    <w:rsid w:val="007A216C"/>
    <w:rsid w:val="007A2520"/>
    <w:rsid w:val="007A4C8B"/>
    <w:rsid w:val="007B0674"/>
    <w:rsid w:val="007B7D82"/>
    <w:rsid w:val="007C0DC3"/>
    <w:rsid w:val="007C53FD"/>
    <w:rsid w:val="007D1626"/>
    <w:rsid w:val="007D6EA1"/>
    <w:rsid w:val="007D7ADF"/>
    <w:rsid w:val="007E4083"/>
    <w:rsid w:val="007E4823"/>
    <w:rsid w:val="007E540F"/>
    <w:rsid w:val="007F14E7"/>
    <w:rsid w:val="007F257D"/>
    <w:rsid w:val="008118D3"/>
    <w:rsid w:val="008165A0"/>
    <w:rsid w:val="00817D06"/>
    <w:rsid w:val="008255E1"/>
    <w:rsid w:val="00826FF1"/>
    <w:rsid w:val="00831B3D"/>
    <w:rsid w:val="0083458D"/>
    <w:rsid w:val="0083778A"/>
    <w:rsid w:val="00841A67"/>
    <w:rsid w:val="00841EF5"/>
    <w:rsid w:val="00844532"/>
    <w:rsid w:val="00845ADF"/>
    <w:rsid w:val="008511EA"/>
    <w:rsid w:val="00856D0E"/>
    <w:rsid w:val="00885334"/>
    <w:rsid w:val="008A3ACF"/>
    <w:rsid w:val="008A4207"/>
    <w:rsid w:val="008A4A74"/>
    <w:rsid w:val="008C0BF1"/>
    <w:rsid w:val="008C127E"/>
    <w:rsid w:val="008D39D0"/>
    <w:rsid w:val="008D5B60"/>
    <w:rsid w:val="008E4A52"/>
    <w:rsid w:val="00901037"/>
    <w:rsid w:val="00903665"/>
    <w:rsid w:val="009043CD"/>
    <w:rsid w:val="00912EEF"/>
    <w:rsid w:val="009145C4"/>
    <w:rsid w:val="00916583"/>
    <w:rsid w:val="009171DE"/>
    <w:rsid w:val="00920ECD"/>
    <w:rsid w:val="00923CC8"/>
    <w:rsid w:val="0092639C"/>
    <w:rsid w:val="009268EE"/>
    <w:rsid w:val="00935968"/>
    <w:rsid w:val="00941391"/>
    <w:rsid w:val="00946694"/>
    <w:rsid w:val="009547D1"/>
    <w:rsid w:val="00961DD6"/>
    <w:rsid w:val="00961E03"/>
    <w:rsid w:val="00964CEB"/>
    <w:rsid w:val="00966A06"/>
    <w:rsid w:val="00972FCF"/>
    <w:rsid w:val="009732AF"/>
    <w:rsid w:val="00974103"/>
    <w:rsid w:val="00982177"/>
    <w:rsid w:val="009822BD"/>
    <w:rsid w:val="00987B47"/>
    <w:rsid w:val="009917B0"/>
    <w:rsid w:val="00991AA6"/>
    <w:rsid w:val="00992727"/>
    <w:rsid w:val="00992BB3"/>
    <w:rsid w:val="009A0149"/>
    <w:rsid w:val="009A304A"/>
    <w:rsid w:val="009B11A8"/>
    <w:rsid w:val="009B66E3"/>
    <w:rsid w:val="009B6DA7"/>
    <w:rsid w:val="009B794A"/>
    <w:rsid w:val="009C069B"/>
    <w:rsid w:val="009C1863"/>
    <w:rsid w:val="009C48BA"/>
    <w:rsid w:val="009D4653"/>
    <w:rsid w:val="009D7FE6"/>
    <w:rsid w:val="009F435F"/>
    <w:rsid w:val="009F5F14"/>
    <w:rsid w:val="00A03434"/>
    <w:rsid w:val="00A113A5"/>
    <w:rsid w:val="00A13CC8"/>
    <w:rsid w:val="00A154D7"/>
    <w:rsid w:val="00A21F60"/>
    <w:rsid w:val="00A26423"/>
    <w:rsid w:val="00A4246E"/>
    <w:rsid w:val="00A444CD"/>
    <w:rsid w:val="00A45637"/>
    <w:rsid w:val="00A47668"/>
    <w:rsid w:val="00A51707"/>
    <w:rsid w:val="00A54A96"/>
    <w:rsid w:val="00A54E32"/>
    <w:rsid w:val="00A56795"/>
    <w:rsid w:val="00A56BAE"/>
    <w:rsid w:val="00A64A4A"/>
    <w:rsid w:val="00A70C6C"/>
    <w:rsid w:val="00A83CA8"/>
    <w:rsid w:val="00A8512E"/>
    <w:rsid w:val="00A855D8"/>
    <w:rsid w:val="00A9665F"/>
    <w:rsid w:val="00A96D99"/>
    <w:rsid w:val="00AA1746"/>
    <w:rsid w:val="00AA2AA4"/>
    <w:rsid w:val="00AA5132"/>
    <w:rsid w:val="00AA5FD4"/>
    <w:rsid w:val="00AA6DDE"/>
    <w:rsid w:val="00AA7CC0"/>
    <w:rsid w:val="00AB34BD"/>
    <w:rsid w:val="00AB3586"/>
    <w:rsid w:val="00AC3107"/>
    <w:rsid w:val="00AD36B3"/>
    <w:rsid w:val="00AE39AF"/>
    <w:rsid w:val="00AE79D0"/>
    <w:rsid w:val="00AF1E94"/>
    <w:rsid w:val="00AF513D"/>
    <w:rsid w:val="00B12E09"/>
    <w:rsid w:val="00B20CC9"/>
    <w:rsid w:val="00B23D30"/>
    <w:rsid w:val="00B577AE"/>
    <w:rsid w:val="00B609ED"/>
    <w:rsid w:val="00B666C2"/>
    <w:rsid w:val="00B6692E"/>
    <w:rsid w:val="00B710C1"/>
    <w:rsid w:val="00B743E1"/>
    <w:rsid w:val="00B748D3"/>
    <w:rsid w:val="00B7707D"/>
    <w:rsid w:val="00B807FD"/>
    <w:rsid w:val="00B80E2A"/>
    <w:rsid w:val="00B81CD8"/>
    <w:rsid w:val="00B8246D"/>
    <w:rsid w:val="00B875F2"/>
    <w:rsid w:val="00B91BFE"/>
    <w:rsid w:val="00B92A9C"/>
    <w:rsid w:val="00BA7C02"/>
    <w:rsid w:val="00BA7E2E"/>
    <w:rsid w:val="00BB2193"/>
    <w:rsid w:val="00BB2D98"/>
    <w:rsid w:val="00BB643A"/>
    <w:rsid w:val="00BB7577"/>
    <w:rsid w:val="00BC36A2"/>
    <w:rsid w:val="00BC626B"/>
    <w:rsid w:val="00BD154F"/>
    <w:rsid w:val="00BD5588"/>
    <w:rsid w:val="00BE0E07"/>
    <w:rsid w:val="00BE7FEC"/>
    <w:rsid w:val="00BF0E87"/>
    <w:rsid w:val="00BF702E"/>
    <w:rsid w:val="00BF7D2E"/>
    <w:rsid w:val="00C02764"/>
    <w:rsid w:val="00C11124"/>
    <w:rsid w:val="00C1606E"/>
    <w:rsid w:val="00C27275"/>
    <w:rsid w:val="00C34425"/>
    <w:rsid w:val="00C366C0"/>
    <w:rsid w:val="00C45C8B"/>
    <w:rsid w:val="00C50192"/>
    <w:rsid w:val="00C652A0"/>
    <w:rsid w:val="00C656CB"/>
    <w:rsid w:val="00C663BF"/>
    <w:rsid w:val="00C72235"/>
    <w:rsid w:val="00C72FF4"/>
    <w:rsid w:val="00C76023"/>
    <w:rsid w:val="00C76160"/>
    <w:rsid w:val="00C8158E"/>
    <w:rsid w:val="00C83EFE"/>
    <w:rsid w:val="00C91A27"/>
    <w:rsid w:val="00CB1A61"/>
    <w:rsid w:val="00CB3621"/>
    <w:rsid w:val="00CB3680"/>
    <w:rsid w:val="00CB3707"/>
    <w:rsid w:val="00CB571D"/>
    <w:rsid w:val="00CB5FFE"/>
    <w:rsid w:val="00CC262F"/>
    <w:rsid w:val="00CC5E96"/>
    <w:rsid w:val="00CD1F16"/>
    <w:rsid w:val="00CE002A"/>
    <w:rsid w:val="00CE0C46"/>
    <w:rsid w:val="00CE6F5B"/>
    <w:rsid w:val="00CF3ACF"/>
    <w:rsid w:val="00CF5819"/>
    <w:rsid w:val="00CF5A94"/>
    <w:rsid w:val="00D00742"/>
    <w:rsid w:val="00D00D84"/>
    <w:rsid w:val="00D02643"/>
    <w:rsid w:val="00D05540"/>
    <w:rsid w:val="00D0674E"/>
    <w:rsid w:val="00D12C95"/>
    <w:rsid w:val="00D15EE6"/>
    <w:rsid w:val="00D1600E"/>
    <w:rsid w:val="00D22196"/>
    <w:rsid w:val="00D23DE9"/>
    <w:rsid w:val="00D26924"/>
    <w:rsid w:val="00D31C32"/>
    <w:rsid w:val="00D34E72"/>
    <w:rsid w:val="00D40373"/>
    <w:rsid w:val="00D42A3C"/>
    <w:rsid w:val="00D436C9"/>
    <w:rsid w:val="00D619FE"/>
    <w:rsid w:val="00D6391C"/>
    <w:rsid w:val="00D751B2"/>
    <w:rsid w:val="00D8286E"/>
    <w:rsid w:val="00D921E6"/>
    <w:rsid w:val="00D96707"/>
    <w:rsid w:val="00DA4E64"/>
    <w:rsid w:val="00DA56BF"/>
    <w:rsid w:val="00DB040A"/>
    <w:rsid w:val="00DB14C0"/>
    <w:rsid w:val="00DB5168"/>
    <w:rsid w:val="00DC008C"/>
    <w:rsid w:val="00DC0F2A"/>
    <w:rsid w:val="00DC11C4"/>
    <w:rsid w:val="00DC7B1E"/>
    <w:rsid w:val="00DE045E"/>
    <w:rsid w:val="00DE2CE5"/>
    <w:rsid w:val="00E01103"/>
    <w:rsid w:val="00E10CA1"/>
    <w:rsid w:val="00E113BC"/>
    <w:rsid w:val="00E11514"/>
    <w:rsid w:val="00E156B0"/>
    <w:rsid w:val="00E17344"/>
    <w:rsid w:val="00E27E80"/>
    <w:rsid w:val="00E32613"/>
    <w:rsid w:val="00E41717"/>
    <w:rsid w:val="00E5078A"/>
    <w:rsid w:val="00E517D8"/>
    <w:rsid w:val="00E51E55"/>
    <w:rsid w:val="00E60C8E"/>
    <w:rsid w:val="00E63731"/>
    <w:rsid w:val="00E66E16"/>
    <w:rsid w:val="00E6731D"/>
    <w:rsid w:val="00E70106"/>
    <w:rsid w:val="00E73D56"/>
    <w:rsid w:val="00E76B72"/>
    <w:rsid w:val="00E80726"/>
    <w:rsid w:val="00E85485"/>
    <w:rsid w:val="00E940A0"/>
    <w:rsid w:val="00EA0368"/>
    <w:rsid w:val="00EB4711"/>
    <w:rsid w:val="00EF02AB"/>
    <w:rsid w:val="00EF0F30"/>
    <w:rsid w:val="00EF499D"/>
    <w:rsid w:val="00F075DB"/>
    <w:rsid w:val="00F14AA5"/>
    <w:rsid w:val="00F1510A"/>
    <w:rsid w:val="00F16360"/>
    <w:rsid w:val="00F16BF0"/>
    <w:rsid w:val="00F174E8"/>
    <w:rsid w:val="00F20336"/>
    <w:rsid w:val="00F20E22"/>
    <w:rsid w:val="00F23974"/>
    <w:rsid w:val="00F25A7F"/>
    <w:rsid w:val="00F26329"/>
    <w:rsid w:val="00F27AA9"/>
    <w:rsid w:val="00F32539"/>
    <w:rsid w:val="00F371BF"/>
    <w:rsid w:val="00F37306"/>
    <w:rsid w:val="00F42F8A"/>
    <w:rsid w:val="00F42FB6"/>
    <w:rsid w:val="00F50624"/>
    <w:rsid w:val="00F52E12"/>
    <w:rsid w:val="00F56441"/>
    <w:rsid w:val="00F62B31"/>
    <w:rsid w:val="00F7317C"/>
    <w:rsid w:val="00F766EC"/>
    <w:rsid w:val="00F84B4C"/>
    <w:rsid w:val="00F92483"/>
    <w:rsid w:val="00F968C3"/>
    <w:rsid w:val="00FA4BDA"/>
    <w:rsid w:val="00FB6FE0"/>
    <w:rsid w:val="00FB721C"/>
    <w:rsid w:val="00FC1732"/>
    <w:rsid w:val="00FD4F3E"/>
    <w:rsid w:val="00FD5D9F"/>
    <w:rsid w:val="00FD6B6D"/>
    <w:rsid w:val="00FE583B"/>
    <w:rsid w:val="00FF24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F6E2A"/>
  <w15:chartTrackingRefBased/>
  <w15:docId w15:val="{FCFDAB0B-4A14-438C-9643-2FC18BB7D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7C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C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C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C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7C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7C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C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C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C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C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C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7C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C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7C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7C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7C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7C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7C02"/>
    <w:rPr>
      <w:rFonts w:eastAsiaTheme="majorEastAsia" w:cstheme="majorBidi"/>
      <w:color w:val="272727" w:themeColor="text1" w:themeTint="D8"/>
    </w:rPr>
  </w:style>
  <w:style w:type="paragraph" w:styleId="Title">
    <w:name w:val="Title"/>
    <w:basedOn w:val="Normal"/>
    <w:next w:val="Normal"/>
    <w:link w:val="TitleChar"/>
    <w:uiPriority w:val="10"/>
    <w:qFormat/>
    <w:rsid w:val="00BA7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C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C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C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7C02"/>
    <w:pPr>
      <w:spacing w:before="160"/>
      <w:jc w:val="center"/>
    </w:pPr>
    <w:rPr>
      <w:i/>
      <w:iCs/>
      <w:color w:val="404040" w:themeColor="text1" w:themeTint="BF"/>
    </w:rPr>
  </w:style>
  <w:style w:type="character" w:customStyle="1" w:styleId="QuoteChar">
    <w:name w:val="Quote Char"/>
    <w:basedOn w:val="DefaultParagraphFont"/>
    <w:link w:val="Quote"/>
    <w:uiPriority w:val="29"/>
    <w:rsid w:val="00BA7C02"/>
    <w:rPr>
      <w:i/>
      <w:iCs/>
      <w:color w:val="404040" w:themeColor="text1" w:themeTint="BF"/>
    </w:rPr>
  </w:style>
  <w:style w:type="paragraph" w:styleId="ListParagraph">
    <w:name w:val="List Paragraph"/>
    <w:basedOn w:val="Normal"/>
    <w:uiPriority w:val="1"/>
    <w:qFormat/>
    <w:rsid w:val="00BA7C02"/>
    <w:pPr>
      <w:ind w:left="720"/>
      <w:contextualSpacing/>
    </w:pPr>
  </w:style>
  <w:style w:type="character" w:styleId="IntenseEmphasis">
    <w:name w:val="Intense Emphasis"/>
    <w:basedOn w:val="DefaultParagraphFont"/>
    <w:uiPriority w:val="21"/>
    <w:qFormat/>
    <w:rsid w:val="00BA7C02"/>
    <w:rPr>
      <w:i/>
      <w:iCs/>
      <w:color w:val="0F4761" w:themeColor="accent1" w:themeShade="BF"/>
    </w:rPr>
  </w:style>
  <w:style w:type="paragraph" w:styleId="IntenseQuote">
    <w:name w:val="Intense Quote"/>
    <w:basedOn w:val="Normal"/>
    <w:next w:val="Normal"/>
    <w:link w:val="IntenseQuoteChar"/>
    <w:uiPriority w:val="30"/>
    <w:qFormat/>
    <w:rsid w:val="00BA7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C02"/>
    <w:rPr>
      <w:i/>
      <w:iCs/>
      <w:color w:val="0F4761" w:themeColor="accent1" w:themeShade="BF"/>
    </w:rPr>
  </w:style>
  <w:style w:type="character" w:styleId="IntenseReference">
    <w:name w:val="Intense Reference"/>
    <w:basedOn w:val="DefaultParagraphFont"/>
    <w:uiPriority w:val="32"/>
    <w:qFormat/>
    <w:rsid w:val="00BA7C02"/>
    <w:rPr>
      <w:b/>
      <w:bCs/>
      <w:smallCaps/>
      <w:color w:val="0F4761" w:themeColor="accent1" w:themeShade="BF"/>
      <w:spacing w:val="5"/>
    </w:rPr>
  </w:style>
  <w:style w:type="table" w:styleId="TableGrid">
    <w:name w:val="Table Grid"/>
    <w:basedOn w:val="TableNormal"/>
    <w:uiPriority w:val="39"/>
    <w:rsid w:val="0033466F"/>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A2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2CBA"/>
  </w:style>
  <w:style w:type="paragraph" w:styleId="Footer">
    <w:name w:val="footer"/>
    <w:basedOn w:val="Normal"/>
    <w:link w:val="FooterChar"/>
    <w:uiPriority w:val="99"/>
    <w:unhideWhenUsed/>
    <w:rsid w:val="006A2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2CBA"/>
  </w:style>
  <w:style w:type="paragraph" w:styleId="BodyText">
    <w:name w:val="Body Text"/>
    <w:basedOn w:val="Normal"/>
    <w:link w:val="BodyTextChar"/>
    <w:uiPriority w:val="1"/>
    <w:qFormat/>
    <w:rsid w:val="00F37306"/>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F37306"/>
    <w:rPr>
      <w:rFonts w:ascii="Times New Roman" w:eastAsia="Times New Roman" w:hAnsi="Times New Roman" w:cs="Times New Roman"/>
      <w:kern w:val="0"/>
      <w:lang w:val="en-US"/>
      <w14:ligatures w14:val="none"/>
    </w:rPr>
  </w:style>
  <w:style w:type="table" w:styleId="PlainTable2">
    <w:name w:val="Plain Table 2"/>
    <w:basedOn w:val="TableNormal"/>
    <w:uiPriority w:val="42"/>
    <w:rsid w:val="00C656C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7E540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55793A"/>
    <w:rPr>
      <w:color w:val="467886" w:themeColor="hyperlink"/>
      <w:u w:val="single"/>
    </w:rPr>
  </w:style>
  <w:style w:type="character" w:styleId="UnresolvedMention">
    <w:name w:val="Unresolved Mention"/>
    <w:basedOn w:val="DefaultParagraphFont"/>
    <w:uiPriority w:val="99"/>
    <w:semiHidden/>
    <w:unhideWhenUsed/>
    <w:rsid w:val="00557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1.jpeg"/><Relationship Id="rId26" Type="http://schemas.openxmlformats.org/officeDocument/2006/relationships/hyperlink" Target="https://doi.org/10.1039/C0AY00017E" TargetMode="External"/><Relationship Id="rId39" Type="http://schemas.openxmlformats.org/officeDocument/2006/relationships/hyperlink" Target="https://doi.org/10.4103/0250-474X.40330" TargetMode="External"/><Relationship Id="rId21" Type="http://schemas.openxmlformats.org/officeDocument/2006/relationships/image" Target="media/image4.png"/><Relationship Id="rId34" Type="http://schemas.openxmlformats.org/officeDocument/2006/relationships/hyperlink" Target="https://doi.org/10.1016/j.ejpb.2010.11.023" TargetMode="External"/><Relationship Id="rId42" Type="http://schemas.openxmlformats.org/officeDocument/2006/relationships/hyperlink" Target="https://doi.org/10.3390/pharmaceutics1305072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1016/j.colsurfb.2010.07.0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tif"/><Relationship Id="rId32" Type="http://schemas.openxmlformats.org/officeDocument/2006/relationships/hyperlink" Target="https://doi.org/10.1097/00007691-200004000-00009" TargetMode="External"/><Relationship Id="rId37" Type="http://schemas.openxmlformats.org/officeDocument/2006/relationships/hyperlink" Target="https://doi.org/10.1016/j.jsps.2011.07.003" TargetMode="External"/><Relationship Id="rId40" Type="http://schemas.openxmlformats.org/officeDocument/2006/relationships/hyperlink" Target="https://doi.org/10.4103/2230-973X.108963"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6.png"/><Relationship Id="rId28" Type="http://schemas.openxmlformats.org/officeDocument/2006/relationships/hyperlink" Target="https://doi.org/10.18579/jopcr/v18.3.patel" TargetMode="External"/><Relationship Id="rId36" Type="http://schemas.openxmlformats.org/officeDocument/2006/relationships/hyperlink" Target="https://doi.org/10.1016/j.addr.2005.07.001" TargetMode="External"/><Relationship Id="rId10" Type="http://schemas.openxmlformats.org/officeDocument/2006/relationships/footer" Target="footer1.xml"/><Relationship Id="rId19" Type="http://schemas.openxmlformats.org/officeDocument/2006/relationships/image" Target="media/image2.jpeg"/><Relationship Id="rId31" Type="http://schemas.openxmlformats.org/officeDocument/2006/relationships/hyperlink" Target="https://doi.org/10.1016/S0378-4347(96)00510-5"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5.jpeg"/><Relationship Id="rId27" Type="http://schemas.openxmlformats.org/officeDocument/2006/relationships/hyperlink" Target="https://doi.org/10.1016/j.ejfs.2016.05.007" TargetMode="External"/><Relationship Id="rId30" Type="http://schemas.openxmlformats.org/officeDocument/2006/relationships/hyperlink" Target="https://doi.org/10.1016/S0378-4347(97)00327-7" TargetMode="External"/><Relationship Id="rId35" Type="http://schemas.openxmlformats.org/officeDocument/2006/relationships/hyperlink" Target="https://doi.org/10.1016/j.ejpb.2008.09.028" TargetMode="External"/><Relationship Id="rId43" Type="http://schemas.openxmlformats.org/officeDocument/2006/relationships/hyperlink" Target="https://doi.org/10.1208/s12249-013-0014-6"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doi.org/10.3390/ph16020265" TargetMode="External"/><Relationship Id="rId33" Type="http://schemas.openxmlformats.org/officeDocument/2006/relationships/hyperlink" Target="https://doi.org/10.1186/s13065-023-00938-x" TargetMode="External"/><Relationship Id="rId38" Type="http://schemas.openxmlformats.org/officeDocument/2006/relationships/hyperlink" Target="https://doi.org/10.4103/2230-973X.76728" TargetMode="External"/><Relationship Id="rId20" Type="http://schemas.openxmlformats.org/officeDocument/2006/relationships/image" Target="media/image3.jpeg"/><Relationship Id="rId41" Type="http://schemas.openxmlformats.org/officeDocument/2006/relationships/hyperlink" Target="https://doi.org/10.1208/s12249-010-9459-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D6CFA-8858-4ABA-82E6-2D4893CA0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22</Pages>
  <Words>6098</Words>
  <Characters>34762</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Kousalya Mohan</dc:creator>
  <cp:keywords/>
  <dc:description/>
  <cp:lastModifiedBy>SDI 1166</cp:lastModifiedBy>
  <cp:revision>504</cp:revision>
  <dcterms:created xsi:type="dcterms:W3CDTF">2026-09-29T12:20:00Z</dcterms:created>
  <dcterms:modified xsi:type="dcterms:W3CDTF">2026-10-08T09:54:00Z</dcterms:modified>
</cp:coreProperties>
</file>