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DF212" w14:textId="77777777" w:rsidR="00614808" w:rsidRDefault="00000000">
      <w:pPr>
        <w:pStyle w:val="NormalWeb"/>
        <w:rPr>
          <w:rStyle w:val="Emphasis"/>
          <w:b/>
          <w:bCs/>
        </w:rPr>
      </w:pPr>
      <w:r>
        <w:rPr>
          <w:rStyle w:val="Emphasis"/>
          <w:b/>
          <w:bCs/>
        </w:rPr>
        <w:t>Drug Shortages and Access to Essential Medicines: A Policy and Governance Framework for the United States</w:t>
      </w:r>
    </w:p>
    <w:p w14:paraId="43270EA1" w14:textId="77777777" w:rsidR="00614808" w:rsidRDefault="00614808">
      <w:pPr>
        <w:pStyle w:val="NormalWeb"/>
        <w:rPr>
          <w:rStyle w:val="Emphasis"/>
          <w:b/>
          <w:bCs/>
        </w:rPr>
      </w:pPr>
    </w:p>
    <w:p w14:paraId="4C6912F3" w14:textId="77777777" w:rsidR="00614808" w:rsidRDefault="00000000">
      <w:pPr>
        <w:pStyle w:val="NormalWeb"/>
        <w:rPr>
          <w:rStyle w:val="Emphasis"/>
          <w:b/>
          <w:bCs/>
        </w:rPr>
      </w:pPr>
      <w:r>
        <w:rPr>
          <w:rStyle w:val="Emphasis"/>
          <w:b/>
          <w:bCs/>
        </w:rPr>
        <w:t>Abstract</w:t>
      </w:r>
    </w:p>
    <w:p w14:paraId="7608D3A8" w14:textId="77777777" w:rsidR="00614808" w:rsidRDefault="00000000">
      <w:pPr>
        <w:pStyle w:val="NormalWeb"/>
      </w:pPr>
      <w:r>
        <w:t>Enduring drug shortages continue to be a major problem in the United States, impacting access to critical drugs, continuity of care, patient safety and health-system resilience. These shortages are not just a series of production failures, but rather the interrelated structural, economic, regulatory and governance vulnerabilities. This narrative review uses a multi-level policy, governance, and access approach to assess the drivers and current actions taken by the U.S. healthcare system to address drug shortages, identify policy and evidence gaps, and propose a roadmap for enhancing healthcare system resilience. Thematic synthesis of evidence from peer-reviewed literature, government and regulatory reports and relevant policy literature. Based on the analysis, certain factors can interact to increase the supply vulnerability of the essential generic medicines, such as manufacturing concentration, limited supply redundancy, fragile economics of essential generic medicines, upstream dependencies, and procurement incentives. The risks are magnified due to lack of visibility in the supply chain and a lack of accountability among manufacturers, regulators, purchasers, distributors and healthcare institutions. As such, existing responses can reduce individual disruptions without putting in place programs that address conditions which allow shortages to reoccur. In addition, medicine availability may be affected in an unequal manner due to variations in the capacity of health care providers to acquire substitutes or respond to shortages. This review suggests an integrated framework of six continuous functions: Prevent, Detect, Coordinate, Protect Access, Recover, and Learn, with transparency, accountability, incentive alignment and equity. Drug shortages then should be treated as a systemic governance and essential medicines access issue that needs coordinated prevention, incentives to be resilient against drug shortages, actionable information, explicit accountability and safeguards to ensure equitable medicines access.</w:t>
      </w:r>
    </w:p>
    <w:p w14:paraId="4BACDD00" w14:textId="77777777" w:rsidR="00614808" w:rsidRDefault="00000000">
      <w:pPr>
        <w:pStyle w:val="NormalWeb"/>
      </w:pPr>
      <w:r>
        <w:rPr>
          <w:rStyle w:val="Strong"/>
        </w:rPr>
        <w:t>Keywords:</w:t>
      </w:r>
      <w:r>
        <w:t xml:space="preserve"> Drug shortages; essential medicines; pharmaceutical supply chain; health policy; governance; supply-chain resilience; medicine access; health equity</w:t>
      </w:r>
    </w:p>
    <w:p w14:paraId="41A72456"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1. Introduction</w:t>
      </w:r>
    </w:p>
    <w:p w14:paraId="4429E131"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 xml:space="preserve">Drug shortages are a recurring problem in the United States health care system that impacts access to timely and consistent medicines for </w:t>
      </w:r>
      <w:proofErr w:type="spellStart"/>
      <w:r>
        <w:rPr>
          <w:rFonts w:ascii="Times New Roman" w:hAnsi="Times New Roman" w:hint="default"/>
          <w:b w:val="0"/>
          <w:bCs w:val="0"/>
          <w:sz w:val="24"/>
          <w:szCs w:val="24"/>
        </w:rPr>
        <w:t>everyday</w:t>
      </w:r>
      <w:proofErr w:type="spellEnd"/>
      <w:r>
        <w:rPr>
          <w:rFonts w:ascii="Times New Roman" w:hAnsi="Times New Roman" w:hint="default"/>
          <w:b w:val="0"/>
          <w:bCs w:val="0"/>
          <w:sz w:val="24"/>
          <w:szCs w:val="24"/>
        </w:rPr>
        <w:t>, acute and life-saving treatment</w:t>
      </w:r>
      <w:r>
        <w:rPr>
          <w:rFonts w:ascii="Times New Roman" w:hAnsi="Times New Roman" w:hint="default"/>
          <w:b w:val="0"/>
          <w:sz w:val="24"/>
        </w:rPr>
        <w:t xml:space="preserve"> (Aronson et al., 2023; Fox et al., 2014)</w:t>
      </w:r>
      <w:r>
        <w:rPr>
          <w:rFonts w:ascii="Times New Roman" w:hAnsi="Times New Roman" w:hint="default"/>
          <w:b w:val="0"/>
          <w:bCs w:val="0"/>
          <w:sz w:val="24"/>
          <w:szCs w:val="24"/>
        </w:rPr>
        <w:t>. The term "drug shortage" typically describes a situation in which there is a lack of sufficient pharmaceutical product supply for the actual or anticipated demand, but the meaning of the term varies depending on the context in which shortage is being defined (e.g., regulatory, professional, research)</w:t>
      </w:r>
      <w:r>
        <w:rPr>
          <w:rFonts w:ascii="Times New Roman" w:hAnsi="Times New Roman" w:hint="default"/>
          <w:sz w:val="24"/>
        </w:rPr>
        <w:t xml:space="preserve"> (Aronson et al., 2023)</w:t>
      </w:r>
      <w:r>
        <w:rPr>
          <w:rFonts w:ascii="Times New Roman" w:hAnsi="Times New Roman" w:hint="default"/>
          <w:b w:val="0"/>
          <w:bCs w:val="0"/>
          <w:sz w:val="24"/>
          <w:szCs w:val="24"/>
        </w:rPr>
        <w:t xml:space="preserve">. Essential medicines are medicines that are deemed essential to address priority health care needs and are crucial for the proper functioning of the health system; their availability is considered essential. Shortages of clinically important medicines are therefore more than just a supply-chain disruption in the United States; they can affect whether health care </w:t>
      </w:r>
      <w:r>
        <w:rPr>
          <w:rFonts w:ascii="Times New Roman" w:hAnsi="Times New Roman" w:hint="default"/>
          <w:b w:val="0"/>
          <w:bCs w:val="0"/>
          <w:sz w:val="24"/>
          <w:szCs w:val="24"/>
        </w:rPr>
        <w:lastRenderedPageBreak/>
        <w:t xml:space="preserve">organizations and patients have access to the right medicine at the right time when they need </w:t>
      </w:r>
      <w:proofErr w:type="gramStart"/>
      <w:r>
        <w:rPr>
          <w:rFonts w:ascii="Times New Roman" w:hAnsi="Times New Roman" w:hint="default"/>
          <w:b w:val="0"/>
          <w:bCs w:val="0"/>
          <w:sz w:val="24"/>
          <w:szCs w:val="24"/>
        </w:rPr>
        <w:t xml:space="preserve">it </w:t>
      </w:r>
      <w:r>
        <w:rPr>
          <w:rFonts w:ascii="Times New Roman" w:hAnsi="Times New Roman" w:hint="default"/>
          <w:b w:val="0"/>
          <w:sz w:val="24"/>
        </w:rPr>
        <w:t xml:space="preserve"> (</w:t>
      </w:r>
      <w:proofErr w:type="gramEnd"/>
      <w:r>
        <w:rPr>
          <w:rFonts w:ascii="Times New Roman" w:hAnsi="Times New Roman" w:hint="default"/>
          <w:b w:val="0"/>
          <w:sz w:val="24"/>
        </w:rPr>
        <w:t>Aronson et al., 2023; Fox et al., 2014)</w:t>
      </w:r>
      <w:r>
        <w:rPr>
          <w:rFonts w:ascii="Times New Roman" w:hAnsi="Times New Roman" w:hint="default"/>
          <w:b w:val="0"/>
          <w:bCs w:val="0"/>
          <w:sz w:val="24"/>
          <w:szCs w:val="24"/>
        </w:rPr>
        <w:t>.</w:t>
      </w:r>
    </w:p>
    <w:p w14:paraId="15B0E880"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Drug shortages are a problem of significant magnitude at a multitude of health care delivery levels. Upon not being able to get a regular product, the clinician and/or health system may need to use a different medicine, adjust treatment plans, postpone treatment, share stock, or allocate extra staff and budget for managing medication shortages. The doses, preparation, administration, familiarity and costs of alternative medicines may vary, thereby introducing further operation and patient safety concerns. Shortages may also lead to higher acquisition and labor costs when pharmacies and healthcare entities look for alternatives and/or change medication-use workflows</w:t>
      </w:r>
      <w:r>
        <w:rPr>
          <w:rFonts w:ascii="Times New Roman" w:hAnsi="Times New Roman" w:hint="default"/>
          <w:b w:val="0"/>
          <w:sz w:val="24"/>
        </w:rPr>
        <w:t xml:space="preserve"> (Fox &amp; McLaughlin, 2018)</w:t>
      </w:r>
      <w:r>
        <w:rPr>
          <w:rFonts w:ascii="Times New Roman" w:hAnsi="Times New Roman" w:hint="default"/>
          <w:b w:val="0"/>
          <w:bCs w:val="0"/>
          <w:sz w:val="24"/>
          <w:szCs w:val="24"/>
        </w:rPr>
        <w:t>. Therefore, the extent of the shortage cannot be determined simply by looking at the number of products not available. Their importance will be influenced by the clinical importance of the affected medicines, availability of suitable alternatives, the extent and geographic spread of the disruption and the ability of health care organizations to adapt without reducing access or the quality of health care services</w:t>
      </w:r>
      <w:r>
        <w:rPr>
          <w:rFonts w:ascii="Times New Roman" w:hAnsi="Times New Roman" w:hint="default"/>
          <w:b w:val="0"/>
          <w:sz w:val="24"/>
        </w:rPr>
        <w:t xml:space="preserve"> (Fox et al., 2009; Fox &amp; McLaughlin, 2018)</w:t>
      </w:r>
      <w:r>
        <w:rPr>
          <w:rFonts w:ascii="Times New Roman" w:hAnsi="Times New Roman" w:hint="default"/>
          <w:b w:val="0"/>
          <w:bCs w:val="0"/>
          <w:sz w:val="24"/>
          <w:szCs w:val="24"/>
        </w:rPr>
        <w:t>.</w:t>
      </w:r>
    </w:p>
    <w:p w14:paraId="3ED425DB"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Long-term shortages also reveal problems in the structure that are more than just manufacturing problems. Quality issues, equipment failures, raw material shortages, and demand for products can cause an immediate shortage in the market in the event of a disruption in production, yet the effect of these disruptions are dependent on the broader pharmaceutical market. Focusing manufacturing capacity on a single product and relying on fewer sources for the supply of active pharmaceutical ingredients or other critical inputs, limited profit in mature generics markets, lack of manufacturing redundancy, procurement strategies that focus on acquisition costs, and poor visibility within long and complex supply chains can diminish the capacity to withstand disruptions. These weaknesses can compound each other, and initial difficulties in production can grow into greater and more lasting shortages</w:t>
      </w:r>
      <w:r>
        <w:rPr>
          <w:rFonts w:ascii="Times New Roman" w:hAnsi="Times New Roman" w:hint="default"/>
          <w:sz w:val="24"/>
          <w:szCs w:val="24"/>
        </w:rPr>
        <w:t xml:space="preserve"> </w:t>
      </w:r>
      <w:r>
        <w:rPr>
          <w:rFonts w:ascii="Times New Roman" w:hAnsi="Times New Roman" w:hint="default"/>
          <w:b w:val="0"/>
          <w:bCs w:val="0"/>
          <w:sz w:val="24"/>
          <w:szCs w:val="24"/>
        </w:rPr>
        <w:t xml:space="preserve">(National Academies of Sciences, Engineering, and Medicine [NASEM], 2022; Socal et al., 2021; Woodcock &amp; </w:t>
      </w:r>
      <w:proofErr w:type="spellStart"/>
      <w:r>
        <w:rPr>
          <w:rFonts w:ascii="Times New Roman" w:hAnsi="Times New Roman" w:hint="default"/>
          <w:b w:val="0"/>
          <w:bCs w:val="0"/>
          <w:sz w:val="24"/>
          <w:szCs w:val="24"/>
        </w:rPr>
        <w:t>Wosinska</w:t>
      </w:r>
      <w:proofErr w:type="spellEnd"/>
      <w:r>
        <w:rPr>
          <w:rFonts w:ascii="Times New Roman" w:hAnsi="Times New Roman" w:hint="default"/>
          <w:b w:val="0"/>
          <w:bCs w:val="0"/>
          <w:sz w:val="24"/>
          <w:szCs w:val="24"/>
        </w:rPr>
        <w:t>, 2013).</w:t>
      </w:r>
    </w:p>
    <w:p w14:paraId="6BBD149A"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The issue is also very much one of governance. The responsibility for making pharmaceuticals available is shared by manufacturers, federal regulators and agencies, wholesalers and distributors, purchasing organizations, healthcare institutions, pharmacies and other public and private actors. They have varying information, authorities, incentives and capacities to prevent or respond to shortages. While regulatory agencies can identify and address emerging disruptions, they do not have the power to directly control manufacturing investment or purchasing decisions, and manufacturers make decisions on production and capacity under market incentives and influences; purchasers influence on demand and contracting conditions; and healthcare organizations are often faced with the downstream impacts when supplies become less than adequate. This fragmentation is raising important issues of responsibility, accountability, coordination, and sharing information prior to a shortage (Gray &amp; Manasse, 2012; Iyengar et al., 2016; NASEM, 2022).</w:t>
      </w:r>
    </w:p>
    <w:p w14:paraId="4FCC542D"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 xml:space="preserve">This narrative review thus takes a holistic policy, governance, and access to essential medicines lens to explore U.S. drug shortfalls. It critically reviews the underlying structural and economic causes of shortages, reviews policy and governance mechanisms in place and analyzes the impact of supply disruptions on access to </w:t>
      </w:r>
      <w:r>
        <w:rPr>
          <w:rFonts w:ascii="Times New Roman" w:hAnsi="Times New Roman" w:hint="default"/>
          <w:b w:val="0"/>
          <w:bCs w:val="0"/>
          <w:sz w:val="24"/>
          <w:szCs w:val="24"/>
        </w:rPr>
        <w:lastRenderedPageBreak/>
        <w:t>medicines. It also highlights policy shortfalls, lack of clarity, controversy and gaps in evidence. Based on this synthesis, the review suggests an integrated policy and governance approach to connect together prevention, early detection, coordinated response, protection of access, recovery and system learning. The main point is that chronic shortages of drugs are not merely a lack in the pharmaceutical supply chain, but a governance and access issue that demands convergence of incentives, accountability, transparency, preparedness and response, and policy engagement.</w:t>
      </w:r>
    </w:p>
    <w:p w14:paraId="6CC6227A"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2. Review Approach</w:t>
      </w:r>
    </w:p>
    <w:p w14:paraId="0825A440"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2.1 Scope and Evidence Identification</w:t>
      </w:r>
    </w:p>
    <w:p w14:paraId="271ADD87" w14:textId="77777777" w:rsidR="00614808" w:rsidRDefault="00000000">
      <w:pPr>
        <w:pStyle w:val="NormalWeb"/>
      </w:pPr>
      <w:r>
        <w:t xml:space="preserve">This article adopts a narrative, </w:t>
      </w:r>
      <w:proofErr w:type="gramStart"/>
      <w:r>
        <w:t>policy oriented</w:t>
      </w:r>
      <w:proofErr w:type="gramEnd"/>
      <w:r>
        <w:t xml:space="preserve"> approach to examine drug shortages and access to essential medicines in the United States. The review draws on peer reviewed research alongside government reports, regulatory documents, policy analyses, and reports from authoritative health and pharmaceutical institutions. Evidence was considered where it contributed to understanding the causes, consequences, governance, or policy management of drug shortages within the United States. Particular attention was given to literature addressing pharmaceutical manufacturing and supply vulnerabilities, market structure and economic incentives, regulatory oversight, shortage surveillance, institutional responses, medicine access, and strategies intended to strengthen supply resilience. Government and regulatory sources were considered particularly important for describing existing authorities, responsibilities, and policy mechanisms, while peer reviewed literature was used to examine empirical evidence and competing interpretations of shortage drivers and consequences. The purpose was not to achieve exhaustive coverage of all publications on drug shortages, but to integrate evidence relevant to the policy and governance questions addressed in this review.</w:t>
      </w:r>
    </w:p>
    <w:p w14:paraId="4CB15950"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2.2 Analytical Approach</w:t>
      </w:r>
    </w:p>
    <w:p w14:paraId="4ABC20A9" w14:textId="77777777" w:rsidR="00614808" w:rsidRDefault="00000000">
      <w:pPr>
        <w:pStyle w:val="NormalWeb"/>
      </w:pPr>
      <w:r>
        <w:t xml:space="preserve">Evidence was synthesized thematically rather than summarized study by study. The analysis was organized around six interconnected domains: structural vulnerabilities in pharmaceutical production and supply, market and economic incentives, regulatory and governance arrangements, shortage detection and response, consequences for medicine access and equity, and opportunities for </w:t>
      </w:r>
      <w:proofErr w:type="gramStart"/>
      <w:r>
        <w:t>resilience oriented</w:t>
      </w:r>
      <w:proofErr w:type="gramEnd"/>
      <w:r>
        <w:t xml:space="preserve"> policy reform. Within these domains, the review examines areas in which evidence and policy analyses converge, as well as questions for which findings or proposed solutions remain contested. Attention is also given to limitations in the available evidence, including gaps in measurement, differences in how shortages and their consequences are defined, and limited evaluation of some policy interventions. This approach allows drug shortages to be examined as the product of interacting market, institutional, regulatory, and access conditions rather than as isolated failures of individual manufacturers. The resulting synthesis provides the basis for the policy and governance framework proposed later in the review.</w:t>
      </w:r>
    </w:p>
    <w:p w14:paraId="2E3DE1FD"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3. Understanding the U.S. Drug Shortage Problem: From Supply Disruption to Access Failure</w:t>
      </w:r>
    </w:p>
    <w:p w14:paraId="171384A6"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3.1 Nature and Evolution of Drug Shortages</w:t>
      </w:r>
    </w:p>
    <w:p w14:paraId="62D490B2"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lastRenderedPageBreak/>
        <w:t xml:space="preserve">Drug shortages in the U.S. happen to a wide variety of therapeutic products, with the severity and importance of these shortages varying by product. The lack of supplies for injectable medications, antimicrobials, oncology medications, anesthetic agents, intravenous fluids, cardiovascular medications and other supplies in acute &amp; critical care </w:t>
      </w:r>
      <w:proofErr w:type="gramStart"/>
      <w:r>
        <w:rPr>
          <w:rFonts w:ascii="Times New Roman" w:hAnsi="Times New Roman" w:hint="default"/>
          <w:b w:val="0"/>
          <w:bCs w:val="0"/>
          <w:sz w:val="24"/>
          <w:szCs w:val="24"/>
        </w:rPr>
        <w:t>are</w:t>
      </w:r>
      <w:proofErr w:type="gramEnd"/>
      <w:r>
        <w:rPr>
          <w:rFonts w:ascii="Times New Roman" w:hAnsi="Times New Roman" w:hint="default"/>
          <w:b w:val="0"/>
          <w:bCs w:val="0"/>
          <w:sz w:val="24"/>
          <w:szCs w:val="24"/>
        </w:rPr>
        <w:t xml:space="preserve"> especially significant as there may be limited or clinically less than ideal therapeutic options. The problem is not sufficiently described by a number of products in shortage. The challenge of a shortage of a medicine that has a number of readily available alternatives is fundamentally different from that of an essential product where substitution is not easily available or is less effective, more expensive, or is clinically risky</w:t>
      </w:r>
      <w:r>
        <w:rPr>
          <w:rFonts w:ascii="Times New Roman" w:hAnsi="Times New Roman" w:hint="default"/>
          <w:sz w:val="24"/>
          <w:szCs w:val="24"/>
        </w:rPr>
        <w:t xml:space="preserve"> </w:t>
      </w:r>
      <w:r>
        <w:rPr>
          <w:rFonts w:ascii="Times New Roman" w:hAnsi="Times New Roman" w:hint="default"/>
          <w:b w:val="0"/>
          <w:bCs w:val="0"/>
          <w:sz w:val="24"/>
          <w:szCs w:val="24"/>
        </w:rPr>
        <w:t>(Fox et al., 2014; Link et al., 2012; Mazer-</w:t>
      </w:r>
      <w:proofErr w:type="spellStart"/>
      <w:r>
        <w:rPr>
          <w:rFonts w:ascii="Times New Roman" w:hAnsi="Times New Roman" w:hint="default"/>
          <w:b w:val="0"/>
          <w:bCs w:val="0"/>
          <w:sz w:val="24"/>
          <w:szCs w:val="24"/>
        </w:rPr>
        <w:t>Amirshahi</w:t>
      </w:r>
      <w:proofErr w:type="spellEnd"/>
      <w:r>
        <w:rPr>
          <w:rFonts w:ascii="Times New Roman" w:hAnsi="Times New Roman" w:hint="default"/>
          <w:b w:val="0"/>
          <w:bCs w:val="0"/>
          <w:sz w:val="24"/>
          <w:szCs w:val="24"/>
        </w:rPr>
        <w:t xml:space="preserve"> et al., 2014; Tucker, Cao, et al., 2020).</w:t>
      </w:r>
    </w:p>
    <w:p w14:paraId="0FBFE5F1"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There is also a difference between acute and long-term shortages. Sudden manufacturing disruptions, a surge in demand, transportation issues, and other disruptions that can be addressed after recovery of manufacturing/distribution may cause an acute shortage. Persistent shortages are more alarming as they may represent more underlying structural issues in the market supplying a medicine. Continued or chronic shortages can be a sign of inadequate manufacturing capacity, a few firms dominating the market, low prospects for new firms to enter, reliance on small-scale manufacturing facilities, or repeated manufacturing quality issues. The length and frequency of the shortages, then, can give a sense of the health or strength of the supply system</w:t>
      </w:r>
      <w:r>
        <w:rPr>
          <w:rFonts w:ascii="Times New Roman" w:hAnsi="Times New Roman" w:hint="default"/>
          <w:sz w:val="24"/>
          <w:szCs w:val="24"/>
        </w:rPr>
        <w:t xml:space="preserve"> (Chen et al., 2016; Dave et al., 2018).</w:t>
      </w:r>
    </w:p>
    <w:p w14:paraId="4FE509E5"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The U.S. shortage problem illustrates this difference. While there has been an increase in regulatory measures and better notification systems to help build capacity to understand and manage some disruptions, shortages have been a persistent issue in the pharmaceutical supply chain. The problem with generic sterile injectables is well captured. They're also made in specific facilities, under strict quality standards and using sophisticated manufacturing processes, and many products compete highly on price in fairly narrow markets. If a few manufacturers dominate production, the loss of capacity by one or more producers might not be readily offset by other producers. The same issues are present with other essential medicines which are produced by a limited number of manufacturers and have limited supplier diversity, and as a result, the market's shock absorption capacity is limited</w:t>
      </w:r>
      <w:r>
        <w:rPr>
          <w:rFonts w:ascii="Times New Roman" w:hAnsi="Times New Roman" w:hint="default"/>
          <w:sz w:val="24"/>
          <w:szCs w:val="24"/>
        </w:rPr>
        <w:t xml:space="preserve"> </w:t>
      </w:r>
      <w:r>
        <w:rPr>
          <w:rFonts w:ascii="Times New Roman" w:hAnsi="Times New Roman" w:hint="default"/>
          <w:b w:val="0"/>
          <w:bCs w:val="0"/>
          <w:sz w:val="24"/>
          <w:szCs w:val="24"/>
        </w:rPr>
        <w:t>(Gupta &amp; Huang, 2013; Mazer-</w:t>
      </w:r>
      <w:proofErr w:type="spellStart"/>
      <w:r>
        <w:rPr>
          <w:rFonts w:ascii="Times New Roman" w:hAnsi="Times New Roman" w:hint="default"/>
          <w:b w:val="0"/>
          <w:bCs w:val="0"/>
          <w:sz w:val="24"/>
          <w:szCs w:val="24"/>
        </w:rPr>
        <w:t>Amirshahi</w:t>
      </w:r>
      <w:proofErr w:type="spellEnd"/>
      <w:r>
        <w:rPr>
          <w:rFonts w:ascii="Times New Roman" w:hAnsi="Times New Roman" w:hint="default"/>
          <w:b w:val="0"/>
          <w:bCs w:val="0"/>
          <w:sz w:val="24"/>
          <w:szCs w:val="24"/>
        </w:rPr>
        <w:t xml:space="preserve"> &amp; Fox, 2018; Woodcock &amp; </w:t>
      </w:r>
      <w:proofErr w:type="spellStart"/>
      <w:r>
        <w:rPr>
          <w:rFonts w:ascii="Times New Roman" w:hAnsi="Times New Roman" w:hint="default"/>
          <w:b w:val="0"/>
          <w:bCs w:val="0"/>
          <w:sz w:val="24"/>
          <w:szCs w:val="24"/>
        </w:rPr>
        <w:t>Wosinska</w:t>
      </w:r>
      <w:proofErr w:type="spellEnd"/>
      <w:r>
        <w:rPr>
          <w:rFonts w:ascii="Times New Roman" w:hAnsi="Times New Roman" w:hint="default"/>
          <w:b w:val="0"/>
          <w:bCs w:val="0"/>
          <w:sz w:val="24"/>
          <w:szCs w:val="24"/>
        </w:rPr>
        <w:t>, 2013).</w:t>
      </w:r>
    </w:p>
    <w:p w14:paraId="20B96AA3"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3.2 From Product Shortage to Patient Access Problem</w:t>
      </w:r>
    </w:p>
    <w:p w14:paraId="043CBDE5"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 xml:space="preserve">When there is a disruption in supply, it impacts the individuals who are most vulnerable by a cascade of related effects. An existing supply vulnerability can render a medicine vulnerable to supply disruption. With alternative capacity not being able to cover up for it, the disruption has consequences on the availability of products and thus healthcare organizations must act through inventory conservation, alternative sourcing, therapeutic substitution, modifications of treatment procedures or allocation of the remaining stock. These responses are what will make or break it when it comes to impaired access for patients (Fox et al., 2009; </w:t>
      </w:r>
      <w:proofErr w:type="spellStart"/>
      <w:r>
        <w:rPr>
          <w:rFonts w:ascii="Times New Roman" w:hAnsi="Times New Roman" w:hint="default"/>
          <w:b w:val="0"/>
          <w:bCs w:val="0"/>
          <w:sz w:val="24"/>
          <w:szCs w:val="24"/>
        </w:rPr>
        <w:t>Kaakeh</w:t>
      </w:r>
      <w:proofErr w:type="spellEnd"/>
      <w:r>
        <w:rPr>
          <w:rFonts w:ascii="Times New Roman" w:hAnsi="Times New Roman" w:hint="default"/>
          <w:b w:val="0"/>
          <w:bCs w:val="0"/>
          <w:sz w:val="24"/>
          <w:szCs w:val="24"/>
        </w:rPr>
        <w:t xml:space="preserve"> et al., 2011).</w:t>
      </w:r>
    </w:p>
    <w:p w14:paraId="294DA307"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 xml:space="preserve">The impact is the delay of treatment, substituting with similarly effective, but different, treatments, toxicity, dosage, preparation, and administration of treatment, and prioritization of limited supplies among competing clinical needs. There can also </w:t>
      </w:r>
      <w:r>
        <w:rPr>
          <w:rFonts w:ascii="Times New Roman" w:hAnsi="Times New Roman" w:hint="default"/>
          <w:b w:val="0"/>
          <w:bCs w:val="0"/>
          <w:sz w:val="24"/>
          <w:szCs w:val="24"/>
        </w:rPr>
        <w:lastRenderedPageBreak/>
        <w:t>be increased acquisition costs for hospitals and pharmacies to purchase alternatives and increased operational costs for finding product in stock, protocol changes, staff training and dealing with new products. In limited supply situations, long-term shortages can cause treatment pathways to be interrupted and patient safety issues with patient medication errors, dosing, delayed therapy or use of less familiar medications</w:t>
      </w:r>
      <w:r>
        <w:rPr>
          <w:rFonts w:ascii="Times New Roman" w:hAnsi="Times New Roman" w:hint="default"/>
          <w:sz w:val="24"/>
          <w:szCs w:val="24"/>
        </w:rPr>
        <w:t xml:space="preserve"> </w:t>
      </w:r>
      <w:r>
        <w:rPr>
          <w:rFonts w:ascii="Times New Roman" w:hAnsi="Times New Roman" w:hint="default"/>
          <w:b w:val="0"/>
          <w:bCs w:val="0"/>
          <w:sz w:val="24"/>
          <w:szCs w:val="24"/>
        </w:rPr>
        <w:t>(</w:t>
      </w:r>
      <w:proofErr w:type="spellStart"/>
      <w:r>
        <w:rPr>
          <w:rFonts w:ascii="Times New Roman" w:hAnsi="Times New Roman" w:hint="default"/>
          <w:b w:val="0"/>
          <w:bCs w:val="0"/>
          <w:sz w:val="24"/>
          <w:szCs w:val="24"/>
        </w:rPr>
        <w:t>Goldsack</w:t>
      </w:r>
      <w:proofErr w:type="spellEnd"/>
      <w:r>
        <w:rPr>
          <w:rFonts w:ascii="Times New Roman" w:hAnsi="Times New Roman" w:hint="default"/>
          <w:b w:val="0"/>
          <w:bCs w:val="0"/>
          <w:sz w:val="24"/>
          <w:szCs w:val="24"/>
        </w:rPr>
        <w:t xml:space="preserve"> et al., 2014; McLaughlin et al., 2013; Phuong et al., 2019).</w:t>
      </w:r>
    </w:p>
    <w:p w14:paraId="22741D29"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Not all supply disruptions are access problems, it's important to note. Some of the difference is due to the resilience available between the production and patient care areas. A disruption can be absorbed if there are multiple manufacturers, alternative products are clinically suitable, buffers are adequate, production can be quickly scaled up, and information is available early enough for coordinated action by decision makers. The same disruption can have a much more significant impact if production is focused, inventories are restricted, substitutes are not adequate, demand is inflexible and healthcare institutions compete for the limited supply (NASEM, 2022; Tucker, Daskin, et al., 2020).</w:t>
      </w:r>
    </w:p>
    <w:p w14:paraId="5B8F6AA9" w14:textId="77777777" w:rsidR="00614808" w:rsidRDefault="00000000">
      <w:pPr>
        <w:pStyle w:val="Heading2"/>
        <w:rPr>
          <w:rFonts w:ascii="Times New Roman" w:hAnsi="Times New Roman" w:hint="default"/>
          <w:b w:val="0"/>
          <w:bCs w:val="0"/>
          <w:sz w:val="24"/>
          <w:szCs w:val="24"/>
        </w:rPr>
      </w:pPr>
      <w:r>
        <w:rPr>
          <w:rFonts w:ascii="Times New Roman" w:hAnsi="Times New Roman" w:hint="default"/>
          <w:b w:val="0"/>
          <w:bCs w:val="0"/>
          <w:sz w:val="24"/>
          <w:szCs w:val="24"/>
        </w:rPr>
        <w:t xml:space="preserve">Drug shortages, therefore, should not be viewed as a binary state of medicine availability or </w:t>
      </w:r>
      <w:proofErr w:type="spellStart"/>
      <w:r>
        <w:rPr>
          <w:rFonts w:ascii="Times New Roman" w:hAnsi="Times New Roman" w:hint="default"/>
          <w:b w:val="0"/>
          <w:bCs w:val="0"/>
          <w:sz w:val="24"/>
          <w:szCs w:val="24"/>
        </w:rPr>
        <w:t>inavailability</w:t>
      </w:r>
      <w:proofErr w:type="spellEnd"/>
      <w:r>
        <w:rPr>
          <w:rFonts w:ascii="Times New Roman" w:hAnsi="Times New Roman" w:hint="default"/>
          <w:b w:val="0"/>
          <w:bCs w:val="0"/>
          <w:sz w:val="24"/>
          <w:szCs w:val="24"/>
        </w:rPr>
        <w:t>, but rather on a continuum from drug supply vulnerability to access failure. This differentiation focuses not on the actual disruption, but rather on the attributes necessary to ensure the pharmaceutical system has the ability to absorb, redistribute and recover from the disruption without impacting patient access. It also sets out the central policy question for this review, that is not only why shortages happen, but why sometimes foreseeable patterns of supply need to become disruptions to patient care, when they are not prevented by the existing arrangements of market and governance.</w:t>
      </w:r>
    </w:p>
    <w:p w14:paraId="27FBBB26"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4. Structural and Economic Drivers of Persistent Drug Shortages</w:t>
      </w:r>
    </w:p>
    <w:p w14:paraId="7F476DE7"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4.1 Manufacturing Concentration and Limited Redundancy</w:t>
      </w:r>
    </w:p>
    <w:p w14:paraId="72503399"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The failure to keep up on drugs in the United States is closely tied to the way that medical products are made. Some medicines, especially older generic medicines are manufactured by a small number of manufacturers and/or facilities. Concentration does not necessarily drive shortages, but it does mean that there are less alternatives when production is interrupted. The vulnerability is exacerbated when multiple manufacturers rely on the same facility, supplier, production technology or upstream source. At the product level, apparent competition can, in fact, cover up significant concentration in the manufacturing system</w:t>
      </w:r>
      <w:r>
        <w:rPr>
          <w:rFonts w:ascii="Times New Roman" w:hAnsi="Times New Roman" w:hint="default"/>
          <w:sz w:val="24"/>
          <w:szCs w:val="24"/>
        </w:rPr>
        <w:t xml:space="preserve"> </w:t>
      </w:r>
      <w:r>
        <w:rPr>
          <w:rFonts w:ascii="Times New Roman" w:hAnsi="Times New Roman" w:hint="default"/>
          <w:b w:val="0"/>
          <w:bCs w:val="0"/>
          <w:sz w:val="24"/>
          <w:szCs w:val="24"/>
        </w:rPr>
        <w:t>(Conti &amp; Berndt, 2020; Socal et al., 2023).</w:t>
      </w:r>
    </w:p>
    <w:p w14:paraId="09D85804"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 xml:space="preserve">This is exacerbated by limited redundancy. Further investments are needed in maintaining the additional production lines, the reserve capacity, alternative suppliers with a good competence and the capacity to be able to rapidly increase the production. Normal conditions of operation result in costs being generated by unused capacity, without a corresponding revenue. This means that manufacturers generally do not have high commercial motives to retain large excess capacity in the manufacturing of low-margin products. Competing manufacturers may be operating at capacity with equipment out of spec, equipment failure, contamination, regulatory concerns and other quality issues are all reasons why a facility may suspend production and at that time may not be able to afford to make up production quickly. Hence, there is a </w:t>
      </w:r>
      <w:r>
        <w:rPr>
          <w:rFonts w:ascii="Times New Roman" w:hAnsi="Times New Roman" w:hint="default"/>
          <w:b w:val="0"/>
          <w:bCs w:val="0"/>
          <w:sz w:val="24"/>
          <w:szCs w:val="24"/>
        </w:rPr>
        <w:lastRenderedPageBreak/>
        <w:t xml:space="preserve">relationship between Manufacturing quality and Manufacturing supply resilience. As a result of necessary corrective actions, patients are kept safe from </w:t>
      </w:r>
      <w:proofErr w:type="gramStart"/>
      <w:r>
        <w:rPr>
          <w:rFonts w:ascii="Times New Roman" w:hAnsi="Times New Roman" w:hint="default"/>
          <w:b w:val="0"/>
          <w:bCs w:val="0"/>
          <w:sz w:val="24"/>
          <w:szCs w:val="24"/>
        </w:rPr>
        <w:t>low quality</w:t>
      </w:r>
      <w:proofErr w:type="gramEnd"/>
      <w:r>
        <w:rPr>
          <w:rFonts w:ascii="Times New Roman" w:hAnsi="Times New Roman" w:hint="default"/>
          <w:b w:val="0"/>
          <w:bCs w:val="0"/>
          <w:sz w:val="24"/>
          <w:szCs w:val="24"/>
        </w:rPr>
        <w:t xml:space="preserve"> products but in a concentrated system, a temporary loss of one facility can result in the loss of a significant portion of the available product supply</w:t>
      </w:r>
      <w:r>
        <w:rPr>
          <w:rFonts w:ascii="Times New Roman" w:hAnsi="Times New Roman" w:hint="default"/>
          <w:sz w:val="24"/>
          <w:szCs w:val="24"/>
        </w:rPr>
        <w:t xml:space="preserve"> </w:t>
      </w:r>
      <w:r>
        <w:rPr>
          <w:rFonts w:ascii="Times New Roman" w:hAnsi="Times New Roman" w:hint="default"/>
          <w:b w:val="0"/>
          <w:bCs w:val="0"/>
          <w:sz w:val="24"/>
          <w:szCs w:val="24"/>
        </w:rPr>
        <w:t xml:space="preserve">(Kweder &amp; Dill, 2013; Woodcock &amp; </w:t>
      </w:r>
      <w:proofErr w:type="spellStart"/>
      <w:r>
        <w:rPr>
          <w:rFonts w:ascii="Times New Roman" w:hAnsi="Times New Roman" w:hint="default"/>
          <w:b w:val="0"/>
          <w:bCs w:val="0"/>
          <w:sz w:val="24"/>
          <w:szCs w:val="24"/>
        </w:rPr>
        <w:t>Wosinska</w:t>
      </w:r>
      <w:proofErr w:type="spellEnd"/>
      <w:r>
        <w:rPr>
          <w:rFonts w:ascii="Times New Roman" w:hAnsi="Times New Roman" w:hint="default"/>
          <w:b w:val="0"/>
          <w:bCs w:val="0"/>
          <w:sz w:val="24"/>
          <w:szCs w:val="24"/>
        </w:rPr>
        <w:t>, 2013).</w:t>
      </w:r>
    </w:p>
    <w:p w14:paraId="4BB5466D"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4.2 Economic Fragility of Essential Generic Medicines</w:t>
      </w:r>
    </w:p>
    <w:p w14:paraId="045BAD8D" w14:textId="77777777" w:rsidR="00614808" w:rsidRDefault="00000000">
      <w:pPr>
        <w:pStyle w:val="NormalWeb"/>
      </w:pPr>
      <w:r>
        <w:t xml:space="preserve">The economics of mature generic medicines can reinforce these structural vulnerabilities. Generic competition is essential for affordability, but sustained downward pressure on prices can create a difficult environment for products that are costly or technically demanding to manufacture. When expected returns become insufficient, manufacturers may reduce investment, discontinue products, or leave particular markets. Remaining production can subsequently become more concentrated, increasing dependence on fewer suppliers (Conti &amp; Berndt, 2020; Dave et al., 2018; </w:t>
      </w:r>
      <w:proofErr w:type="spellStart"/>
      <w:r>
        <w:t>Yurukoglu</w:t>
      </w:r>
      <w:proofErr w:type="spellEnd"/>
      <w:r>
        <w:t xml:space="preserve"> et al., 2017).</w:t>
      </w:r>
    </w:p>
    <w:p w14:paraId="4C1DA78E" w14:textId="77777777" w:rsidR="00614808" w:rsidRDefault="00000000">
      <w:pPr>
        <w:pStyle w:val="NormalWeb"/>
      </w:pPr>
      <w:r>
        <w:t>This creates a policy tension between efficiency and resilience. Purchasing medicines at the lowest achievable price can generate immediate savings, but price alone does not capture the value of manufacturing redundancy, reserve capacity, reliable quality systems, or diversified sourcing. Investments that improve resilience may raise production costs while providing benefits that become visible primarily when disruption occurs. Markets may therefore undervalue preparedness because manufacturers bear many of its costs while patients and healthcare systems receive much of its protective benefit. The relevant policy question is consequently not whether price competition is desirable, but whether purchasing and reimbursement arrangements adequately recognize reliability alongside price (Hernandez et al., 2020; Ridley et al., 2016; Tucker, Daskin, et al., 2020).</w:t>
      </w:r>
    </w:p>
    <w:p w14:paraId="28B1C84E"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4.3 Upstream and Geographic Dependencies</w:t>
      </w:r>
    </w:p>
    <w:p w14:paraId="475E2A62" w14:textId="77777777" w:rsidR="00614808" w:rsidRDefault="00000000">
      <w:pPr>
        <w:pStyle w:val="NormalWeb"/>
      </w:pPr>
      <w:r>
        <w:t>Vulnerability also extends beyond finished dose manufacturers. Pharmaceutical production depends on active pharmaceutical ingredients, key starting materials, excipients, packaging components, contract manufacturers, and specialized production services. International sourcing can provide efficiency, expertise, and diversification, but geographic dispersion should not automatically be interpreted as resilience. Multiple finished product manufacturers may remain dependent on the same upstream producer or geographic region (Socal et al., 2023; Socal et al., 2021).</w:t>
      </w:r>
    </w:p>
    <w:p w14:paraId="028CC779" w14:textId="77777777" w:rsidR="00614808" w:rsidRDefault="00000000">
      <w:pPr>
        <w:pStyle w:val="NormalWeb"/>
      </w:pPr>
      <w:r>
        <w:t>A central problem is limited visibility across these dependencies. Regulators, purchasers, healthcare organizations, and even firms within the supply chain may have incomplete information about suppliers beyond their immediate contractual relationships. As a result, common upstream dependencies may remain poorly recognized until a disruption affects several products or manufacturers simultaneously. The distinction between geographic diversification and genuine supplier diversification is therefore important. Moving production geographically without reducing dependence on shared critical inputs may change the location of risk without materially reducing it (NASEM, 2022; Socal et al., 2023).</w:t>
      </w:r>
    </w:p>
    <w:p w14:paraId="6DCD2693"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4.4 Procurement and Purchasing Practices</w:t>
      </w:r>
    </w:p>
    <w:p w14:paraId="724DC964" w14:textId="77777777" w:rsidR="00614808" w:rsidRDefault="00000000">
      <w:pPr>
        <w:pStyle w:val="NormalWeb"/>
      </w:pPr>
      <w:r>
        <w:lastRenderedPageBreak/>
        <w:t>Procurement decisions can further shape the resilience of pharmaceutical markets. Contracting arrangements that strongly prioritize unit price may reward efficient production but provide weaker incentives for maintaining redundant facilities, reserve capacity, or diversified supply networks. Inventory minimization can similarly reduce storage and carrying costs during normal operations while leaving less time to respond when production fails (Jia &amp; Zhao, 2017; Pauwels et al., 2014).</w:t>
      </w:r>
    </w:p>
    <w:p w14:paraId="2D33F924" w14:textId="77777777" w:rsidR="00614808" w:rsidRDefault="00000000">
      <w:pPr>
        <w:pStyle w:val="NormalWeb"/>
      </w:pPr>
      <w:r>
        <w:t>These practices should not be treated as direct causes of every shortage. Their significance lies in how they influence the system's capacity to absorb disruptions. A procurement model that values price without adequately considering supply reliability can unintentionally reinforce the economic conditions that discourage resilience investment. Conversely, simply holding more inventory is not a universal solution because medicines have expiration dates, storage requirements, and variable patterns of demand. Resilient procurement therefore requires balancing affordability, reliability, inventory management, and supplier diversity rather than maximizing any single objective (NASEM, 2022; Tucker, Daskin, et al., 2020).</w:t>
      </w:r>
    </w:p>
    <w:p w14:paraId="3DE99EA3"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4.5 Demand Shocks and Forecasting Limitations</w:t>
      </w:r>
    </w:p>
    <w:p w14:paraId="4677B4C5" w14:textId="77777777" w:rsidR="00614808" w:rsidRDefault="00000000">
      <w:pPr>
        <w:pStyle w:val="NormalWeb"/>
      </w:pPr>
      <w:r>
        <w:t>Shortages can also emerge when demand changes faster than supply can respond. Epidemics, public health emergencies, changes in clinical practice, unexpected increases in disease burden, or the withdrawal of a competing manufacturer can rapidly increase demand for remaining products. Pharmaceutical manufacturing cannot always respond immediately because expanding production may require additional materials, validated equipment, trained personnel, regulatory compliance, and available facility capacity (Badreldin &amp; Atallah, 2021; Socal et al., 2021).</w:t>
      </w:r>
    </w:p>
    <w:p w14:paraId="795ED66F" w14:textId="77777777" w:rsidR="00614808" w:rsidRDefault="00000000">
      <w:pPr>
        <w:pStyle w:val="NormalWeb"/>
      </w:pPr>
      <w:r>
        <w:t>Forecasting can reduce uncertainty but cannot eliminate it. The consequences of forecasting error are particularly severe when little reserve capacity exists. Demand shocks therefore interact with structural conditions rather than constituting an entirely separate category of shortage (Kim et al., 2024; Tucker, Cao, et al., 2020).</w:t>
      </w:r>
    </w:p>
    <w:p w14:paraId="46555D9B" w14:textId="77777777" w:rsidR="00614808" w:rsidRDefault="00000000">
      <w:pPr>
        <w:pStyle w:val="NormalWeb"/>
      </w:pPr>
      <w:r>
        <w:t xml:space="preserve">Taken together, these mechanisms form a recurring fragility cycle. Intense price pressure can weaken incentives for investment in quality, redundancy, and reserve capacity. Reduced investment can contribute to concentrated production and limited flexibility, making the market more vulnerable to quality failures, upstream disruptions, or sudden demand changes. When shortages occur, emergency measures may restore supply without changing the economic conditions that produced the vulnerability. Once the immediate disruption subsides, the underlying structure remains largely intact, allowing the cycle to recur. Persistent drug shortages are therefore better understood as an emergent property of interacting market and production arrangements than as a succession of unrelated manufacturing incidents. Breaking this cycle requires policy mechanisms that preserve affordability while assigning economic value to reliability, quality, diversification, and </w:t>
      </w:r>
      <w:proofErr w:type="spellStart"/>
      <w:proofErr w:type="gramStart"/>
      <w:r>
        <w:t>preparedness.The</w:t>
      </w:r>
      <w:proofErr w:type="spellEnd"/>
      <w:proofErr w:type="gramEnd"/>
      <w:r>
        <w:t xml:space="preserve"> drivers of drug shortages are interconnected, with structural and economic vulnerabilities often reinforcing one another. Table 1 summarizes the principal drivers, their effects on medicine access, and their corresponding governance implications (Shukar et al., 2021; Tucker, Cao, et al., 2020).</w:t>
      </w:r>
    </w:p>
    <w:p w14:paraId="53F4D1C2" w14:textId="77777777" w:rsidR="00614808" w:rsidRDefault="00000000">
      <w:pPr>
        <w:pStyle w:val="NormalWeb"/>
      </w:pPr>
      <w:r>
        <w:lastRenderedPageBreak/>
        <w:t>Table 1. Structural and economic drivers of U.S. drug shortages and their implications for medicine access and governance</w:t>
      </w:r>
    </w:p>
    <w:tbl>
      <w:tblPr>
        <w:tblW w:w="0" w:type="auto"/>
        <w:tblCellSpacing w:w="15" w:type="dxa"/>
        <w:tblInd w:w="10" w:type="dxa"/>
        <w:tblCellMar>
          <w:top w:w="15" w:type="dxa"/>
          <w:left w:w="15" w:type="dxa"/>
          <w:bottom w:w="15" w:type="dxa"/>
          <w:right w:w="15" w:type="dxa"/>
        </w:tblCellMar>
        <w:tblLook w:val="04A0" w:firstRow="1" w:lastRow="0" w:firstColumn="1" w:lastColumn="0" w:noHBand="0" w:noVBand="1"/>
      </w:tblPr>
      <w:tblGrid>
        <w:gridCol w:w="1689"/>
        <w:gridCol w:w="2278"/>
        <w:gridCol w:w="2383"/>
        <w:gridCol w:w="2056"/>
      </w:tblGrid>
      <w:tr w:rsidR="00614808" w14:paraId="50D7494C" w14:textId="77777777">
        <w:trPr>
          <w:tblHeader/>
          <w:tblCellSpacing w:w="15" w:type="dxa"/>
        </w:trPr>
        <w:tc>
          <w:tcPr>
            <w:tcW w:w="1646" w:type="dxa"/>
            <w:tcBorders>
              <w:top w:val="single" w:sz="4" w:space="0" w:color="000000"/>
              <w:left w:val="single" w:sz="4" w:space="0" w:color="000000"/>
              <w:bottom w:val="single" w:sz="4" w:space="0" w:color="000000"/>
              <w:tl2br w:val="nil"/>
            </w:tcBorders>
            <w:shd w:val="clear" w:color="auto" w:fill="FFFFFF"/>
            <w:vAlign w:val="center"/>
          </w:tcPr>
          <w:p w14:paraId="721FE022" w14:textId="77777777" w:rsidR="00614808" w:rsidRDefault="00000000">
            <w:pPr>
              <w:jc w:val="center"/>
              <w:rPr>
                <w:rFonts w:ascii="Times New Roman" w:hAnsi="Times New Roman" w:cs="Times New Roman"/>
                <w:b/>
                <w:color w:val="000000"/>
                <w:sz w:val="24"/>
                <w:szCs w:val="24"/>
              </w:rPr>
            </w:pPr>
            <w:r>
              <w:rPr>
                <w:rFonts w:ascii="Times New Roman" w:eastAsia="SimSun" w:hAnsi="Times New Roman" w:cs="Times New Roman"/>
                <w:b/>
                <w:bCs/>
                <w:sz w:val="24"/>
                <w:szCs w:val="24"/>
                <w:lang w:bidi="ar"/>
              </w:rPr>
              <w:t>Structural or economic driver</w:t>
            </w:r>
          </w:p>
        </w:tc>
        <w:tc>
          <w:tcPr>
            <w:tcW w:w="2307" w:type="dxa"/>
            <w:tcBorders>
              <w:top w:val="single" w:sz="4" w:space="0" w:color="000000"/>
              <w:bottom w:val="single" w:sz="4" w:space="0" w:color="000000"/>
            </w:tcBorders>
            <w:shd w:val="clear" w:color="auto" w:fill="FFFFFF"/>
            <w:vAlign w:val="center"/>
          </w:tcPr>
          <w:p w14:paraId="4BE65E54" w14:textId="77777777" w:rsidR="00614808" w:rsidRDefault="00000000">
            <w:pPr>
              <w:jc w:val="center"/>
              <w:rPr>
                <w:rFonts w:ascii="Times New Roman" w:hAnsi="Times New Roman" w:cs="Times New Roman"/>
                <w:b/>
                <w:color w:val="000000"/>
                <w:sz w:val="24"/>
                <w:szCs w:val="24"/>
              </w:rPr>
            </w:pPr>
            <w:r>
              <w:rPr>
                <w:rFonts w:ascii="Times New Roman" w:eastAsia="SimSun" w:hAnsi="Times New Roman" w:cs="Times New Roman"/>
                <w:b/>
                <w:bCs/>
                <w:sz w:val="24"/>
                <w:szCs w:val="24"/>
                <w:lang w:bidi="ar"/>
              </w:rPr>
              <w:t>Mechanism contributing to shortage</w:t>
            </w:r>
          </w:p>
        </w:tc>
        <w:tc>
          <w:tcPr>
            <w:tcW w:w="2405" w:type="dxa"/>
            <w:tcBorders>
              <w:top w:val="single" w:sz="4" w:space="0" w:color="000000"/>
              <w:bottom w:val="single" w:sz="4" w:space="0" w:color="000000"/>
            </w:tcBorders>
            <w:shd w:val="clear" w:color="auto" w:fill="FFFFFF"/>
            <w:vAlign w:val="center"/>
          </w:tcPr>
          <w:p w14:paraId="5FBD9E98" w14:textId="77777777" w:rsidR="00614808" w:rsidRDefault="00000000">
            <w:pPr>
              <w:jc w:val="center"/>
              <w:rPr>
                <w:rFonts w:ascii="Times New Roman" w:hAnsi="Times New Roman" w:cs="Times New Roman"/>
                <w:b/>
                <w:color w:val="000000"/>
                <w:sz w:val="24"/>
                <w:szCs w:val="24"/>
              </w:rPr>
            </w:pPr>
            <w:r>
              <w:rPr>
                <w:rFonts w:ascii="Times New Roman" w:eastAsia="SimSun" w:hAnsi="Times New Roman" w:cs="Times New Roman"/>
                <w:b/>
                <w:bCs/>
                <w:sz w:val="24"/>
                <w:szCs w:val="24"/>
                <w:lang w:bidi="ar"/>
              </w:rPr>
              <w:t>Potential consequence for medicine access</w:t>
            </w:r>
          </w:p>
        </w:tc>
        <w:tc>
          <w:tcPr>
            <w:tcW w:w="2048" w:type="dxa"/>
            <w:tcBorders>
              <w:top w:val="single" w:sz="4" w:space="0" w:color="000000"/>
              <w:bottom w:val="single" w:sz="4" w:space="0" w:color="000000"/>
              <w:right w:val="single" w:sz="4" w:space="0" w:color="000000"/>
            </w:tcBorders>
            <w:shd w:val="clear" w:color="auto" w:fill="FFFFFF"/>
            <w:vAlign w:val="center"/>
          </w:tcPr>
          <w:p w14:paraId="087A2482" w14:textId="77777777" w:rsidR="00614808" w:rsidRDefault="00000000">
            <w:pPr>
              <w:jc w:val="center"/>
              <w:rPr>
                <w:rFonts w:ascii="Times New Roman" w:hAnsi="Times New Roman" w:cs="Times New Roman"/>
                <w:b/>
                <w:color w:val="000000"/>
                <w:sz w:val="24"/>
                <w:szCs w:val="24"/>
              </w:rPr>
            </w:pPr>
            <w:r>
              <w:rPr>
                <w:rFonts w:ascii="Times New Roman" w:eastAsia="SimSun" w:hAnsi="Times New Roman" w:cs="Times New Roman"/>
                <w:b/>
                <w:bCs/>
                <w:sz w:val="24"/>
                <w:szCs w:val="24"/>
                <w:lang w:bidi="ar"/>
              </w:rPr>
              <w:t>Governance implication</w:t>
            </w:r>
          </w:p>
        </w:tc>
      </w:tr>
      <w:tr w:rsidR="00614808" w14:paraId="25692F2D"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6E23B9AE"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Manufacturing concentration</w:t>
            </w:r>
          </w:p>
        </w:tc>
        <w:tc>
          <w:tcPr>
            <w:tcW w:w="2307" w:type="dxa"/>
            <w:tcBorders>
              <w:top w:val="single" w:sz="4" w:space="0" w:color="000000"/>
              <w:bottom w:val="single" w:sz="4" w:space="0" w:color="000000"/>
            </w:tcBorders>
            <w:shd w:val="clear" w:color="auto" w:fill="FFFFFF"/>
            <w:vAlign w:val="center"/>
          </w:tcPr>
          <w:p w14:paraId="6B973694"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Production concentrated among few manufacturers or facilities increases dependence on a limited number of sources and magnifies the effect of facility disruption (Socal et al., 2023).</w:t>
            </w:r>
          </w:p>
        </w:tc>
        <w:tc>
          <w:tcPr>
            <w:tcW w:w="2405" w:type="dxa"/>
            <w:tcBorders>
              <w:top w:val="single" w:sz="4" w:space="0" w:color="000000"/>
              <w:bottom w:val="single" w:sz="4" w:space="0" w:color="000000"/>
            </w:tcBorders>
            <w:shd w:val="clear" w:color="auto" w:fill="FFFFFF"/>
            <w:vAlign w:val="center"/>
          </w:tcPr>
          <w:p w14:paraId="2315BB09"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Loss of one source can substantially reduce available supply, particularly where therapeutic alternatives are limited (Mazer-</w:t>
            </w:r>
            <w:proofErr w:type="spellStart"/>
            <w:r>
              <w:rPr>
                <w:rFonts w:ascii="Times New Roman" w:eastAsia="SimSun" w:hAnsi="Times New Roman" w:cs="Times New Roman"/>
                <w:sz w:val="24"/>
                <w:szCs w:val="24"/>
                <w:lang w:bidi="ar"/>
              </w:rPr>
              <w:t>Amirshahi</w:t>
            </w:r>
            <w:proofErr w:type="spellEnd"/>
            <w:r>
              <w:rPr>
                <w:rFonts w:ascii="Times New Roman" w:eastAsia="SimSun" w:hAnsi="Times New Roman" w:cs="Times New Roman"/>
                <w:sz w:val="24"/>
                <w:szCs w:val="24"/>
                <w:lang w:bidi="ar"/>
              </w:rPr>
              <w:t xml:space="preserve"> &amp; Fox, 2018).</w:t>
            </w:r>
          </w:p>
        </w:tc>
        <w:tc>
          <w:tcPr>
            <w:tcW w:w="2048" w:type="dxa"/>
            <w:tcBorders>
              <w:top w:val="single" w:sz="4" w:space="0" w:color="000000"/>
              <w:bottom w:val="single" w:sz="4" w:space="0" w:color="000000"/>
              <w:right w:val="single" w:sz="4" w:space="0" w:color="000000"/>
            </w:tcBorders>
            <w:shd w:val="clear" w:color="auto" w:fill="FFFFFF"/>
            <w:vAlign w:val="center"/>
          </w:tcPr>
          <w:p w14:paraId="13B51812"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Identify highly concentrated essential medicine markets and encourage genuine supplier and production diversification.</w:t>
            </w:r>
          </w:p>
        </w:tc>
      </w:tr>
      <w:tr w:rsidR="00614808" w14:paraId="5FEC6827"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4F439382"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Limited production redundancy</w:t>
            </w:r>
          </w:p>
        </w:tc>
        <w:tc>
          <w:tcPr>
            <w:tcW w:w="2307" w:type="dxa"/>
            <w:tcBorders>
              <w:top w:val="single" w:sz="4" w:space="0" w:color="000000"/>
              <w:bottom w:val="single" w:sz="4" w:space="0" w:color="000000"/>
            </w:tcBorders>
            <w:shd w:val="clear" w:color="auto" w:fill="FFFFFF"/>
            <w:vAlign w:val="center"/>
          </w:tcPr>
          <w:p w14:paraId="6E7ECAF9"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 xml:space="preserve">Limited alternative production lines, reserve capacity, or qualified suppliers restricts the ability of other producers to compensate when supply is interrupted (Woodcock &amp; </w:t>
            </w:r>
            <w:proofErr w:type="spellStart"/>
            <w:r>
              <w:rPr>
                <w:rFonts w:ascii="Times New Roman" w:eastAsia="SimSun" w:hAnsi="Times New Roman" w:cs="Times New Roman"/>
                <w:sz w:val="24"/>
                <w:szCs w:val="24"/>
                <w:lang w:bidi="ar"/>
              </w:rPr>
              <w:t>Wosinska</w:t>
            </w:r>
            <w:proofErr w:type="spellEnd"/>
            <w:r>
              <w:rPr>
                <w:rFonts w:ascii="Times New Roman" w:eastAsia="SimSun" w:hAnsi="Times New Roman" w:cs="Times New Roman"/>
                <w:sz w:val="24"/>
                <w:szCs w:val="24"/>
                <w:lang w:bidi="ar"/>
              </w:rPr>
              <w:t>, 2013).</w:t>
            </w:r>
          </w:p>
        </w:tc>
        <w:tc>
          <w:tcPr>
            <w:tcW w:w="2405" w:type="dxa"/>
            <w:tcBorders>
              <w:top w:val="single" w:sz="4" w:space="0" w:color="000000"/>
              <w:bottom w:val="single" w:sz="4" w:space="0" w:color="000000"/>
            </w:tcBorders>
            <w:shd w:val="clear" w:color="auto" w:fill="FFFFFF"/>
            <w:vAlign w:val="center"/>
          </w:tcPr>
          <w:p w14:paraId="113DB01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Disruptions may persist because replacement production cannot be increased rapidly enough to meet demand (Chen et al., 2016).</w:t>
            </w:r>
          </w:p>
        </w:tc>
        <w:tc>
          <w:tcPr>
            <w:tcW w:w="2048" w:type="dxa"/>
            <w:tcBorders>
              <w:top w:val="single" w:sz="4" w:space="0" w:color="000000"/>
              <w:bottom w:val="single" w:sz="4" w:space="0" w:color="000000"/>
              <w:right w:val="single" w:sz="4" w:space="0" w:color="000000"/>
            </w:tcBorders>
            <w:shd w:val="clear" w:color="auto" w:fill="FFFFFF"/>
            <w:vAlign w:val="center"/>
          </w:tcPr>
          <w:p w14:paraId="069A138B"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Create proportionate incentives for reserve capacity, flexible manufacturing, and qualified alternative sources.</w:t>
            </w:r>
          </w:p>
        </w:tc>
      </w:tr>
      <w:tr w:rsidR="00614808" w14:paraId="36A1C50A"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0B6483E7"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Fragile economics of mature generic medicines</w:t>
            </w:r>
          </w:p>
        </w:tc>
        <w:tc>
          <w:tcPr>
            <w:tcW w:w="2307" w:type="dxa"/>
            <w:tcBorders>
              <w:top w:val="single" w:sz="4" w:space="0" w:color="000000"/>
              <w:bottom w:val="single" w:sz="4" w:space="0" w:color="000000"/>
            </w:tcBorders>
            <w:shd w:val="clear" w:color="auto" w:fill="FFFFFF"/>
            <w:vAlign w:val="center"/>
          </w:tcPr>
          <w:p w14:paraId="2A24DF54"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Low margins and sustained price pressure can weaken incentives for continued participation and investment in quality, capacity, and redundancy (Conti &amp; Berndt, 2020).</w:t>
            </w:r>
          </w:p>
        </w:tc>
        <w:tc>
          <w:tcPr>
            <w:tcW w:w="2405" w:type="dxa"/>
            <w:tcBorders>
              <w:top w:val="single" w:sz="4" w:space="0" w:color="000000"/>
              <w:bottom w:val="single" w:sz="4" w:space="0" w:color="000000"/>
            </w:tcBorders>
            <w:shd w:val="clear" w:color="auto" w:fill="FFFFFF"/>
            <w:vAlign w:val="center"/>
          </w:tcPr>
          <w:p w14:paraId="63986C0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Manufacturer withdrawal or underinvestment can leave essential products dependent on fewer suppliers and increase vulnerability to prolonged scarcity (Hernandez et al., 2020).</w:t>
            </w:r>
          </w:p>
        </w:tc>
        <w:tc>
          <w:tcPr>
            <w:tcW w:w="2048" w:type="dxa"/>
            <w:tcBorders>
              <w:top w:val="single" w:sz="4" w:space="0" w:color="000000"/>
              <w:bottom w:val="single" w:sz="4" w:space="0" w:color="000000"/>
              <w:right w:val="single" w:sz="4" w:space="0" w:color="000000"/>
            </w:tcBorders>
            <w:shd w:val="clear" w:color="auto" w:fill="FFFFFF"/>
            <w:vAlign w:val="center"/>
          </w:tcPr>
          <w:p w14:paraId="69748867"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Incorporate reliability, manufacturing quality, and resilience into purchasing and payment incentives alongside price.</w:t>
            </w:r>
          </w:p>
        </w:tc>
      </w:tr>
      <w:tr w:rsidR="00614808" w14:paraId="03D0F04D"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7710E081"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Upstream supply dependencies</w:t>
            </w:r>
          </w:p>
        </w:tc>
        <w:tc>
          <w:tcPr>
            <w:tcW w:w="2307" w:type="dxa"/>
            <w:tcBorders>
              <w:top w:val="single" w:sz="4" w:space="0" w:color="000000"/>
              <w:bottom w:val="single" w:sz="4" w:space="0" w:color="000000"/>
            </w:tcBorders>
            <w:shd w:val="clear" w:color="auto" w:fill="FFFFFF"/>
            <w:vAlign w:val="center"/>
          </w:tcPr>
          <w:p w14:paraId="5D81A6D4"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Multiple manufacturers may depend on common API producers, key starting materials, contract facilities, or other critical inputs (Socal et al., 2023).</w:t>
            </w:r>
          </w:p>
        </w:tc>
        <w:tc>
          <w:tcPr>
            <w:tcW w:w="2405" w:type="dxa"/>
            <w:tcBorders>
              <w:top w:val="single" w:sz="4" w:space="0" w:color="000000"/>
              <w:bottom w:val="single" w:sz="4" w:space="0" w:color="000000"/>
            </w:tcBorders>
            <w:shd w:val="clear" w:color="auto" w:fill="FFFFFF"/>
            <w:vAlign w:val="center"/>
          </w:tcPr>
          <w:p w14:paraId="51E9F77E"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Failure of a shared upstream source can simultaneously constrain several manufacturers or products (NASEM, 2022).</w:t>
            </w:r>
          </w:p>
        </w:tc>
        <w:tc>
          <w:tcPr>
            <w:tcW w:w="2048" w:type="dxa"/>
            <w:tcBorders>
              <w:top w:val="single" w:sz="4" w:space="0" w:color="000000"/>
              <w:bottom w:val="single" w:sz="4" w:space="0" w:color="000000"/>
              <w:right w:val="single" w:sz="4" w:space="0" w:color="000000"/>
            </w:tcBorders>
            <w:shd w:val="clear" w:color="auto" w:fill="FFFFFF"/>
            <w:vAlign w:val="center"/>
          </w:tcPr>
          <w:p w14:paraId="17C88CDE"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Improve visibility into upstream dependencies and distinguish genuine supplier diversification from apparent product-level competition.</w:t>
            </w:r>
          </w:p>
        </w:tc>
      </w:tr>
      <w:tr w:rsidR="00614808" w14:paraId="6721E7AA"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019F70AD"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Cost-focused procurement practices</w:t>
            </w:r>
          </w:p>
        </w:tc>
        <w:tc>
          <w:tcPr>
            <w:tcW w:w="2307" w:type="dxa"/>
            <w:tcBorders>
              <w:top w:val="single" w:sz="4" w:space="0" w:color="000000"/>
              <w:bottom w:val="single" w:sz="4" w:space="0" w:color="000000"/>
            </w:tcBorders>
            <w:shd w:val="clear" w:color="auto" w:fill="FFFFFF"/>
            <w:vAlign w:val="center"/>
          </w:tcPr>
          <w:p w14:paraId="5CB240E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 xml:space="preserve">Purchasing arrangements that emphasize acquisition price may provide </w:t>
            </w:r>
            <w:r>
              <w:rPr>
                <w:rFonts w:ascii="Times New Roman" w:eastAsia="SimSun" w:hAnsi="Times New Roman" w:cs="Times New Roman"/>
                <w:sz w:val="24"/>
                <w:szCs w:val="24"/>
                <w:lang w:bidi="ar"/>
              </w:rPr>
              <w:lastRenderedPageBreak/>
              <w:t>limited economic recognition for redundancy, reserve capacity, or diversified sourcing (Hernandez et al., 2020).</w:t>
            </w:r>
          </w:p>
        </w:tc>
        <w:tc>
          <w:tcPr>
            <w:tcW w:w="2405" w:type="dxa"/>
            <w:tcBorders>
              <w:top w:val="single" w:sz="4" w:space="0" w:color="000000"/>
              <w:bottom w:val="single" w:sz="4" w:space="0" w:color="000000"/>
            </w:tcBorders>
            <w:shd w:val="clear" w:color="auto" w:fill="FFFFFF"/>
            <w:vAlign w:val="center"/>
          </w:tcPr>
          <w:p w14:paraId="3D702C78"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Healthcare systems may face greater exposure when low-cost supply </w:t>
            </w:r>
            <w:r>
              <w:rPr>
                <w:rFonts w:ascii="Times New Roman" w:eastAsia="SimSun" w:hAnsi="Times New Roman" w:cs="Times New Roman"/>
                <w:sz w:val="24"/>
                <w:szCs w:val="24"/>
                <w:lang w:bidi="ar"/>
              </w:rPr>
              <w:lastRenderedPageBreak/>
              <w:t>arrangements lack sufficient alternatives during disruption (Iyengar et al., 2016).</w:t>
            </w:r>
          </w:p>
        </w:tc>
        <w:tc>
          <w:tcPr>
            <w:tcW w:w="2048" w:type="dxa"/>
            <w:tcBorders>
              <w:top w:val="single" w:sz="4" w:space="0" w:color="000000"/>
              <w:bottom w:val="single" w:sz="4" w:space="0" w:color="000000"/>
              <w:right w:val="single" w:sz="4" w:space="0" w:color="000000"/>
            </w:tcBorders>
            <w:shd w:val="clear" w:color="auto" w:fill="FFFFFF"/>
            <w:vAlign w:val="center"/>
          </w:tcPr>
          <w:p w14:paraId="1366BB08"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Incorporate supply reliability and resilience criteria into procurement </w:t>
            </w:r>
            <w:r>
              <w:rPr>
                <w:rFonts w:ascii="Times New Roman" w:eastAsia="SimSun" w:hAnsi="Times New Roman" w:cs="Times New Roman"/>
                <w:sz w:val="24"/>
                <w:szCs w:val="24"/>
                <w:lang w:bidi="ar"/>
              </w:rPr>
              <w:lastRenderedPageBreak/>
              <w:t>decisions while preserving affordability.</w:t>
            </w:r>
          </w:p>
        </w:tc>
      </w:tr>
      <w:tr w:rsidR="00614808" w14:paraId="1C7654E9"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1AC142B8"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lastRenderedPageBreak/>
              <w:t>Limited inventory buffers</w:t>
            </w:r>
          </w:p>
        </w:tc>
        <w:tc>
          <w:tcPr>
            <w:tcW w:w="2307" w:type="dxa"/>
            <w:tcBorders>
              <w:top w:val="single" w:sz="4" w:space="0" w:color="000000"/>
              <w:bottom w:val="single" w:sz="4" w:space="0" w:color="000000"/>
            </w:tcBorders>
            <w:shd w:val="clear" w:color="auto" w:fill="FFFFFF"/>
            <w:vAlign w:val="center"/>
          </w:tcPr>
          <w:p w14:paraId="03295E25"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Inventory minimization reduces the quantity of supply available to bridge temporary manufacturing or distribution interruptions (NASEM, 2022).</w:t>
            </w:r>
          </w:p>
        </w:tc>
        <w:tc>
          <w:tcPr>
            <w:tcW w:w="2405" w:type="dxa"/>
            <w:tcBorders>
              <w:top w:val="single" w:sz="4" w:space="0" w:color="000000"/>
              <w:bottom w:val="single" w:sz="4" w:space="0" w:color="000000"/>
            </w:tcBorders>
            <w:shd w:val="clear" w:color="auto" w:fill="FFFFFF"/>
            <w:vAlign w:val="center"/>
          </w:tcPr>
          <w:p w14:paraId="650D67F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Supply disruptions can translate more rapidly into institutional scarcity and conservation measures (Fox &amp; McLaughlin, 2018).</w:t>
            </w:r>
          </w:p>
        </w:tc>
        <w:tc>
          <w:tcPr>
            <w:tcW w:w="2048" w:type="dxa"/>
            <w:tcBorders>
              <w:top w:val="single" w:sz="4" w:space="0" w:color="000000"/>
              <w:bottom w:val="single" w:sz="4" w:space="0" w:color="000000"/>
              <w:right w:val="single" w:sz="4" w:space="0" w:color="000000"/>
            </w:tcBorders>
            <w:shd w:val="clear" w:color="auto" w:fill="FFFFFF"/>
            <w:vAlign w:val="center"/>
          </w:tcPr>
          <w:p w14:paraId="4E5B37BE"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Apply risk-based inventory strategies to clinically important products rather than uniform stock expansion.</w:t>
            </w:r>
          </w:p>
        </w:tc>
      </w:tr>
      <w:tr w:rsidR="00614808" w14:paraId="3A483FFA" w14:textId="77777777">
        <w:trPr>
          <w:tblCellSpacing w:w="15" w:type="dxa"/>
        </w:trPr>
        <w:tc>
          <w:tcPr>
            <w:tcW w:w="1646" w:type="dxa"/>
            <w:tcBorders>
              <w:top w:val="single" w:sz="4" w:space="0" w:color="000000"/>
              <w:left w:val="single" w:sz="4" w:space="0" w:color="000000"/>
              <w:bottom w:val="single" w:sz="4" w:space="0" w:color="000000"/>
            </w:tcBorders>
            <w:shd w:val="clear" w:color="auto" w:fill="FFFFFF"/>
            <w:vAlign w:val="center"/>
          </w:tcPr>
          <w:p w14:paraId="02A41CCE"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Demand shocks and forecasting limitations</w:t>
            </w:r>
          </w:p>
        </w:tc>
        <w:tc>
          <w:tcPr>
            <w:tcW w:w="2307" w:type="dxa"/>
            <w:tcBorders>
              <w:top w:val="single" w:sz="4" w:space="0" w:color="000000"/>
              <w:bottom w:val="single" w:sz="4" w:space="0" w:color="000000"/>
            </w:tcBorders>
            <w:shd w:val="clear" w:color="auto" w:fill="FFFFFF"/>
            <w:vAlign w:val="center"/>
          </w:tcPr>
          <w:p w14:paraId="6CF1BA1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Epidemics, emergencies, changes in clinical practice, or competitor withdrawal can increase demand faster than production can expand (Badreldin &amp; Atallah, 2021).</w:t>
            </w:r>
          </w:p>
        </w:tc>
        <w:tc>
          <w:tcPr>
            <w:tcW w:w="2405" w:type="dxa"/>
            <w:tcBorders>
              <w:top w:val="single" w:sz="4" w:space="0" w:color="000000"/>
              <w:bottom w:val="single" w:sz="4" w:space="0" w:color="000000"/>
            </w:tcBorders>
            <w:shd w:val="clear" w:color="auto" w:fill="FFFFFF"/>
            <w:vAlign w:val="center"/>
          </w:tcPr>
          <w:p w14:paraId="107DDBFB"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Available inventory may be depleted rapidly, resulting in allocation, therapeutic substitution, or treatment disruption (Rosoff et al., 2012).</w:t>
            </w:r>
          </w:p>
        </w:tc>
        <w:tc>
          <w:tcPr>
            <w:tcW w:w="2048" w:type="dxa"/>
            <w:tcBorders>
              <w:top w:val="single" w:sz="4" w:space="0" w:color="000000"/>
              <w:bottom w:val="single" w:sz="4" w:space="0" w:color="000000"/>
              <w:right w:val="single" w:sz="4" w:space="0" w:color="000000"/>
            </w:tcBorders>
            <w:shd w:val="clear" w:color="auto" w:fill="FFFFFF"/>
            <w:vAlign w:val="center"/>
          </w:tcPr>
          <w:p w14:paraId="476CF6E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Strengthen demand surveillance, forecasting, surge planning, and mechanisms for coordinated production response.</w:t>
            </w:r>
          </w:p>
        </w:tc>
      </w:tr>
    </w:tbl>
    <w:p w14:paraId="00CB27AD" w14:textId="77777777" w:rsidR="00614808" w:rsidRDefault="00614808">
      <w:pPr>
        <w:pStyle w:val="NormalWeb"/>
      </w:pPr>
    </w:p>
    <w:p w14:paraId="0CBDC0C3" w14:textId="77777777" w:rsidR="00614808" w:rsidRDefault="00614808">
      <w:pPr>
        <w:rPr>
          <w:rFonts w:ascii="Times New Roman" w:hAnsi="Times New Roman" w:cs="Times New Roman"/>
          <w:sz w:val="24"/>
          <w:szCs w:val="24"/>
        </w:rPr>
      </w:pPr>
    </w:p>
    <w:p w14:paraId="6698B30F"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5. The U.S. Policy and Governance Architecture</w:t>
      </w:r>
    </w:p>
    <w:p w14:paraId="0B1A30F7"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5.1 Key Actors and Responsibilities</w:t>
      </w:r>
    </w:p>
    <w:p w14:paraId="06D51BBF"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 xml:space="preserve">Drug shortages in the United States are governed by a mix of public and private actors with overlapping, but not identical, duties. The Food and Drug Administration is the central regulatory authority. It is responsible for tracking shortages, for taking notice of manufacturers' reporting of shortages, for evaluating potential shortages, for coordinating with manufacturers to prevent or reduce shortages, and for implementing available regulatory mechanisms to help in the recovery process. The FDA, however, has no authority over the price of pharmaceuticals, to force companies to keep products that aren't profitable, or to directly manage investment in manufacturing capacity. </w:t>
      </w:r>
      <w:proofErr w:type="gramStart"/>
      <w:r>
        <w:rPr>
          <w:rFonts w:ascii="Times New Roman" w:hAnsi="Times New Roman" w:hint="default"/>
          <w:b w:val="0"/>
          <w:bCs w:val="0"/>
          <w:sz w:val="24"/>
          <w:szCs w:val="24"/>
        </w:rPr>
        <w:t>Therefore</w:t>
      </w:r>
      <w:proofErr w:type="gramEnd"/>
      <w:r>
        <w:rPr>
          <w:rFonts w:ascii="Times New Roman" w:hAnsi="Times New Roman" w:hint="default"/>
          <w:b w:val="0"/>
          <w:bCs w:val="0"/>
          <w:sz w:val="24"/>
          <w:szCs w:val="24"/>
        </w:rPr>
        <w:t xml:space="preserve"> its preventive capacity is limited to the scope of its statutory powers as well as other market decisions</w:t>
      </w:r>
      <w:r>
        <w:rPr>
          <w:rFonts w:ascii="Times New Roman" w:hAnsi="Times New Roman" w:hint="default"/>
          <w:sz w:val="24"/>
          <w:szCs w:val="24"/>
        </w:rPr>
        <w:t xml:space="preserve"> </w:t>
      </w:r>
      <w:r>
        <w:rPr>
          <w:rFonts w:ascii="Times New Roman" w:hAnsi="Times New Roman" w:hint="default"/>
          <w:b w:val="0"/>
          <w:bCs w:val="0"/>
          <w:sz w:val="24"/>
          <w:szCs w:val="24"/>
        </w:rPr>
        <w:t>(Fox et al., 2014; Gupta &amp; Huang, 2013).</w:t>
      </w:r>
    </w:p>
    <w:p w14:paraId="389621B7"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 xml:space="preserve">Other HHS agencies bring in through initiatives in preparedness, resiliency in the preparedness supply chain, procurement, and manufacturing. The Administration for Strategic Preparedness and Response has helped to build domestic capacity and </w:t>
      </w:r>
      <w:r>
        <w:rPr>
          <w:rFonts w:ascii="Times New Roman" w:hAnsi="Times New Roman" w:hint="default"/>
          <w:b w:val="0"/>
          <w:bCs w:val="0"/>
          <w:sz w:val="24"/>
          <w:szCs w:val="24"/>
        </w:rPr>
        <w:lastRenderedPageBreak/>
        <w:t>source supplies of essential medical products. Other federal agencies can be applicable in cases of emergency preparedness, trade, manufacturing, and controlled substances shortages. Such an organizational structure allows no single organization to be in control of all the conditions that govern the availability of pharmaceuticals</w:t>
      </w:r>
      <w:r>
        <w:rPr>
          <w:rFonts w:ascii="Times New Roman" w:hAnsi="Times New Roman" w:hint="default"/>
          <w:sz w:val="24"/>
          <w:szCs w:val="24"/>
        </w:rPr>
        <w:t xml:space="preserve"> </w:t>
      </w:r>
      <w:r>
        <w:rPr>
          <w:rFonts w:ascii="Times New Roman" w:hAnsi="Times New Roman" w:hint="default"/>
          <w:b w:val="0"/>
          <w:bCs w:val="0"/>
          <w:sz w:val="24"/>
          <w:szCs w:val="24"/>
        </w:rPr>
        <w:t>(NASEM, 2022; Socal et al., 2021).</w:t>
      </w:r>
    </w:p>
    <w:p w14:paraId="72982D36"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In addition, private actors have similar modes of influence. Production capacity, facility investment, supplier relations, and entry and exit decisions are decisions made by manufacturers. Wholesalers and distributors have an impact on the flow of input inventory. Group purchasing organizations and other purchasers set the conditions and incentives for contracting. Local hospitals and health systems deal with the shortage by conservation, substitution, inventory redistribution, and allocation. Finally, scarcity is converted to treatment decisions by pharmacists and clinicians. Governance of drug shortages is thus a complex network of interrelated decisions, not just a regulatory chain</w:t>
      </w:r>
      <w:r>
        <w:rPr>
          <w:rFonts w:ascii="Times New Roman" w:hAnsi="Times New Roman" w:hint="default"/>
          <w:sz w:val="24"/>
          <w:szCs w:val="24"/>
        </w:rPr>
        <w:t xml:space="preserve"> </w:t>
      </w:r>
      <w:r>
        <w:rPr>
          <w:rFonts w:ascii="Times New Roman" w:hAnsi="Times New Roman" w:hint="default"/>
          <w:b w:val="0"/>
          <w:bCs w:val="0"/>
          <w:sz w:val="24"/>
          <w:szCs w:val="24"/>
        </w:rPr>
        <w:t>(Fox et al., 2014; Iyengar et al., 2016).</w:t>
      </w:r>
    </w:p>
    <w:p w14:paraId="530B789C"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5.2 Shortage Surveillance and Early Warning</w:t>
      </w:r>
    </w:p>
    <w:p w14:paraId="7A1EEC95" w14:textId="77777777" w:rsidR="00614808" w:rsidRDefault="00000000">
      <w:pPr>
        <w:pStyle w:val="NormalWeb"/>
      </w:pPr>
      <w:r>
        <w:t xml:space="preserve">Early notification is one of the principal mechanisms available for preventing an emerging disruption from becoming a shortage. Federal requirements oblige manufacturers of covered products to notify the FDA of certain permanent discontinuances and manufacturing interruptions likely to cause meaningful supply disruption. Such notification is generally expected six months in </w:t>
      </w:r>
      <w:proofErr w:type="gramStart"/>
      <w:r>
        <w:t>advance</w:t>
      </w:r>
      <w:proofErr w:type="gramEnd"/>
      <w:r>
        <w:t xml:space="preserve"> when possible, with shorter reporting timelines when advance notice cannot reasonably be provided. The FDA also maintains a public Drug Shortage Database and receives information from manufacturers, healthcare professionals, patients, and other organizations (Chen et al., 2016; Lee et al., 2021).</w:t>
      </w:r>
    </w:p>
    <w:p w14:paraId="0F671042" w14:textId="77777777" w:rsidR="00614808" w:rsidRDefault="00000000">
      <w:pPr>
        <w:pStyle w:val="NormalWeb"/>
      </w:pPr>
      <w:r>
        <w:t>These mechanisms have improved visibility, but important limitations remain. Surveillance depends heavily on timely and sufficiently detailed information from manufacturers. Knowing that production has been interrupted does not necessarily provide complete visibility into available inventory, alternative capacity, shared upstream suppliers, or the ability of competitors to increase production. Data completeness is therefore as important as reporting speed. An early warning system has limited preventive value when the underlying supply network cannot be sufficiently characterized to determine how widely a disruption may propagate (Lee et al., 2021; Socal et al., 2023).</w:t>
      </w:r>
    </w:p>
    <w:p w14:paraId="7FE77ED4"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5.3 Regulatory and Policy Responses</w:t>
      </w:r>
    </w:p>
    <w:p w14:paraId="6EF97676" w14:textId="77777777" w:rsidR="00614808" w:rsidRDefault="00000000">
      <w:pPr>
        <w:pStyle w:val="NormalWeb"/>
      </w:pPr>
      <w:r>
        <w:t>Depending on its cause and severity, the response mechanisms that are available are diverse once a shortage is forecasted or realized. Regulatory actions may involve working with existing manufacturers to get them back into production, considering alternative manufacturers, accelerating the regulatory review of relevant alternatives where appropriate, making regulatory changes that are flexible where legally and clinically appropriate, and facilitating temporary alternative sourcing where acceptable product(s) are available. While these steps may be essential for addressing the short-term scarcity, they tend to come into effect once vulnerability is evident (Chen et al., 2016; Gupta &amp; Huang, 2013).</w:t>
      </w:r>
    </w:p>
    <w:p w14:paraId="734278FC" w14:textId="77777777" w:rsidR="00614808" w:rsidRDefault="00000000">
      <w:pPr>
        <w:pStyle w:val="NormalWeb"/>
      </w:pPr>
      <w:r>
        <w:lastRenderedPageBreak/>
        <w:t xml:space="preserve">A larger suite of policy actions </w:t>
      </w:r>
      <w:proofErr w:type="gramStart"/>
      <w:r>
        <w:t>aim</w:t>
      </w:r>
      <w:proofErr w:type="gramEnd"/>
      <w:r>
        <w:t xml:space="preserve"> to enhance resilience prior to disruption. They involve strategic reserves, investment in domestic manufacturing, diversification of supply, supply chain intelligence and advanced manufacturing capacity support. There is also a focus on domestic sourcing of critical medicines and their ingredients, and better transparency around dependency of the supply chain in current Federal preparedness policy. Strategic reserves are buffers that may be utilized for a short time but require product selection, stocking, rotation, storage and replenishment decisions. Likewise, it is not necessarily resilience if domestic manufacturing decreases a certain amount of foreign reliance in a few facilities, yet still depends on common upstream use because all of the manufacturing facilities are concentrated. The current U.S. responses cover various phases of drug shortage prevention and management but have different functions and </w:t>
      </w:r>
      <w:proofErr w:type="spellStart"/>
      <w:proofErr w:type="gramStart"/>
      <w:r>
        <w:t>limitations.Table</w:t>
      </w:r>
      <w:proofErr w:type="spellEnd"/>
      <w:proofErr w:type="gramEnd"/>
      <w:r>
        <w:t xml:space="preserve"> 2 summarizes the principal mechanisms and the remaining governance and evidence gaps (Shukar et al., 2021; Tucker, Cao, et al., 2020).</w:t>
      </w:r>
    </w:p>
    <w:p w14:paraId="58285FF2" w14:textId="77777777" w:rsidR="00614808" w:rsidRDefault="00000000">
      <w:pPr>
        <w:pStyle w:val="NormalWeb"/>
      </w:pPr>
      <w:r>
        <w:t>Table 2. Major U.S. drug shortage policy and regulatory responses, functions, limitations, and evidence gaps</w:t>
      </w:r>
    </w:p>
    <w:p w14:paraId="1FF59F42" w14:textId="77777777" w:rsidR="00614808" w:rsidRDefault="00614808">
      <w:pPr>
        <w:pStyle w:val="NormalWeb"/>
      </w:pPr>
    </w:p>
    <w:tbl>
      <w:tblPr>
        <w:tblW w:w="0" w:type="auto"/>
        <w:tblCellSpacing w:w="15" w:type="dxa"/>
        <w:tblInd w:w="10" w:type="dxa"/>
        <w:tblCellMar>
          <w:top w:w="15" w:type="dxa"/>
          <w:left w:w="15" w:type="dxa"/>
          <w:bottom w:w="15" w:type="dxa"/>
          <w:right w:w="15" w:type="dxa"/>
        </w:tblCellMar>
        <w:tblLook w:val="04A0" w:firstRow="1" w:lastRow="0" w:firstColumn="1" w:lastColumn="0" w:noHBand="0" w:noVBand="1"/>
      </w:tblPr>
      <w:tblGrid>
        <w:gridCol w:w="1487"/>
        <w:gridCol w:w="1401"/>
        <w:gridCol w:w="1461"/>
        <w:gridCol w:w="1242"/>
        <w:gridCol w:w="1462"/>
        <w:gridCol w:w="1353"/>
      </w:tblGrid>
      <w:tr w:rsidR="00614808" w14:paraId="31F869DA" w14:textId="77777777">
        <w:trPr>
          <w:tblHeader/>
          <w:tblCellSpacing w:w="15" w:type="dxa"/>
        </w:trPr>
        <w:tc>
          <w:tcPr>
            <w:tcW w:w="1385" w:type="dxa"/>
            <w:tcBorders>
              <w:top w:val="single" w:sz="4" w:space="0" w:color="000000"/>
              <w:left w:val="single" w:sz="4" w:space="0" w:color="000000"/>
              <w:bottom w:val="single" w:sz="4" w:space="0" w:color="000000"/>
              <w:tl2br w:val="nil"/>
            </w:tcBorders>
            <w:shd w:val="clear" w:color="auto" w:fill="FFFFFF"/>
            <w:vAlign w:val="center"/>
          </w:tcPr>
          <w:p w14:paraId="2CEB6060" w14:textId="77777777" w:rsidR="00614808" w:rsidRDefault="00000000">
            <w:pPr>
              <w:jc w:val="center"/>
              <w:rPr>
                <w:rFonts w:ascii="Times New Roman" w:hAnsi="Times New Roman" w:cs="Times New Roman"/>
                <w:bCs/>
                <w:color w:val="000000"/>
                <w:sz w:val="24"/>
                <w:szCs w:val="24"/>
              </w:rPr>
            </w:pPr>
            <w:r>
              <w:rPr>
                <w:rFonts w:ascii="Times New Roman" w:eastAsia="SimSun" w:hAnsi="Times New Roman" w:cs="Times New Roman"/>
                <w:b/>
                <w:bCs/>
                <w:sz w:val="24"/>
                <w:szCs w:val="24"/>
                <w:lang w:bidi="ar"/>
              </w:rPr>
              <w:t>Policy or response mechanism</w:t>
            </w:r>
          </w:p>
        </w:tc>
        <w:tc>
          <w:tcPr>
            <w:tcW w:w="1422" w:type="dxa"/>
            <w:tcBorders>
              <w:top w:val="single" w:sz="4" w:space="0" w:color="000000"/>
              <w:bottom w:val="single" w:sz="4" w:space="0" w:color="000000"/>
            </w:tcBorders>
            <w:shd w:val="clear" w:color="auto" w:fill="FFFFFF"/>
            <w:vAlign w:val="center"/>
          </w:tcPr>
          <w:p w14:paraId="5CDCFB98" w14:textId="77777777" w:rsidR="00614808" w:rsidRDefault="00000000">
            <w:pPr>
              <w:jc w:val="center"/>
              <w:rPr>
                <w:rFonts w:ascii="Times New Roman" w:hAnsi="Times New Roman" w:cs="Times New Roman"/>
                <w:bCs/>
                <w:color w:val="000000"/>
                <w:sz w:val="24"/>
                <w:szCs w:val="24"/>
              </w:rPr>
            </w:pPr>
            <w:r>
              <w:rPr>
                <w:rFonts w:ascii="Times New Roman" w:eastAsia="SimSun" w:hAnsi="Times New Roman" w:cs="Times New Roman"/>
                <w:b/>
                <w:bCs/>
                <w:sz w:val="24"/>
                <w:szCs w:val="24"/>
                <w:lang w:bidi="ar"/>
              </w:rPr>
              <w:t>Principal actor(s)</w:t>
            </w:r>
          </w:p>
        </w:tc>
        <w:tc>
          <w:tcPr>
            <w:tcW w:w="1483" w:type="dxa"/>
            <w:tcBorders>
              <w:top w:val="single" w:sz="4" w:space="0" w:color="000000"/>
              <w:bottom w:val="single" w:sz="4" w:space="0" w:color="000000"/>
            </w:tcBorders>
            <w:shd w:val="clear" w:color="auto" w:fill="FFFFFF"/>
            <w:vAlign w:val="center"/>
          </w:tcPr>
          <w:p w14:paraId="24ACE351" w14:textId="77777777" w:rsidR="00614808" w:rsidRDefault="00000000">
            <w:pPr>
              <w:jc w:val="center"/>
              <w:rPr>
                <w:rFonts w:ascii="Times New Roman" w:hAnsi="Times New Roman" w:cs="Times New Roman"/>
                <w:bCs/>
                <w:color w:val="000000"/>
                <w:sz w:val="24"/>
                <w:szCs w:val="24"/>
              </w:rPr>
            </w:pPr>
            <w:r>
              <w:rPr>
                <w:rFonts w:ascii="Times New Roman" w:eastAsia="SimSun" w:hAnsi="Times New Roman" w:cs="Times New Roman"/>
                <w:b/>
                <w:bCs/>
                <w:sz w:val="24"/>
                <w:szCs w:val="24"/>
                <w:lang w:bidi="ar"/>
              </w:rPr>
              <w:t>Intended function</w:t>
            </w:r>
          </w:p>
        </w:tc>
        <w:tc>
          <w:tcPr>
            <w:tcW w:w="1260" w:type="dxa"/>
            <w:tcBorders>
              <w:top w:val="single" w:sz="4" w:space="0" w:color="000000"/>
              <w:bottom w:val="single" w:sz="4" w:space="0" w:color="000000"/>
            </w:tcBorders>
            <w:shd w:val="clear" w:color="auto" w:fill="FFFFFF"/>
            <w:vAlign w:val="center"/>
          </w:tcPr>
          <w:p w14:paraId="17995FE3" w14:textId="77777777" w:rsidR="00614808" w:rsidRDefault="00000000">
            <w:pPr>
              <w:jc w:val="center"/>
              <w:rPr>
                <w:rFonts w:ascii="Times New Roman" w:hAnsi="Times New Roman" w:cs="Times New Roman"/>
                <w:bCs/>
                <w:color w:val="000000"/>
                <w:sz w:val="24"/>
                <w:szCs w:val="24"/>
              </w:rPr>
            </w:pPr>
            <w:r>
              <w:rPr>
                <w:rFonts w:ascii="Times New Roman" w:eastAsia="SimSun" w:hAnsi="Times New Roman" w:cs="Times New Roman"/>
                <w:b/>
                <w:bCs/>
                <w:sz w:val="24"/>
                <w:szCs w:val="24"/>
                <w:lang w:bidi="ar"/>
              </w:rPr>
              <w:t>Strength or potential contribution</w:t>
            </w:r>
          </w:p>
        </w:tc>
        <w:tc>
          <w:tcPr>
            <w:tcW w:w="1484" w:type="dxa"/>
            <w:tcBorders>
              <w:top w:val="single" w:sz="4" w:space="0" w:color="000000"/>
              <w:bottom w:val="single" w:sz="4" w:space="0" w:color="000000"/>
            </w:tcBorders>
            <w:shd w:val="clear" w:color="auto" w:fill="FFFFFF"/>
            <w:vAlign w:val="center"/>
          </w:tcPr>
          <w:p w14:paraId="7200498D" w14:textId="77777777" w:rsidR="00614808" w:rsidRDefault="00000000">
            <w:pPr>
              <w:jc w:val="center"/>
              <w:rPr>
                <w:rFonts w:ascii="Times New Roman" w:hAnsi="Times New Roman" w:cs="Times New Roman"/>
                <w:bCs/>
                <w:color w:val="000000"/>
                <w:sz w:val="24"/>
                <w:szCs w:val="24"/>
              </w:rPr>
            </w:pPr>
            <w:r>
              <w:rPr>
                <w:rFonts w:ascii="Times New Roman" w:eastAsia="SimSun" w:hAnsi="Times New Roman" w:cs="Times New Roman"/>
                <w:b/>
                <w:bCs/>
                <w:sz w:val="24"/>
                <w:szCs w:val="24"/>
                <w:lang w:bidi="ar"/>
              </w:rPr>
              <w:t>Key limitation</w:t>
            </w:r>
          </w:p>
        </w:tc>
        <w:tc>
          <w:tcPr>
            <w:tcW w:w="1372" w:type="dxa"/>
            <w:tcBorders>
              <w:top w:val="single" w:sz="4" w:space="0" w:color="000000"/>
              <w:bottom w:val="single" w:sz="4" w:space="0" w:color="000000"/>
              <w:right w:val="single" w:sz="4" w:space="0" w:color="000000"/>
            </w:tcBorders>
            <w:shd w:val="clear" w:color="auto" w:fill="FFFFFF"/>
            <w:vAlign w:val="center"/>
          </w:tcPr>
          <w:p w14:paraId="10128802" w14:textId="77777777" w:rsidR="00614808" w:rsidRDefault="00000000">
            <w:pPr>
              <w:jc w:val="center"/>
              <w:rPr>
                <w:rFonts w:ascii="Times New Roman" w:hAnsi="Times New Roman" w:cs="Times New Roman"/>
                <w:bCs/>
                <w:color w:val="000000"/>
                <w:sz w:val="24"/>
                <w:szCs w:val="24"/>
              </w:rPr>
            </w:pPr>
            <w:r>
              <w:rPr>
                <w:rFonts w:ascii="Times New Roman" w:eastAsia="SimSun" w:hAnsi="Times New Roman" w:cs="Times New Roman"/>
                <w:b/>
                <w:bCs/>
                <w:sz w:val="24"/>
                <w:szCs w:val="24"/>
                <w:lang w:bidi="ar"/>
              </w:rPr>
              <w:t>Evidence gap</w:t>
            </w:r>
          </w:p>
        </w:tc>
      </w:tr>
      <w:tr w:rsidR="00614808" w14:paraId="6B1AEBBD"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2201A1B8"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Manufacturer shortage notification</w:t>
            </w:r>
          </w:p>
        </w:tc>
        <w:tc>
          <w:tcPr>
            <w:tcW w:w="1422" w:type="dxa"/>
            <w:tcBorders>
              <w:top w:val="single" w:sz="4" w:space="0" w:color="000000"/>
              <w:bottom w:val="single" w:sz="4" w:space="0" w:color="000000"/>
            </w:tcBorders>
            <w:shd w:val="clear" w:color="auto" w:fill="FFFFFF"/>
            <w:vAlign w:val="center"/>
          </w:tcPr>
          <w:p w14:paraId="33A5DB4C"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Manufacturers; FDA</w:t>
            </w:r>
          </w:p>
        </w:tc>
        <w:tc>
          <w:tcPr>
            <w:tcW w:w="1483" w:type="dxa"/>
            <w:tcBorders>
              <w:top w:val="single" w:sz="4" w:space="0" w:color="000000"/>
              <w:bottom w:val="single" w:sz="4" w:space="0" w:color="000000"/>
            </w:tcBorders>
            <w:shd w:val="clear" w:color="auto" w:fill="FFFFFF"/>
            <w:vAlign w:val="center"/>
          </w:tcPr>
          <w:p w14:paraId="7CDAC91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Provide advance warning of discontinuances or production interruptions that may affect supply (Lee et al., 2021).</w:t>
            </w:r>
          </w:p>
        </w:tc>
        <w:tc>
          <w:tcPr>
            <w:tcW w:w="1260" w:type="dxa"/>
            <w:tcBorders>
              <w:top w:val="single" w:sz="4" w:space="0" w:color="000000"/>
              <w:bottom w:val="single" w:sz="4" w:space="0" w:color="000000"/>
            </w:tcBorders>
            <w:shd w:val="clear" w:color="auto" w:fill="FFFFFF"/>
            <w:vAlign w:val="center"/>
          </w:tcPr>
          <w:p w14:paraId="7060CF44"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Allows earlier regulatory assessment and mitigation efforts.</w:t>
            </w:r>
          </w:p>
        </w:tc>
        <w:tc>
          <w:tcPr>
            <w:tcW w:w="1484" w:type="dxa"/>
            <w:tcBorders>
              <w:top w:val="single" w:sz="4" w:space="0" w:color="000000"/>
              <w:bottom w:val="single" w:sz="4" w:space="0" w:color="000000"/>
            </w:tcBorders>
            <w:shd w:val="clear" w:color="auto" w:fill="FFFFFF"/>
            <w:vAlign w:val="center"/>
          </w:tcPr>
          <w:p w14:paraId="4CFC5D29"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Depends on timely and sufficiently detailed reporting and may not reveal broader supply-network vulnerabilities (Socal et al., 2023).</w:t>
            </w:r>
          </w:p>
        </w:tc>
        <w:tc>
          <w:tcPr>
            <w:tcW w:w="1372" w:type="dxa"/>
            <w:tcBorders>
              <w:top w:val="single" w:sz="4" w:space="0" w:color="000000"/>
              <w:bottom w:val="single" w:sz="4" w:space="0" w:color="000000"/>
              <w:right w:val="single" w:sz="4" w:space="0" w:color="000000"/>
            </w:tcBorders>
            <w:shd w:val="clear" w:color="auto" w:fill="FFFFFF"/>
            <w:vAlign w:val="center"/>
          </w:tcPr>
          <w:p w14:paraId="088ED8AC"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Limited evidence linking notification performance to downstream access and patient outcomes (Phuong et al., 2019).</w:t>
            </w:r>
          </w:p>
        </w:tc>
      </w:tr>
      <w:tr w:rsidR="00614808" w14:paraId="3BA930FF"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02D2A6C7"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Drug shortage surveillance</w:t>
            </w:r>
          </w:p>
        </w:tc>
        <w:tc>
          <w:tcPr>
            <w:tcW w:w="1422" w:type="dxa"/>
            <w:tcBorders>
              <w:top w:val="single" w:sz="4" w:space="0" w:color="000000"/>
              <w:bottom w:val="single" w:sz="4" w:space="0" w:color="000000"/>
            </w:tcBorders>
            <w:shd w:val="clear" w:color="auto" w:fill="FFFFFF"/>
            <w:vAlign w:val="center"/>
          </w:tcPr>
          <w:p w14:paraId="6654D02C"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FDA; manufacturers; healthcare organizations and other reporting sources</w:t>
            </w:r>
          </w:p>
        </w:tc>
        <w:tc>
          <w:tcPr>
            <w:tcW w:w="1483" w:type="dxa"/>
            <w:tcBorders>
              <w:top w:val="single" w:sz="4" w:space="0" w:color="000000"/>
              <w:bottom w:val="single" w:sz="4" w:space="0" w:color="000000"/>
            </w:tcBorders>
            <w:shd w:val="clear" w:color="auto" w:fill="FFFFFF"/>
            <w:vAlign w:val="center"/>
          </w:tcPr>
          <w:p w14:paraId="5EC30472"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Identify and communicate emerging or ongoing shortages (Kim et al., 2024).</w:t>
            </w:r>
          </w:p>
        </w:tc>
        <w:tc>
          <w:tcPr>
            <w:tcW w:w="1260" w:type="dxa"/>
            <w:tcBorders>
              <w:top w:val="single" w:sz="4" w:space="0" w:color="000000"/>
              <w:bottom w:val="single" w:sz="4" w:space="0" w:color="000000"/>
            </w:tcBorders>
            <w:shd w:val="clear" w:color="auto" w:fill="FFFFFF"/>
            <w:vAlign w:val="center"/>
          </w:tcPr>
          <w:p w14:paraId="7A8E7FCC"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Improves visibility of recognized supply disruptions and supports coordination.</w:t>
            </w:r>
          </w:p>
        </w:tc>
        <w:tc>
          <w:tcPr>
            <w:tcW w:w="1484" w:type="dxa"/>
            <w:tcBorders>
              <w:top w:val="single" w:sz="4" w:space="0" w:color="000000"/>
              <w:bottom w:val="single" w:sz="4" w:space="0" w:color="000000"/>
            </w:tcBorders>
            <w:shd w:val="clear" w:color="auto" w:fill="FFFFFF"/>
            <w:vAlign w:val="center"/>
          </w:tcPr>
          <w:p w14:paraId="47C9B50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May provide incomplete information on inventories, alternative capacity, shared suppliers, and upstream dependencies (NASEM, 2022).</w:t>
            </w:r>
          </w:p>
        </w:tc>
        <w:tc>
          <w:tcPr>
            <w:tcW w:w="1372" w:type="dxa"/>
            <w:tcBorders>
              <w:top w:val="single" w:sz="4" w:space="0" w:color="000000"/>
              <w:bottom w:val="single" w:sz="4" w:space="0" w:color="000000"/>
              <w:right w:val="single" w:sz="4" w:space="0" w:color="000000"/>
            </w:tcBorders>
            <w:shd w:val="clear" w:color="auto" w:fill="FFFFFF"/>
            <w:vAlign w:val="center"/>
          </w:tcPr>
          <w:p w14:paraId="20321054"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Need for validated indicators that predict clinically significant shortages before scarcity occurs (Dave et al., 2018).</w:t>
            </w:r>
          </w:p>
        </w:tc>
      </w:tr>
      <w:tr w:rsidR="00614808" w14:paraId="1EA110A3"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64C96F3E"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lastRenderedPageBreak/>
              <w:t>Regulatory mitigation and flexibility</w:t>
            </w:r>
          </w:p>
        </w:tc>
        <w:tc>
          <w:tcPr>
            <w:tcW w:w="1422" w:type="dxa"/>
            <w:tcBorders>
              <w:top w:val="single" w:sz="4" w:space="0" w:color="000000"/>
              <w:bottom w:val="single" w:sz="4" w:space="0" w:color="000000"/>
            </w:tcBorders>
            <w:shd w:val="clear" w:color="auto" w:fill="FFFFFF"/>
            <w:vAlign w:val="center"/>
          </w:tcPr>
          <w:p w14:paraId="1EBD77B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FDA; manufacturers</w:t>
            </w:r>
          </w:p>
        </w:tc>
        <w:tc>
          <w:tcPr>
            <w:tcW w:w="1483" w:type="dxa"/>
            <w:tcBorders>
              <w:top w:val="single" w:sz="4" w:space="0" w:color="000000"/>
              <w:bottom w:val="single" w:sz="4" w:space="0" w:color="000000"/>
            </w:tcBorders>
            <w:shd w:val="clear" w:color="auto" w:fill="FFFFFF"/>
            <w:vAlign w:val="center"/>
          </w:tcPr>
          <w:p w14:paraId="65A75BCF"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Facilitate restoration or expansion of supply through appropriate regulatory mechanisms (Gupta &amp; Huang, 2013).</w:t>
            </w:r>
          </w:p>
        </w:tc>
        <w:tc>
          <w:tcPr>
            <w:tcW w:w="1260" w:type="dxa"/>
            <w:tcBorders>
              <w:top w:val="single" w:sz="4" w:space="0" w:color="000000"/>
              <w:bottom w:val="single" w:sz="4" w:space="0" w:color="000000"/>
            </w:tcBorders>
            <w:shd w:val="clear" w:color="auto" w:fill="FFFFFF"/>
            <w:vAlign w:val="center"/>
          </w:tcPr>
          <w:p w14:paraId="6079FF58"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Can reduce the severity or duration of emerging shortages.</w:t>
            </w:r>
          </w:p>
        </w:tc>
        <w:tc>
          <w:tcPr>
            <w:tcW w:w="1484" w:type="dxa"/>
            <w:tcBorders>
              <w:top w:val="single" w:sz="4" w:space="0" w:color="000000"/>
              <w:bottom w:val="single" w:sz="4" w:space="0" w:color="000000"/>
            </w:tcBorders>
            <w:shd w:val="clear" w:color="auto" w:fill="FFFFFF"/>
            <w:vAlign w:val="center"/>
          </w:tcPr>
          <w:p w14:paraId="4345C96E"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Primarily operates after a vulnerability or disruption has become apparent (Chen et al., 2016).</w:t>
            </w:r>
          </w:p>
        </w:tc>
        <w:tc>
          <w:tcPr>
            <w:tcW w:w="1372" w:type="dxa"/>
            <w:tcBorders>
              <w:top w:val="single" w:sz="4" w:space="0" w:color="000000"/>
              <w:bottom w:val="single" w:sz="4" w:space="0" w:color="000000"/>
              <w:right w:val="single" w:sz="4" w:space="0" w:color="000000"/>
            </w:tcBorders>
            <w:shd w:val="clear" w:color="auto" w:fill="FFFFFF"/>
            <w:vAlign w:val="center"/>
          </w:tcPr>
          <w:p w14:paraId="674D6177"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Limited comparative evidence on which mitigation approaches are most effective under different shortage conditions (Shukar et al., 2021).</w:t>
            </w:r>
          </w:p>
        </w:tc>
      </w:tr>
      <w:tr w:rsidR="00614808" w14:paraId="06DEBB70"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2408011A"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Alternative sourcing and supplier response</w:t>
            </w:r>
          </w:p>
        </w:tc>
        <w:tc>
          <w:tcPr>
            <w:tcW w:w="1422" w:type="dxa"/>
            <w:tcBorders>
              <w:top w:val="single" w:sz="4" w:space="0" w:color="000000"/>
              <w:bottom w:val="single" w:sz="4" w:space="0" w:color="000000"/>
            </w:tcBorders>
            <w:shd w:val="clear" w:color="auto" w:fill="FFFFFF"/>
            <w:vAlign w:val="center"/>
          </w:tcPr>
          <w:p w14:paraId="621F0BA6"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FDA; manufacturers; distributors</w:t>
            </w:r>
          </w:p>
        </w:tc>
        <w:tc>
          <w:tcPr>
            <w:tcW w:w="1483" w:type="dxa"/>
            <w:tcBorders>
              <w:top w:val="single" w:sz="4" w:space="0" w:color="000000"/>
              <w:bottom w:val="single" w:sz="4" w:space="0" w:color="000000"/>
            </w:tcBorders>
            <w:shd w:val="clear" w:color="auto" w:fill="FFFFFF"/>
            <w:vAlign w:val="center"/>
          </w:tcPr>
          <w:p w14:paraId="5C0ECAE6"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Increase available supply when existing production becomes insufficient (Mazer-</w:t>
            </w:r>
            <w:proofErr w:type="spellStart"/>
            <w:r>
              <w:rPr>
                <w:rFonts w:ascii="Times New Roman" w:eastAsia="SimSun" w:hAnsi="Times New Roman" w:cs="Times New Roman"/>
                <w:sz w:val="24"/>
                <w:szCs w:val="24"/>
                <w:lang w:bidi="ar"/>
              </w:rPr>
              <w:t>Amirshahi</w:t>
            </w:r>
            <w:proofErr w:type="spellEnd"/>
            <w:r>
              <w:rPr>
                <w:rFonts w:ascii="Times New Roman" w:eastAsia="SimSun" w:hAnsi="Times New Roman" w:cs="Times New Roman"/>
                <w:sz w:val="24"/>
                <w:szCs w:val="24"/>
                <w:lang w:bidi="ar"/>
              </w:rPr>
              <w:t xml:space="preserve"> &amp; Fox, 2018).</w:t>
            </w:r>
          </w:p>
        </w:tc>
        <w:tc>
          <w:tcPr>
            <w:tcW w:w="1260" w:type="dxa"/>
            <w:tcBorders>
              <w:top w:val="single" w:sz="4" w:space="0" w:color="000000"/>
              <w:bottom w:val="single" w:sz="4" w:space="0" w:color="000000"/>
            </w:tcBorders>
            <w:shd w:val="clear" w:color="auto" w:fill="FFFFFF"/>
            <w:vAlign w:val="center"/>
          </w:tcPr>
          <w:p w14:paraId="3E8AD377"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Can provide temporary relief during acute scarcity.</w:t>
            </w:r>
          </w:p>
        </w:tc>
        <w:tc>
          <w:tcPr>
            <w:tcW w:w="1484" w:type="dxa"/>
            <w:tcBorders>
              <w:top w:val="single" w:sz="4" w:space="0" w:color="000000"/>
              <w:bottom w:val="single" w:sz="4" w:space="0" w:color="000000"/>
            </w:tcBorders>
            <w:shd w:val="clear" w:color="auto" w:fill="FFFFFF"/>
            <w:vAlign w:val="center"/>
          </w:tcPr>
          <w:p w14:paraId="6EDF4402"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Alternative capacity or acceptable products may not always be available, and temporary sourcing does not necessarily address structural vulnerability (Dill &amp; Ahn, 2014).</w:t>
            </w:r>
          </w:p>
        </w:tc>
        <w:tc>
          <w:tcPr>
            <w:tcW w:w="1372" w:type="dxa"/>
            <w:tcBorders>
              <w:top w:val="single" w:sz="4" w:space="0" w:color="000000"/>
              <w:bottom w:val="single" w:sz="4" w:space="0" w:color="000000"/>
              <w:right w:val="single" w:sz="4" w:space="0" w:color="000000"/>
            </w:tcBorders>
            <w:shd w:val="clear" w:color="auto" w:fill="FFFFFF"/>
            <w:vAlign w:val="center"/>
          </w:tcPr>
          <w:p w14:paraId="06410162"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Limited evidence on long-term resilience following temporary sourcing interventions (Tucker, Cao, et al., 2020).</w:t>
            </w:r>
          </w:p>
        </w:tc>
      </w:tr>
      <w:tr w:rsidR="00614808" w14:paraId="25F6A3B5"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29C958F5"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Strategic reserves and stockpiling</w:t>
            </w:r>
          </w:p>
        </w:tc>
        <w:tc>
          <w:tcPr>
            <w:tcW w:w="1422" w:type="dxa"/>
            <w:tcBorders>
              <w:top w:val="single" w:sz="4" w:space="0" w:color="000000"/>
              <w:bottom w:val="single" w:sz="4" w:space="0" w:color="000000"/>
            </w:tcBorders>
            <w:shd w:val="clear" w:color="auto" w:fill="FFFFFF"/>
            <w:vAlign w:val="center"/>
          </w:tcPr>
          <w:p w14:paraId="2C667B5B"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Federal agencies; healthcare systems</w:t>
            </w:r>
          </w:p>
        </w:tc>
        <w:tc>
          <w:tcPr>
            <w:tcW w:w="1483" w:type="dxa"/>
            <w:tcBorders>
              <w:top w:val="single" w:sz="4" w:space="0" w:color="000000"/>
              <w:bottom w:val="single" w:sz="4" w:space="0" w:color="000000"/>
            </w:tcBorders>
            <w:shd w:val="clear" w:color="auto" w:fill="FFFFFF"/>
            <w:vAlign w:val="center"/>
          </w:tcPr>
          <w:p w14:paraId="72972F6B"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Maintain buffer inventory for selected critical products (NASEM, 2022).</w:t>
            </w:r>
          </w:p>
        </w:tc>
        <w:tc>
          <w:tcPr>
            <w:tcW w:w="1260" w:type="dxa"/>
            <w:tcBorders>
              <w:top w:val="single" w:sz="4" w:space="0" w:color="000000"/>
              <w:bottom w:val="single" w:sz="4" w:space="0" w:color="000000"/>
            </w:tcBorders>
            <w:shd w:val="clear" w:color="auto" w:fill="FFFFFF"/>
            <w:vAlign w:val="center"/>
          </w:tcPr>
          <w:p w14:paraId="2D030226"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Can bridge temporary interruptions and reduce immediate scarcity.</w:t>
            </w:r>
          </w:p>
        </w:tc>
        <w:tc>
          <w:tcPr>
            <w:tcW w:w="1484" w:type="dxa"/>
            <w:tcBorders>
              <w:top w:val="single" w:sz="4" w:space="0" w:color="000000"/>
              <w:bottom w:val="single" w:sz="4" w:space="0" w:color="000000"/>
            </w:tcBorders>
            <w:shd w:val="clear" w:color="auto" w:fill="FFFFFF"/>
            <w:vAlign w:val="center"/>
          </w:tcPr>
          <w:p w14:paraId="67764365"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Expiration, storage, rotation, replenishment, and product-selection requirements can limit feasibility (Iyengar et al., 2016).</w:t>
            </w:r>
          </w:p>
        </w:tc>
        <w:tc>
          <w:tcPr>
            <w:tcW w:w="1372" w:type="dxa"/>
            <w:tcBorders>
              <w:top w:val="single" w:sz="4" w:space="0" w:color="000000"/>
              <w:bottom w:val="single" w:sz="4" w:space="0" w:color="000000"/>
              <w:right w:val="single" w:sz="4" w:space="0" w:color="000000"/>
            </w:tcBorders>
            <w:shd w:val="clear" w:color="auto" w:fill="FFFFFF"/>
            <w:vAlign w:val="center"/>
          </w:tcPr>
          <w:p w14:paraId="3F04607E"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Uncertainty regarding optimal products, inventory levels, duration, cost-effectiveness, and effects on routine markets (NASEM, 2022).</w:t>
            </w:r>
          </w:p>
        </w:tc>
      </w:tr>
      <w:tr w:rsidR="00614808" w14:paraId="23D1863B"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01F319BE"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Domestic manufacturi</w:t>
            </w:r>
            <w:r>
              <w:rPr>
                <w:rStyle w:val="Strong"/>
                <w:rFonts w:ascii="Times New Roman" w:eastAsia="SimSun" w:hAnsi="Times New Roman" w:cs="Times New Roman"/>
                <w:sz w:val="24"/>
                <w:szCs w:val="24"/>
                <w:lang w:bidi="ar"/>
              </w:rPr>
              <w:lastRenderedPageBreak/>
              <w:t>ng initiatives</w:t>
            </w:r>
          </w:p>
        </w:tc>
        <w:tc>
          <w:tcPr>
            <w:tcW w:w="1422" w:type="dxa"/>
            <w:tcBorders>
              <w:top w:val="single" w:sz="4" w:space="0" w:color="000000"/>
              <w:bottom w:val="single" w:sz="4" w:space="0" w:color="000000"/>
            </w:tcBorders>
            <w:shd w:val="clear" w:color="auto" w:fill="FFFFFF"/>
            <w:vAlign w:val="center"/>
          </w:tcPr>
          <w:p w14:paraId="662F5055"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HHS and other federal </w:t>
            </w:r>
            <w:r>
              <w:rPr>
                <w:rFonts w:ascii="Times New Roman" w:eastAsia="SimSun" w:hAnsi="Times New Roman" w:cs="Times New Roman"/>
                <w:sz w:val="24"/>
                <w:szCs w:val="24"/>
                <w:lang w:bidi="ar"/>
              </w:rPr>
              <w:lastRenderedPageBreak/>
              <w:t>bodies; manufacturers</w:t>
            </w:r>
          </w:p>
        </w:tc>
        <w:tc>
          <w:tcPr>
            <w:tcW w:w="1483" w:type="dxa"/>
            <w:tcBorders>
              <w:top w:val="single" w:sz="4" w:space="0" w:color="000000"/>
              <w:bottom w:val="single" w:sz="4" w:space="0" w:color="000000"/>
            </w:tcBorders>
            <w:shd w:val="clear" w:color="auto" w:fill="FFFFFF"/>
            <w:vAlign w:val="center"/>
          </w:tcPr>
          <w:p w14:paraId="4029C391"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Strengthen domestic </w:t>
            </w:r>
            <w:r>
              <w:rPr>
                <w:rFonts w:ascii="Times New Roman" w:eastAsia="SimSun" w:hAnsi="Times New Roman" w:cs="Times New Roman"/>
                <w:sz w:val="24"/>
                <w:szCs w:val="24"/>
                <w:lang w:bidi="ar"/>
              </w:rPr>
              <w:lastRenderedPageBreak/>
              <w:t>production capacity for critical medicines and components (Socal et al., 2021).</w:t>
            </w:r>
          </w:p>
        </w:tc>
        <w:tc>
          <w:tcPr>
            <w:tcW w:w="1260" w:type="dxa"/>
            <w:tcBorders>
              <w:top w:val="single" w:sz="4" w:space="0" w:color="000000"/>
              <w:bottom w:val="single" w:sz="4" w:space="0" w:color="000000"/>
            </w:tcBorders>
            <w:shd w:val="clear" w:color="auto" w:fill="FFFFFF"/>
            <w:vAlign w:val="center"/>
          </w:tcPr>
          <w:p w14:paraId="1D4077BB"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May reduce selected </w:t>
            </w:r>
            <w:r>
              <w:rPr>
                <w:rFonts w:ascii="Times New Roman" w:eastAsia="SimSun" w:hAnsi="Times New Roman" w:cs="Times New Roman"/>
                <w:sz w:val="24"/>
                <w:szCs w:val="24"/>
                <w:lang w:bidi="ar"/>
              </w:rPr>
              <w:lastRenderedPageBreak/>
              <w:t>external dependencies and strengthen national production capability.</w:t>
            </w:r>
          </w:p>
        </w:tc>
        <w:tc>
          <w:tcPr>
            <w:tcW w:w="1484" w:type="dxa"/>
            <w:tcBorders>
              <w:top w:val="single" w:sz="4" w:space="0" w:color="000000"/>
              <w:bottom w:val="single" w:sz="4" w:space="0" w:color="000000"/>
            </w:tcBorders>
            <w:shd w:val="clear" w:color="auto" w:fill="FFFFFF"/>
            <w:vAlign w:val="center"/>
          </w:tcPr>
          <w:p w14:paraId="4D3E038B"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Domestic production </w:t>
            </w:r>
            <w:r>
              <w:rPr>
                <w:rFonts w:ascii="Times New Roman" w:eastAsia="SimSun" w:hAnsi="Times New Roman" w:cs="Times New Roman"/>
                <w:sz w:val="24"/>
                <w:szCs w:val="24"/>
                <w:lang w:bidi="ar"/>
              </w:rPr>
              <w:lastRenderedPageBreak/>
              <w:t>may remain concentrated or dependent on common upstream inputs (Socal et al., 2023).</w:t>
            </w:r>
          </w:p>
        </w:tc>
        <w:tc>
          <w:tcPr>
            <w:tcW w:w="1372" w:type="dxa"/>
            <w:tcBorders>
              <w:top w:val="single" w:sz="4" w:space="0" w:color="000000"/>
              <w:bottom w:val="single" w:sz="4" w:space="0" w:color="000000"/>
              <w:right w:val="single" w:sz="4" w:space="0" w:color="000000"/>
            </w:tcBorders>
            <w:shd w:val="clear" w:color="auto" w:fill="FFFFFF"/>
            <w:vAlign w:val="center"/>
          </w:tcPr>
          <w:p w14:paraId="5F1AD7B1"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lastRenderedPageBreak/>
              <w:t xml:space="preserve">Need for evidence </w:t>
            </w:r>
            <w:r>
              <w:rPr>
                <w:rFonts w:ascii="Times New Roman" w:eastAsia="SimSun" w:hAnsi="Times New Roman" w:cs="Times New Roman"/>
                <w:sz w:val="24"/>
                <w:szCs w:val="24"/>
                <w:lang w:bidi="ar"/>
              </w:rPr>
              <w:lastRenderedPageBreak/>
              <w:t>showing whether domestic production reduces shortage frequency, duration, or recurrence (NASEM, 2022).</w:t>
            </w:r>
          </w:p>
        </w:tc>
      </w:tr>
      <w:tr w:rsidR="00614808" w14:paraId="2A2F5BFB"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3817529C"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lastRenderedPageBreak/>
              <w:t>Supply diversification</w:t>
            </w:r>
          </w:p>
        </w:tc>
        <w:tc>
          <w:tcPr>
            <w:tcW w:w="1422" w:type="dxa"/>
            <w:tcBorders>
              <w:top w:val="single" w:sz="4" w:space="0" w:color="000000"/>
              <w:bottom w:val="single" w:sz="4" w:space="0" w:color="000000"/>
            </w:tcBorders>
            <w:shd w:val="clear" w:color="auto" w:fill="FFFFFF"/>
            <w:vAlign w:val="center"/>
          </w:tcPr>
          <w:p w14:paraId="71C907F4"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Manufacturers; purchasers; federal agencies</w:t>
            </w:r>
          </w:p>
        </w:tc>
        <w:tc>
          <w:tcPr>
            <w:tcW w:w="1483" w:type="dxa"/>
            <w:tcBorders>
              <w:top w:val="single" w:sz="4" w:space="0" w:color="000000"/>
              <w:bottom w:val="single" w:sz="4" w:space="0" w:color="000000"/>
            </w:tcBorders>
            <w:shd w:val="clear" w:color="auto" w:fill="FFFFFF"/>
            <w:vAlign w:val="center"/>
          </w:tcPr>
          <w:p w14:paraId="48432150"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Reduce dependence on individual suppliers, facilities, or geographic sources (Jia &amp; Zhao, 2017).</w:t>
            </w:r>
          </w:p>
        </w:tc>
        <w:tc>
          <w:tcPr>
            <w:tcW w:w="1260" w:type="dxa"/>
            <w:tcBorders>
              <w:top w:val="single" w:sz="4" w:space="0" w:color="000000"/>
              <w:bottom w:val="single" w:sz="4" w:space="0" w:color="000000"/>
            </w:tcBorders>
            <w:shd w:val="clear" w:color="auto" w:fill="FFFFFF"/>
            <w:vAlign w:val="center"/>
          </w:tcPr>
          <w:p w14:paraId="5261D5B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Can increase the number of alternatives available during disruption.</w:t>
            </w:r>
          </w:p>
        </w:tc>
        <w:tc>
          <w:tcPr>
            <w:tcW w:w="1484" w:type="dxa"/>
            <w:tcBorders>
              <w:top w:val="single" w:sz="4" w:space="0" w:color="000000"/>
              <w:bottom w:val="single" w:sz="4" w:space="0" w:color="000000"/>
            </w:tcBorders>
            <w:shd w:val="clear" w:color="auto" w:fill="FFFFFF"/>
            <w:vAlign w:val="center"/>
          </w:tcPr>
          <w:p w14:paraId="0E50137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Geographic relocation alone may reproduce concentration if suppliers share facilities or upstream inputs (Socal et al., 2023).</w:t>
            </w:r>
          </w:p>
        </w:tc>
        <w:tc>
          <w:tcPr>
            <w:tcW w:w="1372" w:type="dxa"/>
            <w:tcBorders>
              <w:top w:val="single" w:sz="4" w:space="0" w:color="000000"/>
              <w:bottom w:val="single" w:sz="4" w:space="0" w:color="000000"/>
              <w:right w:val="single" w:sz="4" w:space="0" w:color="000000"/>
            </w:tcBorders>
            <w:shd w:val="clear" w:color="auto" w:fill="FFFFFF"/>
            <w:vAlign w:val="center"/>
          </w:tcPr>
          <w:p w14:paraId="3108659F"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Need for better measures of genuine supplier and upstream diversification (NASEM, 2022).</w:t>
            </w:r>
          </w:p>
        </w:tc>
      </w:tr>
      <w:tr w:rsidR="00614808" w14:paraId="326DD0AC" w14:textId="77777777">
        <w:trPr>
          <w:tblCellSpacing w:w="15" w:type="dxa"/>
        </w:trPr>
        <w:tc>
          <w:tcPr>
            <w:tcW w:w="1385" w:type="dxa"/>
            <w:tcBorders>
              <w:top w:val="single" w:sz="4" w:space="0" w:color="000000"/>
              <w:left w:val="single" w:sz="4" w:space="0" w:color="000000"/>
              <w:bottom w:val="single" w:sz="4" w:space="0" w:color="000000"/>
            </w:tcBorders>
            <w:shd w:val="clear" w:color="auto" w:fill="FFFFFF"/>
            <w:vAlign w:val="center"/>
          </w:tcPr>
          <w:p w14:paraId="75E87024" w14:textId="77777777" w:rsidR="00614808" w:rsidRDefault="00000000">
            <w:pPr>
              <w:rPr>
                <w:rFonts w:ascii="Times New Roman" w:hAnsi="Times New Roman" w:cs="Times New Roman"/>
                <w:color w:val="000000"/>
                <w:sz w:val="24"/>
                <w:szCs w:val="24"/>
              </w:rPr>
            </w:pPr>
            <w:r>
              <w:rPr>
                <w:rStyle w:val="Strong"/>
                <w:rFonts w:ascii="Times New Roman" w:eastAsia="SimSun" w:hAnsi="Times New Roman" w:cs="Times New Roman"/>
                <w:sz w:val="24"/>
                <w:szCs w:val="24"/>
                <w:lang w:bidi="ar"/>
              </w:rPr>
              <w:t>Supply-chain resilience and preparedness initiatives</w:t>
            </w:r>
          </w:p>
        </w:tc>
        <w:tc>
          <w:tcPr>
            <w:tcW w:w="1422" w:type="dxa"/>
            <w:tcBorders>
              <w:top w:val="single" w:sz="4" w:space="0" w:color="000000"/>
              <w:bottom w:val="single" w:sz="4" w:space="0" w:color="000000"/>
            </w:tcBorders>
            <w:shd w:val="clear" w:color="auto" w:fill="FFFFFF"/>
            <w:vAlign w:val="center"/>
          </w:tcPr>
          <w:p w14:paraId="71230B9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HHS and other federal bodies; manufacturers; healthcare organizations</w:t>
            </w:r>
          </w:p>
        </w:tc>
        <w:tc>
          <w:tcPr>
            <w:tcW w:w="1483" w:type="dxa"/>
            <w:tcBorders>
              <w:top w:val="single" w:sz="4" w:space="0" w:color="000000"/>
              <w:bottom w:val="single" w:sz="4" w:space="0" w:color="000000"/>
            </w:tcBorders>
            <w:shd w:val="clear" w:color="auto" w:fill="FFFFFF"/>
            <w:vAlign w:val="center"/>
          </w:tcPr>
          <w:p w14:paraId="68816DA9"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Strengthen preparedness, supply visibility, and capacity to withstand disruption (NASEM, 2022).</w:t>
            </w:r>
          </w:p>
        </w:tc>
        <w:tc>
          <w:tcPr>
            <w:tcW w:w="1260" w:type="dxa"/>
            <w:tcBorders>
              <w:top w:val="single" w:sz="4" w:space="0" w:color="000000"/>
              <w:bottom w:val="single" w:sz="4" w:space="0" w:color="000000"/>
            </w:tcBorders>
            <w:shd w:val="clear" w:color="auto" w:fill="FFFFFF"/>
            <w:vAlign w:val="center"/>
          </w:tcPr>
          <w:p w14:paraId="4858CE53"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Extends policy attention beyond immediate shortage response toward prevention.</w:t>
            </w:r>
          </w:p>
        </w:tc>
        <w:tc>
          <w:tcPr>
            <w:tcW w:w="1484" w:type="dxa"/>
            <w:tcBorders>
              <w:top w:val="single" w:sz="4" w:space="0" w:color="000000"/>
              <w:bottom w:val="single" w:sz="4" w:space="0" w:color="000000"/>
            </w:tcBorders>
            <w:shd w:val="clear" w:color="auto" w:fill="FFFFFF"/>
            <w:vAlign w:val="center"/>
          </w:tcPr>
          <w:p w14:paraId="11F02F81"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Responsibilities and incentives remain distributed across multiple public and private actors (Iyengar et al., 2016).</w:t>
            </w:r>
          </w:p>
        </w:tc>
        <w:tc>
          <w:tcPr>
            <w:tcW w:w="1372" w:type="dxa"/>
            <w:tcBorders>
              <w:top w:val="single" w:sz="4" w:space="0" w:color="000000"/>
              <w:bottom w:val="single" w:sz="4" w:space="0" w:color="000000"/>
              <w:right w:val="single" w:sz="4" w:space="0" w:color="000000"/>
            </w:tcBorders>
            <w:shd w:val="clear" w:color="auto" w:fill="FFFFFF"/>
            <w:vAlign w:val="center"/>
          </w:tcPr>
          <w:p w14:paraId="465B2A2D" w14:textId="77777777" w:rsidR="00614808" w:rsidRDefault="00000000">
            <w:pPr>
              <w:rPr>
                <w:rFonts w:ascii="Times New Roman" w:hAnsi="Times New Roman" w:cs="Times New Roman"/>
                <w:color w:val="000000"/>
                <w:sz w:val="24"/>
                <w:szCs w:val="24"/>
              </w:rPr>
            </w:pPr>
            <w:r>
              <w:rPr>
                <w:rFonts w:ascii="Times New Roman" w:eastAsia="SimSun" w:hAnsi="Times New Roman" w:cs="Times New Roman"/>
                <w:sz w:val="24"/>
                <w:szCs w:val="24"/>
                <w:lang w:bidi="ar"/>
              </w:rPr>
              <w:t>Limited longitudinal evaluation of whether resilience initiatives produce sustained improvements in medicine availability and access (Kim et al., 2024).</w:t>
            </w:r>
          </w:p>
        </w:tc>
      </w:tr>
    </w:tbl>
    <w:p w14:paraId="39EB2589" w14:textId="77777777" w:rsidR="00614808" w:rsidRDefault="00614808">
      <w:pPr>
        <w:pStyle w:val="NormalWeb"/>
      </w:pPr>
    </w:p>
    <w:p w14:paraId="0D0BC473"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5.4 Governance Fragmentation and Accountability Gaps</w:t>
      </w:r>
    </w:p>
    <w:p w14:paraId="177C34CA" w14:textId="77777777" w:rsidR="00614808" w:rsidRDefault="00000000">
      <w:pPr>
        <w:pStyle w:val="NormalWeb"/>
      </w:pPr>
      <w:r>
        <w:t xml:space="preserve">The central weakness of the current architecture is not an absence of activity but the difficulty of aligning responsibility, authority, information, and incentives. The institution that detects a shortage may lack authority to correct the economic conditions contributing to it. Manufacturers may possess the most detailed </w:t>
      </w:r>
      <w:r>
        <w:lastRenderedPageBreak/>
        <w:t xml:space="preserve">information about production vulnerabilities but face limited incentives to maintain unused capacity. Purchasers benefit from lower prices but may not directly bear the </w:t>
      </w:r>
      <w:proofErr w:type="gramStart"/>
      <w:r>
        <w:t>long term</w:t>
      </w:r>
      <w:proofErr w:type="gramEnd"/>
      <w:r>
        <w:t xml:space="preserve"> consequences of weakened manufacturing redundancy. Healthcare institutions bear substantial operational consequences when shortages occur despite having little influence over upstream production decisions (</w:t>
      </w:r>
      <w:proofErr w:type="spellStart"/>
      <w:r>
        <w:t>Goldsack</w:t>
      </w:r>
      <w:proofErr w:type="spellEnd"/>
      <w:r>
        <w:t xml:space="preserve"> et al., 2014; </w:t>
      </w:r>
      <w:proofErr w:type="spellStart"/>
      <w:r>
        <w:t>Kaakeh</w:t>
      </w:r>
      <w:proofErr w:type="spellEnd"/>
      <w:r>
        <w:t xml:space="preserve"> et al., 2011; McLaughlin et al., 2013).</w:t>
      </w:r>
    </w:p>
    <w:p w14:paraId="1301E807" w14:textId="77777777" w:rsidR="00614808" w:rsidRDefault="00000000">
      <w:pPr>
        <w:pStyle w:val="NormalWeb"/>
      </w:pPr>
      <w:r>
        <w:t>This fragmentation complicates accountability. Preventing shortages requires investment before the benefits of that investment become observable, raising the question of who should finance resilience and how its value should be measured. It also requires information sharing across organizations that may regard production capacity, supplier relationships, and inventory as commercially sensitive (Lee et al., 2021; NASEM, 2022).</w:t>
      </w:r>
    </w:p>
    <w:p w14:paraId="4B2F0253" w14:textId="77777777" w:rsidR="00614808" w:rsidRDefault="00000000">
      <w:pPr>
        <w:pStyle w:val="NormalWeb"/>
      </w:pPr>
      <w:r>
        <w:t xml:space="preserve">The resulting governance problem is therefore deeper than coordination during emergencies. A system can respond effectively to individual shortages while continuing to reproduce the conditions that generate them. Effective governance requires clearer assignment of preventive responsibilities, mechanisms for sharing actionable information, incentives that reward reliable supply, and coordination that extends from preparedness through recovery. Without these elements, shortage policy risks remaining predominantly reactive, repeatedly managing the consequences of vulnerabilities that the broader pharmaceutical system has not been structured to resolve (Chen et al., 2016; Hernandez et al., 2020; Woodcock &amp; </w:t>
      </w:r>
      <w:proofErr w:type="spellStart"/>
      <w:r>
        <w:t>Wosinska</w:t>
      </w:r>
      <w:proofErr w:type="spellEnd"/>
      <w:r>
        <w:t>, 2013).</w:t>
      </w:r>
    </w:p>
    <w:p w14:paraId="65790351"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6. Drug Shortages, Essential Medicine Access, and Equity</w:t>
      </w:r>
    </w:p>
    <w:p w14:paraId="6E811A1B"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6.1 Shortages as an Access Problem</w:t>
      </w:r>
    </w:p>
    <w:p w14:paraId="69D37C49"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Availability of drugs and access to patients are not synonymous. One medicine could be in the national supply chain and not be on the shelf of a specific hospital, clinic, physician or patient when they require it. National supply indicators can thus mask the real impacts of scarcity. Access not only depends on the total amount of the medicine that is in circulation, but also on how this remaining supply is distributed, whether they can be accessed by institutions, whether clinically appropriate alternatives are available, and whether the patient can have the alternative without the risk of unacceptable delay, cost or clinical compromise</w:t>
      </w:r>
      <w:r>
        <w:rPr>
          <w:rFonts w:ascii="Times New Roman" w:hAnsi="Times New Roman" w:hint="default"/>
          <w:sz w:val="24"/>
          <w:szCs w:val="24"/>
        </w:rPr>
        <w:t xml:space="preserve"> </w:t>
      </w:r>
      <w:r>
        <w:rPr>
          <w:rFonts w:ascii="Times New Roman" w:hAnsi="Times New Roman" w:hint="default"/>
          <w:b w:val="0"/>
          <w:bCs w:val="0"/>
          <w:sz w:val="24"/>
          <w:szCs w:val="24"/>
        </w:rPr>
        <w:t>(Fox et al., 2014; Phuong et al., 2019).</w:t>
      </w:r>
    </w:p>
    <w:p w14:paraId="7153EDBC"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This is especially significant in the case of scarcity, since the scarcity is passed on from the production system to the healthcare system. Decision makers at hospitals and pharmacies will need to figure out how current stocks will be preserved, what other options are available, and how the few supplies will be allocated among various clinical uses. The importance of shortage, therefore, depends on the scale of the supply constraint as well as on the adaptive abilities of the institutions serving the affected patients. The country-wide shortage is not a "one-size-fits-all" situation. It can manifest itself in local variation in procurement, inventory, clinical resources, and the capacity to try other treatment strategies</w:t>
      </w:r>
      <w:r>
        <w:rPr>
          <w:rFonts w:ascii="Times New Roman" w:hAnsi="Times New Roman" w:hint="default"/>
          <w:sz w:val="24"/>
          <w:szCs w:val="24"/>
        </w:rPr>
        <w:t xml:space="preserve"> </w:t>
      </w:r>
      <w:r>
        <w:rPr>
          <w:rFonts w:ascii="Times New Roman" w:hAnsi="Times New Roman" w:hint="default"/>
          <w:b w:val="0"/>
          <w:bCs w:val="0"/>
          <w:sz w:val="24"/>
          <w:szCs w:val="24"/>
        </w:rPr>
        <w:t xml:space="preserve">(Fox &amp; McLaughlin, 2018; </w:t>
      </w:r>
      <w:proofErr w:type="spellStart"/>
      <w:r>
        <w:rPr>
          <w:rFonts w:ascii="Times New Roman" w:hAnsi="Times New Roman" w:hint="default"/>
          <w:b w:val="0"/>
          <w:bCs w:val="0"/>
          <w:sz w:val="24"/>
          <w:szCs w:val="24"/>
        </w:rPr>
        <w:t>Kaakeh</w:t>
      </w:r>
      <w:proofErr w:type="spellEnd"/>
      <w:r>
        <w:rPr>
          <w:rFonts w:ascii="Times New Roman" w:hAnsi="Times New Roman" w:hint="default"/>
          <w:b w:val="0"/>
          <w:bCs w:val="0"/>
          <w:sz w:val="24"/>
          <w:szCs w:val="24"/>
        </w:rPr>
        <w:t xml:space="preserve"> et al., 2011).</w:t>
      </w:r>
    </w:p>
    <w:p w14:paraId="3BD430BF"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6.2 Distributional Consequences</w:t>
      </w:r>
    </w:p>
    <w:p w14:paraId="565ED525"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lastRenderedPageBreak/>
        <w:t>These disparities evoke an interesting equity concern -- whether the ability to weather the scarcity of pharmaceuticals is equal between healthcare organizations and patient populations. Large health systems may have access to a broad purchasing network, a shortage management team, more flexibility in inventory and a system in place to move product between facilities. For smaller or limited-resource organizations, there may be fewer options. Rural hospitals, safety net hospitals, independent hospitals, and other entities with less financial or purchasing power can have varying limitations in their ability to find other suppliers or accept increased acquisition and administrative expenses</w:t>
      </w:r>
      <w:r>
        <w:rPr>
          <w:rFonts w:ascii="Times New Roman" w:hAnsi="Times New Roman" w:hint="default"/>
          <w:sz w:val="24"/>
          <w:szCs w:val="24"/>
        </w:rPr>
        <w:t xml:space="preserve"> </w:t>
      </w:r>
      <w:r>
        <w:rPr>
          <w:rFonts w:ascii="Times New Roman" w:hAnsi="Times New Roman" w:hint="default"/>
          <w:b w:val="0"/>
          <w:bCs w:val="0"/>
          <w:sz w:val="24"/>
          <w:szCs w:val="24"/>
        </w:rPr>
        <w:t>(</w:t>
      </w:r>
      <w:proofErr w:type="spellStart"/>
      <w:r>
        <w:rPr>
          <w:rFonts w:ascii="Times New Roman" w:hAnsi="Times New Roman" w:hint="default"/>
          <w:b w:val="0"/>
          <w:bCs w:val="0"/>
          <w:sz w:val="24"/>
          <w:szCs w:val="24"/>
        </w:rPr>
        <w:t>Kaakeh</w:t>
      </w:r>
      <w:proofErr w:type="spellEnd"/>
      <w:r>
        <w:rPr>
          <w:rFonts w:ascii="Times New Roman" w:hAnsi="Times New Roman" w:hint="default"/>
          <w:b w:val="0"/>
          <w:bCs w:val="0"/>
          <w:sz w:val="24"/>
          <w:szCs w:val="24"/>
        </w:rPr>
        <w:t xml:space="preserve"> et al., 2011; Mazer-</w:t>
      </w:r>
      <w:proofErr w:type="spellStart"/>
      <w:r>
        <w:rPr>
          <w:rFonts w:ascii="Times New Roman" w:hAnsi="Times New Roman" w:hint="default"/>
          <w:b w:val="0"/>
          <w:bCs w:val="0"/>
          <w:sz w:val="24"/>
          <w:szCs w:val="24"/>
        </w:rPr>
        <w:t>Amirshahi</w:t>
      </w:r>
      <w:proofErr w:type="spellEnd"/>
      <w:r>
        <w:rPr>
          <w:rFonts w:ascii="Times New Roman" w:hAnsi="Times New Roman" w:hint="default"/>
          <w:b w:val="0"/>
          <w:bCs w:val="0"/>
          <w:sz w:val="24"/>
          <w:szCs w:val="24"/>
        </w:rPr>
        <w:t xml:space="preserve"> et al., 2014).</w:t>
      </w:r>
    </w:p>
    <w:p w14:paraId="0F23CA68"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But, because it is plausible vulnerability, it should not be construed as evidence of demonstrated disparity. The literature is inconsistent in quantifying the difference in exposure and consequences of shortages by institution type, geographical context, and patient population. Evidence is especially sparse from national measures of occurrence of shortage to measures at the patient level of whether treatment was delayed, changed, or not received. The measurement space gap is a consequential gap itself. Policies can lead to a decrease in the overall length of time the shortage occurs without noticing the differences in access</w:t>
      </w:r>
      <w:r>
        <w:rPr>
          <w:rFonts w:ascii="Times New Roman" w:hAnsi="Times New Roman" w:hint="default"/>
          <w:sz w:val="24"/>
          <w:szCs w:val="24"/>
        </w:rPr>
        <w:t xml:space="preserve"> </w:t>
      </w:r>
      <w:r>
        <w:rPr>
          <w:rFonts w:ascii="Times New Roman" w:hAnsi="Times New Roman" w:hint="default"/>
          <w:b w:val="0"/>
          <w:bCs w:val="0"/>
          <w:sz w:val="24"/>
          <w:szCs w:val="24"/>
        </w:rPr>
        <w:t xml:space="preserve">(De </w:t>
      </w:r>
      <w:proofErr w:type="spellStart"/>
      <w:r>
        <w:rPr>
          <w:rFonts w:ascii="Times New Roman" w:hAnsi="Times New Roman" w:hint="default"/>
          <w:b w:val="0"/>
          <w:bCs w:val="0"/>
          <w:sz w:val="24"/>
          <w:szCs w:val="24"/>
        </w:rPr>
        <w:t>Weerdt</w:t>
      </w:r>
      <w:proofErr w:type="spellEnd"/>
      <w:r>
        <w:rPr>
          <w:rFonts w:ascii="Times New Roman" w:hAnsi="Times New Roman" w:hint="default"/>
          <w:b w:val="0"/>
          <w:bCs w:val="0"/>
          <w:sz w:val="24"/>
          <w:szCs w:val="24"/>
        </w:rPr>
        <w:t xml:space="preserve"> et al., 2015; Phuong et al., 2019; Tucker, Cao, et al., 2020).</w:t>
      </w:r>
    </w:p>
    <w:p w14:paraId="6B18A2B6"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There may also be differences in the inpatient and outpatient implications of the issue. At times, there exists a way for hospitals to coordinate inventory, swap hospital-supplied formulations, and create institution wide conservation protocols. Outpatient access is more likely to rely more directly upon local pharmacy stock, insurance coverage, availability of alternative products, and the patient's means of obtaining alternative access. The differences indicate that there is a need to measure resilience not only at the country level of the supply, but also at the individual level of medicine delivery to patients (McLaughlin et al., 2013; Phuong et al., 2019).</w:t>
      </w:r>
    </w:p>
    <w:p w14:paraId="2B272365"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6.3 Allocation and Ethical Challenges</w:t>
      </w:r>
    </w:p>
    <w:p w14:paraId="17859629" w14:textId="77777777" w:rsidR="00614808" w:rsidRDefault="00000000">
      <w:pPr>
        <w:rPr>
          <w:rFonts w:ascii="Times New Roman" w:hAnsi="Times New Roman" w:cs="Times New Roman"/>
          <w:sz w:val="24"/>
          <w:szCs w:val="24"/>
        </w:rPr>
      </w:pPr>
      <w:r>
        <w:rPr>
          <w:rFonts w:ascii="Times New Roman" w:hAnsi="Times New Roman" w:cs="Times New Roman"/>
          <w:sz w:val="24"/>
          <w:szCs w:val="24"/>
        </w:rPr>
        <w:t xml:space="preserve">If there isn't enough supply, then there is a shortage management issue and it becomes an allocation problem. Healthcare institutions could save scarce medicines for indications for which there are no alternatives, prioritize patients who are likely to benefit most from the medicine's clinical effect, adjust dosage or treatment regimens, or change to another treatment. Such decisions may be clinically required, but they raise questions of ethics related to consistency, transparency, fairness and responsibility of the process (Fox et al., 2009; Rosoff et al., 2012; </w:t>
      </w:r>
      <w:proofErr w:type="spellStart"/>
      <w:r>
        <w:rPr>
          <w:rFonts w:ascii="Times New Roman" w:hAnsi="Times New Roman" w:cs="Times New Roman"/>
          <w:sz w:val="24"/>
          <w:szCs w:val="24"/>
        </w:rPr>
        <w:t>Unguru</w:t>
      </w:r>
      <w:proofErr w:type="spellEnd"/>
      <w:r>
        <w:rPr>
          <w:rFonts w:ascii="Times New Roman" w:hAnsi="Times New Roman" w:cs="Times New Roman"/>
          <w:sz w:val="24"/>
          <w:szCs w:val="24"/>
        </w:rPr>
        <w:t xml:space="preserve"> et al., 2016).</w:t>
      </w:r>
    </w:p>
    <w:p w14:paraId="7ADE6CC5" w14:textId="77777777" w:rsidR="00614808" w:rsidRDefault="00000000">
      <w:pPr>
        <w:rPr>
          <w:rFonts w:ascii="Times New Roman" w:hAnsi="Times New Roman" w:cs="Times New Roman"/>
          <w:sz w:val="24"/>
          <w:szCs w:val="24"/>
        </w:rPr>
      </w:pPr>
      <w:r>
        <w:rPr>
          <w:rFonts w:ascii="Times New Roman" w:hAnsi="Times New Roman" w:cs="Times New Roman"/>
          <w:sz w:val="24"/>
          <w:szCs w:val="24"/>
        </w:rPr>
        <w:t xml:space="preserve">Therapeutic substitution is particularly important as a replacement medication may not be an equivalent solution. Substitutes can have different effectiveness, side effects, dosage, or preparation, administration, monitoring, or cost. The fact that there is an alternative should not automatically be taken as a sign of preservation of access when the burden or quality of care is substantially altered by giving the alternative (McLaughlin et al., 2013; </w:t>
      </w:r>
      <w:proofErr w:type="spellStart"/>
      <w:r>
        <w:rPr>
          <w:rFonts w:ascii="Times New Roman" w:hAnsi="Times New Roman" w:cs="Times New Roman"/>
          <w:sz w:val="24"/>
          <w:szCs w:val="24"/>
        </w:rPr>
        <w:t>Miljković</w:t>
      </w:r>
      <w:proofErr w:type="spellEnd"/>
      <w:r>
        <w:rPr>
          <w:rFonts w:ascii="Times New Roman" w:hAnsi="Times New Roman" w:cs="Times New Roman"/>
          <w:sz w:val="24"/>
          <w:szCs w:val="24"/>
        </w:rPr>
        <w:t xml:space="preserve"> et al., 2020; Vail et al., 2017).</w:t>
      </w:r>
    </w:p>
    <w:p w14:paraId="41FFC584" w14:textId="77777777" w:rsidR="00614808" w:rsidRDefault="00000000">
      <w:pPr>
        <w:rPr>
          <w:rFonts w:ascii="Times New Roman" w:hAnsi="Times New Roman" w:cs="Times New Roman"/>
          <w:sz w:val="24"/>
          <w:szCs w:val="24"/>
        </w:rPr>
      </w:pPr>
      <w:r>
        <w:rPr>
          <w:rFonts w:ascii="Times New Roman" w:hAnsi="Times New Roman" w:cs="Times New Roman"/>
          <w:sz w:val="24"/>
          <w:szCs w:val="24"/>
        </w:rPr>
        <w:t xml:space="preserve">From this analysis, a central governance issue arises. Many decisions regarding equitable allocation occur downstream, at the hospital, the pharmacy, the clinical level, and the professional/organization level, while the federal shortage policy is primarily geared toward identifying, preventing, and mitigating supply shortages. This option allows flexibility for institutions to deal with clinical situations, but may lead to </w:t>
      </w:r>
      <w:r>
        <w:rPr>
          <w:rFonts w:ascii="Times New Roman" w:hAnsi="Times New Roman" w:cs="Times New Roman"/>
          <w:sz w:val="24"/>
          <w:szCs w:val="24"/>
        </w:rPr>
        <w:lastRenderedPageBreak/>
        <w:t xml:space="preserve">differences in the management of scarcity. Equity then becomes a local responsibility in a nationally interdependent supply situation (Rosoff et al., 2012; </w:t>
      </w:r>
      <w:proofErr w:type="spellStart"/>
      <w:r>
        <w:rPr>
          <w:rFonts w:ascii="Times New Roman" w:hAnsi="Times New Roman" w:cs="Times New Roman"/>
          <w:sz w:val="24"/>
          <w:szCs w:val="24"/>
        </w:rPr>
        <w:t>Unguru</w:t>
      </w:r>
      <w:proofErr w:type="spellEnd"/>
      <w:r>
        <w:rPr>
          <w:rFonts w:ascii="Times New Roman" w:hAnsi="Times New Roman" w:cs="Times New Roman"/>
          <w:sz w:val="24"/>
          <w:szCs w:val="24"/>
        </w:rPr>
        <w:t xml:space="preserve"> et al., 2016).</w:t>
      </w:r>
    </w:p>
    <w:p w14:paraId="0C492DDA" w14:textId="77777777" w:rsidR="00614808" w:rsidRDefault="00000000">
      <w:pPr>
        <w:rPr>
          <w:rFonts w:ascii="Times New Roman" w:hAnsi="Times New Roman" w:cs="Times New Roman"/>
          <w:sz w:val="24"/>
          <w:szCs w:val="24"/>
        </w:rPr>
      </w:pPr>
      <w:r>
        <w:rPr>
          <w:rFonts w:ascii="Times New Roman" w:hAnsi="Times New Roman" w:cs="Times New Roman"/>
          <w:sz w:val="24"/>
          <w:szCs w:val="24"/>
        </w:rPr>
        <w:t>Resilience, however, should not be limited to a focus on restoring aggregate supply; a more complete understanding of pharmaceutical resilience requires consideration of more than that. It should question the availability of essential medicines in institutions and populations in times of shortage and whether medicines are allocated transparently, clinically justifiable and consistently. These questions could be added as a criterion of equity to the governance of a shortage, and would change the paradigm from "what was the impact of the shortage on equity" to "how to be prepared and how to respond to a shortage in terms of equity".</w:t>
      </w:r>
    </w:p>
    <w:p w14:paraId="6E70AFF3"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7. Why Current Approaches Remain Insufficient</w:t>
      </w:r>
    </w:p>
    <w:p w14:paraId="741B0079" w14:textId="77777777" w:rsidR="00614808" w:rsidRDefault="00000000">
      <w:pPr>
        <w:pStyle w:val="NormalWeb"/>
      </w:pPr>
      <w:r>
        <w:t>The persistence of drug shortages despite substantial regulatory and institutional attention suggests that the central problem is not simply the absence of policy. Rather, existing interventions address different parts of the shortage problem without consistently altering the conditions that generate vulnerability. Several weaknesses emerge when the evidence is considered across the full pathway from production to patient access (Chen et al., 2016; Gray &amp; Manasse, 2012; Tucker, Cao, et al., 2020).</w:t>
      </w:r>
    </w:p>
    <w:p w14:paraId="4AEE2442" w14:textId="77777777" w:rsidR="00614808" w:rsidRDefault="00000000">
      <w:pPr>
        <w:pStyle w:val="NormalWeb"/>
      </w:pPr>
      <w:r>
        <w:t xml:space="preserve">First, shortage governance remains more effective at managing identified disruptions than at preventing the accumulation of risk that precedes them. Early notification, regulatory flexibility, alternative sourcing, and coordination with manufacturers can reduce the consequences of an emerging shortage. These functions are important, but they generally become most visible once production is threatened or supply has already declined. The underlying conditions that make disruption consequential, including concentrated capacity, limited redundancy, weak economic incentives for reserve production, and dependence on common upstream suppliers, are more difficult to address through shortage response mechanisms alone (Hernandez et al., 2020; NASEM, 2022; Woodcock &amp; </w:t>
      </w:r>
      <w:proofErr w:type="spellStart"/>
      <w:r>
        <w:t>Wosinska</w:t>
      </w:r>
      <w:proofErr w:type="spellEnd"/>
      <w:r>
        <w:t>, 2013).</w:t>
      </w:r>
    </w:p>
    <w:p w14:paraId="2CF1CD06" w14:textId="77777777" w:rsidR="00614808" w:rsidRDefault="00000000">
      <w:pPr>
        <w:pStyle w:val="NormalWeb"/>
      </w:pPr>
      <w:r>
        <w:t>Second, accountability is dispersed across actors with different responsibilities and incentives. Manufacturers control many production and investment decisions, regulators oversee product quality and aspects of shortage management, purchasers influence contracting and price pressures, and healthcare institutions manage scarcity at the point of care. Yet no single actor controls the entire pathway. This creates a persistent mismatch between the ability to identify vulnerability and the authority or incentive to correct it. Responsibility can consequently become clearest only after a disruption occurs, when opportunities for prevention have already narrowed (Gupta &amp; Huang, 2013; Iyengar et al., 2016).</w:t>
      </w:r>
    </w:p>
    <w:p w14:paraId="535318E0" w14:textId="77777777" w:rsidR="00614808" w:rsidRDefault="00000000">
      <w:pPr>
        <w:pStyle w:val="NormalWeb"/>
      </w:pPr>
      <w:r>
        <w:t>Information asymmetry further limits preventive action. Regulators and purchasers may know that a product has several suppliers without having complete visibility into shared manufacturing facilities, upstream dependencies, available capacity, or the time required to expand production. Greater transparency could improve risk assessment, but complete disclosure is not costless. Commercial confidentiality, data quality, reporting burdens, and the practical usefulness of collected information must be considered. The policy objective should therefore be actionable visibility rather than disclosure for its own sake (Lee et al., 2021; Socal et al., 2023).</w:t>
      </w:r>
    </w:p>
    <w:p w14:paraId="35EE1DF8" w14:textId="77777777" w:rsidR="00614808" w:rsidRDefault="00000000">
      <w:pPr>
        <w:pStyle w:val="NormalWeb"/>
      </w:pPr>
      <w:r>
        <w:lastRenderedPageBreak/>
        <w:t xml:space="preserve">Economic incentives present an equally difficult problem. Competitive generic markets can generate substantial savings, yet purchasing systems that reward lower prices more clearly than reliable capacity may provide insufficient returns for redundancy, quality investment, and preparedness. Correcting this imbalance does not necessarily require abandoning price competition. It requires determining whether resilience has measurable value and, if so, how purchasing and payment mechanisms can reward it without unnecessarily increasing expenditure or protecting inefficient producers (Hernandez et al., 2020; Tucker, Daskin, et al., 2020; </w:t>
      </w:r>
      <w:proofErr w:type="spellStart"/>
      <w:r>
        <w:t>Yurukoglu</w:t>
      </w:r>
      <w:proofErr w:type="spellEnd"/>
      <w:r>
        <w:t xml:space="preserve"> et al., 2017).</w:t>
      </w:r>
    </w:p>
    <w:p w14:paraId="0B008FB5" w14:textId="77777777" w:rsidR="00614808" w:rsidRDefault="00000000">
      <w:pPr>
        <w:pStyle w:val="NormalWeb"/>
      </w:pPr>
      <w:r>
        <w:t>Current approaches also insufficiently connect supply restoration with equitable access. A shortage may be considered mitigated at the national level while individual institutions continue to experience constrained supply or patients receive delayed or altered treatment. Without measures that connect national availability to institutional and patient level consequences, successful supply management cannot automatically be interpreted as successful access protection (Phuong et al., 2019; Vail et al., 2017).</w:t>
      </w:r>
    </w:p>
    <w:p w14:paraId="2F95D9B6" w14:textId="77777777" w:rsidR="00614808" w:rsidRDefault="00000000">
      <w:pPr>
        <w:pStyle w:val="NormalWeb"/>
      </w:pPr>
      <w:r>
        <w:t>Finally, many proposed solutions involve genuine tradeoffs rather than obvious policy choices. Domestic manufacturing may reduce some external dependencies but can reproduce concentration if capacity remains limited to a few facilities. Geographic diversification may offer greater resilience when it also diversifies suppliers and critical inputs. Stockpiling can provide an immediate buffer but entails storage, rotation, expiration, and replenishment costs, whereas flexible manufacturing capacity may be more adaptable but difficult to sustain economically during normal demand. Similarly, stronger regulatory requirements may improve preparedness while imposing costs that could discourage participation in already fragile markets (NASEM, 2022; Pauwels et al., 2014; Socal et al., 2021).</w:t>
      </w:r>
    </w:p>
    <w:p w14:paraId="22CDF57C" w14:textId="77777777" w:rsidR="00614808" w:rsidRDefault="00000000">
      <w:pPr>
        <w:pStyle w:val="NormalWeb"/>
      </w:pPr>
      <w:r>
        <w:t>The central weakness of the current approach is therefore not one policy failure but insufficient alignment across prevention, incentives, information, accountability, and access. Durable reform requires evaluating policies by whether they reduce underlying vulnerability and preserve access during disruption, rather than by whether a new program, reporting requirement, manufacturing initiative, or reserve has simply been established. This distinction between policy activity and demonstrated resilience provides the basis for the integrated governance framework proposed in the next section.</w:t>
      </w:r>
    </w:p>
    <w:p w14:paraId="524F4BC5" w14:textId="77777777" w:rsidR="00614808" w:rsidRDefault="00614808">
      <w:pPr>
        <w:rPr>
          <w:rFonts w:ascii="Times New Roman" w:hAnsi="Times New Roman" w:cs="Times New Roman"/>
          <w:sz w:val="24"/>
          <w:szCs w:val="24"/>
        </w:rPr>
      </w:pPr>
    </w:p>
    <w:p w14:paraId="471AA779"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8. Proposed Integrated Policy and Governance Framework</w:t>
      </w:r>
    </w:p>
    <w:p w14:paraId="64979DCE" w14:textId="77777777" w:rsidR="00614808" w:rsidRDefault="00000000">
      <w:pPr>
        <w:pStyle w:val="NormalWeb"/>
      </w:pPr>
      <w:r>
        <w:t>The preceding analysis indicates that drug shortages cannot be addressed effectively through isolated interventions directed at individual disruptions. The underlying problem spans production, market incentives, regulatory oversight, information flows, distribution, and patient access. We therefore propose an integrated policy and governance framework organized around six connected functions: Prevent, Detect, Coordinate, Protect Access, Recover, and Learn. The framework treats shortage governance as a continuous cycle rather than a sequence that begins only after supply becomes inadequate. Four principles, transparency, accountability, incentive alignment, and equity, operate across all six functions.</w:t>
      </w:r>
    </w:p>
    <w:p w14:paraId="278DC14D"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lastRenderedPageBreak/>
        <w:t>8.1 Prevent</w:t>
      </w:r>
    </w:p>
    <w:p w14:paraId="043D7C2C" w14:textId="77777777" w:rsidR="00614808" w:rsidRDefault="00000000">
      <w:pPr>
        <w:pStyle w:val="NormalWeb"/>
      </w:pPr>
      <w:r>
        <w:t>Prevention begins by identifying medicines for which disruption would create substantial clinical consequences and for which the supply system has limited capacity to absorb failure. Risk assessment should therefore consider clinical essentiality alongside manufacturing concentration, supplier diversity, geographic dependence, production complexity, availability of therapeutic alternatives, and capacity to increase output. Medicines combining high clinical importance with high supply vulnerability warrant greater preventive attention. Policy should encourage genuine diversification of production and critical inputs while creating incentives for manufacturing quality, redundancy, and reserve capacity. Prevention does not require eliminating all concentration, which may be economically unrealistic, but it does require recognizing when efficiency has produced dependence on too few substitutable sources.</w:t>
      </w:r>
    </w:p>
    <w:p w14:paraId="45D14541"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8.2 Detect</w:t>
      </w:r>
    </w:p>
    <w:p w14:paraId="085A9AF8" w14:textId="77777777" w:rsidR="00614808" w:rsidRDefault="00000000">
      <w:pPr>
        <w:pStyle w:val="Heading3"/>
        <w:rPr>
          <w:rFonts w:ascii="Times New Roman" w:hAnsi="Times New Roman" w:hint="default"/>
          <w:b w:val="0"/>
          <w:bCs w:val="0"/>
          <w:sz w:val="24"/>
          <w:szCs w:val="24"/>
        </w:rPr>
      </w:pPr>
      <w:r>
        <w:rPr>
          <w:rFonts w:ascii="Times New Roman" w:hAnsi="Times New Roman" w:hint="default"/>
          <w:b w:val="0"/>
          <w:bCs w:val="0"/>
          <w:sz w:val="24"/>
          <w:szCs w:val="24"/>
        </w:rPr>
        <w:t>Predictive monitoring could integrate these signals to identify products moving toward elevated shortage risk. More broadly, advances in automated monitoring and digitally integrated healthcare systems illustrate how real-time data infrastructure can support earlier recognition and more responsive decision-making across complex healthcare environments (Oluwadare et al., 2026). The purpose is not simply to collect more data, but to convert available information into sufficiently early and actionable warning (Dave et al., 2018; Lee et al., 2021).</w:t>
      </w:r>
    </w:p>
    <w:p w14:paraId="16F7D318"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8.3 Coordinate</w:t>
      </w:r>
    </w:p>
    <w:p w14:paraId="3C69FFA2" w14:textId="77777777" w:rsidR="00614808" w:rsidRDefault="00000000">
      <w:pPr>
        <w:pStyle w:val="NormalWeb"/>
      </w:pPr>
      <w:r>
        <w:t>Detection has limited value if responsibility for action remains unclear. Coordination should specify which institutions act when predetermined risk thresholds are reached and how information moves among regulators, manufacturers, distributors, purchasers, and healthcare organizations. Federal coordination is particularly important when a disruption crosses organizational or geographic boundaries. Manufacturers can provide production information, distributors can identify changes in ordering and inventory patterns, and health systems can communicate emerging clinical consequences. Effective coordination should integrate these perspectives while establishing clear responsibility for decisions rather than relying on informal cooperation during each crisis.</w:t>
      </w:r>
    </w:p>
    <w:p w14:paraId="4980C15E"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8.4 Protect Access</w:t>
      </w:r>
    </w:p>
    <w:p w14:paraId="6B8712FB" w14:textId="77777777" w:rsidR="00614808" w:rsidRDefault="00000000">
      <w:pPr>
        <w:pStyle w:val="NormalWeb"/>
      </w:pPr>
      <w:r>
        <w:t xml:space="preserve">Maintaining aggregate supply is not sufficient if scarce medicines fail to reach patients according to clinical need. Access protection should therefore be an explicit governance function. When scarcity cannot be prevented, allocation principles should prioritize clinically essential uses, consider the availability and adequacy of therapeutic alternatives, and recognize institutions or populations with limited capacity to obtain substitutes. National or professional guidance can support greater consistency while preserving appropriate clinical discretion. Transparency about allocation principles is also important because scarcity decisions inevitably determine who receives a constrained resource. Equity in this framework does not require </w:t>
      </w:r>
      <w:r>
        <w:lastRenderedPageBreak/>
        <w:t>identical distribution; it requires that differences in allocation be based on defensible clinical and access considerations rather than purchasing power alone.</w:t>
      </w:r>
    </w:p>
    <w:p w14:paraId="37F00D3D"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8.5 Recover</w:t>
      </w:r>
    </w:p>
    <w:p w14:paraId="0F389FED" w14:textId="77777777" w:rsidR="00614808" w:rsidRDefault="00000000">
      <w:pPr>
        <w:pStyle w:val="NormalWeb"/>
      </w:pPr>
      <w:r>
        <w:t>Recovery should extend beyond restoring production to pre shortage levels. Immediate priorities include reestablishing reliable manufacturing and distribution and reducing prolonged dependence on temporary sourcing, conservation measures, or therapeutic substitutions. However, declaring a shortage resolved without assessing the condition of the underlying supply system risks returning to the vulnerability that preceded it. Recovery should therefore include evaluation of remaining concentration, supplier capacity, inventory conditions, and unresolved upstream dependencies. The objective is restoration with reduced vulnerability rather than restoration of the previous fragile state.</w:t>
      </w:r>
    </w:p>
    <w:p w14:paraId="0A5BF482" w14:textId="77777777" w:rsidR="00614808" w:rsidRDefault="00000000">
      <w:pPr>
        <w:pStyle w:val="Heading3"/>
        <w:rPr>
          <w:rFonts w:ascii="Times New Roman" w:hAnsi="Times New Roman" w:hint="default"/>
          <w:sz w:val="24"/>
          <w:szCs w:val="24"/>
        </w:rPr>
      </w:pPr>
      <w:r>
        <w:rPr>
          <w:rFonts w:ascii="Times New Roman" w:hAnsi="Times New Roman" w:hint="default"/>
          <w:sz w:val="24"/>
          <w:szCs w:val="24"/>
        </w:rPr>
        <w:t>8.6 Learn</w:t>
      </w:r>
    </w:p>
    <w:p w14:paraId="04BFD58E" w14:textId="77777777" w:rsidR="00614808" w:rsidRDefault="00000000">
      <w:pPr>
        <w:pStyle w:val="NormalWeb"/>
      </w:pPr>
      <w:r>
        <w:t>Each significant shortage provides information about weaknesses that may not have been visible before disruption. Post shortage assessment should examine the initiating event, factors that amplified its effects, the timeliness of detection, coordination performance, allocation consequences, and effectiveness of mitigation measures. This analysis should distinguish unavoidable shocks from vulnerabilities that could reasonably have been reduced. Policy interventions should likewise be evaluated against measurable outcomes, including recurrence, duration, access consequences, and recovery time. Lessons should then feed directly into risk classification, preparedness requirements, procurement strategies, and future policy design, completing the cycle from learning back to prevention.</w:t>
      </w:r>
    </w:p>
    <w:p w14:paraId="4E705026" w14:textId="77777777" w:rsidR="00614808" w:rsidRDefault="00000000">
      <w:pPr>
        <w:pStyle w:val="NormalWeb"/>
      </w:pPr>
      <w:r>
        <w:t>The framework depends on four cross cutting governance principles. Transparency makes vulnerabilities and decisions visible enough to support action. Accountability establishes who is responsible for acting on that information. Incentive alignment makes resilience economically compatible with participation in essential medicine markets. Equity ensures that success is judged by preservation of clinically appropriate access, not merely restoration of national supply. Together, these principles connect the six functions into a governance system capable of moving drug shortage policy from episodic crisis management toward continuous resilience.</w:t>
      </w:r>
    </w:p>
    <w:p w14:paraId="45BF980C" w14:textId="77777777" w:rsidR="00614808" w:rsidRDefault="00000000">
      <w:pPr>
        <w:pStyle w:val="NormalWeb"/>
      </w:pPr>
      <w:r>
        <w:rPr>
          <w:noProof/>
          <w:lang w:eastAsia="en-US"/>
        </w:rPr>
        <w:lastRenderedPageBreak/>
        <w:drawing>
          <wp:inline distT="0" distB="0" distL="114300" distR="114300" wp14:anchorId="2512F0CB" wp14:editId="62AC67A6">
            <wp:extent cx="5271135" cy="4730115"/>
            <wp:effectExtent l="0" t="0" r="12065" b="6985"/>
            <wp:docPr id="1" name="Picture 1" descr="ChatGPT Image Sep 24, 2026, 06_23_1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tGPT Image Sep 24, 2026, 06_23_18 PM"/>
                    <pic:cNvPicPr>
                      <a:picLocks noChangeAspect="1"/>
                    </pic:cNvPicPr>
                  </pic:nvPicPr>
                  <pic:blipFill>
                    <a:blip r:embed="rId6"/>
                    <a:stretch>
                      <a:fillRect/>
                    </a:stretch>
                  </pic:blipFill>
                  <pic:spPr>
                    <a:xfrm>
                      <a:off x="0" y="0"/>
                      <a:ext cx="5271135" cy="4730115"/>
                    </a:xfrm>
                    <a:prstGeom prst="rect">
                      <a:avLst/>
                    </a:prstGeom>
                  </pic:spPr>
                </pic:pic>
              </a:graphicData>
            </a:graphic>
          </wp:inline>
        </w:drawing>
      </w:r>
    </w:p>
    <w:p w14:paraId="6238E0D2" w14:textId="77777777" w:rsidR="00614808" w:rsidRDefault="00614808">
      <w:pPr>
        <w:pStyle w:val="NormalWeb"/>
      </w:pPr>
    </w:p>
    <w:p w14:paraId="3B15B7AC" w14:textId="77777777" w:rsidR="00614808" w:rsidRDefault="00000000">
      <w:pPr>
        <w:pStyle w:val="NormalWeb"/>
      </w:pPr>
      <w:r>
        <w:rPr>
          <w:rStyle w:val="Strong"/>
        </w:rPr>
        <w:t>Figure 1. Integrated Policy and Governance Framework for Drug Shortage Resilience and Essential-Medicine Access.</w:t>
      </w:r>
      <w:r>
        <w:t xml:space="preserve"> The framework conceptualizes drug shortage governance as a continuous cycle of prevention, detection, coordination, access protection, recovery, and learning. Transparency, accountability, incentive alignment, and equity operate as cross-cutting principles supporting reliable and equitable access to essential medicines.</w:t>
      </w:r>
    </w:p>
    <w:p w14:paraId="4B342417" w14:textId="77777777" w:rsidR="00614808" w:rsidRDefault="00614808">
      <w:pPr>
        <w:pStyle w:val="NormalWeb"/>
      </w:pPr>
    </w:p>
    <w:p w14:paraId="2A5961B2" w14:textId="77777777" w:rsidR="00614808" w:rsidRDefault="00614808">
      <w:pPr>
        <w:pStyle w:val="NormalWeb"/>
      </w:pPr>
    </w:p>
    <w:p w14:paraId="4205AD40" w14:textId="77777777" w:rsidR="00614808" w:rsidRDefault="00614808">
      <w:pPr>
        <w:rPr>
          <w:rFonts w:ascii="Times New Roman" w:hAnsi="Times New Roman" w:cs="Times New Roman"/>
          <w:sz w:val="24"/>
          <w:szCs w:val="24"/>
        </w:rPr>
      </w:pPr>
    </w:p>
    <w:p w14:paraId="6ED443F1"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9. Policy Priorities and Implementation Considerations</w:t>
      </w:r>
    </w:p>
    <w:p w14:paraId="603F70A1" w14:textId="77777777" w:rsidR="00614808" w:rsidRDefault="00000000">
      <w:pPr>
        <w:pStyle w:val="NormalWeb"/>
      </w:pPr>
      <w:r>
        <w:t xml:space="preserve">Translating the proposed framework into practice requires prioritization because not every medicine warrants the same level of intervention. A </w:t>
      </w:r>
      <w:proofErr w:type="gramStart"/>
      <w:r>
        <w:t>risk based</w:t>
      </w:r>
      <w:proofErr w:type="gramEnd"/>
      <w:r>
        <w:t xml:space="preserve"> approach should identify products for which shortage would create substantial clinical consequences and for which the supply system has limited capacity to absorb disruption. Such assessment should combine clinical essentiality with indicators of manufacturing </w:t>
      </w:r>
      <w:r>
        <w:lastRenderedPageBreak/>
        <w:t>concentration, supplier dependence, production complexity, availability of therapeutic alternatives, geographic concentration, and capacity to increase output. This would allow intensive resilience measures to be directed toward medicines for which failure is both plausible and consequential.</w:t>
      </w:r>
    </w:p>
    <w:p w14:paraId="7CD0C8E5" w14:textId="77777777" w:rsidR="00614808" w:rsidRDefault="00000000">
      <w:pPr>
        <w:pStyle w:val="NormalWeb"/>
      </w:pPr>
      <w:r>
        <w:t>Economic policy should also distinguish between purchasing a product and purchasing a reliable supply of that product. Procurement and payment arrangements could place greater value on demonstrated manufacturing quality, supplier diversification, continuity of supply, and appropriate reserve capacity rather than relying predominantly on acquisition price. However, resilience requirements impose costs. Requiring extensive redundancy for every medicine could increase expenditure, discourage market participation, or create unused capacity with limited social value. Incentives should therefore be proportionate to the clinical importance and vulnerability of individual products (Hernandez et al., 2020; Tucker, Daskin, et al., 2020).</w:t>
      </w:r>
    </w:p>
    <w:p w14:paraId="70B7F56B" w14:textId="77777777" w:rsidR="00614808" w:rsidRDefault="00000000">
      <w:pPr>
        <w:pStyle w:val="NormalWeb"/>
      </w:pPr>
      <w:r>
        <w:t>Improved upstream transparency is similarly necessary but should be designed around information required for action. Regulators need sufficient visibility to identify common suppliers, concentrated production capacity, critical input dependencies, and emerging constraints. Mandatory disclosure without clear analytical purpose could impose administrative burdens and raise legitimate concerns regarding commercially sensitive information. A tiered system could therefore restrict detailed information to appropriate authorities while providing purchasers and healthcare organizations with standardized indicators of supply risk (Lee et al., 2021; NASEM, 2022).</w:t>
      </w:r>
    </w:p>
    <w:p w14:paraId="5C4F105E" w14:textId="77777777" w:rsidR="00614808" w:rsidRDefault="00000000">
      <w:pPr>
        <w:pStyle w:val="NormalWeb"/>
      </w:pPr>
      <w:r>
        <w:t>Diversification policy also requires careful definition. Moving manufacturing from one country to another does not necessarily improve resilience if production remains dependent on a single facility or common source of critical inputs. Domestic manufacturing can strengthen national capacity, but geographic location should not substitute for assessment of supplier diversity, production flexibility, quality, and upstream dependence. Strategic reserves can complement these measures for selected essential products, particularly where temporary inventories can bridge realistic disruption periods. Their usefulness is more limited for products with short shelf lives, specialized storage requirements, rapidly changing demand, or high inventory replacement costs (Iyengar et al., 2016; NASEM, 2022).</w:t>
      </w:r>
    </w:p>
    <w:p w14:paraId="6033C1C9" w14:textId="77777777" w:rsidR="00614808" w:rsidRDefault="00000000">
      <w:pPr>
        <w:pStyle w:val="NormalWeb"/>
      </w:pPr>
      <w:r>
        <w:t>Procurement, surveillance, and coordination should consequently operate as parts of the same resilience strategy. Purchasing contracts can incorporate supply reliability criteria, while interoperable surveillance can connect regulatory information with signals from manufacturers, distributors, and healthcare systems. Predefined coordination mechanisms should establish responsibilities before shortages occur, including thresholds for escalation and communication. When scarcity nevertheless develops, allocation guidance should consider clinical necessity, availability of substitutes, and the capacity of affected institutions to obtain alternatives.</w:t>
      </w:r>
    </w:p>
    <w:p w14:paraId="3C9E1B7B" w14:textId="77777777" w:rsidR="00614808" w:rsidRDefault="00000000">
      <w:pPr>
        <w:pStyle w:val="NormalWeb"/>
      </w:pPr>
      <w:r>
        <w:t xml:space="preserve">Implementation should ultimately be judged by outcomes rather than the number of policies introduced. Relevant measures include whether high risk medicines become less vulnerable, shortages are detected earlier, disruptions are shorter or less recurrent, healthcare institutions maintain access, and patients experience fewer treatment </w:t>
      </w:r>
      <w:r>
        <w:lastRenderedPageBreak/>
        <w:t xml:space="preserve">interruptions. This </w:t>
      </w:r>
      <w:proofErr w:type="gramStart"/>
      <w:r>
        <w:t>outcome oriented</w:t>
      </w:r>
      <w:proofErr w:type="gramEnd"/>
      <w:r>
        <w:t xml:space="preserve"> approach would allow policy to evolve according to demonstrated performance rather than institutional activity alone.</w:t>
      </w:r>
    </w:p>
    <w:p w14:paraId="189100E6"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10. Evidence Gaps and Future Research Agenda</w:t>
      </w:r>
    </w:p>
    <w:p w14:paraId="0DDC2869" w14:textId="77777777" w:rsidR="00614808" w:rsidRDefault="00000000">
      <w:pPr>
        <w:pStyle w:val="NormalWeb"/>
      </w:pPr>
      <w:r>
        <w:t xml:space="preserve">Important evidence gaps limit both understanding of drug shortages and assessment of policies intended to prevent them. A fundamental problem is measurement. Definitions of shortage occurrence, duration, severity, and resolution are not always consistent across data sources and studies, making comparisons difficult. Future work should develop standardized measures that distinguish temporary supply constraints from clinically significant shortages and capture dimensions such as duration, therapeutic substitutability, geographic reach, and consequences for patient care. Comparable measures of supply chain resilience are also needed to determine whether interventions increase redundancy, flexibility, recovery capacity, or merely change the location of production (Acosta et al., 2019; Aronson et al., 2023; Bogaert et al., 2015; De </w:t>
      </w:r>
      <w:proofErr w:type="spellStart"/>
      <w:r>
        <w:t>Weerdt</w:t>
      </w:r>
      <w:proofErr w:type="spellEnd"/>
      <w:r>
        <w:t xml:space="preserve"> et al., 2015).</w:t>
      </w:r>
    </w:p>
    <w:p w14:paraId="5207081B" w14:textId="77777777" w:rsidR="00614808" w:rsidRDefault="00000000">
      <w:pPr>
        <w:pStyle w:val="NormalWeb"/>
      </w:pPr>
      <w:r>
        <w:t xml:space="preserve">Stronger causal evidence is required on the structural determinants of shortages. Associations between market concentration, low prices, manufacturing quality, supplier exits, and shortage occurrence are informative but do not by themselves establish how these factors interact or which interventions would alter outcomes. Longitudinal studies linking changes in market structure and manufacturing capacity to subsequent shortage risk could strengthen this evidence. Greater attention should also be given to upstream concentration. Product level measures may underestimate vulnerability when apparently independent manufacturers rely on common active pharmaceutical ingredient producers, contract facilities, or other critical inputs (Dave et al., 2018; Socal et al., 2023; </w:t>
      </w:r>
      <w:proofErr w:type="spellStart"/>
      <w:r>
        <w:t>Yurukoglu</w:t>
      </w:r>
      <w:proofErr w:type="spellEnd"/>
      <w:r>
        <w:t xml:space="preserve"> et al., 2017).</w:t>
      </w:r>
    </w:p>
    <w:p w14:paraId="72CEC3FB" w14:textId="77777777" w:rsidR="00614808" w:rsidRDefault="00000000">
      <w:pPr>
        <w:pStyle w:val="NormalWeb"/>
      </w:pPr>
      <w:r>
        <w:t>Policy evaluation represents another major priority. Domestic manufacturing initiatives, strategic reserves, procurement reforms, reporting requirements, and diversification policies should be evaluated against predefined outcomes, including shortage frequency, duration, recurrence, recovery time, cost, and continuity of access. Evaluations should also examine unintended consequences, including market exit, excess inventory, increased expenditure, or relocation rather than reduction of concentration (Chen et al., 2016; Tucker, Cao, et al., 2020).</w:t>
      </w:r>
    </w:p>
    <w:p w14:paraId="01415BAA" w14:textId="77777777" w:rsidR="00614808" w:rsidRDefault="00000000">
      <w:pPr>
        <w:pStyle w:val="NormalWeb"/>
      </w:pPr>
      <w:r>
        <w:t>The weakest evidence may be at the interface between shortages and patient access. More research is needed to determine whether consequences differ across rural and urban facilities, safety net institutions, hospital types, outpatient settings, and patient populations. Studies should measure treatment delays, therapeutic substitutions, medication errors, clinical outcomes, out of pocket costs, and the operational and economic burden placed on healthcare organizations. Allocation strategies used during scarcity also require comparative evaluation to determine whether they are clinically effective, consistent, and equitable (</w:t>
      </w:r>
      <w:proofErr w:type="spellStart"/>
      <w:r>
        <w:t>Goldsack</w:t>
      </w:r>
      <w:proofErr w:type="spellEnd"/>
      <w:r>
        <w:t xml:space="preserve"> et al., 2014; Phuong et al., 2019; </w:t>
      </w:r>
      <w:proofErr w:type="spellStart"/>
      <w:r>
        <w:t>Unguru</w:t>
      </w:r>
      <w:proofErr w:type="spellEnd"/>
      <w:r>
        <w:t xml:space="preserve"> et al., 2016).</w:t>
      </w:r>
    </w:p>
    <w:p w14:paraId="43663664" w14:textId="77777777" w:rsidR="00614808" w:rsidRDefault="00000000">
      <w:pPr>
        <w:rPr>
          <w:rFonts w:ascii="Times New Roman" w:hAnsi="Times New Roman" w:cs="Times New Roman"/>
          <w:sz w:val="24"/>
          <w:szCs w:val="24"/>
        </w:rPr>
      </w:pPr>
      <w:r>
        <w:rPr>
          <w:rFonts w:ascii="Times New Roman" w:eastAsia="SimSun" w:hAnsi="Times New Roman" w:cs="Times New Roman"/>
          <w:sz w:val="24"/>
          <w:szCs w:val="24"/>
        </w:rPr>
        <w:t>A central research priority is therefore to connect evidence that is currently studied in separate domains: supply-chain risk indicators, subsequent shortage events, institutional responses, patient access, and health outcomes. Advances in data-intensive biomedical research, including the integration of high-dimensional multi-</w:t>
      </w:r>
      <w:r>
        <w:rPr>
          <w:rFonts w:ascii="Times New Roman" w:eastAsia="SimSun" w:hAnsi="Times New Roman" w:cs="Times New Roman"/>
          <w:sz w:val="24"/>
          <w:szCs w:val="24"/>
        </w:rPr>
        <w:lastRenderedPageBreak/>
        <w:t>omics and functional genomic information, demonstrate the increasing potential of computational approaches to extract actionable signals from complex and heterogeneous datasets (Oluwadare et al., 2026). In the drug-shortage context, longitudinal data systems capable of linking supply-chain and healthcare data could provide a stronger foundation for predictive analytics and early-warning models (Kim et al., 2024; NASEM, 2022; Tucker, Cao, et al., 2020).</w:t>
      </w:r>
    </w:p>
    <w:p w14:paraId="4341658F" w14:textId="77777777" w:rsidR="00614808" w:rsidRDefault="00000000">
      <w:pPr>
        <w:pStyle w:val="Heading2"/>
        <w:rPr>
          <w:rFonts w:ascii="Times New Roman" w:hAnsi="Times New Roman" w:hint="default"/>
          <w:sz w:val="24"/>
          <w:szCs w:val="24"/>
        </w:rPr>
      </w:pPr>
      <w:r>
        <w:rPr>
          <w:rFonts w:ascii="Times New Roman" w:hAnsi="Times New Roman" w:hint="default"/>
          <w:sz w:val="24"/>
          <w:szCs w:val="24"/>
        </w:rPr>
        <w:t>11. Conclusion</w:t>
      </w:r>
    </w:p>
    <w:p w14:paraId="3EE1EBFA" w14:textId="77777777" w:rsidR="00614808" w:rsidRDefault="00000000">
      <w:pPr>
        <w:pStyle w:val="NormalWeb"/>
      </w:pPr>
      <w:r>
        <w:t>Persistent drug shortages in the United States reveal a problem that extends beyond interruptions in pharmaceutical production. They reflect the interaction of concentrated manufacturing capacity, fragile economic incentives, limited redundancy, incomplete supply chain visibility, and a governance structure in which responsibility for prevention and response is distributed across actors with different authorities and interests. The persistence of shortages despite substantial mitigation activity suggests that the central policy challenge is no longer simply how to respond effectively when supply fails, but how to reduce the conditions that repeatedly allow disruptions to become barriers to care.</w:t>
      </w:r>
    </w:p>
    <w:p w14:paraId="7C26A52B" w14:textId="77777777" w:rsidR="00614808" w:rsidRDefault="00000000">
      <w:pPr>
        <w:pStyle w:val="NormalWeb"/>
      </w:pPr>
      <w:r>
        <w:t>A durable strategy requires several changes in emphasis. Shortage governance must move from predominantly reactive management toward prevention based on identifiable supply vulnerabilities. Individual regulatory, manufacturing, procurement, and preparedness initiatives need to function within a coordinated governance structure in which responsibilities and information flows are established before disruption occurs. Purchasing systems should continue to protect affordability while recognizing that the lowest acquisition price may not represent the lowest system cost when fragile supply results in shortages, substitution, emergency procurement, and treatment disruption. Most importantly, measures of success must extend beyond restoration of aggregate product availability to include whether clinically necessary medicines remain accessible to patients across healthcare settings.</w:t>
      </w:r>
    </w:p>
    <w:p w14:paraId="719B4A2B" w14:textId="77777777" w:rsidR="00614808" w:rsidRDefault="00000000">
      <w:pPr>
        <w:pStyle w:val="NormalWeb"/>
      </w:pPr>
      <w:r>
        <w:t>The integrated framework proposed in this review provides a basis for connecting these objectives through prevention, detection, coordination, access protection, recovery, and learning, supported by transparency, accountability, incentive alignment, and equity. Its value ultimately depends on whether these functions can be translated into measurable responsibilities and evaluated policy interventions. Pharmaceutical resilience should therefore be judged not by the absence of every disruption, an unrealistic objective in complex supply systems, but by the capacity to anticipate vulnerability, absorb disruption, recover without reproducing the same weaknesses, and preserve clinically appropriate access throughout the process. The ultimate test of a resilient medicine supply system is whether patients can reliably obtain essential treatment when they need it, during routine conditions as well as periods of scarcity.</w:t>
      </w:r>
    </w:p>
    <w:p w14:paraId="6D795505" w14:textId="77777777" w:rsidR="00614808" w:rsidRDefault="00000000">
      <w:pPr>
        <w:pStyle w:val="Heading2"/>
        <w:rPr>
          <w:rFonts w:ascii="Times New Roman" w:hAnsi="Times New Roman" w:hint="default"/>
        </w:rPr>
      </w:pPr>
      <w:r>
        <w:rPr>
          <w:rFonts w:ascii="Times New Roman" w:hAnsi="Times New Roman" w:hint="default"/>
        </w:rPr>
        <w:t>Declarations</w:t>
      </w:r>
    </w:p>
    <w:p w14:paraId="62BF9554" w14:textId="77777777" w:rsidR="00614808" w:rsidRDefault="00000000">
      <w:pPr>
        <w:pStyle w:val="NormalWeb"/>
      </w:pPr>
      <w:r>
        <w:rPr>
          <w:rStyle w:val="Strong"/>
        </w:rPr>
        <w:t>Ethics Approval and Consent to Participate</w:t>
      </w:r>
      <w:r>
        <w:br/>
        <w:t>Not applicable. This study is a narrative review and did not involve human participants, human data, or animal subjects.</w:t>
      </w:r>
    </w:p>
    <w:p w14:paraId="6AD0A2BC" w14:textId="77777777" w:rsidR="00614808" w:rsidRDefault="00000000">
      <w:pPr>
        <w:pStyle w:val="NormalWeb"/>
      </w:pPr>
      <w:r>
        <w:rPr>
          <w:rStyle w:val="Strong"/>
        </w:rPr>
        <w:lastRenderedPageBreak/>
        <w:t>Consent for Publication</w:t>
      </w:r>
      <w:r>
        <w:br/>
        <w:t>Not applicable.</w:t>
      </w:r>
    </w:p>
    <w:p w14:paraId="610003BA" w14:textId="77777777" w:rsidR="00614808" w:rsidRDefault="00000000">
      <w:pPr>
        <w:pStyle w:val="NormalWeb"/>
      </w:pPr>
      <w:r>
        <w:rPr>
          <w:rStyle w:val="Strong"/>
        </w:rPr>
        <w:t>Availability of Data and Materials</w:t>
      </w:r>
      <w:r>
        <w:br/>
        <w:t>No new datasets were generated or analyzed during this study. All information used in this review was obtained from publicly available published literature and relevant policy and regulatory sources.</w:t>
      </w:r>
    </w:p>
    <w:p w14:paraId="589BD31B" w14:textId="77777777" w:rsidR="00614808" w:rsidRDefault="00000000">
      <w:pPr>
        <w:pStyle w:val="NormalWeb"/>
      </w:pPr>
      <w:r>
        <w:rPr>
          <w:rStyle w:val="Strong"/>
        </w:rPr>
        <w:t>Competing Interests</w:t>
      </w:r>
      <w:r>
        <w:br/>
        <w:t>The authors declare that they have no competing interests.</w:t>
      </w:r>
    </w:p>
    <w:p w14:paraId="4584C2EE" w14:textId="77777777" w:rsidR="000E4742" w:rsidRDefault="000E4742" w:rsidP="001E348B">
      <w:pPr>
        <w:rPr>
          <w:rFonts w:ascii="Times New Roman" w:hAnsi="Times New Roman" w:cs="Times New Roman"/>
          <w:b/>
        </w:rPr>
      </w:pPr>
    </w:p>
    <w:p w14:paraId="343DF82B" w14:textId="3086FC2B" w:rsidR="001E348B" w:rsidRDefault="001E348B" w:rsidP="001E348B">
      <w:pPr>
        <w:rPr>
          <w:rFonts w:ascii="Times New Roman" w:hAnsi="Times New Roman" w:cs="Times New Roman"/>
          <w:b/>
        </w:rPr>
      </w:pPr>
      <w:r w:rsidRPr="000839CE">
        <w:rPr>
          <w:rFonts w:ascii="Times New Roman" w:hAnsi="Times New Roman" w:cs="Times New Roman"/>
          <w:b/>
        </w:rPr>
        <w:t>Declaration of AI Use</w:t>
      </w:r>
    </w:p>
    <w:p w14:paraId="48666765" w14:textId="77777777" w:rsidR="001E348B" w:rsidRDefault="001E348B" w:rsidP="001E348B">
      <w:pPr>
        <w:rPr>
          <w:rFonts w:ascii="Times New Roman" w:hAnsi="Times New Roman" w:cs="Times New Roman"/>
          <w:b/>
        </w:rPr>
      </w:pPr>
    </w:p>
    <w:p w14:paraId="1B9960C1" w14:textId="77777777" w:rsidR="001E348B" w:rsidRDefault="001E348B" w:rsidP="001E348B">
      <w:pPr>
        <w:rPr>
          <w:rFonts w:ascii="Times New Roman" w:hAnsi="Times New Roman" w:cs="Times New Roman"/>
          <w:b/>
        </w:rPr>
      </w:pPr>
    </w:p>
    <w:p w14:paraId="662179D1" w14:textId="77777777" w:rsidR="001E348B" w:rsidRDefault="001E348B" w:rsidP="001E348B">
      <w:pPr>
        <w:rPr>
          <w:rFonts w:ascii="Times New Roman" w:hAnsi="Times New Roman" w:cs="Times New Roman"/>
          <w:b/>
        </w:rPr>
      </w:pPr>
    </w:p>
    <w:p w14:paraId="2D4B3F7D" w14:textId="77777777" w:rsidR="001E348B" w:rsidRPr="002D08AC" w:rsidRDefault="001E348B" w:rsidP="001E348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FB1B4AE" w14:textId="77777777" w:rsidR="00614808" w:rsidRDefault="00614808">
      <w:pPr>
        <w:pStyle w:val="NormalWeb"/>
      </w:pPr>
    </w:p>
    <w:p w14:paraId="1F6D5207" w14:textId="77777777" w:rsidR="00614808" w:rsidRDefault="00000000">
      <w:pPr>
        <w:pStyle w:val="NormalWeb"/>
        <w:rPr>
          <w:b/>
        </w:rPr>
      </w:pPr>
      <w:r>
        <w:rPr>
          <w:b/>
        </w:rPr>
        <w:t>References</w:t>
      </w:r>
    </w:p>
    <w:p w14:paraId="3FF08FB7" w14:textId="77777777" w:rsidR="00614808" w:rsidRDefault="00000000">
      <w:pPr>
        <w:pStyle w:val="Bibliography1"/>
        <w:spacing w:after="0" w:line="480" w:lineRule="auto"/>
        <w:ind w:left="0" w:firstLine="0"/>
        <w:rPr>
          <w:rFonts w:ascii="Times New Roman" w:hAnsi="Times New Roman" w:cs="Times New Roman"/>
        </w:rPr>
      </w:pPr>
      <w:r>
        <w:rPr>
          <w:rFonts w:ascii="Times New Roman" w:hAnsi="Times New Roman" w:cs="Times New Roman"/>
          <w:sz w:val="24"/>
          <w:szCs w:val="24"/>
        </w:rPr>
        <w:t xml:space="preserve">1.Acosta, A., Vanegas, E. P., Rovira, J., Godman, B., &amp; Bochenek, T. (2019). Medicine shortages: Gaps between countries and global perspectives. </w:t>
      </w:r>
      <w:r>
        <w:rPr>
          <w:rFonts w:ascii="Times New Roman" w:hAnsi="Times New Roman" w:cs="Times New Roman"/>
          <w:i/>
          <w:iCs/>
          <w:sz w:val="24"/>
          <w:szCs w:val="24"/>
        </w:rPr>
        <w:t>Frontiers in Pharmacology, 10</w:t>
      </w:r>
      <w:r>
        <w:rPr>
          <w:rFonts w:ascii="Times New Roman" w:hAnsi="Times New Roman" w:cs="Times New Roman"/>
          <w:sz w:val="24"/>
          <w:szCs w:val="24"/>
        </w:rPr>
        <w:t>, Article 763. https://doi.org/10.3389/fphar.2019.00763</w:t>
      </w:r>
    </w:p>
    <w:p w14:paraId="0AC629A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2.Aronson, J. K., Heneghan, C., &amp; Ferner, R. E. (2023). Drug shortages. Part 1. Definitions and harms. </w:t>
      </w:r>
      <w:r>
        <w:rPr>
          <w:rFonts w:ascii="Times New Roman" w:hAnsi="Times New Roman" w:cs="Times New Roman"/>
          <w:i/>
          <w:iCs/>
          <w:sz w:val="24"/>
          <w:szCs w:val="24"/>
        </w:rPr>
        <w:t>British Journal of Clinical Pharmacology, 89</w:t>
      </w:r>
      <w:r>
        <w:rPr>
          <w:rFonts w:ascii="Times New Roman" w:hAnsi="Times New Roman" w:cs="Times New Roman"/>
          <w:sz w:val="24"/>
          <w:szCs w:val="24"/>
        </w:rPr>
        <w:t>(10), 2950–2956. https://doi.org/10.1111/bcp.15842</w:t>
      </w:r>
    </w:p>
    <w:p w14:paraId="6F390B7D"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3.Badreldin, H. A., &amp; Atallah, B. (2021). Global drug shortages due to COVID-19: Impact on patient care and mitigation strategies. </w:t>
      </w:r>
      <w:r>
        <w:rPr>
          <w:rFonts w:ascii="Times New Roman" w:hAnsi="Times New Roman" w:cs="Times New Roman"/>
          <w:i/>
          <w:iCs/>
          <w:sz w:val="24"/>
          <w:szCs w:val="24"/>
        </w:rPr>
        <w:t>Research in Social and Administrative Pharmacy, 17</w:t>
      </w:r>
      <w:r>
        <w:rPr>
          <w:rFonts w:ascii="Times New Roman" w:hAnsi="Times New Roman" w:cs="Times New Roman"/>
          <w:sz w:val="24"/>
          <w:szCs w:val="24"/>
        </w:rPr>
        <w:t>(1), 1946–1949. https://doi.org/10.1016/j.sapharm.2020.05.017</w:t>
      </w:r>
    </w:p>
    <w:p w14:paraId="7A7AA51B"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4.Bogaert, P., Bochenek, T., Prokop, A., &amp; Pilc, A. (2015). A qualitative approach to a better understanding of the problems underlying drug shortages, as viewed </w:t>
      </w:r>
      <w:r>
        <w:rPr>
          <w:rFonts w:ascii="Times New Roman" w:hAnsi="Times New Roman" w:cs="Times New Roman"/>
          <w:sz w:val="24"/>
          <w:szCs w:val="24"/>
        </w:rPr>
        <w:lastRenderedPageBreak/>
        <w:t xml:space="preserve">from Belgian, French and the European Union’s perspectives. </w:t>
      </w:r>
      <w:r>
        <w:rPr>
          <w:rFonts w:ascii="Times New Roman" w:hAnsi="Times New Roman" w:cs="Times New Roman"/>
          <w:i/>
          <w:iCs/>
          <w:sz w:val="24"/>
          <w:szCs w:val="24"/>
        </w:rPr>
        <w:t>PLOS ONE, 10</w:t>
      </w:r>
      <w:r>
        <w:rPr>
          <w:rFonts w:ascii="Times New Roman" w:hAnsi="Times New Roman" w:cs="Times New Roman"/>
          <w:sz w:val="24"/>
          <w:szCs w:val="24"/>
        </w:rPr>
        <w:t>(5), Article e0125691. https://doi.org/10.1371/journal.pone.0125691</w:t>
      </w:r>
    </w:p>
    <w:p w14:paraId="4E1CEFD3"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5.Chen, S. I., Fox, E. R., Hall, M. K., Ross, J. S., Bucholz, E. M., Krumholz, H. M., &amp; Venkatesh, A. K. (2016). Despite federal legislation, shortages of drugs used in acute care settings remain persistent and prolonged. </w:t>
      </w:r>
      <w:r>
        <w:rPr>
          <w:rFonts w:ascii="Times New Roman" w:hAnsi="Times New Roman" w:cs="Times New Roman"/>
          <w:i/>
          <w:iCs/>
          <w:sz w:val="24"/>
          <w:szCs w:val="24"/>
        </w:rPr>
        <w:t>Health Affairs, 35</w:t>
      </w:r>
      <w:r>
        <w:rPr>
          <w:rFonts w:ascii="Times New Roman" w:hAnsi="Times New Roman" w:cs="Times New Roman"/>
          <w:sz w:val="24"/>
          <w:szCs w:val="24"/>
        </w:rPr>
        <w:t>(5), 798–804. https://doi.org/10.1377/hlthaff.2015.1157</w:t>
      </w:r>
    </w:p>
    <w:p w14:paraId="47294499"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6.Conti, R. M., &amp; Berndt, E. R. (2020). Four facts concerning competition in U.S. generic prescription drug markets. </w:t>
      </w:r>
      <w:r>
        <w:rPr>
          <w:rFonts w:ascii="Times New Roman" w:hAnsi="Times New Roman" w:cs="Times New Roman"/>
          <w:i/>
          <w:iCs/>
          <w:sz w:val="24"/>
          <w:szCs w:val="24"/>
        </w:rPr>
        <w:t>International Journal of the Economics of Business, 27</w:t>
      </w:r>
      <w:r>
        <w:rPr>
          <w:rFonts w:ascii="Times New Roman" w:hAnsi="Times New Roman" w:cs="Times New Roman"/>
          <w:sz w:val="24"/>
          <w:szCs w:val="24"/>
        </w:rPr>
        <w:t>(1), 27–48. https://doi.org/10.1080/13571516.2019.1654324</w:t>
      </w:r>
    </w:p>
    <w:p w14:paraId="15397E59"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7.Dave, C. V., Pawar, A., Fox, E. R., Brill, G., &amp; Kesselheim, A. S. (2018). Predictors of drug shortages and association with generic drug prices: A retrospective cohort study. </w:t>
      </w:r>
      <w:r>
        <w:rPr>
          <w:rFonts w:ascii="Times New Roman" w:hAnsi="Times New Roman" w:cs="Times New Roman"/>
          <w:i/>
          <w:iCs/>
          <w:sz w:val="24"/>
          <w:szCs w:val="24"/>
        </w:rPr>
        <w:t>Value in Health, 21</w:t>
      </w:r>
      <w:r>
        <w:rPr>
          <w:rFonts w:ascii="Times New Roman" w:hAnsi="Times New Roman" w:cs="Times New Roman"/>
          <w:sz w:val="24"/>
          <w:szCs w:val="24"/>
        </w:rPr>
        <w:t>(11), 1286–1290. https://doi.org/10.1016/j.jval.2018.04.1826</w:t>
      </w:r>
    </w:p>
    <w:p w14:paraId="59B0CADC"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8.De Weerdt, E., Simoens, S., </w:t>
      </w:r>
      <w:proofErr w:type="spellStart"/>
      <w:r>
        <w:rPr>
          <w:rFonts w:ascii="Times New Roman" w:hAnsi="Times New Roman" w:cs="Times New Roman"/>
          <w:sz w:val="24"/>
          <w:szCs w:val="24"/>
        </w:rPr>
        <w:t>Casteels</w:t>
      </w:r>
      <w:proofErr w:type="spellEnd"/>
      <w:r>
        <w:rPr>
          <w:rFonts w:ascii="Times New Roman" w:hAnsi="Times New Roman" w:cs="Times New Roman"/>
          <w:sz w:val="24"/>
          <w:szCs w:val="24"/>
        </w:rPr>
        <w:t xml:space="preserve">, M., &amp; Huys, I. (2015). Toward a European definition for a drug shortage: A qualitative study. </w:t>
      </w:r>
      <w:r>
        <w:rPr>
          <w:rFonts w:ascii="Times New Roman" w:hAnsi="Times New Roman" w:cs="Times New Roman"/>
          <w:i/>
          <w:iCs/>
          <w:sz w:val="24"/>
          <w:szCs w:val="24"/>
        </w:rPr>
        <w:t>Frontiers in Pharmacology, 6</w:t>
      </w:r>
      <w:r>
        <w:rPr>
          <w:rFonts w:ascii="Times New Roman" w:hAnsi="Times New Roman" w:cs="Times New Roman"/>
          <w:sz w:val="24"/>
          <w:szCs w:val="24"/>
        </w:rPr>
        <w:t>, Article 253. https://doi.org/10.3389/fphar.2015.00253</w:t>
      </w:r>
    </w:p>
    <w:p w14:paraId="6E635267"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9.Dill, S., &amp; Ahn, J. (2014). Drug shortages in developed countries—Reasons, therapeutic consequences, and handling. </w:t>
      </w:r>
      <w:r>
        <w:rPr>
          <w:rFonts w:ascii="Times New Roman" w:hAnsi="Times New Roman" w:cs="Times New Roman"/>
          <w:i/>
          <w:iCs/>
          <w:sz w:val="24"/>
          <w:szCs w:val="24"/>
        </w:rPr>
        <w:t>European Journal of Clinical Pharmacology, 70</w:t>
      </w:r>
      <w:r>
        <w:rPr>
          <w:rFonts w:ascii="Times New Roman" w:hAnsi="Times New Roman" w:cs="Times New Roman"/>
          <w:sz w:val="24"/>
          <w:szCs w:val="24"/>
        </w:rPr>
        <w:t>(12), 1405–1412. https://doi.org/10.1007/s00228-014-1747-1</w:t>
      </w:r>
    </w:p>
    <w:p w14:paraId="735D3C9D"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10.Fox, E. R., Birt, A., James, K. B., Kokko, H., Salverson, S., &amp; </w:t>
      </w:r>
      <w:proofErr w:type="spellStart"/>
      <w:r>
        <w:rPr>
          <w:rFonts w:ascii="Times New Roman" w:hAnsi="Times New Roman" w:cs="Times New Roman"/>
          <w:sz w:val="24"/>
          <w:szCs w:val="24"/>
        </w:rPr>
        <w:t>Soflin</w:t>
      </w:r>
      <w:proofErr w:type="spellEnd"/>
      <w:r>
        <w:rPr>
          <w:rFonts w:ascii="Times New Roman" w:hAnsi="Times New Roman" w:cs="Times New Roman"/>
          <w:sz w:val="24"/>
          <w:szCs w:val="24"/>
        </w:rPr>
        <w:t xml:space="preserve">, D. L. (2009). ASHP guidelines on managing drug product shortages in hospitals and health systems. </w:t>
      </w:r>
      <w:r>
        <w:rPr>
          <w:rFonts w:ascii="Times New Roman" w:hAnsi="Times New Roman" w:cs="Times New Roman"/>
          <w:i/>
          <w:iCs/>
          <w:sz w:val="24"/>
          <w:szCs w:val="24"/>
        </w:rPr>
        <w:t>American Journal of Health-System Pharmacy, 66</w:t>
      </w:r>
      <w:r>
        <w:rPr>
          <w:rFonts w:ascii="Times New Roman" w:hAnsi="Times New Roman" w:cs="Times New Roman"/>
          <w:sz w:val="24"/>
          <w:szCs w:val="24"/>
        </w:rPr>
        <w:t>(15), 1399–1406. https://doi.org/10.2146/ajhp090026</w:t>
      </w:r>
    </w:p>
    <w:p w14:paraId="5AEB5556"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lastRenderedPageBreak/>
        <w:t xml:space="preserve">11.Fox, E. R., &amp; McLaughlin, M. M. (2018). ASHP guidelines on managing drug product shortages. </w:t>
      </w:r>
      <w:r>
        <w:rPr>
          <w:rFonts w:ascii="Times New Roman" w:hAnsi="Times New Roman" w:cs="Times New Roman"/>
          <w:i/>
          <w:iCs/>
          <w:sz w:val="24"/>
          <w:szCs w:val="24"/>
        </w:rPr>
        <w:t>American Journal of Health-System Pharmacy, 75</w:t>
      </w:r>
      <w:r>
        <w:rPr>
          <w:rFonts w:ascii="Times New Roman" w:hAnsi="Times New Roman" w:cs="Times New Roman"/>
          <w:sz w:val="24"/>
          <w:szCs w:val="24"/>
        </w:rPr>
        <w:t>(21), 1742–1750. https://doi.org/10.2146/ajhp180441</w:t>
      </w:r>
    </w:p>
    <w:p w14:paraId="1135994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12.Fox, E. R., Sweet, B. V., &amp; Jensen, V. (2014). Drug shortages: A complex health care crisis. </w:t>
      </w:r>
      <w:r>
        <w:rPr>
          <w:rFonts w:ascii="Times New Roman" w:hAnsi="Times New Roman" w:cs="Times New Roman"/>
          <w:i/>
          <w:iCs/>
          <w:sz w:val="24"/>
          <w:szCs w:val="24"/>
        </w:rPr>
        <w:t>Mayo Clinic Proceedings, 89</w:t>
      </w:r>
      <w:r>
        <w:rPr>
          <w:rFonts w:ascii="Times New Roman" w:hAnsi="Times New Roman" w:cs="Times New Roman"/>
          <w:sz w:val="24"/>
          <w:szCs w:val="24"/>
        </w:rPr>
        <w:t>(3), 361–373. https://doi.org/10.1016/j.mayocp.2013.11.014</w:t>
      </w:r>
    </w:p>
    <w:p w14:paraId="50466594"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13.Goldsack, J. C., Reilly, C., Bush, C., McElligott, S., Bristol, M. N., </w:t>
      </w:r>
      <w:proofErr w:type="spellStart"/>
      <w:r>
        <w:rPr>
          <w:rFonts w:ascii="Times New Roman" w:hAnsi="Times New Roman" w:cs="Times New Roman"/>
          <w:sz w:val="24"/>
          <w:szCs w:val="24"/>
        </w:rPr>
        <w:t>Motanya</w:t>
      </w:r>
      <w:proofErr w:type="spellEnd"/>
      <w:r>
        <w:rPr>
          <w:rFonts w:ascii="Times New Roman" w:hAnsi="Times New Roman" w:cs="Times New Roman"/>
          <w:sz w:val="24"/>
          <w:szCs w:val="24"/>
        </w:rPr>
        <w:t xml:space="preserve">, U. N., Field, R., </w:t>
      </w:r>
      <w:proofErr w:type="spellStart"/>
      <w:r>
        <w:rPr>
          <w:rFonts w:ascii="Times New Roman" w:hAnsi="Times New Roman" w:cs="Times New Roman"/>
          <w:sz w:val="24"/>
          <w:szCs w:val="24"/>
        </w:rPr>
        <w:t>Vozniak</w:t>
      </w:r>
      <w:proofErr w:type="spellEnd"/>
      <w:r>
        <w:rPr>
          <w:rFonts w:ascii="Times New Roman" w:hAnsi="Times New Roman" w:cs="Times New Roman"/>
          <w:sz w:val="24"/>
          <w:szCs w:val="24"/>
        </w:rPr>
        <w:t xml:space="preserve">, J. M., Wong, Y.-N., Schwartz, J. S., &amp; </w:t>
      </w:r>
      <w:proofErr w:type="spellStart"/>
      <w:r>
        <w:rPr>
          <w:rFonts w:ascii="Times New Roman" w:hAnsi="Times New Roman" w:cs="Times New Roman"/>
          <w:sz w:val="24"/>
          <w:szCs w:val="24"/>
        </w:rPr>
        <w:t>Domchek</w:t>
      </w:r>
      <w:proofErr w:type="spellEnd"/>
      <w:r>
        <w:rPr>
          <w:rFonts w:ascii="Times New Roman" w:hAnsi="Times New Roman" w:cs="Times New Roman"/>
          <w:sz w:val="24"/>
          <w:szCs w:val="24"/>
        </w:rPr>
        <w:t xml:space="preserve">, S. (2014). Impact of shortages of injectable oncology drugs on patient care. </w:t>
      </w:r>
      <w:r>
        <w:rPr>
          <w:rFonts w:ascii="Times New Roman" w:hAnsi="Times New Roman" w:cs="Times New Roman"/>
          <w:i/>
          <w:iCs/>
          <w:sz w:val="24"/>
          <w:szCs w:val="24"/>
        </w:rPr>
        <w:t>American Journal of Health-System Pharmacy, 71</w:t>
      </w:r>
      <w:r>
        <w:rPr>
          <w:rFonts w:ascii="Times New Roman" w:hAnsi="Times New Roman" w:cs="Times New Roman"/>
          <w:sz w:val="24"/>
          <w:szCs w:val="24"/>
        </w:rPr>
        <w:t>(7), 571–578. https://doi.org/10.2146/ajhp130569</w:t>
      </w:r>
    </w:p>
    <w:p w14:paraId="37B3B35C"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14.Gray, A., &amp; Manasse, H. R., Jr. (2012). Shortages of medicines: A complex global challenge. </w:t>
      </w:r>
      <w:r>
        <w:rPr>
          <w:rFonts w:ascii="Times New Roman" w:hAnsi="Times New Roman" w:cs="Times New Roman"/>
          <w:i/>
          <w:iCs/>
          <w:sz w:val="24"/>
          <w:szCs w:val="24"/>
        </w:rPr>
        <w:t>Bulletin of the World Health Organization, 90</w:t>
      </w:r>
      <w:r>
        <w:rPr>
          <w:rFonts w:ascii="Times New Roman" w:hAnsi="Times New Roman" w:cs="Times New Roman"/>
          <w:sz w:val="24"/>
          <w:szCs w:val="24"/>
        </w:rPr>
        <w:t>(3), 158–158A. https://doi.org/10.2471/BLT.11.101303</w:t>
      </w:r>
    </w:p>
    <w:p w14:paraId="03F4AD0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15.Gupta, D. K., &amp; Huang, S.-M. (2013). Drug shortages in the United States: A critical evaluation of root causes and the need for action. </w:t>
      </w:r>
      <w:r>
        <w:rPr>
          <w:rFonts w:ascii="Times New Roman" w:hAnsi="Times New Roman" w:cs="Times New Roman"/>
          <w:i/>
          <w:iCs/>
          <w:sz w:val="24"/>
          <w:szCs w:val="24"/>
        </w:rPr>
        <w:t>Clinical Pharmacology &amp; Therapeutics, 93</w:t>
      </w:r>
      <w:r>
        <w:rPr>
          <w:rFonts w:ascii="Times New Roman" w:hAnsi="Times New Roman" w:cs="Times New Roman"/>
          <w:sz w:val="24"/>
          <w:szCs w:val="24"/>
        </w:rPr>
        <w:t>(2), 133–135. https://doi.org/10.1038/clpt.2012.229</w:t>
      </w:r>
    </w:p>
    <w:p w14:paraId="5C9EF93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16.Hernandez, I., Hershey, T. B., &amp; Donohue, J. M. (2020). Drug shortages in the United States: Are some prices too low? </w:t>
      </w:r>
      <w:r>
        <w:rPr>
          <w:rFonts w:ascii="Times New Roman" w:hAnsi="Times New Roman" w:cs="Times New Roman"/>
          <w:i/>
          <w:iCs/>
          <w:sz w:val="24"/>
          <w:szCs w:val="24"/>
        </w:rPr>
        <w:t>JAMA, 323</w:t>
      </w:r>
      <w:r>
        <w:rPr>
          <w:rFonts w:ascii="Times New Roman" w:hAnsi="Times New Roman" w:cs="Times New Roman"/>
          <w:sz w:val="24"/>
          <w:szCs w:val="24"/>
        </w:rPr>
        <w:t>(9), 819–820. https://doi.org/10.1001/jama.2019.20504</w:t>
      </w:r>
    </w:p>
    <w:p w14:paraId="59CC006F"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17.Iyengar, S., Hedman, L., Forte, G., &amp; Hill, S. (2016). Medicine shortages: A commentary on causes and mitigation strategies. </w:t>
      </w:r>
      <w:r>
        <w:rPr>
          <w:rFonts w:ascii="Times New Roman" w:hAnsi="Times New Roman" w:cs="Times New Roman"/>
          <w:i/>
          <w:iCs/>
          <w:sz w:val="24"/>
          <w:szCs w:val="24"/>
        </w:rPr>
        <w:t>BMC Medicine, 14</w:t>
      </w:r>
      <w:r>
        <w:rPr>
          <w:rFonts w:ascii="Times New Roman" w:hAnsi="Times New Roman" w:cs="Times New Roman"/>
          <w:sz w:val="24"/>
          <w:szCs w:val="24"/>
        </w:rPr>
        <w:t>, Article 124. https://doi.org/10.1186/s12916-016-0674-7</w:t>
      </w:r>
    </w:p>
    <w:p w14:paraId="02397E6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lastRenderedPageBreak/>
        <w:t xml:space="preserve">18.Jia, J., &amp; Zhao, H. (2017). Mitigating the U.S. drug shortages through Pareto-improving contracts. </w:t>
      </w:r>
      <w:r>
        <w:rPr>
          <w:rFonts w:ascii="Times New Roman" w:hAnsi="Times New Roman" w:cs="Times New Roman"/>
          <w:i/>
          <w:iCs/>
          <w:sz w:val="24"/>
          <w:szCs w:val="24"/>
        </w:rPr>
        <w:t>Production and Operations Management, 26</w:t>
      </w:r>
      <w:r>
        <w:rPr>
          <w:rFonts w:ascii="Times New Roman" w:hAnsi="Times New Roman" w:cs="Times New Roman"/>
          <w:sz w:val="24"/>
          <w:szCs w:val="24"/>
        </w:rPr>
        <w:t>(8), 1463–1480. https://doi.org/10.1111/poms.12697</w:t>
      </w:r>
    </w:p>
    <w:p w14:paraId="72B3650C"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19.Kaakeh, R., Sweet, B. V., Reilly, C., Bush, C., DeLoach, S., Higgins, B., Clark, A. M., &amp; Stevenson, J. (2011). Impact of drug shortages on U.S. health systems. </w:t>
      </w:r>
      <w:r>
        <w:rPr>
          <w:rFonts w:ascii="Times New Roman" w:hAnsi="Times New Roman" w:cs="Times New Roman"/>
          <w:i/>
          <w:iCs/>
          <w:sz w:val="24"/>
          <w:szCs w:val="24"/>
        </w:rPr>
        <w:t>American Journal of Health-System Pharmacy, 68</w:t>
      </w:r>
      <w:r>
        <w:rPr>
          <w:rFonts w:ascii="Times New Roman" w:hAnsi="Times New Roman" w:cs="Times New Roman"/>
          <w:sz w:val="24"/>
          <w:szCs w:val="24"/>
        </w:rPr>
        <w:t>(19), 1811–1819. https://doi.org/10.2146/ajhp110210</w:t>
      </w:r>
    </w:p>
    <w:p w14:paraId="67387492"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20.Kim, K. C., Rothenberger, S. D., Tadrous, M., Hernandez, I., </w:t>
      </w:r>
      <w:proofErr w:type="spellStart"/>
      <w:r>
        <w:rPr>
          <w:rFonts w:ascii="Times New Roman" w:hAnsi="Times New Roman" w:cs="Times New Roman"/>
          <w:sz w:val="24"/>
          <w:szCs w:val="24"/>
        </w:rPr>
        <w:t>Gellad</w:t>
      </w:r>
      <w:proofErr w:type="spellEnd"/>
      <w:r>
        <w:rPr>
          <w:rFonts w:ascii="Times New Roman" w:hAnsi="Times New Roman" w:cs="Times New Roman"/>
          <w:sz w:val="24"/>
          <w:szCs w:val="24"/>
        </w:rPr>
        <w:t xml:space="preserve">, W. F., Devine, J. W., Hershey, T. B., Maillart, L. M., &amp; Suda, K. J. (2024). Drug shortages prior to and during the COVID-19 pandemic. </w:t>
      </w:r>
      <w:r>
        <w:rPr>
          <w:rFonts w:ascii="Times New Roman" w:hAnsi="Times New Roman" w:cs="Times New Roman"/>
          <w:i/>
          <w:iCs/>
          <w:sz w:val="24"/>
          <w:szCs w:val="24"/>
        </w:rPr>
        <w:t>JAMA Network Open, 7</w:t>
      </w:r>
      <w:r>
        <w:rPr>
          <w:rFonts w:ascii="Times New Roman" w:hAnsi="Times New Roman" w:cs="Times New Roman"/>
          <w:sz w:val="24"/>
          <w:szCs w:val="24"/>
        </w:rPr>
        <w:t>(4), Article e244246. https://doi.org/10.1001/jamanetworkopen.2024.4246</w:t>
      </w:r>
    </w:p>
    <w:p w14:paraId="7BDCF581"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21.Kweder, S. L., &amp; Dill, S. (2013). Drug shortages: The cycle of quantity and quality. </w:t>
      </w:r>
      <w:r>
        <w:rPr>
          <w:rFonts w:ascii="Times New Roman" w:hAnsi="Times New Roman" w:cs="Times New Roman"/>
          <w:i/>
          <w:iCs/>
          <w:sz w:val="24"/>
          <w:szCs w:val="24"/>
        </w:rPr>
        <w:t>Clinical Pharmacology &amp; Therapeutics, 93</w:t>
      </w:r>
      <w:r>
        <w:rPr>
          <w:rFonts w:ascii="Times New Roman" w:hAnsi="Times New Roman" w:cs="Times New Roman"/>
          <w:sz w:val="24"/>
          <w:szCs w:val="24"/>
        </w:rPr>
        <w:t>(3), 245–251. https://doi.org/10.1038/clpt.2012.235</w:t>
      </w:r>
    </w:p>
    <w:p w14:paraId="66C3485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22.Lee, J., Lee, H. S., Shin, H., &amp; Krishnan, V. (2021). Alleviating drug shortages: The role of mandated reporting induced operational transparency. </w:t>
      </w:r>
      <w:r>
        <w:rPr>
          <w:rFonts w:ascii="Times New Roman" w:hAnsi="Times New Roman" w:cs="Times New Roman"/>
          <w:i/>
          <w:iCs/>
          <w:sz w:val="24"/>
          <w:szCs w:val="24"/>
        </w:rPr>
        <w:t>Management Science, 67</w:t>
      </w:r>
      <w:r>
        <w:rPr>
          <w:rFonts w:ascii="Times New Roman" w:hAnsi="Times New Roman" w:cs="Times New Roman"/>
          <w:sz w:val="24"/>
          <w:szCs w:val="24"/>
        </w:rPr>
        <w:t>(4), 2326–2339. https://doi.org/10.1287/mnsc.2020.3857</w:t>
      </w:r>
    </w:p>
    <w:p w14:paraId="6CBB9383"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23.Link, M. P., Hagerty, K., &amp; Kantarjian, H. M. (2012). Chemotherapy drug shortages in the United States: Genesis and potential solutions. </w:t>
      </w:r>
      <w:r>
        <w:rPr>
          <w:rFonts w:ascii="Times New Roman" w:hAnsi="Times New Roman" w:cs="Times New Roman"/>
          <w:i/>
          <w:iCs/>
          <w:sz w:val="24"/>
          <w:szCs w:val="24"/>
        </w:rPr>
        <w:t>Journal of Clinical Oncology, 30</w:t>
      </w:r>
      <w:r>
        <w:rPr>
          <w:rFonts w:ascii="Times New Roman" w:hAnsi="Times New Roman" w:cs="Times New Roman"/>
          <w:sz w:val="24"/>
          <w:szCs w:val="24"/>
        </w:rPr>
        <w:t>(7), 692–694. https://doi.org/10.1200/JCO.2011.41.0936</w:t>
      </w:r>
    </w:p>
    <w:p w14:paraId="7316FB3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24.Mazer-Amirshahi, M., &amp; Fox, E. R. (2018). Saline shortages—Many causes, no simple solution. </w:t>
      </w:r>
      <w:r>
        <w:rPr>
          <w:rFonts w:ascii="Times New Roman" w:hAnsi="Times New Roman" w:cs="Times New Roman"/>
          <w:i/>
          <w:iCs/>
          <w:sz w:val="24"/>
          <w:szCs w:val="24"/>
        </w:rPr>
        <w:t>New England Journal of Medicine, 378</w:t>
      </w:r>
      <w:r>
        <w:rPr>
          <w:rFonts w:ascii="Times New Roman" w:hAnsi="Times New Roman" w:cs="Times New Roman"/>
          <w:sz w:val="24"/>
          <w:szCs w:val="24"/>
        </w:rPr>
        <w:t>(16), 1472–1474. https://doi.org/10.1056/NEJMp1800347</w:t>
      </w:r>
    </w:p>
    <w:p w14:paraId="53B0DCFA"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lastRenderedPageBreak/>
        <w:t xml:space="preserve">25.Mazer-Amirshahi, M., Pourmand, A., Singer, S., Pines, J. M., &amp; van den Anker, J. (2014). Critical drug shortages: Implications for emergency medicine. </w:t>
      </w:r>
      <w:r>
        <w:rPr>
          <w:rFonts w:ascii="Times New Roman" w:hAnsi="Times New Roman" w:cs="Times New Roman"/>
          <w:i/>
          <w:iCs/>
          <w:sz w:val="24"/>
          <w:szCs w:val="24"/>
        </w:rPr>
        <w:t>Academic Emergency Medicine, 21</w:t>
      </w:r>
      <w:r>
        <w:rPr>
          <w:rFonts w:ascii="Times New Roman" w:hAnsi="Times New Roman" w:cs="Times New Roman"/>
          <w:sz w:val="24"/>
          <w:szCs w:val="24"/>
        </w:rPr>
        <w:t>(6), 704–711. https://doi.org/10.1111/acem.12389</w:t>
      </w:r>
    </w:p>
    <w:p w14:paraId="431A34DE"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26.McLaughlin, M., Kotis, D., Thomson, K., Harrison, M., Fennessy, G., </w:t>
      </w:r>
      <w:proofErr w:type="spellStart"/>
      <w:r>
        <w:rPr>
          <w:rFonts w:ascii="Times New Roman" w:hAnsi="Times New Roman" w:cs="Times New Roman"/>
          <w:sz w:val="24"/>
          <w:szCs w:val="24"/>
        </w:rPr>
        <w:t>Postelnick</w:t>
      </w:r>
      <w:proofErr w:type="spellEnd"/>
      <w:r>
        <w:rPr>
          <w:rFonts w:ascii="Times New Roman" w:hAnsi="Times New Roman" w:cs="Times New Roman"/>
          <w:sz w:val="24"/>
          <w:szCs w:val="24"/>
        </w:rPr>
        <w:t xml:space="preserve">, M., &amp; Scheetz, M. H. (2013). Effects on patient care caused by drug shortages: A survey. </w:t>
      </w:r>
      <w:r>
        <w:rPr>
          <w:rFonts w:ascii="Times New Roman" w:hAnsi="Times New Roman" w:cs="Times New Roman"/>
          <w:i/>
          <w:iCs/>
          <w:sz w:val="24"/>
          <w:szCs w:val="24"/>
        </w:rPr>
        <w:t>Journal of Managed Care Pharmacy, 19</w:t>
      </w:r>
      <w:r>
        <w:rPr>
          <w:rFonts w:ascii="Times New Roman" w:hAnsi="Times New Roman" w:cs="Times New Roman"/>
          <w:sz w:val="24"/>
          <w:szCs w:val="24"/>
        </w:rPr>
        <w:t>(9), 783–788. https://doi.org/10.18553/jmcp.2013.19.9.783</w:t>
      </w:r>
    </w:p>
    <w:p w14:paraId="5F6AFE84"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27.Miljković, N., Godman, B., van Overbeeke, E., Kovačević, M., </w:t>
      </w:r>
      <w:proofErr w:type="spellStart"/>
      <w:r>
        <w:rPr>
          <w:rFonts w:ascii="Times New Roman" w:hAnsi="Times New Roman" w:cs="Times New Roman"/>
          <w:sz w:val="24"/>
          <w:szCs w:val="24"/>
        </w:rPr>
        <w:t>Tsiakitzis</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Apatsidou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Nikopoulou</w:t>
      </w:r>
      <w:proofErr w:type="spellEnd"/>
      <w:r>
        <w:rPr>
          <w:rFonts w:ascii="Times New Roman" w:hAnsi="Times New Roman" w:cs="Times New Roman"/>
          <w:sz w:val="24"/>
          <w:szCs w:val="24"/>
        </w:rPr>
        <w:t xml:space="preserve">, A., Garcia Yubero, C., Portillo Horcajada, L., Stemer, G., Kuruc-Poje, D., De </w:t>
      </w:r>
      <w:proofErr w:type="spellStart"/>
      <w:r>
        <w:rPr>
          <w:rFonts w:ascii="Times New Roman" w:hAnsi="Times New Roman" w:cs="Times New Roman"/>
          <w:sz w:val="24"/>
          <w:szCs w:val="24"/>
        </w:rPr>
        <w:t>Rijdt</w:t>
      </w:r>
      <w:proofErr w:type="spellEnd"/>
      <w:r>
        <w:rPr>
          <w:rFonts w:ascii="Times New Roman" w:hAnsi="Times New Roman" w:cs="Times New Roman"/>
          <w:sz w:val="24"/>
          <w:szCs w:val="24"/>
        </w:rPr>
        <w:t xml:space="preserve">, T., Bochenek, T., Huys, I., &amp; </w:t>
      </w:r>
      <w:proofErr w:type="spellStart"/>
      <w:r>
        <w:rPr>
          <w:rFonts w:ascii="Times New Roman" w:hAnsi="Times New Roman" w:cs="Times New Roman"/>
          <w:sz w:val="24"/>
          <w:szCs w:val="24"/>
        </w:rPr>
        <w:t>Miljković</w:t>
      </w:r>
      <w:proofErr w:type="spellEnd"/>
      <w:r>
        <w:rPr>
          <w:rFonts w:ascii="Times New Roman" w:hAnsi="Times New Roman" w:cs="Times New Roman"/>
          <w:sz w:val="24"/>
          <w:szCs w:val="24"/>
        </w:rPr>
        <w:t xml:space="preserve">, B. (2020). Risks in antibiotic substitution following medicine shortage: A health-care failure mode and effect analysis of six European hospitals. </w:t>
      </w:r>
      <w:r>
        <w:rPr>
          <w:rFonts w:ascii="Times New Roman" w:hAnsi="Times New Roman" w:cs="Times New Roman"/>
          <w:i/>
          <w:iCs/>
          <w:sz w:val="24"/>
          <w:szCs w:val="24"/>
        </w:rPr>
        <w:t>Frontiers in Medicine, 7</w:t>
      </w:r>
      <w:r>
        <w:rPr>
          <w:rFonts w:ascii="Times New Roman" w:hAnsi="Times New Roman" w:cs="Times New Roman"/>
          <w:sz w:val="24"/>
          <w:szCs w:val="24"/>
        </w:rPr>
        <w:t>, Article 157. https://doi.org/10.3389/fmed.2020.00157</w:t>
      </w:r>
    </w:p>
    <w:p w14:paraId="26B2EDF0"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28.National Academies of Sciences, Engineering, and Medicine. (2022). </w:t>
      </w:r>
      <w:r>
        <w:rPr>
          <w:rFonts w:ascii="Times New Roman" w:hAnsi="Times New Roman" w:cs="Times New Roman"/>
          <w:i/>
          <w:iCs/>
          <w:sz w:val="24"/>
          <w:szCs w:val="24"/>
        </w:rPr>
        <w:t>Building resilience into the nation’s medical product supply chains</w:t>
      </w:r>
      <w:r>
        <w:rPr>
          <w:rFonts w:ascii="Times New Roman" w:hAnsi="Times New Roman" w:cs="Times New Roman"/>
          <w:sz w:val="24"/>
          <w:szCs w:val="24"/>
        </w:rPr>
        <w:t xml:space="preserve"> (W. J. Hopp, L. Brown, &amp; C. Shore, Eds.). The National Academies Press. https://doi.org/10.17226/26420</w:t>
      </w:r>
    </w:p>
    <w:p w14:paraId="395EDDD0"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29.Pauwels, K., Huys, I., </w:t>
      </w:r>
      <w:proofErr w:type="spellStart"/>
      <w:r>
        <w:rPr>
          <w:rFonts w:ascii="Times New Roman" w:hAnsi="Times New Roman" w:cs="Times New Roman"/>
          <w:sz w:val="24"/>
          <w:szCs w:val="24"/>
        </w:rPr>
        <w:t>Casteels</w:t>
      </w:r>
      <w:proofErr w:type="spellEnd"/>
      <w:r>
        <w:rPr>
          <w:rFonts w:ascii="Times New Roman" w:hAnsi="Times New Roman" w:cs="Times New Roman"/>
          <w:sz w:val="24"/>
          <w:szCs w:val="24"/>
        </w:rPr>
        <w:t xml:space="preserve">, M., &amp; Simoens, S. (2014). Drug shortages in European countries: A trade-off between market attractiveness and cost containment? </w:t>
      </w:r>
      <w:r>
        <w:rPr>
          <w:rFonts w:ascii="Times New Roman" w:hAnsi="Times New Roman" w:cs="Times New Roman"/>
          <w:i/>
          <w:iCs/>
          <w:sz w:val="24"/>
          <w:szCs w:val="24"/>
        </w:rPr>
        <w:t>BMC Health Services Research, 14</w:t>
      </w:r>
      <w:r>
        <w:rPr>
          <w:rFonts w:ascii="Times New Roman" w:hAnsi="Times New Roman" w:cs="Times New Roman"/>
          <w:sz w:val="24"/>
          <w:szCs w:val="24"/>
        </w:rPr>
        <w:t>, Article 438. https://doi.org/10.1186/1472-6963-14-438</w:t>
      </w:r>
    </w:p>
    <w:p w14:paraId="0770554C"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30.Phuong, J. M., </w:t>
      </w:r>
      <w:proofErr w:type="spellStart"/>
      <w:r>
        <w:rPr>
          <w:rFonts w:ascii="Times New Roman" w:hAnsi="Times New Roman" w:cs="Times New Roman"/>
          <w:sz w:val="24"/>
          <w:szCs w:val="24"/>
        </w:rPr>
        <w:t>Penm</w:t>
      </w:r>
      <w:proofErr w:type="spellEnd"/>
      <w:r>
        <w:rPr>
          <w:rFonts w:ascii="Times New Roman" w:hAnsi="Times New Roman" w:cs="Times New Roman"/>
          <w:sz w:val="24"/>
          <w:szCs w:val="24"/>
        </w:rPr>
        <w:t xml:space="preserve">, J., Chaar, B., Oldfield, L. D., &amp; Moles, R. (2019). The impacts of medication shortages on patient outcomes: A scoping review. </w:t>
      </w:r>
      <w:r>
        <w:rPr>
          <w:rFonts w:ascii="Times New Roman" w:hAnsi="Times New Roman" w:cs="Times New Roman"/>
          <w:i/>
          <w:iCs/>
          <w:sz w:val="24"/>
          <w:szCs w:val="24"/>
        </w:rPr>
        <w:lastRenderedPageBreak/>
        <w:t>PLOS ONE, 14</w:t>
      </w:r>
      <w:r>
        <w:rPr>
          <w:rFonts w:ascii="Times New Roman" w:hAnsi="Times New Roman" w:cs="Times New Roman"/>
          <w:sz w:val="24"/>
          <w:szCs w:val="24"/>
        </w:rPr>
        <w:t>(5), Article e0215837. https://doi.org/10.1371/journal.pone.0215837</w:t>
      </w:r>
    </w:p>
    <w:p w14:paraId="7B850B30"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31.Ridley, D. B., Bei, X., &amp; Liebman, E. B. (2016). No shot: US vaccine prices and shortages. </w:t>
      </w:r>
      <w:r>
        <w:rPr>
          <w:rFonts w:ascii="Times New Roman" w:hAnsi="Times New Roman" w:cs="Times New Roman"/>
          <w:i/>
          <w:iCs/>
          <w:sz w:val="24"/>
          <w:szCs w:val="24"/>
        </w:rPr>
        <w:t>Health Affairs, 35</w:t>
      </w:r>
      <w:r>
        <w:rPr>
          <w:rFonts w:ascii="Times New Roman" w:hAnsi="Times New Roman" w:cs="Times New Roman"/>
          <w:sz w:val="24"/>
          <w:szCs w:val="24"/>
        </w:rPr>
        <w:t>(2), 235–241. https://doi.org/10.1377/hlthaff.2015.0420</w:t>
      </w:r>
    </w:p>
    <w:p w14:paraId="3A0B34B0"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32.Rosoff, P. M., Patel, K. R., Scates, A., Rhea, G., Bush, P. W., &amp; Govert, J. A. (2012). Coping with critical drug shortages: An ethical approach for allocating scarce resources in hospitals. </w:t>
      </w:r>
      <w:r>
        <w:rPr>
          <w:rFonts w:ascii="Times New Roman" w:hAnsi="Times New Roman" w:cs="Times New Roman"/>
          <w:i/>
          <w:iCs/>
          <w:sz w:val="24"/>
          <w:szCs w:val="24"/>
        </w:rPr>
        <w:t>Archives of Internal Medicine, 172</w:t>
      </w:r>
      <w:r>
        <w:rPr>
          <w:rFonts w:ascii="Times New Roman" w:hAnsi="Times New Roman" w:cs="Times New Roman"/>
          <w:sz w:val="24"/>
          <w:szCs w:val="24"/>
        </w:rPr>
        <w:t>(19), 1494–1499. https://doi.org/10.1001/archinternmed.2012.4367</w:t>
      </w:r>
    </w:p>
    <w:p w14:paraId="5AF10E57"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34.Shukar, S., Zahoor, F., Hayat, K., Saeed, A., Gillani, A. H., Omer, S., Hu, S., Babar, Z.-U.-D., Fang, Y., &amp; Yang, C. (2021). Drug shortage: Causes, impact, and mitigation strategies. </w:t>
      </w:r>
      <w:r>
        <w:rPr>
          <w:rFonts w:ascii="Times New Roman" w:hAnsi="Times New Roman" w:cs="Times New Roman"/>
          <w:i/>
          <w:iCs/>
          <w:sz w:val="24"/>
          <w:szCs w:val="24"/>
        </w:rPr>
        <w:t>Frontiers in Pharmacology, 12</w:t>
      </w:r>
      <w:r>
        <w:rPr>
          <w:rFonts w:ascii="Times New Roman" w:hAnsi="Times New Roman" w:cs="Times New Roman"/>
          <w:sz w:val="24"/>
          <w:szCs w:val="24"/>
        </w:rPr>
        <w:t>, Article 693426. https://doi.org/10.3389/fphar.2021.693426</w:t>
      </w:r>
    </w:p>
    <w:p w14:paraId="6CC0079B"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35.Socal, M. P., Ahn, K., Greene, J. A., &amp; Anderson, G. F. (2023). Competition and vulnerabilities in the global supply chain for US generic active pharmaceutical ingredients. </w:t>
      </w:r>
      <w:r>
        <w:rPr>
          <w:rFonts w:ascii="Times New Roman" w:hAnsi="Times New Roman" w:cs="Times New Roman"/>
          <w:i/>
          <w:iCs/>
          <w:sz w:val="24"/>
          <w:szCs w:val="24"/>
        </w:rPr>
        <w:t>Health Affairs, 42</w:t>
      </w:r>
      <w:r>
        <w:rPr>
          <w:rFonts w:ascii="Times New Roman" w:hAnsi="Times New Roman" w:cs="Times New Roman"/>
          <w:sz w:val="24"/>
          <w:szCs w:val="24"/>
        </w:rPr>
        <w:t>(3), 407–415. https://doi.org/10.1377/hlthaff.2022.01120</w:t>
      </w:r>
    </w:p>
    <w:p w14:paraId="1DF0A3A5"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36.Socal, M. P., Sharfstein, J. M., &amp; Greene, J. A. (2021). The pandemic and the supply chain: Gaps in pharmaceutical production and distribution. </w:t>
      </w:r>
      <w:r>
        <w:rPr>
          <w:rFonts w:ascii="Times New Roman" w:hAnsi="Times New Roman" w:cs="Times New Roman"/>
          <w:i/>
          <w:iCs/>
          <w:sz w:val="24"/>
          <w:szCs w:val="24"/>
        </w:rPr>
        <w:t>American Journal of Public Health, 111</w:t>
      </w:r>
      <w:r>
        <w:rPr>
          <w:rFonts w:ascii="Times New Roman" w:hAnsi="Times New Roman" w:cs="Times New Roman"/>
          <w:sz w:val="24"/>
          <w:szCs w:val="24"/>
        </w:rPr>
        <w:t>(4), 635–639. https://doi.org/10.2105/AJPH.2020.306138</w:t>
      </w:r>
    </w:p>
    <w:p w14:paraId="33C2BECB"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37.Tucker, E. L., Cao, Y., Fox, E. R., &amp; Sweet, B. V. (2020). The drug shortage era: A scoping review of the literature 2001–2019. </w:t>
      </w:r>
      <w:r>
        <w:rPr>
          <w:rFonts w:ascii="Times New Roman" w:hAnsi="Times New Roman" w:cs="Times New Roman"/>
          <w:i/>
          <w:iCs/>
          <w:sz w:val="24"/>
          <w:szCs w:val="24"/>
        </w:rPr>
        <w:t>Clinical Pharmacology &amp; Therapeutics, 108</w:t>
      </w:r>
      <w:r>
        <w:rPr>
          <w:rFonts w:ascii="Times New Roman" w:hAnsi="Times New Roman" w:cs="Times New Roman"/>
          <w:sz w:val="24"/>
          <w:szCs w:val="24"/>
        </w:rPr>
        <w:t>(6), 1150–1155. https://doi.org/10.1002/cpt.1934</w:t>
      </w:r>
    </w:p>
    <w:p w14:paraId="511E4105"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lastRenderedPageBreak/>
        <w:t xml:space="preserve">38.Tucker, E. L., Daskin, M. S., Sweet, B. V., &amp; Hopp, W. J. (2020). Incentivizing resilient supply chain design to prevent drug shortages: Policy analysis using two- and multi-stage stochastic programs. </w:t>
      </w:r>
      <w:r>
        <w:rPr>
          <w:rFonts w:ascii="Times New Roman" w:hAnsi="Times New Roman" w:cs="Times New Roman"/>
          <w:i/>
          <w:iCs/>
          <w:sz w:val="24"/>
          <w:szCs w:val="24"/>
        </w:rPr>
        <w:t>IISE Transactions, 52</w:t>
      </w:r>
      <w:r>
        <w:rPr>
          <w:rFonts w:ascii="Times New Roman" w:hAnsi="Times New Roman" w:cs="Times New Roman"/>
          <w:sz w:val="24"/>
          <w:szCs w:val="24"/>
        </w:rPr>
        <w:t>(4), 394–412. https://doi.org/10.1080/24725854.2019.1646441</w:t>
      </w:r>
    </w:p>
    <w:p w14:paraId="10B13D67"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39.Unguru, Y., Fernandez, C. V., Bernhardt, B., Berg, S., Pyke-Grimm, K., Woodman, C., &amp; Joffe, S. (2016). An ethical framework for allocating scarce life-saving chemotherapy and supportive care drugs for childhood cancer. </w:t>
      </w:r>
      <w:r>
        <w:rPr>
          <w:rFonts w:ascii="Times New Roman" w:hAnsi="Times New Roman" w:cs="Times New Roman"/>
          <w:i/>
          <w:iCs/>
          <w:sz w:val="24"/>
          <w:szCs w:val="24"/>
        </w:rPr>
        <w:t>Journal of the National Cancer Institute, 108</w:t>
      </w:r>
      <w:r>
        <w:rPr>
          <w:rFonts w:ascii="Times New Roman" w:hAnsi="Times New Roman" w:cs="Times New Roman"/>
          <w:sz w:val="24"/>
          <w:szCs w:val="24"/>
        </w:rPr>
        <w:t>(6), Article djv392. https://doi.org/10.1093/jnci/djv392</w:t>
      </w:r>
    </w:p>
    <w:p w14:paraId="7A8D510F"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40.Vail, E., </w:t>
      </w:r>
      <w:proofErr w:type="spellStart"/>
      <w:r>
        <w:rPr>
          <w:rFonts w:ascii="Times New Roman" w:hAnsi="Times New Roman" w:cs="Times New Roman"/>
          <w:sz w:val="24"/>
          <w:szCs w:val="24"/>
        </w:rPr>
        <w:t>Gershengorn</w:t>
      </w:r>
      <w:proofErr w:type="spellEnd"/>
      <w:r>
        <w:rPr>
          <w:rFonts w:ascii="Times New Roman" w:hAnsi="Times New Roman" w:cs="Times New Roman"/>
          <w:sz w:val="24"/>
          <w:szCs w:val="24"/>
        </w:rPr>
        <w:t xml:space="preserve">, H. B., Hua, M., Walkey, A. J., Rubenfeld, G., &amp; Wunsch, H. (2017). Association between US norepinephrine shortage and mortality among patients with septic shock. </w:t>
      </w:r>
      <w:r>
        <w:rPr>
          <w:rFonts w:ascii="Times New Roman" w:hAnsi="Times New Roman" w:cs="Times New Roman"/>
          <w:i/>
          <w:iCs/>
          <w:sz w:val="24"/>
          <w:szCs w:val="24"/>
        </w:rPr>
        <w:t>JAMA, 317</w:t>
      </w:r>
      <w:r>
        <w:rPr>
          <w:rFonts w:ascii="Times New Roman" w:hAnsi="Times New Roman" w:cs="Times New Roman"/>
          <w:sz w:val="24"/>
          <w:szCs w:val="24"/>
        </w:rPr>
        <w:t>(14), 1433–1442. https://doi.org/10.1001/jama.2017.2841</w:t>
      </w:r>
    </w:p>
    <w:p w14:paraId="1A6BB8F1" w14:textId="77777777" w:rsidR="00614808" w:rsidRDefault="00000000">
      <w:pPr>
        <w:pStyle w:val="Bibliography1"/>
        <w:spacing w:after="0" w:line="480" w:lineRule="auto"/>
        <w:ind w:left="720" w:hanging="720"/>
        <w:rPr>
          <w:rFonts w:ascii="Times New Roman" w:hAnsi="Times New Roman" w:cs="Times New Roman"/>
        </w:rPr>
      </w:pPr>
      <w:r>
        <w:rPr>
          <w:rFonts w:ascii="Times New Roman" w:hAnsi="Times New Roman" w:cs="Times New Roman"/>
          <w:sz w:val="24"/>
          <w:szCs w:val="24"/>
        </w:rPr>
        <w:t xml:space="preserve">41.Woodcock, J., &amp; </w:t>
      </w:r>
      <w:proofErr w:type="spellStart"/>
      <w:r>
        <w:rPr>
          <w:rFonts w:ascii="Times New Roman" w:hAnsi="Times New Roman" w:cs="Times New Roman"/>
          <w:sz w:val="24"/>
          <w:szCs w:val="24"/>
        </w:rPr>
        <w:t>Wosinska</w:t>
      </w:r>
      <w:proofErr w:type="spellEnd"/>
      <w:r>
        <w:rPr>
          <w:rFonts w:ascii="Times New Roman" w:hAnsi="Times New Roman" w:cs="Times New Roman"/>
          <w:sz w:val="24"/>
          <w:szCs w:val="24"/>
        </w:rPr>
        <w:t xml:space="preserve">, M. (2013). Economic and technological drivers of generic sterile injectable drug shortages. </w:t>
      </w:r>
      <w:r>
        <w:rPr>
          <w:rFonts w:ascii="Times New Roman" w:hAnsi="Times New Roman" w:cs="Times New Roman"/>
          <w:i/>
          <w:iCs/>
          <w:sz w:val="24"/>
          <w:szCs w:val="24"/>
        </w:rPr>
        <w:t>Clinical Pharmacology &amp; Therapeutics, 93</w:t>
      </w:r>
      <w:r>
        <w:rPr>
          <w:rFonts w:ascii="Times New Roman" w:hAnsi="Times New Roman" w:cs="Times New Roman"/>
          <w:sz w:val="24"/>
          <w:szCs w:val="24"/>
        </w:rPr>
        <w:t>(2), 170–176. https://doi.org/10.1038/clpt.2012.220</w:t>
      </w:r>
    </w:p>
    <w:p w14:paraId="31A2BF35" w14:textId="77777777" w:rsidR="00614808" w:rsidRDefault="00000000">
      <w:pPr>
        <w:pStyle w:val="Bibliography1"/>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42.Yurukoglu, A., Liebman, E., &amp; Ridley, D. B. (2017). The role of government reimbursement in drug shortages. </w:t>
      </w:r>
      <w:r>
        <w:rPr>
          <w:rFonts w:ascii="Times New Roman" w:hAnsi="Times New Roman" w:cs="Times New Roman"/>
          <w:i/>
          <w:iCs/>
          <w:sz w:val="24"/>
          <w:szCs w:val="24"/>
        </w:rPr>
        <w:t>American Economic Journal: Economic Policy, 9</w:t>
      </w:r>
      <w:r>
        <w:rPr>
          <w:rFonts w:ascii="Times New Roman" w:hAnsi="Times New Roman" w:cs="Times New Roman"/>
          <w:sz w:val="24"/>
          <w:szCs w:val="24"/>
        </w:rPr>
        <w:t xml:space="preserve">(2), 348–382. </w:t>
      </w:r>
      <w:hyperlink r:id="rId7" w:history="1">
        <w:r w:rsidR="00614808">
          <w:rPr>
            <w:rStyle w:val="Hyperlink"/>
            <w:rFonts w:ascii="Times New Roman" w:hAnsi="Times New Roman" w:cs="Times New Roman"/>
            <w:sz w:val="24"/>
            <w:szCs w:val="24"/>
          </w:rPr>
          <w:t>https://doi.org/10.1257/pol.20160035</w:t>
        </w:r>
      </w:hyperlink>
    </w:p>
    <w:p w14:paraId="4B8E1CEF" w14:textId="77777777" w:rsidR="00614808" w:rsidRDefault="00000000">
      <w:pPr>
        <w:rPr>
          <w:rFonts w:ascii="Times New Roman" w:eastAsia="SimSun" w:hAnsi="Times New Roman" w:cs="Times New Roman"/>
          <w:sz w:val="24"/>
          <w:szCs w:val="24"/>
        </w:rPr>
      </w:pPr>
      <w:r>
        <w:rPr>
          <w:rFonts w:ascii="Times New Roman" w:eastAsia="SimSun" w:hAnsi="Times New Roman" w:cs="Times New Roman"/>
          <w:sz w:val="24"/>
          <w:szCs w:val="24"/>
        </w:rPr>
        <w:t xml:space="preserve">43.Oluwadare, O. E., Adeoba, M. I., Akor, J. T., Yusuff, T. A., &amp; Milimo, P. (2026). The rise of smart hospitals: Biomedical engineering innovations in automation, monitoring, and digital healthcare. </w:t>
      </w:r>
      <w:r>
        <w:rPr>
          <w:rStyle w:val="Emphasis"/>
          <w:rFonts w:ascii="Times New Roman" w:eastAsia="SimSun" w:hAnsi="Times New Roman" w:cs="Times New Roman"/>
          <w:sz w:val="24"/>
          <w:szCs w:val="24"/>
        </w:rPr>
        <w:t>Journal of Medicine and Health Research, 11</w:t>
      </w:r>
      <w:r>
        <w:rPr>
          <w:rFonts w:ascii="Times New Roman" w:eastAsia="SimSun" w:hAnsi="Times New Roman" w:cs="Times New Roman"/>
          <w:sz w:val="24"/>
          <w:szCs w:val="24"/>
        </w:rPr>
        <w:t xml:space="preserve">(2), 121–138. </w:t>
      </w:r>
      <w:hyperlink r:id="rId8" w:history="1">
        <w:r w:rsidR="00614808">
          <w:rPr>
            <w:rStyle w:val="Hyperlink"/>
            <w:rFonts w:ascii="Times New Roman" w:eastAsia="SimSun" w:hAnsi="Times New Roman" w:cs="Times New Roman"/>
            <w:sz w:val="24"/>
            <w:szCs w:val="24"/>
          </w:rPr>
          <w:t>https://doi.org/10.56557/jomahr/2026/v11i210794</w:t>
        </w:r>
      </w:hyperlink>
    </w:p>
    <w:p w14:paraId="25F8DE02" w14:textId="77777777" w:rsidR="00614808" w:rsidRDefault="00614808">
      <w:pPr>
        <w:rPr>
          <w:rFonts w:ascii="Times New Roman" w:eastAsia="SimSun" w:hAnsi="Times New Roman" w:cs="Times New Roman"/>
          <w:sz w:val="24"/>
          <w:szCs w:val="24"/>
        </w:rPr>
      </w:pPr>
    </w:p>
    <w:p w14:paraId="5769BCC1" w14:textId="77777777" w:rsidR="00614808" w:rsidRDefault="00000000">
      <w:pPr>
        <w:rPr>
          <w:rFonts w:ascii="Times New Roman" w:hAnsi="Times New Roman" w:cs="Times New Roman"/>
          <w:sz w:val="24"/>
          <w:szCs w:val="24"/>
        </w:rPr>
      </w:pPr>
      <w:r>
        <w:rPr>
          <w:rFonts w:ascii="Times New Roman" w:eastAsia="SimSun" w:hAnsi="Times New Roman" w:cs="Times New Roman"/>
          <w:sz w:val="24"/>
          <w:szCs w:val="24"/>
        </w:rPr>
        <w:t xml:space="preserve">44.Oluwadare, O. E., </w:t>
      </w:r>
      <w:proofErr w:type="spellStart"/>
      <w:r>
        <w:rPr>
          <w:rFonts w:ascii="Times New Roman" w:eastAsia="SimSun" w:hAnsi="Times New Roman" w:cs="Times New Roman"/>
          <w:sz w:val="24"/>
          <w:szCs w:val="24"/>
        </w:rPr>
        <w:t>Frankpeace</w:t>
      </w:r>
      <w:proofErr w:type="spellEnd"/>
      <w:r>
        <w:rPr>
          <w:rFonts w:ascii="Times New Roman" w:eastAsia="SimSun" w:hAnsi="Times New Roman" w:cs="Times New Roman"/>
          <w:sz w:val="24"/>
          <w:szCs w:val="24"/>
        </w:rPr>
        <w:t xml:space="preserve">, M. S., </w:t>
      </w:r>
      <w:proofErr w:type="spellStart"/>
      <w:r>
        <w:rPr>
          <w:rFonts w:ascii="Times New Roman" w:eastAsia="SimSun" w:hAnsi="Times New Roman" w:cs="Times New Roman"/>
          <w:sz w:val="24"/>
          <w:szCs w:val="24"/>
        </w:rPr>
        <w:t>Oluwaniran</w:t>
      </w:r>
      <w:proofErr w:type="spellEnd"/>
      <w:r>
        <w:rPr>
          <w:rFonts w:ascii="Times New Roman" w:eastAsia="SimSun" w:hAnsi="Times New Roman" w:cs="Times New Roman"/>
          <w:sz w:val="24"/>
          <w:szCs w:val="24"/>
        </w:rPr>
        <w:t xml:space="preserve">, O. M., </w:t>
      </w:r>
      <w:proofErr w:type="spellStart"/>
      <w:r>
        <w:rPr>
          <w:rFonts w:ascii="Times New Roman" w:eastAsia="SimSun" w:hAnsi="Times New Roman" w:cs="Times New Roman"/>
          <w:sz w:val="24"/>
          <w:szCs w:val="24"/>
        </w:rPr>
        <w:t>Anatuanya</w:t>
      </w:r>
      <w:proofErr w:type="spellEnd"/>
      <w:r>
        <w:rPr>
          <w:rFonts w:ascii="Times New Roman" w:eastAsia="SimSun" w:hAnsi="Times New Roman" w:cs="Times New Roman"/>
          <w:sz w:val="24"/>
          <w:szCs w:val="24"/>
        </w:rPr>
        <w:t xml:space="preserve">, J. I., &amp; </w:t>
      </w:r>
      <w:proofErr w:type="spellStart"/>
      <w:r>
        <w:rPr>
          <w:rFonts w:ascii="Times New Roman" w:eastAsia="SimSun" w:hAnsi="Times New Roman" w:cs="Times New Roman"/>
          <w:sz w:val="24"/>
          <w:szCs w:val="24"/>
        </w:rPr>
        <w:t>Onwuemelem</w:t>
      </w:r>
      <w:proofErr w:type="spellEnd"/>
      <w:r>
        <w:rPr>
          <w:rFonts w:ascii="Times New Roman" w:eastAsia="SimSun" w:hAnsi="Times New Roman" w:cs="Times New Roman"/>
          <w:sz w:val="24"/>
          <w:szCs w:val="24"/>
        </w:rPr>
        <w:t xml:space="preserve">, L. A. (2026). CRISPR functional genomics in precision oncology: Integrating single-cell multi-omics for cancer vulnerability discovery. </w:t>
      </w:r>
      <w:r>
        <w:rPr>
          <w:rStyle w:val="Emphasis"/>
          <w:rFonts w:ascii="Times New Roman" w:eastAsia="SimSun" w:hAnsi="Times New Roman" w:cs="Times New Roman"/>
          <w:sz w:val="24"/>
          <w:szCs w:val="24"/>
        </w:rPr>
        <w:t xml:space="preserve">Oncology, Nuclear Medicine and </w:t>
      </w:r>
      <w:proofErr w:type="spellStart"/>
      <w:r>
        <w:rPr>
          <w:rStyle w:val="Emphasis"/>
          <w:rFonts w:ascii="Times New Roman" w:eastAsia="SimSun" w:hAnsi="Times New Roman" w:cs="Times New Roman"/>
          <w:sz w:val="24"/>
          <w:szCs w:val="24"/>
        </w:rPr>
        <w:t>Transplantology</w:t>
      </w:r>
      <w:proofErr w:type="spellEnd"/>
      <w:r>
        <w:rPr>
          <w:rStyle w:val="Emphasis"/>
          <w:rFonts w:ascii="Times New Roman" w:eastAsia="SimSun" w:hAnsi="Times New Roman" w:cs="Times New Roman"/>
          <w:sz w:val="24"/>
          <w:szCs w:val="24"/>
        </w:rPr>
        <w:t>, 2</w:t>
      </w:r>
      <w:r>
        <w:rPr>
          <w:rFonts w:ascii="Times New Roman" w:eastAsia="SimSun" w:hAnsi="Times New Roman" w:cs="Times New Roman"/>
          <w:sz w:val="24"/>
          <w:szCs w:val="24"/>
        </w:rPr>
        <w:t xml:space="preserve">(3), onmt027. </w:t>
      </w:r>
      <w:hyperlink r:id="rId9" w:history="1">
        <w:r w:rsidR="00614808">
          <w:rPr>
            <w:rStyle w:val="Hyperlink"/>
            <w:rFonts w:ascii="Times New Roman" w:eastAsia="SimSun" w:hAnsi="Times New Roman" w:cs="Times New Roman"/>
            <w:sz w:val="24"/>
            <w:szCs w:val="24"/>
          </w:rPr>
          <w:t>https://doi.org/10.63946/onmt/19194</w:t>
        </w:r>
      </w:hyperlink>
    </w:p>
    <w:p w14:paraId="0E7B23A4" w14:textId="77777777" w:rsidR="00614808" w:rsidRDefault="00614808">
      <w:pPr>
        <w:rPr>
          <w:rFonts w:ascii="Times New Roman" w:hAnsi="Times New Roman" w:cs="Times New Roman"/>
          <w:sz w:val="24"/>
          <w:szCs w:val="24"/>
        </w:rPr>
      </w:pPr>
    </w:p>
    <w:sectPr w:rsidR="00614808">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2818" w14:textId="77777777" w:rsidR="00CC5F50" w:rsidRDefault="00CC5F50" w:rsidP="000E4742">
      <w:r>
        <w:separator/>
      </w:r>
    </w:p>
  </w:endnote>
  <w:endnote w:type="continuationSeparator" w:id="0">
    <w:p w14:paraId="38908DF2" w14:textId="77777777" w:rsidR="00CC5F50" w:rsidRDefault="00CC5F50" w:rsidP="000E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18A8D" w14:textId="77777777" w:rsidR="000E4742" w:rsidRDefault="000E4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55A4" w14:textId="77777777" w:rsidR="000E4742" w:rsidRDefault="000E47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086" w14:textId="77777777" w:rsidR="000E4742" w:rsidRDefault="000E4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58F0" w14:textId="77777777" w:rsidR="00CC5F50" w:rsidRDefault="00CC5F50" w:rsidP="000E4742">
      <w:r>
        <w:separator/>
      </w:r>
    </w:p>
  </w:footnote>
  <w:footnote w:type="continuationSeparator" w:id="0">
    <w:p w14:paraId="10279FE9" w14:textId="77777777" w:rsidR="00CC5F50" w:rsidRDefault="00CC5F50" w:rsidP="000E4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06F4" w14:textId="11002E9F" w:rsidR="000E4742" w:rsidRDefault="000E4742">
    <w:pPr>
      <w:pStyle w:val="Header"/>
    </w:pPr>
    <w:r>
      <w:rPr>
        <w:noProof/>
      </w:rPr>
      <w:pict w14:anchorId="29B147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895532"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EC88" w14:textId="0412B2D2" w:rsidR="000E4742" w:rsidRDefault="000E4742">
    <w:pPr>
      <w:pStyle w:val="Header"/>
    </w:pPr>
    <w:r>
      <w:rPr>
        <w:noProof/>
      </w:rPr>
      <w:pict w14:anchorId="387F3B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895533"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01DF" w14:textId="491BAEB6" w:rsidR="000E4742" w:rsidRDefault="000E4742">
    <w:pPr>
      <w:pStyle w:val="Header"/>
    </w:pPr>
    <w:r>
      <w:rPr>
        <w:noProof/>
      </w:rPr>
      <w:pict w14:anchorId="4E485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895531"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8B85758"/>
    <w:rsid w:val="000E4742"/>
    <w:rsid w:val="00110774"/>
    <w:rsid w:val="001E348B"/>
    <w:rsid w:val="00614808"/>
    <w:rsid w:val="006C2570"/>
    <w:rsid w:val="00746F37"/>
    <w:rsid w:val="008A1F66"/>
    <w:rsid w:val="00A07451"/>
    <w:rsid w:val="00AF6381"/>
    <w:rsid w:val="00CC5F50"/>
    <w:rsid w:val="00E441A4"/>
    <w:rsid w:val="00F50623"/>
    <w:rsid w:val="00F77D6F"/>
    <w:rsid w:val="00FF3C85"/>
    <w:rsid w:val="0EAF44DD"/>
    <w:rsid w:val="107C5866"/>
    <w:rsid w:val="11084B20"/>
    <w:rsid w:val="12DE6BC1"/>
    <w:rsid w:val="1911682C"/>
    <w:rsid w:val="193070E1"/>
    <w:rsid w:val="22BC6905"/>
    <w:rsid w:val="2DFC599C"/>
    <w:rsid w:val="319D04C7"/>
    <w:rsid w:val="3628659F"/>
    <w:rsid w:val="37290ACB"/>
    <w:rsid w:val="3CE4192F"/>
    <w:rsid w:val="3DBB7856"/>
    <w:rsid w:val="45B408EB"/>
    <w:rsid w:val="48046EB6"/>
    <w:rsid w:val="497F7E61"/>
    <w:rsid w:val="4A253068"/>
    <w:rsid w:val="53547C42"/>
    <w:rsid w:val="5AD516E1"/>
    <w:rsid w:val="629D4697"/>
    <w:rsid w:val="65AA44C4"/>
    <w:rsid w:val="67E9310A"/>
    <w:rsid w:val="683539C3"/>
    <w:rsid w:val="68B85758"/>
    <w:rsid w:val="6FC722F1"/>
    <w:rsid w:val="78FB568C"/>
    <w:rsid w:val="7C9D24AD"/>
    <w:rsid w:val="7CFF0F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EC72B"/>
  <w15:docId w15:val="{A25DED7A-D08B-4350-83E2-5C9755861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val="en-US"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paragraph" w:customStyle="1" w:styleId="Style9">
    <w:name w:val="_Style 9"/>
    <w:basedOn w:val="Normal"/>
    <w:next w:val="Normal"/>
    <w:pPr>
      <w:pBdr>
        <w:bottom w:val="single" w:sz="6" w:space="1" w:color="auto"/>
      </w:pBdr>
      <w:jc w:val="center"/>
    </w:pPr>
    <w:rPr>
      <w:rFonts w:ascii="Arial" w:eastAsia="SimSun"/>
      <w:vanish/>
      <w:sz w:val="16"/>
    </w:rPr>
  </w:style>
  <w:style w:type="paragraph" w:customStyle="1" w:styleId="Style10">
    <w:name w:val="_Style 10"/>
    <w:basedOn w:val="Normal"/>
    <w:next w:val="Normal"/>
    <w:qFormat/>
    <w:pPr>
      <w:pBdr>
        <w:top w:val="single" w:sz="6" w:space="1" w:color="auto"/>
      </w:pBdr>
      <w:jc w:val="center"/>
    </w:pPr>
    <w:rPr>
      <w:rFonts w:ascii="Arial" w:eastAsia="SimSun"/>
      <w:vanish/>
      <w:sz w:val="16"/>
    </w:rPr>
  </w:style>
  <w:style w:type="character" w:customStyle="1" w:styleId="BalloonTextChar">
    <w:name w:val="Balloon Text Char"/>
    <w:basedOn w:val="DefaultParagraphFont"/>
    <w:link w:val="BalloonText"/>
    <w:qFormat/>
    <w:rPr>
      <w:rFonts w:ascii="Tahoma" w:eastAsiaTheme="minorEastAsia" w:hAnsi="Tahoma" w:cs="Tahoma"/>
      <w:sz w:val="16"/>
      <w:szCs w:val="16"/>
      <w:lang w:eastAsia="zh-CN"/>
    </w:rPr>
  </w:style>
  <w:style w:type="paragraph" w:customStyle="1" w:styleId="Bibliography1">
    <w:name w:val="Bibliography1"/>
    <w:basedOn w:val="Normal"/>
    <w:next w:val="Normal"/>
    <w:uiPriority w:val="37"/>
    <w:unhideWhenUsed/>
    <w:qFormat/>
    <w:pPr>
      <w:tabs>
        <w:tab w:val="left" w:pos="264"/>
      </w:tabs>
      <w:spacing w:after="240"/>
      <w:ind w:left="264" w:hanging="264"/>
    </w:pPr>
  </w:style>
  <w:style w:type="character" w:styleId="UnresolvedMention">
    <w:name w:val="Unresolved Mention"/>
    <w:basedOn w:val="DefaultParagraphFont"/>
    <w:uiPriority w:val="99"/>
    <w:semiHidden/>
    <w:unhideWhenUsed/>
    <w:rsid w:val="00FF3C85"/>
    <w:rPr>
      <w:color w:val="605E5C"/>
      <w:shd w:val="clear" w:color="auto" w:fill="E1DFDD"/>
    </w:rPr>
  </w:style>
  <w:style w:type="paragraph" w:styleId="Header">
    <w:name w:val="header"/>
    <w:basedOn w:val="Normal"/>
    <w:link w:val="HeaderChar"/>
    <w:rsid w:val="000E4742"/>
    <w:pPr>
      <w:tabs>
        <w:tab w:val="center" w:pos="4513"/>
        <w:tab w:val="right" w:pos="9026"/>
      </w:tabs>
    </w:pPr>
  </w:style>
  <w:style w:type="character" w:customStyle="1" w:styleId="HeaderChar">
    <w:name w:val="Header Char"/>
    <w:basedOn w:val="DefaultParagraphFont"/>
    <w:link w:val="Header"/>
    <w:rsid w:val="000E4742"/>
    <w:rPr>
      <w:rFonts w:asciiTheme="minorHAnsi" w:eastAsiaTheme="minorEastAsia" w:hAnsiTheme="minorHAnsi" w:cstheme="minorBidi"/>
      <w:lang w:val="en-US" w:eastAsia="zh-CN"/>
    </w:rPr>
  </w:style>
  <w:style w:type="paragraph" w:styleId="Footer">
    <w:name w:val="footer"/>
    <w:basedOn w:val="Normal"/>
    <w:link w:val="FooterChar"/>
    <w:rsid w:val="000E4742"/>
    <w:pPr>
      <w:tabs>
        <w:tab w:val="center" w:pos="4513"/>
        <w:tab w:val="right" w:pos="9026"/>
      </w:tabs>
    </w:pPr>
  </w:style>
  <w:style w:type="character" w:customStyle="1" w:styleId="FooterChar">
    <w:name w:val="Footer Char"/>
    <w:basedOn w:val="DefaultParagraphFont"/>
    <w:link w:val="Footer"/>
    <w:rsid w:val="000E4742"/>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56557/jomahr/2026/v11i210794?utm_source=chatgpt.co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doi.org/10.1257/pol.20160035"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63946/onmt/19194?utm_source=chatgpt.com" TargetMode="External"/><Relationship Id="rId14" Type="http://schemas.openxmlformats.org/officeDocument/2006/relationships/header" Target="head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11820</Words>
  <Characters>67375</Characters>
  <Application>Microsoft Office Word</Application>
  <DocSecurity>0</DocSecurity>
  <Lines>561</Lines>
  <Paragraphs>158</Paragraphs>
  <ScaleCrop>false</ScaleCrop>
  <Company/>
  <LinksUpToDate>false</LinksUpToDate>
  <CharactersWithSpaces>79037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WPS_1777548903</dc:creator>
  <cp:lastModifiedBy>SDI 1166</cp:lastModifiedBy>
  <cp:revision>7</cp:revision>
  <dcterms:created xsi:type="dcterms:W3CDTF">2026-09-24T23:09:00Z</dcterms:created>
  <dcterms:modified xsi:type="dcterms:W3CDTF">2026-09-26T13:49:00Z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61A093F4C69847D99F8A3C01B2F28762_13</vt:lpwstr>
  </property>
  <property fmtid="{D5CDD505-2E9C-101B-9397-08002B2CF9AE}" pid="4" name="KSOTemplateDocerSaveRecord">
    <vt:lpwstr>eyJoZGlkIjoiNTNjN2YxZjNjNDk5YTQzZDkxN2EwYjhiZGRmYzhjMTciLCJ1c2VySWQiOiIyNzY2NzA1Mjk2NDAzIn0=</vt:lpwstr>
  </property>
  <property fmtid="{D5CDD505-2E9C-101B-9397-08002B2CF9AE}" pid="5" name="ZOTERO_PREF_1">
    <vt:lpwstr>&lt;data data-version="3" zotero-version="9.0.6"&gt;&lt;session id="Z9zF1NSX"/&gt;&lt;style id="http://www.zotero.org/styles/nlm-citation-sequence-brackets" locale="en-US" hasBibliography="1" bibliographyStyleHasBeenSet="1"/&gt;&lt;prefs&gt;&lt;pref name="fieldType" value="Field"/&gt;</vt:lpwstr>
  </property>
  <property fmtid="{D5CDD505-2E9C-101B-9397-08002B2CF9AE}" pid="6" name="ZOTERO_PREF_2">
    <vt:lpwstr>&lt;/prefs&gt;&lt;/data&gt;</vt:lpwstr>
  </property>
</Properties>
</file>