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B3D7E" w14:textId="77777777" w:rsidR="001B3BB1" w:rsidRPr="001B3BB1" w:rsidRDefault="001B3BB1" w:rsidP="001B3BB1">
      <w:pPr>
        <w:spacing w:after="360"/>
        <w:jc w:val="center"/>
        <w:rPr>
          <w:b/>
          <w:bCs/>
          <w:i/>
          <w:iCs/>
          <w:sz w:val="30"/>
          <w:u w:val="single"/>
        </w:rPr>
      </w:pPr>
      <w:r w:rsidRPr="001B3BB1">
        <w:rPr>
          <w:b/>
          <w:bCs/>
          <w:i/>
          <w:iCs/>
          <w:sz w:val="30"/>
          <w:u w:val="single"/>
        </w:rPr>
        <w:t>Review Article</w:t>
      </w:r>
    </w:p>
    <w:p w14:paraId="6A0FC8B4" w14:textId="77777777" w:rsidR="007A56F4" w:rsidRDefault="00000000">
      <w:pPr>
        <w:spacing w:after="360"/>
        <w:jc w:val="center"/>
        <w:rPr>
          <w:b/>
          <w:sz w:val="30"/>
        </w:rPr>
      </w:pPr>
      <w:r>
        <w:rPr>
          <w:b/>
          <w:sz w:val="30"/>
        </w:rPr>
        <w:t>Cancer, Autoimmunity and Diabetes: A Critical Narrative Review of Shared Immunometabolic Pathways, Bidirectional Risks and Therapeutic Intersections</w:t>
      </w:r>
    </w:p>
    <w:p w14:paraId="216264D8" w14:textId="77777777" w:rsidR="005D4324" w:rsidRDefault="005D4324">
      <w:pPr>
        <w:spacing w:after="360"/>
        <w:jc w:val="center"/>
      </w:pPr>
    </w:p>
    <w:p w14:paraId="7A93863E" w14:textId="77777777" w:rsidR="007A56F4" w:rsidRDefault="00000000">
      <w:pPr>
        <w:pStyle w:val="Heading1"/>
      </w:pPr>
      <w:r>
        <w:t>Abstract</w:t>
      </w:r>
    </w:p>
    <w:p w14:paraId="0891E519" w14:textId="77777777" w:rsidR="007A56F4" w:rsidRDefault="00000000">
      <w:pPr>
        <w:jc w:val="both"/>
      </w:pPr>
      <w:r>
        <w:t xml:space="preserve">Cancer, autoimmune disease and diabetes mellitus are usually studied within separate clinical and scientific traditions, yet they share immune, metabolic and pharmacological pathways that link their occurrence, course and treatment. Epidemiological studies associate type 2 diabetes with an excess risk of several cancers, several autoimmune diseases with site-specific malignancy, and particular cancers with the onset of both autoimmunity and diabetes. The introduction of immune checkpoint inhibitors has converted these links into a routine clinical concern, because therapeutic release of anti-tumour immunity can precipitate insulin-deficient autoimmune diabetes. This critical narrative review examines the strength, consistency and causal credibility of the evidence connecting the three disease groups. Literature published between January 2000 and July 2026 was identified through searches of biomedical and multidisciplinary scholarly indexes, supplemented by citation tracking, and was appraised with attention to study design, confounding, time-related bias and replication. The synthesis indicates that the association between type 2 diabetes and cancers of the liver, pancreas and endometrium is robust to plausible unmeasured confounding, whereas many other site-specific associations are weaker and heterogeneous. Genetic studies implicate hyperinsulinaemia more consistently than hyperglycaemia. Type 1 diabetes shows a modest and site-specific pattern of cancer risk that is inconsistent across cohorts. Among systemic autoimmune diseases, the most consistent excess risk concerns lymphoma, and evidence from rheumatoid arthritis suggests that cumulative inflammatory activity contributes more than conventional treatment. Cancer can also initiate autoimmunity, as shown by tumour-associated autoantibodies in dermatomyositis and systemic sclerosis, and can cause diabetes, most clearly in pancreatic ductal adenocarcinoma. Checkpoint inhibitor-associated diabetes is rare, arises predominantly with programmed cell death protein 1 pathway blockade and differs from classical type 1 diabetes in its autoantibody profile and tempo. Observational claims that </w:t>
      </w:r>
      <w:r>
        <w:lastRenderedPageBreak/>
        <w:t>metformin prevents cancer have not been confirmed by randomised trials. Major unresolved questions include the causal role of insulin, the prediction of immune-related diabetes, and the oncological safety of immunomodulation in people with autoimmune disease. The evidence supports an integrated but differentiated model in which some links are established, others are plausible, and several remain speculative.</w:t>
      </w:r>
    </w:p>
    <w:p w14:paraId="600EAB33" w14:textId="77777777" w:rsidR="007A56F4" w:rsidRDefault="00000000">
      <w:pPr>
        <w:pStyle w:val="Heading1"/>
      </w:pPr>
      <w:r>
        <w:t>Keywords</w:t>
      </w:r>
    </w:p>
    <w:p w14:paraId="2DCAA96E" w14:textId="77777777" w:rsidR="007A56F4" w:rsidRDefault="00000000">
      <w:pPr>
        <w:jc w:val="both"/>
      </w:pPr>
      <w:r>
        <w:t>Diabetes mellitus; Neoplasms; Autoimmunity; Immune checkpoint inhibitors; Hyperinsulinaemia; Mendelian randomisation; Paraneoplastic syndromes; Metformin</w:t>
      </w:r>
    </w:p>
    <w:p w14:paraId="52D2BBFF" w14:textId="77777777" w:rsidR="007A56F4" w:rsidRDefault="00000000">
      <w:pPr>
        <w:pStyle w:val="Heading1"/>
      </w:pPr>
      <w:r>
        <w:t>1. Introduction</w:t>
      </w:r>
    </w:p>
    <w:p w14:paraId="79831A12" w14:textId="77777777" w:rsidR="007A56F4" w:rsidRDefault="00000000">
      <w:pPr>
        <w:jc w:val="both"/>
      </w:pPr>
      <w:r>
        <w:t>Cancer, autoimmune disease and diabetes mellitus rank among the principal non-communicable causes of illness and death, and each has conventionally been managed within its own specialty. Oncology, rheumatology and clinical immunology, and diabetology have developed separate epidemiological cohorts, mechanistic models and therapeutic traditions. This separation has become increasingly difficult to justify. Autoimmune disorders collectively affected about one person in ten in a population-based analysis of 22 million individuals in the United Kingdom, with frequent co-occurrence among different autoimmune conditions (Conrad et al., 2023). In England, the decline in vascular mortality among people with diagnosed diabetes has made cancer the leading contributor to their death rates (Pearson-Stuttard, Bennett, et al., 2021). At the global level, an estimated 5.7% of incident cancers in 2012 were attributable to the combined effects of diabetes and high body mass index (BMI) (Pearson-Stuttard et al., 2018). These figures indicate that the three disease groups are not merely coincident in ageing populations but overlap in ways that affect prevention, diagnosis and treatment.</w:t>
      </w:r>
    </w:p>
    <w:p w14:paraId="358C2F15" w14:textId="77777777" w:rsidR="007A56F4" w:rsidRDefault="00000000">
      <w:pPr>
        <w:jc w:val="both"/>
      </w:pPr>
      <w:r>
        <w:t xml:space="preserve">The conceptual basis for connecting them rests on the dual role of the immune system and on the metabolic regulation of cell growth. The cancer immunoediting framework describes how immunity can eliminate transformed cells, hold them in equilibrium, or select for variants that escape control (Schreiber et al., 2011). Autoimmunity represents a failure of tolerance to self-antigens, and many of the regulatory molecules that preserve tolerance, including cytotoxic T-lymphocyte-associated protein 4 (CTLA-4) and programmed cell death protein 1 (PD-1), also restrain anti-tumour responses (Ansari et al., 2003; Perdigoto et al., 2022; Ueda et al., 2003). Chronic inflammation, which accompanies both autoimmune disease and type 2 diabetes </w:t>
      </w:r>
      <w:r>
        <w:lastRenderedPageBreak/>
        <w:t>(T2D), can foster tumour initiation and progression (Coussens &amp; Werb, 2002; Donath &amp; Shoelson, 2011; Hanahan, 2022). Insulin and the insulin-like growth factor (IGF) system couple systemic metabolism to cellular proliferation, providing a plausible route from hyperinsulinaemic states to neoplasia (Belfiore et al., 2009; Pollak, 2012).</w:t>
      </w:r>
    </w:p>
    <w:p w14:paraId="5DF70CEC" w14:textId="77777777" w:rsidR="007A56F4" w:rsidRDefault="00000000">
      <w:pPr>
        <w:jc w:val="both"/>
      </w:pPr>
      <w:r>
        <w:t>The empirical literature on these connections is extensive but fragmented. The joint consensus report of the American Diabetes Association and the American Cancer Society summarised the association between diabetes and cancer incidence and prognosis, the shared risk factors, the candidate biological links and the possible effects of glucose-lowering treatment (Giovannucci et al., 2010). Subsequent umbrella reviews questioned how many site-specific associations are credible once small-study effects, excess significance and heterogeneity are considered (Pearson-Stuttard, Papadimitriou, et al., 2021; Tsilidis et al., 2015). A separate literature has documented the excess risk of lymphoma and some solid tumours in systemic autoimmune disease (Bernatsky et al., 2013; Zintzaras et al., 2005), and another has characterised diabetes induced by immune checkpoint inhibitors (ICIs) (Stamatouli et al., 2018; Wu et al., 2023). Reviews of cancer therapies and diabetes have focused on the endocrine management of treatment-induced hyperglycaemia (Shariff et al., 2019), whereas reviews of ICIs in autoimmune disease have focused on flare and toxicity (Tison et al., 2022).</w:t>
      </w:r>
    </w:p>
    <w:p w14:paraId="69B7A0D5" w14:textId="77777777" w:rsidR="007A56F4" w:rsidRDefault="00000000">
      <w:pPr>
        <w:jc w:val="both"/>
      </w:pPr>
      <w:r>
        <w:t>What remains inadequately addressed is a critical synthesis that treats cancer, autoimmunity and diabetes as a single system of interacting risks, examines the direction of each association, and grades the causal credibility of the claims made in each field. Existing syntheses rarely compare the forms of diabetes that arise through different routes, namely the metabolic route of T2D, the autoimmune route of type 1 diabetes (T1D), the destructive route of pancreatogenic diabetes, and the iatrogenic immune route of checkpoint inhibitor-associated diabetes. They also seldom set observational enthusiasm for particular drugs against the results of randomised trials and designs that avoid time-related bias. This review addresses those deficiencies.</w:t>
      </w:r>
    </w:p>
    <w:p w14:paraId="44A2092F" w14:textId="77777777" w:rsidR="007A56F4" w:rsidRDefault="00000000">
      <w:pPr>
        <w:pStyle w:val="Heading2"/>
      </w:pPr>
      <w:r>
        <w:t>1.1 Scope, Research Gap and Objectives</w:t>
      </w:r>
    </w:p>
    <w:p w14:paraId="174728F1" w14:textId="77777777" w:rsidR="007A56F4" w:rsidRDefault="00000000">
      <w:pPr>
        <w:jc w:val="both"/>
      </w:pPr>
      <w:r>
        <w:t xml:space="preserve">The review concerns human disease in adults and children, with experimental studies included only where they clarify mechanisms relevant to human observations. It covers four directions of association: diabetes as a determinant of cancer risk and outcome; autoimmune disease, including T1D, as a determinant of cancer risk; cancer as a cause of autoimmunity and of diabetes; and cancer therapy, particularly ICI therapy, as a cause of autoimmune diabetes. It </w:t>
      </w:r>
      <w:r>
        <w:lastRenderedPageBreak/>
        <w:t>also considers drugs used for diabetes and autoimmune disease where these have been proposed to modify cancer risk. Gestational diabetes, monogenic diabetes, cancer-related infections, organ transplantation, and the detailed clinical management of hyperglycaemia during chemotherapy lie outside the scope.</w:t>
      </w:r>
    </w:p>
    <w:p w14:paraId="1FFA695D" w14:textId="77777777" w:rsidR="007A56F4" w:rsidRDefault="00000000">
      <w:pPr>
        <w:jc w:val="both"/>
      </w:pPr>
      <w:r>
        <w:t>The specific gap addressed is the absence of an integrative and critically graded account that distinguishes established, probable and speculative links across the three disease groups and that explains why findings conflict. The objectives are to define the conceptual boundaries of the relevant diabetes phenotypes and immune mechanisms, to appraise the epidemiological and genetic evidence linking T2D and cancer, to evaluate the evidence connecting T1D and other autoimmune diseases with cancer, to examine cancer as a trigger of autoimmunity and diabetes, to analyse checkpoint inhibitor-associated diabetes as a model of the tolerance and immunity trade-off, to assess the pharmacological evidence at these intersections, and to set out prioritised directions for research. The intended contribution is a differentiated framework that can guide clinical interpretation and study design, rather than a claim that a single mechanism unites the three conditions.</w:t>
      </w:r>
    </w:p>
    <w:p w14:paraId="64A8D705" w14:textId="77777777" w:rsidR="007A56F4" w:rsidRDefault="00000000">
      <w:pPr>
        <w:pStyle w:val="Heading1"/>
      </w:pPr>
      <w:r>
        <w:t>2. Methods for Literature Selection</w:t>
      </w:r>
    </w:p>
    <w:p w14:paraId="3C4DCA89" w14:textId="77777777" w:rsidR="007A56F4" w:rsidRDefault="00000000">
      <w:pPr>
        <w:pStyle w:val="Heading2"/>
      </w:pPr>
      <w:r>
        <w:t>2.1 Review Design and Rationale</w:t>
      </w:r>
    </w:p>
    <w:p w14:paraId="0F5FBCF1" w14:textId="77777777" w:rsidR="007A56F4" w:rsidRDefault="00000000">
      <w:pPr>
        <w:jc w:val="both"/>
      </w:pPr>
      <w:r>
        <w:t>A critical narrative review was selected because the question spans several clinical disciplines, study designs and mechanistic levels that cannot be pooled meaningfully. The relevant evidence ranges from population registers and genetic instrumental variable analyses to randomised trials, pharmacovigilance series and experimental models, and the outcomes differ in definition across fields. A systematic review with meta-analysis would require a narrow and homogeneous question, whereas the present aim was to compare the credibility of claims across heterogeneous fields and to explain the reasons for disagreement. Narrative synthesis is appropriate for such interpretive and integrative purposes, provided that the search and reasoning are made transparent (Greenhalgh et al., 2018). The conduct and reporting of the review were guided by the items of the Scale for the Assessment of Narrative Review Articles, which concern the justification and aims of the review, the description of the literature search, referencing, and the presentation of evidence levels and relevant end-point data (Baethge et al., 2019). This design does not remove the need for transparency or critical appraisal, and both were applied throughout.</w:t>
      </w:r>
    </w:p>
    <w:p w14:paraId="66E034DA" w14:textId="77777777" w:rsidR="007A56F4" w:rsidRDefault="00000000">
      <w:pPr>
        <w:pStyle w:val="Heading2"/>
      </w:pPr>
      <w:r>
        <w:lastRenderedPageBreak/>
        <w:t>2.2 Information Sources</w:t>
      </w:r>
    </w:p>
    <w:p w14:paraId="42587E17" w14:textId="77777777" w:rsidR="007A56F4" w:rsidRDefault="00000000">
      <w:pPr>
        <w:jc w:val="both"/>
      </w:pPr>
      <w:r>
        <w:t>The literature was identified through PubMed, Europe PMC, Crossref, the Directory of Open Access Journals (DOAJ), Semantic Scholar and Google Scholar. Europe PMC was used to search both abstracts and openly available full texts. Crossref and PubMed records were used to confirm bibliographic metadata, Digital Object Identifiers (DOIs), and notices of correction, retraction or republication. Database searching was supplemented by backward citation searching of recent umbrella reviews, systematic reviews and consensus statements, forward citation searching of landmark studies, and related-article searching. Because the topic is not restricted to a particular geographical setting, regional indexes were not searched separately, but studies from Asian, European, North American and Australasian populations retrieved by the international sources were retained where relevant.</w:t>
      </w:r>
    </w:p>
    <w:p w14:paraId="57EA0B9A" w14:textId="77777777" w:rsidR="007A56F4" w:rsidRDefault="00000000">
      <w:pPr>
        <w:pStyle w:val="Heading2"/>
      </w:pPr>
      <w:r>
        <w:t>2.3 Search Strategy and Search Period</w:t>
      </w:r>
    </w:p>
    <w:p w14:paraId="48CBE537" w14:textId="77777777" w:rsidR="007A56F4" w:rsidRDefault="00000000">
      <w:pPr>
        <w:jc w:val="both"/>
      </w:pPr>
      <w:r>
        <w:t>The search combined three concept blocks, corresponding to diabetes, cancer and autoimmunity, with modifiers for mechanisms, treatments and study designs. Free-text terms were combined with controlled vocabulary where the source supported it. Representative strings included the following: ("diabetes mellitus" OR "type 2 diabetes" OR "type 1 diabetes" OR hyperinsulinaemia OR hyperinsulinemia OR "insulin resistance") AND (cancer OR neoplasm</w:t>
      </w:r>
      <w:r>
        <w:rPr>
          <w:i/>
        </w:rPr>
        <w:t xml:space="preserve"> OR malignan</w:t>
      </w:r>
      <w:r>
        <w:t xml:space="preserve"> OR carcinoma OR lymphoma) AND ("umbrella review" OR "meta-analysis" OR "Mendelian randomization" OR cohort); (autoimmun</w:t>
      </w:r>
      <w:r>
        <w:rPr>
          <w:i/>
        </w:rPr>
        <w:t xml:space="preserve"> OR "rheumatoid arthritis" OR "systemic lupus erythematosus" OR "Sjögren" OR "systemic sclerosis" OR dermatomyositis OR "inflammatory bowel disease") AND (cancer OR lymphoma OR malignan</w:t>
      </w:r>
      <w:r>
        <w:t>) AND (risk OR incidence OR "standardized incidence ratio"); ("immune checkpoint inhibitor</w:t>
      </w:r>
      <w:r>
        <w:rPr>
          <w:i/>
        </w:rPr>
        <w:t>" OR "anti-PD-1" OR "PD-L1" OR "CTLA-4" OR nivolumab OR pembrolizumab OR ipilimumab) AND (diabetes OR "diabetic ketoacidosis" OR "pre-existing autoimmune disease" OR "immune-related adverse event</w:t>
      </w:r>
      <w:r>
        <w:t>"); ("pancreatic cancer" OR "pancreatic ductal adenocarcinoma") AND ("new-onset diabetes" OR "type 3c diabetes" OR "pancreatogenic diabetes"); and (metformin OR pioglitazone OR "insulin glargine" OR "GLP-1 receptor agonist</w:t>
      </w:r>
      <w:r>
        <w:rPr>
          <w:i/>
        </w:rPr>
        <w:t>" OR "tumour necrosis factor inhibitor</w:t>
      </w:r>
      <w:r>
        <w:t>" OR tofacitinib OR teplizumab) AND (cancer OR malignan*) AND (trial OR "immortal time" OR cohort). Title-restricted variants were used in Europe PMC to improve precision, and the strings were adapted to the syntax of each source.</w:t>
      </w:r>
    </w:p>
    <w:p w14:paraId="512559C1" w14:textId="77777777" w:rsidR="007A56F4" w:rsidRDefault="00000000">
      <w:pPr>
        <w:jc w:val="both"/>
      </w:pPr>
      <w:r>
        <w:lastRenderedPageBreak/>
        <w:t>The search period extended from 1 January 2000 to 28 July 2026. The start date corresponds to the period in which large record-linkage cohorts of diabetes and autoimmune disease, the experimental definition of the PD-1 pathway in autoimmune diabetes, and the pharmacoepidemiology of glucose-lowering drugs and cancer emerged as the main sources of evidence. Earlier publications were eligible when they were foundational to a concept that remains in use.</w:t>
      </w:r>
    </w:p>
    <w:p w14:paraId="20F114BC" w14:textId="77777777" w:rsidR="007A56F4" w:rsidRDefault="00000000">
      <w:pPr>
        <w:pStyle w:val="Heading2"/>
      </w:pPr>
      <w:r>
        <w:t>2.4 Eligibility Criteria</w:t>
      </w:r>
    </w:p>
    <w:p w14:paraId="5BB53F0C" w14:textId="77777777" w:rsidR="007A56F4" w:rsidRDefault="00000000">
      <w:pPr>
        <w:jc w:val="both"/>
      </w:pPr>
      <w:r>
        <w:t>Eligible publications were peer-reviewed journal articles reporting original human studies, including cohort, case-control, Mendelian randomisation, randomised controlled and pharmacovigilance designs, together with systematic reviews, meta-analyses, umbrella reviews, consensus statements and diagnostic criteria. Experimental studies in animal models or human tissue were eligible when they addressed a mechanism linking at least two of the three disease groups. Narrative reviews were used to establish context but were not treated as primary evidence. Publications were required to concern diabetes, autoimmune disease or cancer in relation to at least one of the other two conditions, or a treatment used for one condition in relation to the risk of another. Exclusions comprised conference abstracts, preprints where a peer-reviewed version existed, case reports except where aggregated in systematic reviews, articles with unverifiable bibliographic details, and publications in languages other than English. Where an article had been retracted and republished with corrections, only the republished version was used.</w:t>
      </w:r>
    </w:p>
    <w:p w14:paraId="53408587" w14:textId="77777777" w:rsidR="007A56F4" w:rsidRDefault="00000000">
      <w:pPr>
        <w:pStyle w:val="Heading2"/>
      </w:pPr>
      <w:r>
        <w:t>2.5 Screening, Duplicate Handling and Study Selection</w:t>
      </w:r>
    </w:p>
    <w:p w14:paraId="6D4F6189" w14:textId="77777777" w:rsidR="007A56F4" w:rsidRDefault="00000000">
      <w:pPr>
        <w:jc w:val="both"/>
      </w:pPr>
      <w:r>
        <w:t>Titles and abstracts retrieved from each source were screened for relevance to the review questions, and potentially relevant records were assessed in full text or, where the full text was not openly accessible, through the complete abstract and structured metadata. Duplicates across sources were identified by DOI and PubMed identifier and, where these were absent, by comparison of title, first author and year. Records whose bibliographic identity could not be confirmed against an authoritative registry were not used. Selection favoured the most informative and methodologically robust study for each question, larger and more recent evidence syntheses over older ones where they superseded them, and studies reporting null or contradictory results where these tested a prevailing interpretation. No record counts are reported because the selection was interpretive rather than exhaustive, and a flow diagram would imply a systematic process that was not undertaken.</w:t>
      </w:r>
    </w:p>
    <w:p w14:paraId="195DA847" w14:textId="77777777" w:rsidR="007A56F4" w:rsidRDefault="00000000">
      <w:pPr>
        <w:pStyle w:val="Heading2"/>
      </w:pPr>
      <w:r>
        <w:lastRenderedPageBreak/>
        <w:t>2.6 Critical Appraisal and Evidence Synthesis</w:t>
      </w:r>
    </w:p>
    <w:p w14:paraId="390D67A9" w14:textId="77777777" w:rsidR="007A56F4" w:rsidRDefault="00000000">
      <w:pPr>
        <w:jc w:val="both"/>
      </w:pPr>
      <w:r>
        <w:t>Appraisal considered design, population size and representativeness, the handling of confounding by adiposity, smoking and socioeconomic position, the possibility of reverse causation and detection bias, time-related biases in drug studies, heterogeneity across studies, replication in independent populations, and consistency with experimental evidence. Mendelian randomisation studies were assessed for instrument strength and for sensitivity analyses addressing pleiotropy. Pharmacovigilance series were interpreted as signals of reporting rather than estimates of incidence. Formal risk-of-bias scores were not assigned. Themes were developed around the directions of association defined in Section 1.1 and refined as the evidence was read. Where findings conflicted, the synthesis sought explanations in differences of design, population, exposure definition and outcome ascertainment, and confidence in each conclusion was graded qualitatively as strong, moderate or limited.</w:t>
      </w:r>
    </w:p>
    <w:p w14:paraId="524E9D41" w14:textId="77777777" w:rsidR="007A56F4" w:rsidRDefault="00000000">
      <w:pPr>
        <w:pStyle w:val="Heading1"/>
      </w:pPr>
      <w:r>
        <w:t>3. Conceptual Foundations: Diabetes Phenotypes and the Tolerance and Immunity Trade-Off</w:t>
      </w:r>
    </w:p>
    <w:p w14:paraId="2CF39ECE" w14:textId="77777777" w:rsidR="007A56F4" w:rsidRDefault="00000000">
      <w:pPr>
        <w:pStyle w:val="Heading2"/>
      </w:pPr>
      <w:r>
        <w:t>3.1 Heterogeneity of Diabetes as an Exposure and an Outcome</w:t>
      </w:r>
    </w:p>
    <w:p w14:paraId="192016A9" w14:textId="77777777" w:rsidR="007A56F4" w:rsidRDefault="00000000">
      <w:pPr>
        <w:jc w:val="both"/>
      </w:pPr>
      <w:r>
        <w:t>Diabetes is a category defined by persistent hyperglycaemia rather than a single disease, and the forms relevant to this review arise through distinct mechanisms. T2D develops from impaired insulin sensitivity followed by inadequate compensatory insulin secretion, and it is usually accompanied by adiposity, hyperinsulinaemia and low-grade inflammation (Donath &amp; Shoelson, 2011; Hart et al., 2016). T1D results from autoimmune destruction of pancreatic beta cells and leads to dependence on exogenous insulin (Herold et al., 2019). Pancreatogenic or type 3c diabetes arises from diseases of the exocrine pancreas, among which chronic pancreatitis and pancreatic ductal adenocarcinoma (PDAC) are the most frequently identified causes (Hart et al., 2016). Checkpoint inhibitor-associated diabetes is a recently recognised form of insulin-deficient diabetes that follows ICI therapy and shares some, but not all, features of T1D (Quandt et al., 2020; Tsang et al., 2019).</w:t>
      </w:r>
    </w:p>
    <w:p w14:paraId="7F12125B" w14:textId="77777777" w:rsidR="007A56F4" w:rsidRDefault="00000000">
      <w:pPr>
        <w:jc w:val="both"/>
      </w:pPr>
      <w:r>
        <w:t xml:space="preserve">This heterogeneity matters for interpretation. When diabetes is treated as an exposure for cancer, the relevant biology differs between the hyperinsulinaemic state of T2D and the insulin deficiency of T1D, which is managed with exogenous insulin. When diabetes is treated as an outcome of cancer, it may reflect tumour-mediated beta-cell dysfunction, treatment-induced insulin resistance, or immune-mediated beta-cell destruction. Many </w:t>
      </w:r>
      <w:r>
        <w:lastRenderedPageBreak/>
        <w:t>epidemiological studies do not distinguish these forms, and some misclassification of recent-onset diabetes that is actually caused by occult cancer is inevitable (Pannala et al., 2009).</w:t>
      </w:r>
    </w:p>
    <w:p w14:paraId="73571967" w14:textId="77777777" w:rsidR="007A56F4" w:rsidRDefault="00000000">
      <w:pPr>
        <w:pStyle w:val="Heading2"/>
      </w:pPr>
      <w:r>
        <w:t>3.2 Immune Surveillance, Tolerance and Chronic Inflammation</w:t>
      </w:r>
    </w:p>
    <w:p w14:paraId="6F76776E" w14:textId="77777777" w:rsidR="007A56F4" w:rsidRDefault="00000000">
      <w:pPr>
        <w:jc w:val="both"/>
      </w:pPr>
      <w:r>
        <w:t xml:space="preserve">Three immunological principles organise the evidence. The first is immunoediting, in which host immunity both suppresses tumours and shapes their immunogenicity (Schreiber et al., 2011). The second is peripheral tolerance, maintained by inhibitory receptors such as CTLA-4 and PD-1. Common variants in the </w:t>
      </w:r>
      <w:r>
        <w:rPr>
          <w:i/>
        </w:rPr>
        <w:t>CTLA4</w:t>
      </w:r>
      <w:r>
        <w:t xml:space="preserve"> gene region confer susceptibility to Graves' disease, autoimmune hypothyroidism and T1D (Ueda et al., 2003), and blockade of PD-1 or its ligand programmed death-ligand 1 (PD-L1) rapidly precipitated diabetes in prediabetic non-obese diabetic (NOD) mice (Ansari et al., 2003). The third principle is that chronic inflammation, whether autoimmune or metabolic in origin, provides growth factors, reactive oxygen species and a permissive tissue environment for transformed cells (Coussens &amp; Werb, 2002; Hanahan, 2022).</w:t>
      </w:r>
    </w:p>
    <w:p w14:paraId="2ED0B045" w14:textId="77777777" w:rsidR="007A56F4" w:rsidRDefault="00000000">
      <w:pPr>
        <w:jc w:val="both"/>
      </w:pPr>
      <w:r>
        <w:t>These principles generate a trade-off. Immune activation that controls tumours can damage self-tissues, and immune restraint that protects self-tissues can permit tumour escape. The same trade-off appears clinically when ICIs cause autoimmune toxicity, when autoimmune disease is associated with lymphoproliferation, and when immunosuppressive therapy is suspected of increasing cancer risk. The value of the framework lies in organising observations, but it does not by itself establish that any particular epidemiological association is causal.</w:t>
      </w:r>
    </w:p>
    <w:p w14:paraId="170723E8" w14:textId="77777777" w:rsidR="007A56F4" w:rsidRDefault="00000000">
      <w:pPr>
        <w:pStyle w:val="Heading2"/>
      </w:pPr>
      <w:r>
        <w:t>3.3 Directions of Association</w:t>
      </w:r>
    </w:p>
    <w:p w14:paraId="07F930C9" w14:textId="77777777" w:rsidR="007A56F4" w:rsidRDefault="00000000">
      <w:pPr>
        <w:jc w:val="both"/>
      </w:pPr>
      <w:r>
        <w:t>Four directions of association can be distinguished, and their evidential status differs substantially. Diabetes, particularly T2D, may increase the risk of certain cancers through metabolic and inflammatory pathways. Autoimmune disease may increase or decrease the risk of particular cancers through chronic inflammation, immune dysregulation, shared genetic susceptibility and treatment. Cancer may initiate autoimmunity by expressing mutated or ectopic antigens, and may cause diabetes by destroying or impairing islets. Cancer therapy, especially ICI therapy, may cause autoimmune diabetes by removing tolerance checkpoints. Table 1 summarises the conceptual distinctions among the diabetes phenotypes that recur throughout the review.</w:t>
      </w:r>
    </w:p>
    <w:p w14:paraId="7DD136A7" w14:textId="77777777" w:rsidR="007A56F4" w:rsidRDefault="00000000">
      <w:pPr>
        <w:jc w:val="both"/>
      </w:pPr>
      <w:r>
        <w:lastRenderedPageBreak/>
        <w:t>Table 1 contrasts the forms of diabetes that appear at the intersections examined here. The principal implication is that ‘diabetes’ should not be analysed as a single exposure or outcome when the question concerns cancer or autoimmunity, because the four phenotypes differ in insulin status, immune involvement and temporal relation to cancer. The table also shows that the evidence base for checkpoint inhibitor-associated diabetes consists largely of case series and pooled case reports, so its features are described with less certainty than those of T1D or T2D.</w:t>
      </w:r>
    </w:p>
    <w:p w14:paraId="5E2AA83E" w14:textId="77777777" w:rsidR="007A56F4" w:rsidRDefault="00000000">
      <w:pPr>
        <w:keepNext/>
        <w:spacing w:before="120"/>
      </w:pPr>
      <w:r>
        <w:rPr>
          <w:b/>
          <w:sz w:val="21"/>
        </w:rPr>
        <w:t xml:space="preserve">Table 1. </w:t>
      </w:r>
      <w:r>
        <w:rPr>
          <w:sz w:val="21"/>
        </w:rPr>
        <w:t>Conceptual distinctions among diabetes phenotypes relevant to cancer and autoimmunity</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7CA73382" w14:textId="77777777">
        <w:trPr>
          <w:tblHeader/>
          <w:jc w:val="center"/>
        </w:trPr>
        <w:tc>
          <w:tcPr>
            <w:tcW w:w="1361" w:type="dxa"/>
            <w:shd w:val="clear" w:color="auto" w:fill="E7E6E6"/>
          </w:tcPr>
          <w:p w14:paraId="25852ADE" w14:textId="77777777" w:rsidR="007A56F4" w:rsidRDefault="00000000">
            <w:pPr>
              <w:spacing w:after="0" w:line="240" w:lineRule="auto"/>
            </w:pPr>
            <w:r>
              <w:rPr>
                <w:b/>
                <w:sz w:val="17"/>
              </w:rPr>
              <w:t>Phenotype</w:t>
            </w:r>
          </w:p>
        </w:tc>
        <w:tc>
          <w:tcPr>
            <w:tcW w:w="1517" w:type="dxa"/>
            <w:shd w:val="clear" w:color="auto" w:fill="E7E6E6"/>
          </w:tcPr>
          <w:p w14:paraId="00CA400C" w14:textId="77777777" w:rsidR="007A56F4" w:rsidRDefault="00000000">
            <w:pPr>
              <w:spacing w:after="0" w:line="240" w:lineRule="auto"/>
            </w:pPr>
            <w:r>
              <w:rPr>
                <w:b/>
                <w:sz w:val="17"/>
              </w:rPr>
              <w:t>Principal mechanism</w:t>
            </w:r>
          </w:p>
        </w:tc>
        <w:tc>
          <w:tcPr>
            <w:tcW w:w="1517" w:type="dxa"/>
            <w:shd w:val="clear" w:color="auto" w:fill="E7E6E6"/>
          </w:tcPr>
          <w:p w14:paraId="6A07C514" w14:textId="77777777" w:rsidR="007A56F4" w:rsidRDefault="00000000">
            <w:pPr>
              <w:spacing w:after="0" w:line="240" w:lineRule="auto"/>
            </w:pPr>
            <w:r>
              <w:rPr>
                <w:b/>
                <w:sz w:val="17"/>
              </w:rPr>
              <w:t>Insulin status</w:t>
            </w:r>
          </w:p>
        </w:tc>
        <w:tc>
          <w:tcPr>
            <w:tcW w:w="1517" w:type="dxa"/>
            <w:shd w:val="clear" w:color="auto" w:fill="E7E6E6"/>
          </w:tcPr>
          <w:p w14:paraId="47207D5D" w14:textId="77777777" w:rsidR="007A56F4" w:rsidRDefault="00000000">
            <w:pPr>
              <w:spacing w:after="0" w:line="240" w:lineRule="auto"/>
            </w:pPr>
            <w:r>
              <w:rPr>
                <w:b/>
                <w:sz w:val="17"/>
              </w:rPr>
              <w:t>Relation to autoimmunity</w:t>
            </w:r>
          </w:p>
        </w:tc>
        <w:tc>
          <w:tcPr>
            <w:tcW w:w="1517" w:type="dxa"/>
            <w:shd w:val="clear" w:color="auto" w:fill="E7E6E6"/>
          </w:tcPr>
          <w:p w14:paraId="447629B5" w14:textId="77777777" w:rsidR="007A56F4" w:rsidRDefault="00000000">
            <w:pPr>
              <w:spacing w:after="0" w:line="240" w:lineRule="auto"/>
            </w:pPr>
            <w:r>
              <w:rPr>
                <w:b/>
                <w:sz w:val="17"/>
              </w:rPr>
              <w:t>Relation to cancer</w:t>
            </w:r>
          </w:p>
        </w:tc>
        <w:tc>
          <w:tcPr>
            <w:tcW w:w="1644" w:type="dxa"/>
            <w:shd w:val="clear" w:color="auto" w:fill="E7E6E6"/>
          </w:tcPr>
          <w:p w14:paraId="042AE531" w14:textId="77777777" w:rsidR="007A56F4" w:rsidRDefault="00000000">
            <w:pPr>
              <w:spacing w:after="0" w:line="240" w:lineRule="auto"/>
            </w:pPr>
            <w:r>
              <w:rPr>
                <w:b/>
                <w:sz w:val="17"/>
              </w:rPr>
              <w:t>Supporting references</w:t>
            </w:r>
          </w:p>
        </w:tc>
      </w:tr>
      <w:tr w:rsidR="007A56F4" w14:paraId="1A44AD07" w14:textId="77777777">
        <w:trPr>
          <w:jc w:val="center"/>
        </w:trPr>
        <w:tc>
          <w:tcPr>
            <w:tcW w:w="1361" w:type="dxa"/>
          </w:tcPr>
          <w:p w14:paraId="356FF099" w14:textId="77777777" w:rsidR="007A56F4" w:rsidRDefault="00000000">
            <w:pPr>
              <w:spacing w:after="0" w:line="240" w:lineRule="auto"/>
            </w:pPr>
            <w:r>
              <w:rPr>
                <w:sz w:val="17"/>
              </w:rPr>
              <w:t>Type 2 diabetes</w:t>
            </w:r>
          </w:p>
        </w:tc>
        <w:tc>
          <w:tcPr>
            <w:tcW w:w="1517" w:type="dxa"/>
          </w:tcPr>
          <w:p w14:paraId="226DE67D" w14:textId="77777777" w:rsidR="007A56F4" w:rsidRDefault="00000000">
            <w:pPr>
              <w:spacing w:after="0" w:line="240" w:lineRule="auto"/>
            </w:pPr>
            <w:r>
              <w:rPr>
                <w:sz w:val="17"/>
              </w:rPr>
              <w:t>Insulin resistance with inadequate compensatory secretion; adiposity-related low-grade inflammation</w:t>
            </w:r>
          </w:p>
        </w:tc>
        <w:tc>
          <w:tcPr>
            <w:tcW w:w="1517" w:type="dxa"/>
          </w:tcPr>
          <w:p w14:paraId="6D301922" w14:textId="77777777" w:rsidR="007A56F4" w:rsidRDefault="00000000">
            <w:pPr>
              <w:spacing w:after="0" w:line="240" w:lineRule="auto"/>
            </w:pPr>
            <w:r>
              <w:rPr>
                <w:sz w:val="17"/>
              </w:rPr>
              <w:t>Hyperinsulinaemia in early and intermediate stages</w:t>
            </w:r>
          </w:p>
        </w:tc>
        <w:tc>
          <w:tcPr>
            <w:tcW w:w="1517" w:type="dxa"/>
          </w:tcPr>
          <w:p w14:paraId="69411161" w14:textId="77777777" w:rsidR="007A56F4" w:rsidRDefault="00000000">
            <w:pPr>
              <w:spacing w:after="0" w:line="240" w:lineRule="auto"/>
            </w:pPr>
            <w:r>
              <w:rPr>
                <w:sz w:val="17"/>
              </w:rPr>
              <w:t>Not autoimmune; innate inflammatory activation in adipose tissue, liver and islets</w:t>
            </w:r>
          </w:p>
        </w:tc>
        <w:tc>
          <w:tcPr>
            <w:tcW w:w="1517" w:type="dxa"/>
          </w:tcPr>
          <w:p w14:paraId="0044A2F7" w14:textId="77777777" w:rsidR="007A56F4" w:rsidRDefault="00000000">
            <w:pPr>
              <w:spacing w:after="0" w:line="240" w:lineRule="auto"/>
            </w:pPr>
            <w:r>
              <w:rPr>
                <w:sz w:val="17"/>
              </w:rPr>
              <w:t>Associated with higher risk of several cancers, most robustly liver, pancreas and endometrium</w:t>
            </w:r>
          </w:p>
        </w:tc>
        <w:tc>
          <w:tcPr>
            <w:tcW w:w="1644" w:type="dxa"/>
          </w:tcPr>
          <w:p w14:paraId="642C8058" w14:textId="77777777" w:rsidR="007A56F4" w:rsidRDefault="00000000">
            <w:pPr>
              <w:spacing w:after="0" w:line="240" w:lineRule="auto"/>
            </w:pPr>
            <w:r>
              <w:rPr>
                <w:sz w:val="17"/>
              </w:rPr>
              <w:t>Donath &amp; Shoelson (2011); Hart et al. (2016); Ling et al. (2020); Zhang et al. (2021)</w:t>
            </w:r>
          </w:p>
        </w:tc>
      </w:tr>
      <w:tr w:rsidR="007A56F4" w14:paraId="43345DCB" w14:textId="77777777">
        <w:trPr>
          <w:jc w:val="center"/>
        </w:trPr>
        <w:tc>
          <w:tcPr>
            <w:tcW w:w="1361" w:type="dxa"/>
          </w:tcPr>
          <w:p w14:paraId="57AEAD79" w14:textId="77777777" w:rsidR="007A56F4" w:rsidRDefault="00000000">
            <w:pPr>
              <w:spacing w:after="0" w:line="240" w:lineRule="auto"/>
            </w:pPr>
            <w:r>
              <w:rPr>
                <w:sz w:val="17"/>
              </w:rPr>
              <w:t>Type 1 diabetes</w:t>
            </w:r>
          </w:p>
        </w:tc>
        <w:tc>
          <w:tcPr>
            <w:tcW w:w="1517" w:type="dxa"/>
          </w:tcPr>
          <w:p w14:paraId="6341E32E" w14:textId="77777777" w:rsidR="007A56F4" w:rsidRDefault="00000000">
            <w:pPr>
              <w:spacing w:after="0" w:line="240" w:lineRule="auto"/>
            </w:pPr>
            <w:r>
              <w:rPr>
                <w:sz w:val="17"/>
              </w:rPr>
              <w:t>T-cell-mediated destruction of beta cells</w:t>
            </w:r>
          </w:p>
        </w:tc>
        <w:tc>
          <w:tcPr>
            <w:tcW w:w="1517" w:type="dxa"/>
          </w:tcPr>
          <w:p w14:paraId="71B54EF3" w14:textId="77777777" w:rsidR="007A56F4" w:rsidRDefault="00000000">
            <w:pPr>
              <w:spacing w:after="0" w:line="240" w:lineRule="auto"/>
            </w:pPr>
            <w:r>
              <w:rPr>
                <w:sz w:val="17"/>
              </w:rPr>
              <w:t>Absolute deficiency; systemic exogenous insulin</w:t>
            </w:r>
          </w:p>
        </w:tc>
        <w:tc>
          <w:tcPr>
            <w:tcW w:w="1517" w:type="dxa"/>
          </w:tcPr>
          <w:p w14:paraId="53A2A80D" w14:textId="77777777" w:rsidR="007A56F4" w:rsidRDefault="00000000">
            <w:pPr>
              <w:spacing w:after="0" w:line="240" w:lineRule="auto"/>
            </w:pPr>
            <w:r>
              <w:rPr>
                <w:sz w:val="17"/>
              </w:rPr>
              <w:t>Autoimmune; frequent co-occurrence with thyroid, coeliac and adrenal autoimmunity</w:t>
            </w:r>
          </w:p>
        </w:tc>
        <w:tc>
          <w:tcPr>
            <w:tcW w:w="1517" w:type="dxa"/>
          </w:tcPr>
          <w:p w14:paraId="2215EA98" w14:textId="77777777" w:rsidR="007A56F4" w:rsidRDefault="00000000">
            <w:pPr>
              <w:spacing w:after="0" w:line="240" w:lineRule="auto"/>
            </w:pPr>
            <w:r>
              <w:rPr>
                <w:sz w:val="17"/>
              </w:rPr>
              <w:t>Modest, site-specific and inconsistent associations</w:t>
            </w:r>
          </w:p>
        </w:tc>
        <w:tc>
          <w:tcPr>
            <w:tcW w:w="1644" w:type="dxa"/>
          </w:tcPr>
          <w:p w14:paraId="3DD583F7" w14:textId="77777777" w:rsidR="007A56F4" w:rsidRDefault="00000000">
            <w:pPr>
              <w:spacing w:after="0" w:line="240" w:lineRule="auto"/>
            </w:pPr>
            <w:r>
              <w:rPr>
                <w:sz w:val="17"/>
              </w:rPr>
              <w:t>Carstensen et al. (2016); Conrad et al. (2023); Herold et al. (2019)</w:t>
            </w:r>
          </w:p>
        </w:tc>
      </w:tr>
      <w:tr w:rsidR="007A56F4" w14:paraId="159972D6" w14:textId="77777777">
        <w:trPr>
          <w:jc w:val="center"/>
        </w:trPr>
        <w:tc>
          <w:tcPr>
            <w:tcW w:w="1361" w:type="dxa"/>
          </w:tcPr>
          <w:p w14:paraId="4AFEFE07" w14:textId="77777777" w:rsidR="007A56F4" w:rsidRDefault="00000000">
            <w:pPr>
              <w:spacing w:after="0" w:line="240" w:lineRule="auto"/>
            </w:pPr>
            <w:r>
              <w:rPr>
                <w:sz w:val="17"/>
              </w:rPr>
              <w:t>Type 3c (pancreatogenic) diabetes</w:t>
            </w:r>
          </w:p>
        </w:tc>
        <w:tc>
          <w:tcPr>
            <w:tcW w:w="1517" w:type="dxa"/>
          </w:tcPr>
          <w:p w14:paraId="33641EBF" w14:textId="77777777" w:rsidR="007A56F4" w:rsidRDefault="00000000">
            <w:pPr>
              <w:spacing w:after="0" w:line="240" w:lineRule="auto"/>
            </w:pPr>
            <w:r>
              <w:rPr>
                <w:sz w:val="17"/>
              </w:rPr>
              <w:t>Exocrine pancreatic disease, including chronic pancreatitis and PDAC</w:t>
            </w:r>
          </w:p>
        </w:tc>
        <w:tc>
          <w:tcPr>
            <w:tcW w:w="1517" w:type="dxa"/>
          </w:tcPr>
          <w:p w14:paraId="22FC54D0" w14:textId="77777777" w:rsidR="007A56F4" w:rsidRDefault="00000000">
            <w:pPr>
              <w:spacing w:after="0" w:line="240" w:lineRule="auto"/>
            </w:pPr>
            <w:r>
              <w:rPr>
                <w:sz w:val="17"/>
              </w:rPr>
              <w:t>Variable deficiency</w:t>
            </w:r>
          </w:p>
        </w:tc>
        <w:tc>
          <w:tcPr>
            <w:tcW w:w="1517" w:type="dxa"/>
          </w:tcPr>
          <w:p w14:paraId="454E77B8" w14:textId="77777777" w:rsidR="007A56F4" w:rsidRDefault="00000000">
            <w:pPr>
              <w:spacing w:after="0" w:line="240" w:lineRule="auto"/>
            </w:pPr>
            <w:r>
              <w:rPr>
                <w:sz w:val="17"/>
              </w:rPr>
              <w:t>Not primarily autoimmune</w:t>
            </w:r>
          </w:p>
        </w:tc>
        <w:tc>
          <w:tcPr>
            <w:tcW w:w="1517" w:type="dxa"/>
          </w:tcPr>
          <w:p w14:paraId="6E53A49C" w14:textId="77777777" w:rsidR="007A56F4" w:rsidRDefault="00000000">
            <w:pPr>
              <w:spacing w:after="0" w:line="240" w:lineRule="auto"/>
            </w:pPr>
            <w:r>
              <w:rPr>
                <w:sz w:val="17"/>
              </w:rPr>
              <w:t>May be an early manifestation of PDAC</w:t>
            </w:r>
          </w:p>
        </w:tc>
        <w:tc>
          <w:tcPr>
            <w:tcW w:w="1644" w:type="dxa"/>
          </w:tcPr>
          <w:p w14:paraId="19DEDB8D" w14:textId="77777777" w:rsidR="007A56F4" w:rsidRDefault="00000000">
            <w:pPr>
              <w:spacing w:after="0" w:line="240" w:lineRule="auto"/>
            </w:pPr>
            <w:r>
              <w:rPr>
                <w:sz w:val="17"/>
              </w:rPr>
              <w:t>Hart et al. (2016); Pannala et al. (2009)</w:t>
            </w:r>
          </w:p>
        </w:tc>
      </w:tr>
      <w:tr w:rsidR="007A56F4" w14:paraId="3AC0AAF6" w14:textId="77777777">
        <w:trPr>
          <w:jc w:val="center"/>
        </w:trPr>
        <w:tc>
          <w:tcPr>
            <w:tcW w:w="1361" w:type="dxa"/>
          </w:tcPr>
          <w:p w14:paraId="3AD74193" w14:textId="77777777" w:rsidR="007A56F4" w:rsidRDefault="00000000">
            <w:pPr>
              <w:spacing w:after="0" w:line="240" w:lineRule="auto"/>
            </w:pPr>
            <w:r>
              <w:rPr>
                <w:sz w:val="17"/>
              </w:rPr>
              <w:t>ICI-associated diabetes</w:t>
            </w:r>
          </w:p>
        </w:tc>
        <w:tc>
          <w:tcPr>
            <w:tcW w:w="1517" w:type="dxa"/>
          </w:tcPr>
          <w:p w14:paraId="6EFB8954" w14:textId="77777777" w:rsidR="007A56F4" w:rsidRDefault="00000000">
            <w:pPr>
              <w:spacing w:after="0" w:line="240" w:lineRule="auto"/>
            </w:pPr>
            <w:r>
              <w:rPr>
                <w:sz w:val="17"/>
              </w:rPr>
              <w:t>Loss of PD-1/PD-L1-dependent islet tolerance after ICI therapy</w:t>
            </w:r>
          </w:p>
        </w:tc>
        <w:tc>
          <w:tcPr>
            <w:tcW w:w="1517" w:type="dxa"/>
          </w:tcPr>
          <w:p w14:paraId="42D04F0E" w14:textId="77777777" w:rsidR="007A56F4" w:rsidRDefault="00000000">
            <w:pPr>
              <w:spacing w:after="0" w:line="240" w:lineRule="auto"/>
            </w:pPr>
            <w:r>
              <w:rPr>
                <w:sz w:val="17"/>
              </w:rPr>
              <w:t>Abrupt, usually permanent deficiency</w:t>
            </w:r>
          </w:p>
        </w:tc>
        <w:tc>
          <w:tcPr>
            <w:tcW w:w="1517" w:type="dxa"/>
          </w:tcPr>
          <w:p w14:paraId="4C75A985" w14:textId="77777777" w:rsidR="007A56F4" w:rsidRDefault="00000000">
            <w:pPr>
              <w:spacing w:after="0" w:line="240" w:lineRule="auto"/>
            </w:pPr>
            <w:r>
              <w:rPr>
                <w:sz w:val="17"/>
              </w:rPr>
              <w:t>Autoimmune; autoantibodies in a minority</w:t>
            </w:r>
          </w:p>
        </w:tc>
        <w:tc>
          <w:tcPr>
            <w:tcW w:w="1517" w:type="dxa"/>
          </w:tcPr>
          <w:p w14:paraId="58F54090" w14:textId="77777777" w:rsidR="007A56F4" w:rsidRDefault="00000000">
            <w:pPr>
              <w:spacing w:after="0" w:line="240" w:lineRule="auto"/>
            </w:pPr>
            <w:r>
              <w:rPr>
                <w:sz w:val="17"/>
              </w:rPr>
              <w:t>Arises as a complication of cancer treatment</w:t>
            </w:r>
          </w:p>
        </w:tc>
        <w:tc>
          <w:tcPr>
            <w:tcW w:w="1644" w:type="dxa"/>
          </w:tcPr>
          <w:p w14:paraId="53BAA7B5" w14:textId="77777777" w:rsidR="007A56F4" w:rsidRDefault="00000000">
            <w:pPr>
              <w:spacing w:after="0" w:line="240" w:lineRule="auto"/>
            </w:pPr>
            <w:r>
              <w:rPr>
                <w:sz w:val="17"/>
              </w:rPr>
              <w:t>Quandt et al. (2020); Stamatouli et al. (2018); Wu et al. (2023)</w:t>
            </w:r>
          </w:p>
        </w:tc>
      </w:tr>
    </w:tbl>
    <w:p w14:paraId="0C6B81E7" w14:textId="77777777" w:rsidR="007A56F4" w:rsidRDefault="00000000">
      <w:pPr>
        <w:spacing w:after="240" w:line="240" w:lineRule="auto"/>
      </w:pPr>
      <w:r>
        <w:rPr>
          <w:i/>
          <w:sz w:val="18"/>
        </w:rPr>
        <w:t xml:space="preserve">Note. </w:t>
      </w:r>
      <w:r>
        <w:rPr>
          <w:sz w:val="18"/>
        </w:rPr>
        <w:t>ICI, immune checkpoint inhibitor; PD-1, programmed cell death protein 1; PD-L1, programmed death-ligand 1; PDAC, pancreatic ductal adenocarcinoma. Descriptions summarise predominant features and do not capture all individual presentations.</w:t>
      </w:r>
    </w:p>
    <w:p w14:paraId="136328ED" w14:textId="77777777" w:rsidR="007A56F4" w:rsidRDefault="00000000">
      <w:pPr>
        <w:pStyle w:val="Heading1"/>
      </w:pPr>
      <w:r>
        <w:t>4. Type 2 Diabetes and Cancer: From Association to Causal Inference</w:t>
      </w:r>
    </w:p>
    <w:p w14:paraId="5E25D3CD" w14:textId="77777777" w:rsidR="007A56F4" w:rsidRDefault="00000000">
      <w:pPr>
        <w:pStyle w:val="Heading2"/>
      </w:pPr>
      <w:r>
        <w:t>4.1 Observational Evidence and Its Credibility</w:t>
      </w:r>
    </w:p>
    <w:p w14:paraId="6C3B5927" w14:textId="77777777" w:rsidR="007A56F4" w:rsidRDefault="00000000">
      <w:pPr>
        <w:jc w:val="both"/>
      </w:pPr>
      <w:r>
        <w:t xml:space="preserve">The observational association between T2D and cancer is among the most replicated findings in chronic disease epidemiology, but its breadth has been overstated. An umbrella review of 27 meta-analyses found that 20 reported statistically significant increases in cancer risk, yet only seven combined more than 1000 cases, strong statistical support and no evidence of small-study effects or excess significance (Tsilidis et al., 2015). Only for cancers of the breast, colorectum and endometrium, and intrahepatic cholangiocarcinoma, did the prediction intervals exclude the null. A later umbrella review that combined observational meta-analyses with Mendelian randomisation studies identified robust observational evidence for colorectal, </w:t>
      </w:r>
      <w:r>
        <w:lastRenderedPageBreak/>
        <w:t>hepatocellular, gallbladder, breast, endometrial and pancreatic cancers (Pearson-Stuttard, Papadimitriou, et al., 2021).</w:t>
      </w:r>
    </w:p>
    <w:p w14:paraId="3BD82CC5" w14:textId="77777777" w:rsidR="007A56F4" w:rsidRDefault="00000000">
      <w:pPr>
        <w:jc w:val="both"/>
      </w:pPr>
      <w:r>
        <w:t>A meta-analysis of 151 cohorts comprising more than 32 million people addressed the central objection that these associations reflect confounding by adiposity, physical inactivity and diet (Ling et al., 2020). Relative risks ranged from 0.83 for prostate cancer to 2.23 for liver cancer. In bias analyses that assumed an unmeasured confounder associated with both T2D and cancer by a relative risk of 1.5, nearly all studies retained a true effect larger than a relative risk of 1.1 for liver, pancreatic and endometrial cancer, whereas fewer than half did so for most other sites. The strongest inference from this work is that the diabetes and cancer association is not uniform across organs. It is most credible for tissues directly exposed to portal insulin or closely linked to insulin-sensitive hormonal pathways, and much less secure elsewhere. The inverse association with prostate cancer, which is also observed in T1D (Carstensen et al., 2016), has not been explained satisfactorily.</w:t>
      </w:r>
    </w:p>
    <w:p w14:paraId="6F3A684A" w14:textId="77777777" w:rsidR="007A56F4" w:rsidRDefault="00000000">
      <w:pPr>
        <w:jc w:val="both"/>
      </w:pPr>
      <w:r>
        <w:t>Sex modifies the association. A meta-analysis of 121 cohorts including more than 19 million individuals and one million events estimated a pooled relative risk for all-site cancer of 1.27 in women and 1.19 in men with diabetes, with a significantly greater excess in women for oral, stomach and kidney cancer and for leukaemia (Ohkuma et al., 2018). Whether this difference reflects longer or more severe metabolic exposure before diagnosis in women, differences in treatment, or residual confounding is unresolved.</w:t>
      </w:r>
    </w:p>
    <w:p w14:paraId="2EBFE036" w14:textId="77777777" w:rsidR="007A56F4" w:rsidRDefault="00000000">
      <w:pPr>
        <w:jc w:val="both"/>
      </w:pPr>
      <w:r>
        <w:t>Several biases complicate interpretation. Reverse causation is important for pancreatic and possibly hepatic cancer, because the tumour itself can impair glucose regulation before diagnosis (Pannala et al., 2009). Detection bias arises because people with diabetes undergo more frequent investigation. Confounding by adiposity is imperfectly controlled when BMI is used as a proxy for visceral fat. These considerations do not negate the association, but they explain why its magnitude varies across designs and why causal interpretation requires evidence of a different kind.</w:t>
      </w:r>
    </w:p>
    <w:p w14:paraId="12093EE1" w14:textId="77777777" w:rsidR="007A56F4" w:rsidRDefault="00000000">
      <w:pPr>
        <w:pStyle w:val="Heading2"/>
      </w:pPr>
      <w:r>
        <w:t>4.2 Mendelian Randomisation and the Insulin Hypothesis</w:t>
      </w:r>
    </w:p>
    <w:p w14:paraId="07BDE741" w14:textId="77777777" w:rsidR="007A56F4" w:rsidRDefault="00000000">
      <w:pPr>
        <w:jc w:val="both"/>
      </w:pPr>
      <w:r>
        <w:t xml:space="preserve">Mendelian randomisation uses genetic variants associated with an exposure as instruments that are, in principle, less susceptible to confounding and reverse causation. Its results for T2D and cancer are informative precisely because they diverge from the observational record. A two-sample analysis of overall cancer and 22 site-specific cancers found genetically predicted T2D to be associated with higher odds of pancreatic, kidney, uterine and cervical cancer and </w:t>
      </w:r>
      <w:r>
        <w:lastRenderedPageBreak/>
        <w:t>lower odds of oesophageal cancer and melanoma, with no association with overall cancer or 16 other sites (S. Yuan et al., 2020). Genetically predicted fasting insulin was positively associated with cancers of the uterus, kidney, pancreas and lung, whereas the evidence for fasting glucose was limited. In the Japan Public Health Center-based Prospective Study, a genetic instrument for T2D showed no clear association with total or site-specific cancer, including pancreatic, liver and colorectal cancer (Goto et al., 2020). A pancreatic cancer analysis found evidence of causal effects for BMI and genetically increased fasting insulin but not for T2D itself (Carreras-Torres et al., 2017).</w:t>
      </w:r>
    </w:p>
    <w:p w14:paraId="1B5D4DDB" w14:textId="77777777" w:rsidR="007A56F4" w:rsidRDefault="00000000">
      <w:pPr>
        <w:jc w:val="both"/>
      </w:pPr>
      <w:r>
        <w:t>Taken together, these studies suggest that the component of the diabetic phenotype most plausibly linked to cancer is hyperinsulinaemia, rather than hyperglycaemia or the diagnostic label of T2D (Pearson-Stuttard, Papadimitriou, et al., 2021). This interpretation is attractive because it aligns with experimental biology, but it has limitations. Genetic instruments for T2D capture both insulin resistance and beta-cell dysfunction, which have opposite effects on circulating insulin, and pooling them may dilute a real effect. Instruments for fasting insulin are relatively weak, and pleiotropy through adiposity is difficult to exclude. The null result in a Japanese population may reflect the greater contribution of beta-cell insufficiency to T2D in East Asian people, limited statistical power, or both. Mendelian randomisation estimates lifelong genetically influenced differences and may not reflect the effect of a diabetes diagnosis in mid-life. Confidence in a causal role for insulin is therefore moderate, whereas confidence in a causal role for hyperglycaemia is limited.</w:t>
      </w:r>
    </w:p>
    <w:p w14:paraId="65808899" w14:textId="77777777" w:rsidR="007A56F4" w:rsidRDefault="00000000">
      <w:pPr>
        <w:pStyle w:val="Heading2"/>
      </w:pPr>
      <w:r>
        <w:t>4.3 Biological Mechanisms</w:t>
      </w:r>
    </w:p>
    <w:p w14:paraId="0F053EB6" w14:textId="77777777" w:rsidR="007A56F4" w:rsidRDefault="00000000">
      <w:pPr>
        <w:jc w:val="both"/>
      </w:pPr>
      <w:r>
        <w:t>The most developed mechanistic account concerns the insulin receptor and the IGF system. The insulin receptor exists as two isoforms, and the A isoform, which binds IGF-II with high affinity, is often aberrantly expressed in cancer cells, increasing their responsiveness to insulin and IGF-II (Belfiore et al., 2009). Hybrid insulin and IGF-I receptors extend this responsiveness. Hyperinsulinaemia can also reduce hepatic production of IGF-binding proteins and sex hormone-binding globulin, increasing bioavailable IGF-I and sex steroids, which may be particularly relevant to endometrial and breast cancer (Giovannucci et al., 2010; Scully et al., 2021; Zhang et al., 2021). These pathways converge on phosphoinositide 3-kinase and protein kinase B signalling, which is itself a frequent target of oncogenic mutation (André et al., 2019; Pollak, 2012).</w:t>
      </w:r>
    </w:p>
    <w:p w14:paraId="57437986" w14:textId="77777777" w:rsidR="007A56F4" w:rsidRDefault="00000000">
      <w:pPr>
        <w:jc w:val="both"/>
      </w:pPr>
      <w:r>
        <w:lastRenderedPageBreak/>
        <w:t>A second account emphasises inflammation. Obesity and T2D are accompanied by altered cytokine and chemokine profiles, activation of macrophages in adipose tissue and liver, and islet inflammation (Donath &amp; Shoelson, 2011). Inflammatory mediators promote proliferation, angiogenesis and invasion in the tumour microenvironment (Coussens &amp; Werb, 2002). A third account concerns hyperglycaemia as a direct supply of substrate for the reprogrammed metabolism of tumour cells (Hanahan, 2022), but the weak genetic evidence for glucose (S. Yuan et al., 2020) suggests that this mechanism, although biologically plausible, is not a dominant determinant of cancer incidence at the population level.</w:t>
      </w:r>
    </w:p>
    <w:p w14:paraId="5299E65D" w14:textId="77777777" w:rsidR="007A56F4" w:rsidRDefault="00000000">
      <w:pPr>
        <w:jc w:val="both"/>
      </w:pPr>
      <w:r>
        <w:t>Clinical attempts to exploit the insulin and IGF axis have been instructive. Antibodies targeting the IGF-I receptor produced disappointing phase III results in unselected patients, and targeting this axis has had to be reconsidered in the context of insulin receptor signalling and compensatory metabolic responses (Pollak, 2012). This experience cautions against assuming that a pathway implicated in carcinogenesis will be a straightforward therapeutic target once cancer is established.</w:t>
      </w:r>
    </w:p>
    <w:p w14:paraId="75277212" w14:textId="77777777" w:rsidR="007A56F4" w:rsidRDefault="00000000">
      <w:pPr>
        <w:pStyle w:val="Heading2"/>
      </w:pPr>
      <w:r>
        <w:t>4.4 Cancer Prognosis and Mortality in Diabetes</w:t>
      </w:r>
    </w:p>
    <w:p w14:paraId="05501926" w14:textId="77777777" w:rsidR="007A56F4" w:rsidRDefault="00000000">
      <w:pPr>
        <w:jc w:val="both"/>
      </w:pPr>
      <w:r>
        <w:t>Diabetes affects outcomes after a cancer diagnosis as well as incidence. In individual-participant data from 97 prospective studies with 820,900 participants, diabetes was associated with a hazard ratio of 1.25 for death from cancer after adjustment for age, sex, smoking and BMI, with moderate associations for cancers of the liver, pancreas, ovary, colorectum, lung, bladder and breast (Emerging Risk Factors Collaboration, 2011). A meta-analysis of patients with newly diagnosed cancer found that pre-existing diabetes was associated with a hazard ratio of 1.41 for long-term all-cause mortality, with higher estimates for endometrial, breast and colorectal cancer (Barone et al., 2008). These findings are consistent with an adverse effect of diabetes on cancer biology, but they also reflect competing cardiovascular and renal mortality, altered treatment selection, reduced tolerance of chemotherapy, and differences in stage at diagnosis. Because all-cause mortality was the outcome in much of this evidence, it does not isolate an effect on the cancer itself.</w:t>
      </w:r>
    </w:p>
    <w:p w14:paraId="6CE17CFA" w14:textId="77777777" w:rsidR="007A56F4" w:rsidRDefault="00000000">
      <w:pPr>
        <w:jc w:val="both"/>
      </w:pPr>
      <w:r>
        <w:t xml:space="preserve">The global burden attributable to diabetes and adiposity is substantial. One comparative risk assessment attributed 24.5% of liver cancers and 38.4% of endometrial cancers in 2012 to diabetes and high BMI combined (Pearson-Stuttard et al., 2018). These estimates depend on the assumption that published relative risks are causal and on the chosen lag between </w:t>
      </w:r>
      <w:r>
        <w:lastRenderedPageBreak/>
        <w:t>exposure and cancer, so they indicate the order of magnitude rather than precise preventable fractions.</w:t>
      </w:r>
    </w:p>
    <w:p w14:paraId="2184692D" w14:textId="77777777" w:rsidR="007A56F4" w:rsidRDefault="00000000">
      <w:pPr>
        <w:jc w:val="both"/>
      </w:pPr>
      <w:r>
        <w:t>Table 2 summarises the evidence by design. The pattern that emerges is one of convergence for a small group of cancers and divergence for most others. The discussion above explains why observational and genetic designs disagree, and the table shows that the sites supported by both designs, namely pancreas and endometrium, and to a lesser degree kidney, are also those most robust to unmeasured confounding. The table does not claim to include every eligible study but presents the most informative syntheses for each design.</w:t>
      </w:r>
    </w:p>
    <w:p w14:paraId="6FC39B9E" w14:textId="77777777" w:rsidR="007A56F4" w:rsidRDefault="00000000">
      <w:pPr>
        <w:keepNext/>
        <w:spacing w:before="120"/>
      </w:pPr>
      <w:r>
        <w:rPr>
          <w:b/>
          <w:sz w:val="21"/>
        </w:rPr>
        <w:t xml:space="preserve">Table 2. </w:t>
      </w:r>
      <w:r>
        <w:rPr>
          <w:sz w:val="21"/>
        </w:rPr>
        <w:t>Representative evidence on type 2 diabetes and cancer by study design</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69BE6A9B" w14:textId="77777777">
        <w:trPr>
          <w:tblHeader/>
          <w:jc w:val="center"/>
        </w:trPr>
        <w:tc>
          <w:tcPr>
            <w:tcW w:w="1361" w:type="dxa"/>
            <w:shd w:val="clear" w:color="auto" w:fill="E7E6E6"/>
          </w:tcPr>
          <w:p w14:paraId="3E35E60C" w14:textId="77777777" w:rsidR="007A56F4" w:rsidRDefault="00000000">
            <w:pPr>
              <w:spacing w:after="0" w:line="240" w:lineRule="auto"/>
            </w:pPr>
            <w:r>
              <w:rPr>
                <w:b/>
                <w:sz w:val="17"/>
              </w:rPr>
              <w:t>Design and scope</w:t>
            </w:r>
          </w:p>
        </w:tc>
        <w:tc>
          <w:tcPr>
            <w:tcW w:w="1517" w:type="dxa"/>
            <w:shd w:val="clear" w:color="auto" w:fill="E7E6E6"/>
          </w:tcPr>
          <w:p w14:paraId="34C738B2" w14:textId="77777777" w:rsidR="007A56F4" w:rsidRDefault="00000000">
            <w:pPr>
              <w:spacing w:after="0" w:line="240" w:lineRule="auto"/>
            </w:pPr>
            <w:r>
              <w:rPr>
                <w:b/>
                <w:sz w:val="17"/>
              </w:rPr>
              <w:t>Principal finding</w:t>
            </w:r>
          </w:p>
        </w:tc>
        <w:tc>
          <w:tcPr>
            <w:tcW w:w="1517" w:type="dxa"/>
            <w:shd w:val="clear" w:color="auto" w:fill="E7E6E6"/>
          </w:tcPr>
          <w:p w14:paraId="59D6D270" w14:textId="77777777" w:rsidR="007A56F4" w:rsidRDefault="00000000">
            <w:pPr>
              <w:spacing w:after="0" w:line="240" w:lineRule="auto"/>
            </w:pPr>
            <w:r>
              <w:rPr>
                <w:b/>
                <w:sz w:val="17"/>
              </w:rPr>
              <w:t>Methodological strengths</w:t>
            </w:r>
          </w:p>
        </w:tc>
        <w:tc>
          <w:tcPr>
            <w:tcW w:w="1517" w:type="dxa"/>
            <w:shd w:val="clear" w:color="auto" w:fill="E7E6E6"/>
          </w:tcPr>
          <w:p w14:paraId="2154015C" w14:textId="77777777" w:rsidR="007A56F4" w:rsidRDefault="00000000">
            <w:pPr>
              <w:spacing w:after="0" w:line="240" w:lineRule="auto"/>
            </w:pPr>
            <w:r>
              <w:rPr>
                <w:b/>
                <w:sz w:val="17"/>
              </w:rPr>
              <w:t>Principal limitations</w:t>
            </w:r>
          </w:p>
        </w:tc>
        <w:tc>
          <w:tcPr>
            <w:tcW w:w="1517" w:type="dxa"/>
            <w:shd w:val="clear" w:color="auto" w:fill="E7E6E6"/>
          </w:tcPr>
          <w:p w14:paraId="2EC4E4C3" w14:textId="77777777" w:rsidR="007A56F4" w:rsidRDefault="00000000">
            <w:pPr>
              <w:spacing w:after="0" w:line="240" w:lineRule="auto"/>
            </w:pPr>
            <w:r>
              <w:rPr>
                <w:b/>
                <w:sz w:val="17"/>
              </w:rPr>
              <w:t>Confidence in causal interpretation</w:t>
            </w:r>
          </w:p>
        </w:tc>
        <w:tc>
          <w:tcPr>
            <w:tcW w:w="1644" w:type="dxa"/>
            <w:shd w:val="clear" w:color="auto" w:fill="E7E6E6"/>
          </w:tcPr>
          <w:p w14:paraId="5288EB79" w14:textId="77777777" w:rsidR="007A56F4" w:rsidRDefault="00000000">
            <w:pPr>
              <w:spacing w:after="0" w:line="240" w:lineRule="auto"/>
            </w:pPr>
            <w:r>
              <w:rPr>
                <w:b/>
                <w:sz w:val="17"/>
              </w:rPr>
              <w:t>Supporting references</w:t>
            </w:r>
          </w:p>
        </w:tc>
      </w:tr>
      <w:tr w:rsidR="007A56F4" w14:paraId="347E1AEB" w14:textId="77777777">
        <w:trPr>
          <w:jc w:val="center"/>
        </w:trPr>
        <w:tc>
          <w:tcPr>
            <w:tcW w:w="1361" w:type="dxa"/>
          </w:tcPr>
          <w:p w14:paraId="490C9A7E" w14:textId="77777777" w:rsidR="007A56F4" w:rsidRDefault="00000000">
            <w:pPr>
              <w:spacing w:after="0" w:line="240" w:lineRule="auto"/>
            </w:pPr>
            <w:r>
              <w:rPr>
                <w:sz w:val="17"/>
              </w:rPr>
              <w:t>Umbrella review of 27 observational meta-analyses</w:t>
            </w:r>
          </w:p>
        </w:tc>
        <w:tc>
          <w:tcPr>
            <w:tcW w:w="1517" w:type="dxa"/>
          </w:tcPr>
          <w:p w14:paraId="038FB9FB" w14:textId="77777777" w:rsidR="007A56F4" w:rsidRDefault="00000000">
            <w:pPr>
              <w:spacing w:after="0" w:line="240" w:lineRule="auto"/>
            </w:pPr>
            <w:r>
              <w:rPr>
                <w:sz w:val="17"/>
              </w:rPr>
              <w:t>Most associations nominally significant, but only a minority robust; prediction intervals excluded the null for breast, colorectal, endometrial cancer and intrahepatic cholangiocarcinoma</w:t>
            </w:r>
          </w:p>
        </w:tc>
        <w:tc>
          <w:tcPr>
            <w:tcW w:w="1517" w:type="dxa"/>
          </w:tcPr>
          <w:p w14:paraId="3BDE7C5E" w14:textId="77777777" w:rsidR="007A56F4" w:rsidRDefault="00000000">
            <w:pPr>
              <w:spacing w:after="0" w:line="240" w:lineRule="auto"/>
            </w:pPr>
            <w:r>
              <w:rPr>
                <w:sz w:val="17"/>
              </w:rPr>
              <w:t>Formal credibility criteria, assessment of small-study effects and excess significance</w:t>
            </w:r>
          </w:p>
        </w:tc>
        <w:tc>
          <w:tcPr>
            <w:tcW w:w="1517" w:type="dxa"/>
          </w:tcPr>
          <w:p w14:paraId="6156061A" w14:textId="77777777" w:rsidR="007A56F4" w:rsidRDefault="00000000">
            <w:pPr>
              <w:spacing w:after="0" w:line="240" w:lineRule="auto"/>
            </w:pPr>
            <w:r>
              <w:rPr>
                <w:sz w:val="17"/>
              </w:rPr>
              <w:t>Relies on the quality of underlying meta-analyses; heterogeneity</w:t>
            </w:r>
          </w:p>
        </w:tc>
        <w:tc>
          <w:tcPr>
            <w:tcW w:w="1517" w:type="dxa"/>
          </w:tcPr>
          <w:p w14:paraId="3C34F920" w14:textId="77777777" w:rsidR="007A56F4" w:rsidRDefault="00000000">
            <w:pPr>
              <w:spacing w:after="0" w:line="240" w:lineRule="auto"/>
            </w:pPr>
            <w:r>
              <w:rPr>
                <w:sz w:val="17"/>
              </w:rPr>
              <w:t>Moderate for a few sites; limited for most</w:t>
            </w:r>
          </w:p>
        </w:tc>
        <w:tc>
          <w:tcPr>
            <w:tcW w:w="1644" w:type="dxa"/>
          </w:tcPr>
          <w:p w14:paraId="574606C2" w14:textId="77777777" w:rsidR="007A56F4" w:rsidRDefault="00000000">
            <w:pPr>
              <w:spacing w:after="0" w:line="240" w:lineRule="auto"/>
            </w:pPr>
            <w:r>
              <w:rPr>
                <w:sz w:val="17"/>
              </w:rPr>
              <w:t>Tsilidis et al. (2015)</w:t>
            </w:r>
          </w:p>
        </w:tc>
      </w:tr>
      <w:tr w:rsidR="007A56F4" w14:paraId="7AAE0631" w14:textId="77777777">
        <w:trPr>
          <w:jc w:val="center"/>
        </w:trPr>
        <w:tc>
          <w:tcPr>
            <w:tcW w:w="1361" w:type="dxa"/>
          </w:tcPr>
          <w:p w14:paraId="64DB6610" w14:textId="77777777" w:rsidR="007A56F4" w:rsidRDefault="00000000">
            <w:pPr>
              <w:spacing w:after="0" w:line="240" w:lineRule="auto"/>
            </w:pPr>
            <w:r>
              <w:rPr>
                <w:sz w:val="17"/>
              </w:rPr>
              <w:t>Meta-analysis of 151 cohorts with bias analysis</w:t>
            </w:r>
          </w:p>
        </w:tc>
        <w:tc>
          <w:tcPr>
            <w:tcW w:w="1517" w:type="dxa"/>
          </w:tcPr>
          <w:p w14:paraId="4FE75299" w14:textId="77777777" w:rsidR="007A56F4" w:rsidRDefault="00000000">
            <w:pPr>
              <w:spacing w:after="0" w:line="240" w:lineRule="auto"/>
            </w:pPr>
            <w:r>
              <w:rPr>
                <w:sz w:val="17"/>
              </w:rPr>
              <w:t>Associations ranged from inverse (prostate) to strongly positive (liver); robust to plausible unmeasured confounding for liver, pancreas and endometrium</w:t>
            </w:r>
          </w:p>
        </w:tc>
        <w:tc>
          <w:tcPr>
            <w:tcW w:w="1517" w:type="dxa"/>
          </w:tcPr>
          <w:p w14:paraId="785888CD" w14:textId="77777777" w:rsidR="007A56F4" w:rsidRDefault="00000000">
            <w:pPr>
              <w:spacing w:after="0" w:line="240" w:lineRule="auto"/>
            </w:pPr>
            <w:r>
              <w:rPr>
                <w:sz w:val="17"/>
              </w:rPr>
              <w:t>Very large sample; quantitative bias analysis</w:t>
            </w:r>
          </w:p>
        </w:tc>
        <w:tc>
          <w:tcPr>
            <w:tcW w:w="1517" w:type="dxa"/>
          </w:tcPr>
          <w:p w14:paraId="77851CC7" w14:textId="77777777" w:rsidR="007A56F4" w:rsidRDefault="00000000">
            <w:pPr>
              <w:spacing w:after="0" w:line="240" w:lineRule="auto"/>
            </w:pPr>
            <w:r>
              <w:rPr>
                <w:sz w:val="17"/>
              </w:rPr>
              <w:t>Biases other than confounding not analysed; reverse causation for pancreas</w:t>
            </w:r>
          </w:p>
        </w:tc>
        <w:tc>
          <w:tcPr>
            <w:tcW w:w="1517" w:type="dxa"/>
          </w:tcPr>
          <w:p w14:paraId="48ADE552" w14:textId="77777777" w:rsidR="007A56F4" w:rsidRDefault="00000000">
            <w:pPr>
              <w:spacing w:after="0" w:line="240" w:lineRule="auto"/>
            </w:pPr>
            <w:r>
              <w:rPr>
                <w:sz w:val="17"/>
              </w:rPr>
              <w:t>Strong for liver, pancreas, endometrium; limited elsewhere</w:t>
            </w:r>
          </w:p>
        </w:tc>
        <w:tc>
          <w:tcPr>
            <w:tcW w:w="1644" w:type="dxa"/>
          </w:tcPr>
          <w:p w14:paraId="52434B56" w14:textId="77777777" w:rsidR="007A56F4" w:rsidRDefault="00000000">
            <w:pPr>
              <w:spacing w:after="0" w:line="240" w:lineRule="auto"/>
            </w:pPr>
            <w:r>
              <w:rPr>
                <w:sz w:val="17"/>
              </w:rPr>
              <w:t>Ling et al. (2020)</w:t>
            </w:r>
          </w:p>
        </w:tc>
      </w:tr>
      <w:tr w:rsidR="007A56F4" w14:paraId="58C6B8AD" w14:textId="77777777">
        <w:trPr>
          <w:jc w:val="center"/>
        </w:trPr>
        <w:tc>
          <w:tcPr>
            <w:tcW w:w="1361" w:type="dxa"/>
          </w:tcPr>
          <w:p w14:paraId="013091D9" w14:textId="77777777" w:rsidR="007A56F4" w:rsidRDefault="00000000">
            <w:pPr>
              <w:spacing w:after="0" w:line="240" w:lineRule="auto"/>
            </w:pPr>
            <w:r>
              <w:rPr>
                <w:sz w:val="17"/>
              </w:rPr>
              <w:t>Sex-specific meta-analysis of 121 cohorts</w:t>
            </w:r>
          </w:p>
        </w:tc>
        <w:tc>
          <w:tcPr>
            <w:tcW w:w="1517" w:type="dxa"/>
          </w:tcPr>
          <w:p w14:paraId="3F57D1AD" w14:textId="77777777" w:rsidR="007A56F4" w:rsidRDefault="00000000">
            <w:pPr>
              <w:spacing w:after="0" w:line="240" w:lineRule="auto"/>
            </w:pPr>
            <w:r>
              <w:rPr>
                <w:sz w:val="17"/>
              </w:rPr>
              <w:t>Greater all-site excess in women than men</w:t>
            </w:r>
          </w:p>
        </w:tc>
        <w:tc>
          <w:tcPr>
            <w:tcW w:w="1517" w:type="dxa"/>
          </w:tcPr>
          <w:p w14:paraId="2713BB42" w14:textId="77777777" w:rsidR="007A56F4" w:rsidRDefault="00000000">
            <w:pPr>
              <w:spacing w:after="0" w:line="240" w:lineRule="auto"/>
            </w:pPr>
            <w:r>
              <w:rPr>
                <w:sz w:val="17"/>
              </w:rPr>
              <w:t>Large sample; direct comparison of relative risks</w:t>
            </w:r>
          </w:p>
        </w:tc>
        <w:tc>
          <w:tcPr>
            <w:tcW w:w="1517" w:type="dxa"/>
          </w:tcPr>
          <w:p w14:paraId="3B039703" w14:textId="77777777" w:rsidR="007A56F4" w:rsidRDefault="00000000">
            <w:pPr>
              <w:spacing w:after="0" w:line="240" w:lineRule="auto"/>
            </w:pPr>
            <w:r>
              <w:rPr>
                <w:sz w:val="17"/>
              </w:rPr>
              <w:t>Residual confounding; differences in diagnosis timing</w:t>
            </w:r>
          </w:p>
        </w:tc>
        <w:tc>
          <w:tcPr>
            <w:tcW w:w="1517" w:type="dxa"/>
          </w:tcPr>
          <w:p w14:paraId="13C5253C" w14:textId="77777777" w:rsidR="007A56F4" w:rsidRDefault="00000000">
            <w:pPr>
              <w:spacing w:after="0" w:line="240" w:lineRule="auto"/>
            </w:pPr>
            <w:r>
              <w:rPr>
                <w:sz w:val="17"/>
              </w:rPr>
              <w:t>Moderate for the existence of an effect modifier</w:t>
            </w:r>
          </w:p>
        </w:tc>
        <w:tc>
          <w:tcPr>
            <w:tcW w:w="1644" w:type="dxa"/>
          </w:tcPr>
          <w:p w14:paraId="0D322BCB" w14:textId="77777777" w:rsidR="007A56F4" w:rsidRDefault="00000000">
            <w:pPr>
              <w:spacing w:after="0" w:line="240" w:lineRule="auto"/>
            </w:pPr>
            <w:r>
              <w:rPr>
                <w:sz w:val="17"/>
              </w:rPr>
              <w:t>Ohkuma et al. (2018)</w:t>
            </w:r>
          </w:p>
        </w:tc>
      </w:tr>
      <w:tr w:rsidR="007A56F4" w14:paraId="0882032E" w14:textId="77777777">
        <w:trPr>
          <w:jc w:val="center"/>
        </w:trPr>
        <w:tc>
          <w:tcPr>
            <w:tcW w:w="1361" w:type="dxa"/>
          </w:tcPr>
          <w:p w14:paraId="5AA7ABF3" w14:textId="77777777" w:rsidR="007A56F4" w:rsidRDefault="00000000">
            <w:pPr>
              <w:spacing w:after="0" w:line="240" w:lineRule="auto"/>
            </w:pPr>
            <w:r>
              <w:rPr>
                <w:sz w:val="17"/>
              </w:rPr>
              <w:t>Two-sample Mendelian randomisation, 22 sites</w:t>
            </w:r>
          </w:p>
        </w:tc>
        <w:tc>
          <w:tcPr>
            <w:tcW w:w="1517" w:type="dxa"/>
          </w:tcPr>
          <w:p w14:paraId="6D7C60B7" w14:textId="77777777" w:rsidR="007A56F4" w:rsidRDefault="00000000">
            <w:pPr>
              <w:spacing w:after="0" w:line="240" w:lineRule="auto"/>
            </w:pPr>
            <w:r>
              <w:rPr>
                <w:sz w:val="17"/>
              </w:rPr>
              <w:t>Genetically predicted T2D linked to pancreatic, kidney, uterine and cervical cancer; fasting insulin more consistently implicated than glucose</w:t>
            </w:r>
          </w:p>
        </w:tc>
        <w:tc>
          <w:tcPr>
            <w:tcW w:w="1517" w:type="dxa"/>
          </w:tcPr>
          <w:p w14:paraId="57974BB5" w14:textId="77777777" w:rsidR="007A56F4" w:rsidRDefault="00000000">
            <w:pPr>
              <w:spacing w:after="0" w:line="240" w:lineRule="auto"/>
            </w:pPr>
            <w:r>
              <w:rPr>
                <w:sz w:val="17"/>
              </w:rPr>
              <w:t>Reduced confounding and reverse causation; sensitivity analyses</w:t>
            </w:r>
          </w:p>
        </w:tc>
        <w:tc>
          <w:tcPr>
            <w:tcW w:w="1517" w:type="dxa"/>
          </w:tcPr>
          <w:p w14:paraId="62404913" w14:textId="77777777" w:rsidR="007A56F4" w:rsidRDefault="00000000">
            <w:pPr>
              <w:spacing w:after="0" w:line="240" w:lineRule="auto"/>
            </w:pPr>
            <w:r>
              <w:rPr>
                <w:sz w:val="17"/>
              </w:rPr>
              <w:t>Pleiotropy; heterogeneous instruments; European ancestry</w:t>
            </w:r>
          </w:p>
        </w:tc>
        <w:tc>
          <w:tcPr>
            <w:tcW w:w="1517" w:type="dxa"/>
          </w:tcPr>
          <w:p w14:paraId="57405470" w14:textId="77777777" w:rsidR="007A56F4" w:rsidRDefault="00000000">
            <w:pPr>
              <w:spacing w:after="0" w:line="240" w:lineRule="auto"/>
            </w:pPr>
            <w:r>
              <w:rPr>
                <w:sz w:val="17"/>
              </w:rPr>
              <w:t>Moderate for insulin; limited for glucose</w:t>
            </w:r>
          </w:p>
        </w:tc>
        <w:tc>
          <w:tcPr>
            <w:tcW w:w="1644" w:type="dxa"/>
          </w:tcPr>
          <w:p w14:paraId="59F4342A" w14:textId="77777777" w:rsidR="007A56F4" w:rsidRDefault="00000000">
            <w:pPr>
              <w:spacing w:after="0" w:line="240" w:lineRule="auto"/>
            </w:pPr>
            <w:r>
              <w:rPr>
                <w:sz w:val="17"/>
              </w:rPr>
              <w:t>Pearson-Stuttard, Papadimitriou, et al. (2021); S. Yuan et al. (2020)</w:t>
            </w:r>
          </w:p>
        </w:tc>
      </w:tr>
      <w:tr w:rsidR="007A56F4" w14:paraId="1E54F546" w14:textId="77777777">
        <w:trPr>
          <w:jc w:val="center"/>
        </w:trPr>
        <w:tc>
          <w:tcPr>
            <w:tcW w:w="1361" w:type="dxa"/>
          </w:tcPr>
          <w:p w14:paraId="7EC0BFF8" w14:textId="77777777" w:rsidR="007A56F4" w:rsidRDefault="00000000">
            <w:pPr>
              <w:spacing w:after="0" w:line="240" w:lineRule="auto"/>
            </w:pPr>
            <w:r>
              <w:rPr>
                <w:sz w:val="17"/>
              </w:rPr>
              <w:t>Mendelian randomisation in a Japanese cohort</w:t>
            </w:r>
          </w:p>
        </w:tc>
        <w:tc>
          <w:tcPr>
            <w:tcW w:w="1517" w:type="dxa"/>
          </w:tcPr>
          <w:p w14:paraId="43917924" w14:textId="77777777" w:rsidR="007A56F4" w:rsidRDefault="00000000">
            <w:pPr>
              <w:spacing w:after="0" w:line="240" w:lineRule="auto"/>
            </w:pPr>
            <w:r>
              <w:rPr>
                <w:sz w:val="17"/>
              </w:rPr>
              <w:t>No clear association of T2D with total or site-specific cancer</w:t>
            </w:r>
          </w:p>
        </w:tc>
        <w:tc>
          <w:tcPr>
            <w:tcW w:w="1517" w:type="dxa"/>
          </w:tcPr>
          <w:p w14:paraId="3EE13138" w14:textId="77777777" w:rsidR="007A56F4" w:rsidRDefault="00000000">
            <w:pPr>
              <w:spacing w:after="0" w:line="240" w:lineRule="auto"/>
            </w:pPr>
            <w:r>
              <w:rPr>
                <w:sz w:val="17"/>
              </w:rPr>
              <w:t>Prospective case-cohort; non-European population</w:t>
            </w:r>
          </w:p>
        </w:tc>
        <w:tc>
          <w:tcPr>
            <w:tcW w:w="1517" w:type="dxa"/>
          </w:tcPr>
          <w:p w14:paraId="602A14B2" w14:textId="77777777" w:rsidR="007A56F4" w:rsidRDefault="00000000">
            <w:pPr>
              <w:spacing w:after="0" w:line="240" w:lineRule="auto"/>
            </w:pPr>
            <w:r>
              <w:rPr>
                <w:sz w:val="17"/>
              </w:rPr>
              <w:t>Limited power; instruments reflect beta-cell dysfunction</w:t>
            </w:r>
          </w:p>
        </w:tc>
        <w:tc>
          <w:tcPr>
            <w:tcW w:w="1517" w:type="dxa"/>
          </w:tcPr>
          <w:p w14:paraId="4968EB52" w14:textId="77777777" w:rsidR="007A56F4" w:rsidRDefault="00000000">
            <w:pPr>
              <w:spacing w:after="0" w:line="240" w:lineRule="auto"/>
            </w:pPr>
            <w:r>
              <w:rPr>
                <w:sz w:val="17"/>
              </w:rPr>
              <w:t>Limited; tempers generalisation</w:t>
            </w:r>
          </w:p>
        </w:tc>
        <w:tc>
          <w:tcPr>
            <w:tcW w:w="1644" w:type="dxa"/>
          </w:tcPr>
          <w:p w14:paraId="59188FE4" w14:textId="77777777" w:rsidR="007A56F4" w:rsidRDefault="00000000">
            <w:pPr>
              <w:spacing w:after="0" w:line="240" w:lineRule="auto"/>
            </w:pPr>
            <w:r>
              <w:rPr>
                <w:sz w:val="17"/>
              </w:rPr>
              <w:t>Goto et al. (2020)</w:t>
            </w:r>
          </w:p>
        </w:tc>
      </w:tr>
      <w:tr w:rsidR="007A56F4" w14:paraId="65E0A5E4" w14:textId="77777777">
        <w:trPr>
          <w:jc w:val="center"/>
        </w:trPr>
        <w:tc>
          <w:tcPr>
            <w:tcW w:w="1361" w:type="dxa"/>
          </w:tcPr>
          <w:p w14:paraId="3C5230EF" w14:textId="77777777" w:rsidR="007A56F4" w:rsidRDefault="00000000">
            <w:pPr>
              <w:spacing w:after="0" w:line="240" w:lineRule="auto"/>
            </w:pPr>
            <w:r>
              <w:rPr>
                <w:sz w:val="17"/>
              </w:rPr>
              <w:t>Mendelian randomisation for pancreatic cancer</w:t>
            </w:r>
          </w:p>
        </w:tc>
        <w:tc>
          <w:tcPr>
            <w:tcW w:w="1517" w:type="dxa"/>
          </w:tcPr>
          <w:p w14:paraId="382C04A3" w14:textId="77777777" w:rsidR="007A56F4" w:rsidRDefault="00000000">
            <w:pPr>
              <w:spacing w:after="0" w:line="240" w:lineRule="auto"/>
            </w:pPr>
            <w:r>
              <w:rPr>
                <w:sz w:val="17"/>
              </w:rPr>
              <w:t>BMI and fasting insulin, not T2D, associated with risk</w:t>
            </w:r>
          </w:p>
        </w:tc>
        <w:tc>
          <w:tcPr>
            <w:tcW w:w="1517" w:type="dxa"/>
          </w:tcPr>
          <w:p w14:paraId="0BBAA374" w14:textId="77777777" w:rsidR="007A56F4" w:rsidRDefault="00000000">
            <w:pPr>
              <w:spacing w:after="0" w:line="240" w:lineRule="auto"/>
            </w:pPr>
            <w:r>
              <w:rPr>
                <w:sz w:val="17"/>
              </w:rPr>
              <w:t>Large consortium data; pleiotropy-robust methods</w:t>
            </w:r>
          </w:p>
        </w:tc>
        <w:tc>
          <w:tcPr>
            <w:tcW w:w="1517" w:type="dxa"/>
          </w:tcPr>
          <w:p w14:paraId="121D6280" w14:textId="77777777" w:rsidR="007A56F4" w:rsidRDefault="00000000">
            <w:pPr>
              <w:spacing w:after="0" w:line="240" w:lineRule="auto"/>
            </w:pPr>
            <w:r>
              <w:rPr>
                <w:sz w:val="17"/>
              </w:rPr>
              <w:t>Single cancer site</w:t>
            </w:r>
          </w:p>
        </w:tc>
        <w:tc>
          <w:tcPr>
            <w:tcW w:w="1517" w:type="dxa"/>
          </w:tcPr>
          <w:p w14:paraId="0C587550" w14:textId="77777777" w:rsidR="007A56F4" w:rsidRDefault="00000000">
            <w:pPr>
              <w:spacing w:after="0" w:line="240" w:lineRule="auto"/>
            </w:pPr>
            <w:r>
              <w:rPr>
                <w:sz w:val="17"/>
              </w:rPr>
              <w:t>Moderate for insulin</w:t>
            </w:r>
          </w:p>
        </w:tc>
        <w:tc>
          <w:tcPr>
            <w:tcW w:w="1644" w:type="dxa"/>
          </w:tcPr>
          <w:p w14:paraId="38992301" w14:textId="77777777" w:rsidR="007A56F4" w:rsidRDefault="00000000">
            <w:pPr>
              <w:spacing w:after="0" w:line="240" w:lineRule="auto"/>
            </w:pPr>
            <w:r>
              <w:rPr>
                <w:sz w:val="17"/>
              </w:rPr>
              <w:t>Carreras-Torres et al. (2017)</w:t>
            </w:r>
          </w:p>
        </w:tc>
      </w:tr>
      <w:tr w:rsidR="007A56F4" w14:paraId="51513673" w14:textId="77777777">
        <w:trPr>
          <w:jc w:val="center"/>
        </w:trPr>
        <w:tc>
          <w:tcPr>
            <w:tcW w:w="1361" w:type="dxa"/>
          </w:tcPr>
          <w:p w14:paraId="7649156F" w14:textId="77777777" w:rsidR="007A56F4" w:rsidRDefault="00000000">
            <w:pPr>
              <w:spacing w:after="0" w:line="240" w:lineRule="auto"/>
            </w:pPr>
            <w:r>
              <w:rPr>
                <w:sz w:val="17"/>
              </w:rPr>
              <w:t>Individual-participant data on mortality</w:t>
            </w:r>
          </w:p>
        </w:tc>
        <w:tc>
          <w:tcPr>
            <w:tcW w:w="1517" w:type="dxa"/>
          </w:tcPr>
          <w:p w14:paraId="6CC83BF5" w14:textId="77777777" w:rsidR="007A56F4" w:rsidRDefault="00000000">
            <w:pPr>
              <w:spacing w:after="0" w:line="240" w:lineRule="auto"/>
            </w:pPr>
            <w:r>
              <w:rPr>
                <w:sz w:val="17"/>
              </w:rPr>
              <w:t xml:space="preserve">Diabetes associated with higher cancer </w:t>
            </w:r>
            <w:r>
              <w:rPr>
                <w:sz w:val="17"/>
              </w:rPr>
              <w:lastRenderedPageBreak/>
              <w:t>mortality</w:t>
            </w:r>
          </w:p>
        </w:tc>
        <w:tc>
          <w:tcPr>
            <w:tcW w:w="1517" w:type="dxa"/>
          </w:tcPr>
          <w:p w14:paraId="58B110ED" w14:textId="77777777" w:rsidR="007A56F4" w:rsidRDefault="00000000">
            <w:pPr>
              <w:spacing w:after="0" w:line="240" w:lineRule="auto"/>
            </w:pPr>
            <w:r>
              <w:rPr>
                <w:sz w:val="17"/>
              </w:rPr>
              <w:lastRenderedPageBreak/>
              <w:t>Standardised adjustment across 97 studies</w:t>
            </w:r>
          </w:p>
        </w:tc>
        <w:tc>
          <w:tcPr>
            <w:tcW w:w="1517" w:type="dxa"/>
          </w:tcPr>
          <w:p w14:paraId="1BE335BB" w14:textId="77777777" w:rsidR="007A56F4" w:rsidRDefault="00000000">
            <w:pPr>
              <w:spacing w:after="0" w:line="240" w:lineRule="auto"/>
            </w:pPr>
            <w:r>
              <w:rPr>
                <w:sz w:val="17"/>
              </w:rPr>
              <w:t>Cannot separate incidence from survival effects</w:t>
            </w:r>
          </w:p>
        </w:tc>
        <w:tc>
          <w:tcPr>
            <w:tcW w:w="1517" w:type="dxa"/>
          </w:tcPr>
          <w:p w14:paraId="76911468" w14:textId="77777777" w:rsidR="007A56F4" w:rsidRDefault="00000000">
            <w:pPr>
              <w:spacing w:after="0" w:line="240" w:lineRule="auto"/>
            </w:pPr>
            <w:r>
              <w:rPr>
                <w:sz w:val="17"/>
              </w:rPr>
              <w:t xml:space="preserve">Moderate for association; limited for </w:t>
            </w:r>
            <w:r>
              <w:rPr>
                <w:sz w:val="17"/>
              </w:rPr>
              <w:lastRenderedPageBreak/>
              <w:t>mechanism</w:t>
            </w:r>
          </w:p>
        </w:tc>
        <w:tc>
          <w:tcPr>
            <w:tcW w:w="1644" w:type="dxa"/>
          </w:tcPr>
          <w:p w14:paraId="36C8D2F1" w14:textId="77777777" w:rsidR="007A56F4" w:rsidRDefault="00000000">
            <w:pPr>
              <w:spacing w:after="0" w:line="240" w:lineRule="auto"/>
            </w:pPr>
            <w:r>
              <w:rPr>
                <w:sz w:val="17"/>
              </w:rPr>
              <w:lastRenderedPageBreak/>
              <w:t xml:space="preserve">Emerging Risk Factors Collaboration </w:t>
            </w:r>
            <w:r>
              <w:rPr>
                <w:sz w:val="17"/>
              </w:rPr>
              <w:lastRenderedPageBreak/>
              <w:t>(2011)</w:t>
            </w:r>
          </w:p>
        </w:tc>
      </w:tr>
    </w:tbl>
    <w:p w14:paraId="33A2BDE2" w14:textId="77777777" w:rsidR="007A56F4" w:rsidRDefault="00000000">
      <w:pPr>
        <w:spacing w:after="240" w:line="240" w:lineRule="auto"/>
      </w:pPr>
      <w:r>
        <w:rPr>
          <w:i/>
          <w:sz w:val="18"/>
        </w:rPr>
        <w:lastRenderedPageBreak/>
        <w:t xml:space="preserve">Note. </w:t>
      </w:r>
      <w:r>
        <w:rPr>
          <w:sz w:val="18"/>
        </w:rPr>
        <w:t>BMI, body mass index; T2D, type 2 diabetes. Confidence ratings are qualitative judgements made in this review and are not formal certainty-of-evidence grades.</w:t>
      </w:r>
    </w:p>
    <w:p w14:paraId="055B545B" w14:textId="77777777" w:rsidR="007A56F4" w:rsidRDefault="00000000">
      <w:pPr>
        <w:pStyle w:val="Heading1"/>
      </w:pPr>
      <w:r>
        <w:t>5. Autoimmunity, Including Type 1 Diabetes, as a Determinant of Cancer Risk</w:t>
      </w:r>
    </w:p>
    <w:p w14:paraId="1BBFE4F4" w14:textId="77777777" w:rsidR="007A56F4" w:rsidRDefault="00000000">
      <w:pPr>
        <w:pStyle w:val="Heading2"/>
      </w:pPr>
      <w:r>
        <w:t>5.1 Cancer Risk in Type 1 Diabetes</w:t>
      </w:r>
    </w:p>
    <w:p w14:paraId="2BBF1977" w14:textId="77777777" w:rsidR="007A56F4" w:rsidRDefault="00000000">
      <w:pPr>
        <w:jc w:val="both"/>
      </w:pPr>
      <w:r>
        <w:t>T1D offers a natural contrast with T2D because it combines autoimmunity with insulin deficiency and lifelong dependence on exogenous insulin (Herold et al., 2019). A Swedish cohort of 29,187 patients hospitalised for T1D reported a standardised incidence ratio (SIR) of 1.2 for all cancers, with elevated risks for stomach, cervical and endometrial cancer (Zendehdel et al., 2003). A five-country study of more than 9000 cancers in people with T1D found hazard ratios for all cancers of 1.01 in men and 1.07 in women, with increased risks for cancers of the stomach, liver, pancreas, endometrium and kidney and reduced risks for prostate and breast cancer (Carstensen et al., 2016). The hazard ratios declined with increasing diabetes duration, a pattern more consistent with detection or reverse causation near diagnosis than with a cumulative carcinogenic effect.</w:t>
      </w:r>
    </w:p>
    <w:p w14:paraId="5D40C63E" w14:textId="77777777" w:rsidR="007A56F4" w:rsidRDefault="00000000">
      <w:pPr>
        <w:jc w:val="both"/>
      </w:pPr>
      <w:r>
        <w:t>Other data are less consistent. A meta-analysis of 15 observational studies estimated a pooled effect of 1.29 for overall cancer, but heterogeneity was extreme, with an I² statistic of 95.2% (Sona et al., 2018). In contrast, a UK cohort of more than 23,000 people with insulin-treated diabetes diagnosed before the age of 30 years, followed for an average of three decades, found a reduced risk of cancer overall and raised risks only for ovarian and vulval cancer (Swerdlow et al., 2023). The authors suggested that the reduced overall risk might reflect lower exposure to tobacco and alcohol. The heterogeneity of these results probably arises from differences in case definition, particularly misclassification of early-onset T2D and of pancreatogenic diabetes as T1D, from different reference populations, and from the evolution of insulin regimens over time. Pancreatic cancer risk is also raised in T1D in a large nested case-control study of older American adults, although the effect was small (F. Yuan et al., 2023), and in that setting some diagnoses of T1D may represent misclassified insulin-treated diabetes. The overall evidence supports only a modest and site-specific association, and it does not support the idea that autoimmunity against islets confers a general susceptibility to cancer.</w:t>
      </w:r>
    </w:p>
    <w:p w14:paraId="19021477" w14:textId="77777777" w:rsidR="007A56F4" w:rsidRDefault="00000000">
      <w:pPr>
        <w:jc w:val="both"/>
      </w:pPr>
      <w:r>
        <w:t xml:space="preserve">A feature of T1D that is relevant to the gastrointestinal findings is its co-occurrence with other autoimmune diseases. Individuals with childhood-onset T1D had markedly increased rates of Addison's disease, coeliac disease and autoimmune thyroid disease (Conrad et al., 2023). </w:t>
      </w:r>
      <w:r>
        <w:lastRenderedPageBreak/>
        <w:t>Autoimmune gastric inflammation is an alternative pathway into the gastric carcinogenic cascade, and a meta-analysis of 52 observational studies reported a pooled relative risk of 1.41 for gastric cancer in T1D and of 2.84 in pernicious anaemia (M. Song et al., 2019). The excess risk of stomach cancer in T1D may therefore be mediated partly by coexisting autoimmune gastritis rather than by diabetes itself, an interpretation that could be tested directly by stratifying on gastric autoantibodies.</w:t>
      </w:r>
    </w:p>
    <w:p w14:paraId="7FD7C7D5" w14:textId="77777777" w:rsidR="007A56F4" w:rsidRDefault="00000000">
      <w:pPr>
        <w:pStyle w:val="Heading2"/>
      </w:pPr>
      <w:r>
        <w:t>5.2 Systemic Autoimmune Diseases and Cancer</w:t>
      </w:r>
    </w:p>
    <w:p w14:paraId="141A35D6" w14:textId="77777777" w:rsidR="007A56F4" w:rsidRDefault="00000000">
      <w:pPr>
        <w:jc w:val="both"/>
      </w:pPr>
      <w:r>
        <w:t>Among systemic autoimmune diseases, the most consistent association concerns lymphoma. A meta-analysis of 20 cohort studies estimated random-effects SIRs for non-Hodgkin lymphoma (NHL) of 18.8 in primary Sjögren's syndrome, 7.4 in systemic lupus erythematosus (SLE) and 3.9 in rheumatoid arthritis (RA), although heterogeneity was extreme (Zintzaras et al., 2005). The gradient may correspond to the intensity of chronic B-cell stimulation in these diseases. An international SLE cohort of 16,409 patients found an overall cancer SIR of only 1.14 but an SIR of 4.39 for NHL, together with increased risks of vulval, lung and thyroid cancer and decreased risks of breast and endometrial cancer (Bernatsky et al., 2013). A subsequent meta-analysis of SLE confirmed increased risks for haematological and several solid cancers and decreased risks for prostate cancer and melanoma (L. Song et al., 2018).</w:t>
      </w:r>
    </w:p>
    <w:p w14:paraId="4C90052B" w14:textId="77777777" w:rsidR="007A56F4" w:rsidRDefault="00000000">
      <w:pPr>
        <w:jc w:val="both"/>
      </w:pPr>
      <w:r>
        <w:t>Organ-specific inflammation contributes to site-specific cancer. In a Danish and Swedish cohort of 96,447 patients with ulcerative colitis, the hazard ratio for colorectal cancer was 1.66, but the excess declined over calendar time to 1.38 in the most recent period (Olén et al., 2020). This decline coincides with changes in surveillance and treatment and illustrates that cancer risk in autoimmune disease is not fixed. Swedish registry analyses found that several autoimmune diseases were associated with digestive tract cancers at multiple sites, whereas RA and ankylosing spondylitis were associated with a reduced risk of colon adenocarcinoma, possibly reflecting the use of anti-inflammatory drugs (Hemminki et al., 2012). A meta-analysis of female-specific cancers found RA to be inversely associated with breast and uterine cancer and psoriasis to be associated with a higher breast cancer risk (Fischer et al., 2024). A large nested case-control study identified eight autoimmune conditions, including T1D, ulcerative colitis and primary sclerosing cholangitis, that were associated with pancreatic cancer (F. Yuan et al., 2023).</w:t>
      </w:r>
    </w:p>
    <w:p w14:paraId="4C2325D3" w14:textId="77777777" w:rsidR="007A56F4" w:rsidRDefault="00000000">
      <w:pPr>
        <w:jc w:val="both"/>
      </w:pPr>
      <w:r>
        <w:lastRenderedPageBreak/>
        <w:t>These inverse associations are as informative as the positive ones. Reduced risks of breast cancer in SLE and RA, and of prostate cancer in SLE, recur across independent datasets (Bernatsky et al., 2013; Fischer et al., 2024; L. Song et al., 2018). Candidate explanations include hormonal differences, the effects of long-term medication such as antimalarial or anti-inflammatory drugs, and immune activity that suppresses particular tumours. None of these has been established, and the inverse associations argue against a simple model in which autoimmunity uniformly promotes cancer.</w:t>
      </w:r>
    </w:p>
    <w:p w14:paraId="7B6EFC5F" w14:textId="77777777" w:rsidR="007A56F4" w:rsidRDefault="00000000">
      <w:pPr>
        <w:pStyle w:val="Heading2"/>
      </w:pPr>
      <w:r>
        <w:t>5.3 Inflammation Versus Treatment</w:t>
      </w:r>
    </w:p>
    <w:p w14:paraId="6BD4B7DA" w14:textId="77777777" w:rsidR="007A56F4" w:rsidRDefault="00000000">
      <w:pPr>
        <w:jc w:val="both"/>
      </w:pPr>
      <w:r>
        <w:t>A central question is whether the excess cancer risk in autoimmune disease reflects the disease or its treatment. The strongest evidence comes from RA. In a Swedish case-control study nested in a population-based cohort of 74,651 patients, lymphoma risk was only modestly elevated up to the seventh decile of cumulative disease activity but increased steeply thereafter, reaching an odds ratio of 61.6 in the highest decile, whereas standard non-biological treatments did not increase risk (Baecklund et al., 2006). In the British Society for Rheumatology Biologics Register, patients with RA treated with tumour necrosis factor inhibitors had no higher lymphoma risk than biologic-naive patients after adjustment (Mercer et al., 2017). These findings support the view that uncontrolled inflammation is the principal determinant of lymphoma risk in RA and that effective suppression of inflammation is not in itself lymphomagenic.</w:t>
      </w:r>
    </w:p>
    <w:p w14:paraId="5A9E2366" w14:textId="77777777" w:rsidR="007A56F4" w:rsidRDefault="00000000">
      <w:pPr>
        <w:jc w:val="both"/>
      </w:pPr>
      <w:r>
        <w:t>The randomised ORAL Surveillance trial complicates this reassurance for a different drug class. In patients with RA aged 50 years or older with at least one cardiovascular risk factor, the Janus kinase inhibitor tofacitinib was associated with a higher incidence of cancers, excluding non-melanoma skin cancer, than tumour necrosis factor inhibitors, with a hazard ratio of 1.48 (Ytterberg et al., 2022). Non-inferiority was not demonstrated. Because the comparison was against an active immunomodulator and restricted to an older population with cardiovascular risk factors, the result cannot distinguish a harmful effect of Janus kinase inhibition from a relative protective effect of tumour necrosis factor inhibition, and its generalisability to younger patients is uncertain. It shows that the oncological consequences of immunomodulation are drug-specific and that inferences cannot be transferred between classes.</w:t>
      </w:r>
    </w:p>
    <w:p w14:paraId="7FC0EDF9" w14:textId="77777777" w:rsidR="007A56F4" w:rsidRDefault="00000000">
      <w:pPr>
        <w:jc w:val="both"/>
      </w:pPr>
      <w:r>
        <w:t xml:space="preserve">Table 3 draws together the principal associations between autoimmune conditions and cancer. The discussion above indicates that the most secure findings concern lymphoma in systemic </w:t>
      </w:r>
      <w:r>
        <w:lastRenderedPageBreak/>
        <w:t>autoimmune disease and colorectal cancer in ulcerative colitis, whereas associations for T1D are modest and inconsistent. The table also records inverse associations, which are frequently omitted from summaries but constrain any general theory of autoimmunity and cancer.</w:t>
      </w:r>
    </w:p>
    <w:p w14:paraId="27765535" w14:textId="77777777" w:rsidR="007A56F4" w:rsidRDefault="00000000">
      <w:pPr>
        <w:keepNext/>
        <w:spacing w:before="120"/>
      </w:pPr>
      <w:r>
        <w:rPr>
          <w:b/>
          <w:sz w:val="21"/>
        </w:rPr>
        <w:t xml:space="preserve">Table 3. </w:t>
      </w:r>
      <w:r>
        <w:rPr>
          <w:sz w:val="21"/>
        </w:rPr>
        <w:t>Principal associations between autoimmune conditions and cancer risk</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53FEAFDC" w14:textId="77777777">
        <w:trPr>
          <w:tblHeader/>
          <w:jc w:val="center"/>
        </w:trPr>
        <w:tc>
          <w:tcPr>
            <w:tcW w:w="1361" w:type="dxa"/>
            <w:shd w:val="clear" w:color="auto" w:fill="E7E6E6"/>
          </w:tcPr>
          <w:p w14:paraId="01AF8D87" w14:textId="77777777" w:rsidR="007A56F4" w:rsidRDefault="00000000">
            <w:pPr>
              <w:spacing w:after="0" w:line="240" w:lineRule="auto"/>
            </w:pPr>
            <w:r>
              <w:rPr>
                <w:b/>
                <w:sz w:val="17"/>
              </w:rPr>
              <w:t>Autoimmune condition</w:t>
            </w:r>
          </w:p>
        </w:tc>
        <w:tc>
          <w:tcPr>
            <w:tcW w:w="1517" w:type="dxa"/>
            <w:shd w:val="clear" w:color="auto" w:fill="E7E6E6"/>
          </w:tcPr>
          <w:p w14:paraId="46D51B28" w14:textId="77777777" w:rsidR="007A56F4" w:rsidRDefault="00000000">
            <w:pPr>
              <w:spacing w:after="0" w:line="240" w:lineRule="auto"/>
            </w:pPr>
            <w:r>
              <w:rPr>
                <w:b/>
                <w:sz w:val="17"/>
              </w:rPr>
              <w:t>Direction and principal sites</w:t>
            </w:r>
          </w:p>
        </w:tc>
        <w:tc>
          <w:tcPr>
            <w:tcW w:w="1517" w:type="dxa"/>
            <w:shd w:val="clear" w:color="auto" w:fill="E7E6E6"/>
          </w:tcPr>
          <w:p w14:paraId="787FA054" w14:textId="77777777" w:rsidR="007A56F4" w:rsidRDefault="00000000">
            <w:pPr>
              <w:spacing w:after="0" w:line="240" w:lineRule="auto"/>
            </w:pPr>
            <w:r>
              <w:rPr>
                <w:b/>
                <w:sz w:val="17"/>
              </w:rPr>
              <w:t>Representative estimate</w:t>
            </w:r>
          </w:p>
        </w:tc>
        <w:tc>
          <w:tcPr>
            <w:tcW w:w="1517" w:type="dxa"/>
            <w:shd w:val="clear" w:color="auto" w:fill="E7E6E6"/>
          </w:tcPr>
          <w:p w14:paraId="53369C58" w14:textId="77777777" w:rsidR="007A56F4" w:rsidRDefault="00000000">
            <w:pPr>
              <w:spacing w:after="0" w:line="240" w:lineRule="auto"/>
            </w:pPr>
            <w:r>
              <w:rPr>
                <w:b/>
                <w:sz w:val="17"/>
              </w:rPr>
              <w:t>Likely contributors</w:t>
            </w:r>
          </w:p>
        </w:tc>
        <w:tc>
          <w:tcPr>
            <w:tcW w:w="1517" w:type="dxa"/>
            <w:shd w:val="clear" w:color="auto" w:fill="E7E6E6"/>
          </w:tcPr>
          <w:p w14:paraId="7118B01C" w14:textId="77777777" w:rsidR="007A56F4" w:rsidRDefault="00000000">
            <w:pPr>
              <w:spacing w:after="0" w:line="240" w:lineRule="auto"/>
            </w:pPr>
            <w:r>
              <w:rPr>
                <w:b/>
                <w:sz w:val="17"/>
              </w:rPr>
              <w:t>Key uncertainties</w:t>
            </w:r>
          </w:p>
        </w:tc>
        <w:tc>
          <w:tcPr>
            <w:tcW w:w="1644" w:type="dxa"/>
            <w:shd w:val="clear" w:color="auto" w:fill="E7E6E6"/>
          </w:tcPr>
          <w:p w14:paraId="5B2921B3" w14:textId="77777777" w:rsidR="007A56F4" w:rsidRDefault="00000000">
            <w:pPr>
              <w:spacing w:after="0" w:line="240" w:lineRule="auto"/>
            </w:pPr>
            <w:r>
              <w:rPr>
                <w:b/>
                <w:sz w:val="17"/>
              </w:rPr>
              <w:t>Supporting references</w:t>
            </w:r>
          </w:p>
        </w:tc>
      </w:tr>
      <w:tr w:rsidR="007A56F4" w14:paraId="4CC67FD5" w14:textId="77777777">
        <w:trPr>
          <w:jc w:val="center"/>
        </w:trPr>
        <w:tc>
          <w:tcPr>
            <w:tcW w:w="1361" w:type="dxa"/>
          </w:tcPr>
          <w:p w14:paraId="6CAD70F9" w14:textId="77777777" w:rsidR="007A56F4" w:rsidRDefault="00000000">
            <w:pPr>
              <w:spacing w:after="0" w:line="240" w:lineRule="auto"/>
            </w:pPr>
            <w:r>
              <w:rPr>
                <w:sz w:val="17"/>
              </w:rPr>
              <w:t>Type 1 diabetes</w:t>
            </w:r>
          </w:p>
        </w:tc>
        <w:tc>
          <w:tcPr>
            <w:tcW w:w="1517" w:type="dxa"/>
          </w:tcPr>
          <w:p w14:paraId="54D3E96E" w14:textId="77777777" w:rsidR="007A56F4" w:rsidRDefault="00000000">
            <w:pPr>
              <w:spacing w:after="0" w:line="240" w:lineRule="auto"/>
            </w:pPr>
            <w:r>
              <w:rPr>
                <w:sz w:val="17"/>
              </w:rPr>
              <w:t>Modest increase for stomach, liver, pancreas, endometrium, kidney; decrease for prostate and breast</w:t>
            </w:r>
          </w:p>
        </w:tc>
        <w:tc>
          <w:tcPr>
            <w:tcW w:w="1517" w:type="dxa"/>
          </w:tcPr>
          <w:p w14:paraId="60AF0D3B" w14:textId="77777777" w:rsidR="007A56F4" w:rsidRDefault="00000000">
            <w:pPr>
              <w:spacing w:after="0" w:line="240" w:lineRule="auto"/>
            </w:pPr>
            <w:r>
              <w:rPr>
                <w:sz w:val="17"/>
              </w:rPr>
              <w:t>All-cancer hazard ratio 1.01 (men), 1.07 (women)</w:t>
            </w:r>
          </w:p>
        </w:tc>
        <w:tc>
          <w:tcPr>
            <w:tcW w:w="1517" w:type="dxa"/>
          </w:tcPr>
          <w:p w14:paraId="369B7C55" w14:textId="77777777" w:rsidR="007A56F4" w:rsidRDefault="00000000">
            <w:pPr>
              <w:spacing w:after="0" w:line="240" w:lineRule="auto"/>
            </w:pPr>
            <w:r>
              <w:rPr>
                <w:sz w:val="17"/>
              </w:rPr>
              <w:t>Coexisting autoimmune gastritis; misclassification; detection</w:t>
            </w:r>
          </w:p>
        </w:tc>
        <w:tc>
          <w:tcPr>
            <w:tcW w:w="1517" w:type="dxa"/>
          </w:tcPr>
          <w:p w14:paraId="05FD91F0" w14:textId="77777777" w:rsidR="007A56F4" w:rsidRDefault="00000000">
            <w:pPr>
              <w:spacing w:after="0" w:line="240" w:lineRule="auto"/>
            </w:pPr>
            <w:r>
              <w:rPr>
                <w:sz w:val="17"/>
              </w:rPr>
              <w:t>Inconsistent across cohorts; overall risk reduced in one UK cohort</w:t>
            </w:r>
          </w:p>
        </w:tc>
        <w:tc>
          <w:tcPr>
            <w:tcW w:w="1644" w:type="dxa"/>
          </w:tcPr>
          <w:p w14:paraId="6BD45B7B" w14:textId="77777777" w:rsidR="007A56F4" w:rsidRDefault="00000000">
            <w:pPr>
              <w:spacing w:after="0" w:line="240" w:lineRule="auto"/>
            </w:pPr>
            <w:r>
              <w:rPr>
                <w:sz w:val="17"/>
              </w:rPr>
              <w:t>Carstensen et al. (2016); M. Song et al. (2019); Sona et al. (2018); Swerdlow et al. (2023)</w:t>
            </w:r>
          </w:p>
        </w:tc>
      </w:tr>
      <w:tr w:rsidR="007A56F4" w14:paraId="4E3DDE2E" w14:textId="77777777">
        <w:trPr>
          <w:jc w:val="center"/>
        </w:trPr>
        <w:tc>
          <w:tcPr>
            <w:tcW w:w="1361" w:type="dxa"/>
          </w:tcPr>
          <w:p w14:paraId="7622FBD9" w14:textId="77777777" w:rsidR="007A56F4" w:rsidRDefault="00000000">
            <w:pPr>
              <w:spacing w:after="0" w:line="240" w:lineRule="auto"/>
            </w:pPr>
            <w:r>
              <w:rPr>
                <w:sz w:val="17"/>
              </w:rPr>
              <w:t>Primary Sjögren's syndrome</w:t>
            </w:r>
          </w:p>
        </w:tc>
        <w:tc>
          <w:tcPr>
            <w:tcW w:w="1517" w:type="dxa"/>
          </w:tcPr>
          <w:p w14:paraId="37249C22" w14:textId="77777777" w:rsidR="007A56F4" w:rsidRDefault="00000000">
            <w:pPr>
              <w:spacing w:after="0" w:line="240" w:lineRule="auto"/>
            </w:pPr>
            <w:r>
              <w:rPr>
                <w:sz w:val="17"/>
              </w:rPr>
              <w:t>Strong increase in non-Hodgkin lymphoma</w:t>
            </w:r>
          </w:p>
        </w:tc>
        <w:tc>
          <w:tcPr>
            <w:tcW w:w="1517" w:type="dxa"/>
          </w:tcPr>
          <w:p w14:paraId="12869833" w14:textId="77777777" w:rsidR="007A56F4" w:rsidRDefault="00000000">
            <w:pPr>
              <w:spacing w:after="0" w:line="240" w:lineRule="auto"/>
            </w:pPr>
            <w:r>
              <w:rPr>
                <w:sz w:val="17"/>
              </w:rPr>
              <w:t>Pooled SIR 18.8</w:t>
            </w:r>
          </w:p>
        </w:tc>
        <w:tc>
          <w:tcPr>
            <w:tcW w:w="1517" w:type="dxa"/>
          </w:tcPr>
          <w:p w14:paraId="508999D1" w14:textId="77777777" w:rsidR="007A56F4" w:rsidRDefault="00000000">
            <w:pPr>
              <w:spacing w:after="0" w:line="240" w:lineRule="auto"/>
            </w:pPr>
            <w:r>
              <w:rPr>
                <w:sz w:val="17"/>
              </w:rPr>
              <w:t>Chronic B-cell stimulation</w:t>
            </w:r>
          </w:p>
        </w:tc>
        <w:tc>
          <w:tcPr>
            <w:tcW w:w="1517" w:type="dxa"/>
          </w:tcPr>
          <w:p w14:paraId="49DED718" w14:textId="77777777" w:rsidR="007A56F4" w:rsidRDefault="00000000">
            <w:pPr>
              <w:spacing w:after="0" w:line="240" w:lineRule="auto"/>
            </w:pPr>
            <w:r>
              <w:rPr>
                <w:sz w:val="17"/>
              </w:rPr>
              <w:t>Extreme heterogeneity; older cohorts</w:t>
            </w:r>
          </w:p>
        </w:tc>
        <w:tc>
          <w:tcPr>
            <w:tcW w:w="1644" w:type="dxa"/>
          </w:tcPr>
          <w:p w14:paraId="04EE8A57" w14:textId="77777777" w:rsidR="007A56F4" w:rsidRDefault="00000000">
            <w:pPr>
              <w:spacing w:after="0" w:line="240" w:lineRule="auto"/>
            </w:pPr>
            <w:r>
              <w:rPr>
                <w:sz w:val="17"/>
              </w:rPr>
              <w:t>Zintzaras et al. (2005)</w:t>
            </w:r>
          </w:p>
        </w:tc>
      </w:tr>
      <w:tr w:rsidR="007A56F4" w14:paraId="3FA499CB" w14:textId="77777777">
        <w:trPr>
          <w:jc w:val="center"/>
        </w:trPr>
        <w:tc>
          <w:tcPr>
            <w:tcW w:w="1361" w:type="dxa"/>
          </w:tcPr>
          <w:p w14:paraId="36817BDB" w14:textId="77777777" w:rsidR="007A56F4" w:rsidRDefault="00000000">
            <w:pPr>
              <w:spacing w:after="0" w:line="240" w:lineRule="auto"/>
            </w:pPr>
            <w:r>
              <w:rPr>
                <w:sz w:val="17"/>
              </w:rPr>
              <w:t>Systemic lupus erythematosus</w:t>
            </w:r>
          </w:p>
        </w:tc>
        <w:tc>
          <w:tcPr>
            <w:tcW w:w="1517" w:type="dxa"/>
          </w:tcPr>
          <w:p w14:paraId="20793EAD" w14:textId="77777777" w:rsidR="007A56F4" w:rsidRDefault="00000000">
            <w:pPr>
              <w:spacing w:after="0" w:line="240" w:lineRule="auto"/>
            </w:pPr>
            <w:r>
              <w:rPr>
                <w:sz w:val="17"/>
              </w:rPr>
              <w:t>Increase in haematological, vulval, lung and thyroid cancer; decrease in breast, endometrial and prostate cancer</w:t>
            </w:r>
          </w:p>
        </w:tc>
        <w:tc>
          <w:tcPr>
            <w:tcW w:w="1517" w:type="dxa"/>
          </w:tcPr>
          <w:p w14:paraId="66663C93" w14:textId="77777777" w:rsidR="007A56F4" w:rsidRDefault="00000000">
            <w:pPr>
              <w:spacing w:after="0" w:line="240" w:lineRule="auto"/>
            </w:pPr>
            <w:r>
              <w:rPr>
                <w:sz w:val="17"/>
              </w:rPr>
              <w:t>NHL SIR 4.39; overall SIR 1.14</w:t>
            </w:r>
          </w:p>
        </w:tc>
        <w:tc>
          <w:tcPr>
            <w:tcW w:w="1517" w:type="dxa"/>
          </w:tcPr>
          <w:p w14:paraId="7B2EC969" w14:textId="77777777" w:rsidR="007A56F4" w:rsidRDefault="00000000">
            <w:pPr>
              <w:spacing w:after="0" w:line="240" w:lineRule="auto"/>
            </w:pPr>
            <w:r>
              <w:rPr>
                <w:sz w:val="17"/>
              </w:rPr>
              <w:t>Immune dysregulation; treatment; viral factors</w:t>
            </w:r>
          </w:p>
        </w:tc>
        <w:tc>
          <w:tcPr>
            <w:tcW w:w="1517" w:type="dxa"/>
          </w:tcPr>
          <w:p w14:paraId="4CF1C491" w14:textId="77777777" w:rsidR="007A56F4" w:rsidRDefault="00000000">
            <w:pPr>
              <w:spacing w:after="0" w:line="240" w:lineRule="auto"/>
            </w:pPr>
            <w:r>
              <w:rPr>
                <w:sz w:val="17"/>
              </w:rPr>
              <w:t>Mechanisms of inverse associations</w:t>
            </w:r>
          </w:p>
        </w:tc>
        <w:tc>
          <w:tcPr>
            <w:tcW w:w="1644" w:type="dxa"/>
          </w:tcPr>
          <w:p w14:paraId="720EDF97" w14:textId="77777777" w:rsidR="007A56F4" w:rsidRDefault="00000000">
            <w:pPr>
              <w:spacing w:after="0" w:line="240" w:lineRule="auto"/>
            </w:pPr>
            <w:r>
              <w:rPr>
                <w:sz w:val="17"/>
              </w:rPr>
              <w:t>Bernatsky et al. (2013); L. Song et al. (2018)</w:t>
            </w:r>
          </w:p>
        </w:tc>
      </w:tr>
      <w:tr w:rsidR="007A56F4" w14:paraId="1A58397C" w14:textId="77777777">
        <w:trPr>
          <w:jc w:val="center"/>
        </w:trPr>
        <w:tc>
          <w:tcPr>
            <w:tcW w:w="1361" w:type="dxa"/>
          </w:tcPr>
          <w:p w14:paraId="28ACD6FE" w14:textId="77777777" w:rsidR="007A56F4" w:rsidRDefault="00000000">
            <w:pPr>
              <w:spacing w:after="0" w:line="240" w:lineRule="auto"/>
            </w:pPr>
            <w:r>
              <w:rPr>
                <w:sz w:val="17"/>
              </w:rPr>
              <w:t>Rheumatoid arthritis</w:t>
            </w:r>
          </w:p>
        </w:tc>
        <w:tc>
          <w:tcPr>
            <w:tcW w:w="1517" w:type="dxa"/>
          </w:tcPr>
          <w:p w14:paraId="09C08460" w14:textId="77777777" w:rsidR="007A56F4" w:rsidRDefault="00000000">
            <w:pPr>
              <w:spacing w:after="0" w:line="240" w:lineRule="auto"/>
            </w:pPr>
            <w:r>
              <w:rPr>
                <w:sz w:val="17"/>
              </w:rPr>
              <w:t>Increase in lymphoma related to inflammatory burden; decrease in colon, breast and uterine cancer</w:t>
            </w:r>
          </w:p>
        </w:tc>
        <w:tc>
          <w:tcPr>
            <w:tcW w:w="1517" w:type="dxa"/>
          </w:tcPr>
          <w:p w14:paraId="39A30FE5" w14:textId="77777777" w:rsidR="007A56F4" w:rsidRDefault="00000000">
            <w:pPr>
              <w:spacing w:after="0" w:line="240" w:lineRule="auto"/>
            </w:pPr>
            <w:r>
              <w:rPr>
                <w:sz w:val="17"/>
              </w:rPr>
              <w:t>Lymphoma odds ratio 61.6 in highest decile of disease activity</w:t>
            </w:r>
          </w:p>
        </w:tc>
        <w:tc>
          <w:tcPr>
            <w:tcW w:w="1517" w:type="dxa"/>
          </w:tcPr>
          <w:p w14:paraId="3FA5A6CC" w14:textId="77777777" w:rsidR="007A56F4" w:rsidRDefault="00000000">
            <w:pPr>
              <w:spacing w:after="0" w:line="240" w:lineRule="auto"/>
            </w:pPr>
            <w:r>
              <w:rPr>
                <w:sz w:val="17"/>
              </w:rPr>
              <w:t>Cumulative inflammation; anti-inflammatory drugs</w:t>
            </w:r>
          </w:p>
        </w:tc>
        <w:tc>
          <w:tcPr>
            <w:tcW w:w="1517" w:type="dxa"/>
          </w:tcPr>
          <w:p w14:paraId="50FCBB72" w14:textId="77777777" w:rsidR="007A56F4" w:rsidRDefault="00000000">
            <w:pPr>
              <w:spacing w:after="0" w:line="240" w:lineRule="auto"/>
            </w:pPr>
            <w:r>
              <w:rPr>
                <w:sz w:val="17"/>
              </w:rPr>
              <w:t>Drug-specific effects of newer agents</w:t>
            </w:r>
          </w:p>
        </w:tc>
        <w:tc>
          <w:tcPr>
            <w:tcW w:w="1644" w:type="dxa"/>
          </w:tcPr>
          <w:p w14:paraId="0AAFEE5E" w14:textId="77777777" w:rsidR="007A56F4" w:rsidRDefault="00000000">
            <w:pPr>
              <w:spacing w:after="0" w:line="240" w:lineRule="auto"/>
            </w:pPr>
            <w:r>
              <w:rPr>
                <w:sz w:val="17"/>
              </w:rPr>
              <w:t>Baecklund et al. (2006); Fischer et al. (2024); Hemminki et al. (2012); Mercer et al. (2017)</w:t>
            </w:r>
          </w:p>
        </w:tc>
      </w:tr>
      <w:tr w:rsidR="007A56F4" w14:paraId="2A63023E" w14:textId="77777777">
        <w:trPr>
          <w:jc w:val="center"/>
        </w:trPr>
        <w:tc>
          <w:tcPr>
            <w:tcW w:w="1361" w:type="dxa"/>
          </w:tcPr>
          <w:p w14:paraId="45A1F967" w14:textId="77777777" w:rsidR="007A56F4" w:rsidRDefault="00000000">
            <w:pPr>
              <w:spacing w:after="0" w:line="240" w:lineRule="auto"/>
            </w:pPr>
            <w:r>
              <w:rPr>
                <w:sz w:val="17"/>
              </w:rPr>
              <w:t>Ulcerative colitis</w:t>
            </w:r>
          </w:p>
        </w:tc>
        <w:tc>
          <w:tcPr>
            <w:tcW w:w="1517" w:type="dxa"/>
          </w:tcPr>
          <w:p w14:paraId="71E9B676" w14:textId="77777777" w:rsidR="007A56F4" w:rsidRDefault="00000000">
            <w:pPr>
              <w:spacing w:after="0" w:line="240" w:lineRule="auto"/>
            </w:pPr>
            <w:r>
              <w:rPr>
                <w:sz w:val="17"/>
              </w:rPr>
              <w:t>Increase in colorectal cancer, declining over time</w:t>
            </w:r>
          </w:p>
        </w:tc>
        <w:tc>
          <w:tcPr>
            <w:tcW w:w="1517" w:type="dxa"/>
          </w:tcPr>
          <w:p w14:paraId="2E09C91A" w14:textId="77777777" w:rsidR="007A56F4" w:rsidRDefault="00000000">
            <w:pPr>
              <w:spacing w:after="0" w:line="240" w:lineRule="auto"/>
            </w:pPr>
            <w:r>
              <w:rPr>
                <w:sz w:val="17"/>
              </w:rPr>
              <w:t>Hazard ratio 1.66 overall; 1.38 in 2013 to 2017</w:t>
            </w:r>
          </w:p>
        </w:tc>
        <w:tc>
          <w:tcPr>
            <w:tcW w:w="1517" w:type="dxa"/>
          </w:tcPr>
          <w:p w14:paraId="4874A437" w14:textId="77777777" w:rsidR="007A56F4" w:rsidRDefault="00000000">
            <w:pPr>
              <w:spacing w:after="0" w:line="240" w:lineRule="auto"/>
            </w:pPr>
            <w:r>
              <w:rPr>
                <w:sz w:val="17"/>
              </w:rPr>
              <w:t>Mucosal inflammation; surveillance effects</w:t>
            </w:r>
          </w:p>
        </w:tc>
        <w:tc>
          <w:tcPr>
            <w:tcW w:w="1517" w:type="dxa"/>
          </w:tcPr>
          <w:p w14:paraId="3DCCAD8B" w14:textId="77777777" w:rsidR="007A56F4" w:rsidRDefault="00000000">
            <w:pPr>
              <w:spacing w:after="0" w:line="240" w:lineRule="auto"/>
            </w:pPr>
            <w:r>
              <w:rPr>
                <w:sz w:val="17"/>
              </w:rPr>
              <w:t>Contribution of surveillance to decline</w:t>
            </w:r>
          </w:p>
        </w:tc>
        <w:tc>
          <w:tcPr>
            <w:tcW w:w="1644" w:type="dxa"/>
          </w:tcPr>
          <w:p w14:paraId="702A85FC" w14:textId="77777777" w:rsidR="007A56F4" w:rsidRDefault="00000000">
            <w:pPr>
              <w:spacing w:after="0" w:line="240" w:lineRule="auto"/>
            </w:pPr>
            <w:r>
              <w:rPr>
                <w:sz w:val="17"/>
              </w:rPr>
              <w:t>Olén et al. (2020)</w:t>
            </w:r>
          </w:p>
        </w:tc>
      </w:tr>
      <w:tr w:rsidR="007A56F4" w14:paraId="1B584927" w14:textId="77777777">
        <w:trPr>
          <w:jc w:val="center"/>
        </w:trPr>
        <w:tc>
          <w:tcPr>
            <w:tcW w:w="1361" w:type="dxa"/>
          </w:tcPr>
          <w:p w14:paraId="3359DB5E" w14:textId="77777777" w:rsidR="007A56F4" w:rsidRDefault="00000000">
            <w:pPr>
              <w:spacing w:after="0" w:line="240" w:lineRule="auto"/>
            </w:pPr>
            <w:r>
              <w:rPr>
                <w:sz w:val="17"/>
              </w:rPr>
              <w:t>Pernicious anaemia and other autoimmune gastric conditions</w:t>
            </w:r>
          </w:p>
        </w:tc>
        <w:tc>
          <w:tcPr>
            <w:tcW w:w="1517" w:type="dxa"/>
          </w:tcPr>
          <w:p w14:paraId="19416CA2" w14:textId="77777777" w:rsidR="007A56F4" w:rsidRDefault="00000000">
            <w:pPr>
              <w:spacing w:after="0" w:line="240" w:lineRule="auto"/>
            </w:pPr>
            <w:r>
              <w:rPr>
                <w:sz w:val="17"/>
              </w:rPr>
              <w:t>Increase in gastric cancer</w:t>
            </w:r>
          </w:p>
        </w:tc>
        <w:tc>
          <w:tcPr>
            <w:tcW w:w="1517" w:type="dxa"/>
          </w:tcPr>
          <w:p w14:paraId="7DF14143" w14:textId="77777777" w:rsidR="007A56F4" w:rsidRDefault="00000000">
            <w:pPr>
              <w:spacing w:after="0" w:line="240" w:lineRule="auto"/>
            </w:pPr>
            <w:r>
              <w:rPr>
                <w:sz w:val="17"/>
              </w:rPr>
              <w:t>Pooled relative risk 2.84</w:t>
            </w:r>
          </w:p>
        </w:tc>
        <w:tc>
          <w:tcPr>
            <w:tcW w:w="1517" w:type="dxa"/>
          </w:tcPr>
          <w:p w14:paraId="2B61B34F" w14:textId="77777777" w:rsidR="007A56F4" w:rsidRDefault="00000000">
            <w:pPr>
              <w:spacing w:after="0" w:line="240" w:lineRule="auto"/>
            </w:pPr>
            <w:r>
              <w:rPr>
                <w:sz w:val="17"/>
              </w:rPr>
              <w:t>Autoimmune atrophic gastritis</w:t>
            </w:r>
          </w:p>
        </w:tc>
        <w:tc>
          <w:tcPr>
            <w:tcW w:w="1517" w:type="dxa"/>
          </w:tcPr>
          <w:p w14:paraId="5E289CDD" w14:textId="77777777" w:rsidR="007A56F4" w:rsidRDefault="00000000">
            <w:pPr>
              <w:spacing w:after="0" w:line="240" w:lineRule="auto"/>
            </w:pPr>
            <w:r>
              <w:rPr>
                <w:sz w:val="17"/>
              </w:rPr>
              <w:t xml:space="preserve">Interaction with </w:t>
            </w:r>
            <w:r>
              <w:rPr>
                <w:i/>
                <w:sz w:val="17"/>
              </w:rPr>
              <w:t>Helicobacter pylori</w:t>
            </w:r>
          </w:p>
        </w:tc>
        <w:tc>
          <w:tcPr>
            <w:tcW w:w="1644" w:type="dxa"/>
          </w:tcPr>
          <w:p w14:paraId="5716A8D8" w14:textId="77777777" w:rsidR="007A56F4" w:rsidRDefault="00000000">
            <w:pPr>
              <w:spacing w:after="0" w:line="240" w:lineRule="auto"/>
            </w:pPr>
            <w:r>
              <w:rPr>
                <w:sz w:val="17"/>
              </w:rPr>
              <w:t>M. Song et al. (2019)</w:t>
            </w:r>
          </w:p>
        </w:tc>
      </w:tr>
    </w:tbl>
    <w:p w14:paraId="24FB191D" w14:textId="77777777" w:rsidR="007A56F4" w:rsidRDefault="00000000">
      <w:pPr>
        <w:spacing w:after="240" w:line="240" w:lineRule="auto"/>
      </w:pPr>
      <w:r>
        <w:rPr>
          <w:i/>
          <w:sz w:val="18"/>
        </w:rPr>
        <w:t xml:space="preserve">Note. </w:t>
      </w:r>
      <w:r>
        <w:rPr>
          <w:sz w:val="18"/>
        </w:rPr>
        <w:t>NHL, non-Hodgkin lymphoma; SIR, standardised incidence ratio. Estimates are illustrative of the magnitude reported in the cited studies and are not directly comparable across rows because reference populations and designs differ.</w:t>
      </w:r>
    </w:p>
    <w:p w14:paraId="4FFF2D00" w14:textId="77777777" w:rsidR="007A56F4" w:rsidRDefault="00000000">
      <w:pPr>
        <w:pStyle w:val="Heading1"/>
      </w:pPr>
      <w:r>
        <w:t>6. Cancer as a Trigger of Autoimmunity and of Diabetes</w:t>
      </w:r>
    </w:p>
    <w:p w14:paraId="0B6E2D13" w14:textId="77777777" w:rsidR="007A56F4" w:rsidRDefault="00000000">
      <w:pPr>
        <w:pStyle w:val="Heading2"/>
      </w:pPr>
      <w:r>
        <w:t>6.1 Tumour-Initiated Autoimmunity</w:t>
      </w:r>
    </w:p>
    <w:p w14:paraId="1CC3DDBD" w14:textId="77777777" w:rsidR="007A56F4" w:rsidRDefault="00000000">
      <w:pPr>
        <w:jc w:val="both"/>
      </w:pPr>
      <w:r>
        <w:t xml:space="preserve">The reverse direction, in which cancer causes autoimmune disease, provides some of the most mechanistically convincing evidence in the field. Dermatomyositis has a strong temporal association with malignancy. A pooled analysis of national data from Sweden, Denmark and Finland found an SIR of 3.0 for cancer in dermatomyositis, with particularly high risks for ovarian, lung, pancreatic, stomach and colorectal cancer, and the risk was highest around the time of myositis diagnosis (Hill et al., 2001). An autoantibody against a 155-kDa protein, termed anti-p155, identifies patients at high risk. A meta-analysis of six studies reported a </w:t>
      </w:r>
      <w:r>
        <w:lastRenderedPageBreak/>
        <w:t>pooled sensitivity of 78% and specificity of 89% for cancer-associated dermatomyositis, with a negative predictive value of 95% at the pooled prevalence (Trallero-Araguás et al., 2012).</w:t>
      </w:r>
    </w:p>
    <w:p w14:paraId="211E591B" w14:textId="77777777" w:rsidR="007A56F4" w:rsidRDefault="00000000">
      <w:pPr>
        <w:jc w:val="both"/>
      </w:pPr>
      <w:r>
        <w:t xml:space="preserve">Systemic sclerosis supplied direct evidence of tumour-initiated autoimmunity. In patients with scleroderma and antibodies against RNA polymerase III subunit RPC1, genetic alterations of the </w:t>
      </w:r>
      <w:r>
        <w:rPr>
          <w:i/>
        </w:rPr>
        <w:t>POLR3A</w:t>
      </w:r>
      <w:r>
        <w:t xml:space="preserve"> locus were found in the tumours of six of eight patients but in none of eight patients without these antibodies, and analyses of lymphocytes and serum suggested that the mutations triggered cellular immunity and cross-reactive humoral responses (Joseph et al., 2014). This small but carefully designed study supports a model in which an immune response against a mutated tumour antigen spreads to the wild-type self-protein and produces systemic autoimmune disease, while perhaps also controlling the cancer.</w:t>
      </w:r>
    </w:p>
    <w:p w14:paraId="244D1230" w14:textId="77777777" w:rsidR="007A56F4" w:rsidRDefault="00000000">
      <w:pPr>
        <w:jc w:val="both"/>
      </w:pPr>
      <w:r>
        <w:t>Paraneoplastic neurological syndromes represent the extreme of this spectrum. Updated diagnostic criteria classify antibodies as high risk when more than 70% of associated cases have cancer and include recommendations for similar syndromes triggered by ICIs (Graus et al., 2021). The inclusion of ICI-induced syndromes within these criteria indicates that tumour-initiated and drug-initiated autoimmunity are increasingly recognised as overlapping phenomena.</w:t>
      </w:r>
    </w:p>
    <w:p w14:paraId="3BBF89D0" w14:textId="77777777" w:rsidR="007A56F4" w:rsidRDefault="00000000">
      <w:pPr>
        <w:jc w:val="both"/>
      </w:pPr>
      <w:r>
        <w:t>These observations have practical and conceptual implications. Practically, new-onset dermatomyositis or antibody-defined scleroderma warrants a targeted search for cancer. Conceptually, they show that some associations between autoimmunity and cancer reflect cancer causing autoimmunity, which inflates apparent autoimmunity-to-cancer associations when follow-up begins at autoimmune diagnosis. Studies that exclude the first year after autoimmune diagnosis reduce but do not eliminate this reverse causation.</w:t>
      </w:r>
    </w:p>
    <w:p w14:paraId="3E16CA41" w14:textId="77777777" w:rsidR="007A56F4" w:rsidRDefault="00000000">
      <w:pPr>
        <w:pStyle w:val="Heading2"/>
      </w:pPr>
      <w:r>
        <w:t>6.2 Pancreatic Cancer-Associated Diabetes</w:t>
      </w:r>
    </w:p>
    <w:p w14:paraId="0B59E35A" w14:textId="77777777" w:rsidR="007A56F4" w:rsidRDefault="00000000">
      <w:pPr>
        <w:jc w:val="both"/>
      </w:pPr>
      <w:r>
        <w:t>Diabetes can be both a risk factor for PDAC and a consequence of it, and distinguishing these relations is one of the most practically important problems at the intersection of the three disease groups. Up to 80% of patients with pancreatic cancer are hyperglycaemic or diabetic, diabetes often improves after tumour resection, and older people with new-onset diabetes have been estimated to have about an eight-fold higher risk of pancreatic cancer than the general population (Pannala et al., 2009). These observations indicate that a proportion of apparently new T2D is a paraneoplastic phenomenon, a form of type 3c diabetes (Hart et al., 2016).</w:t>
      </w:r>
    </w:p>
    <w:p w14:paraId="1273AEF7" w14:textId="77777777" w:rsidR="007A56F4" w:rsidRDefault="00000000">
      <w:pPr>
        <w:jc w:val="both"/>
      </w:pPr>
      <w:r>
        <w:lastRenderedPageBreak/>
        <w:t>The practical question is whether new-onset diabetes can be used to enrich a population for early PDAC detection. About 1% of people older than 50 years with new-onset diabetes are diagnosed with pancreatic cancer within three years (Sharma et al., 2018). The Enriching New-Onset Diabetes for Pancreatic Cancer (ENDPAC) model, based on weight change, change in glycaemia and age at onset, achieved an area under the receiver operating characteristic curve of 0.87 in its discovery cohort and identified seven of nine cancers with 85% specificity in validation, although the validation cohort included few cases (Sharma et al., 2018). An independent retrospective validation found a lower area under the curve of 0.72, with sensitivity of 56% and specificity of 75% at the optimal cut-off (Khan et al., 2021). The attenuation in external performance is typical of prediction models and indicates that further refinement, probably with biomarkers that distinguish paraneoplastic from ordinary T2D, is required before implementation (Pannala et al., 2009).</w:t>
      </w:r>
    </w:p>
    <w:p w14:paraId="7B0C0734" w14:textId="77777777" w:rsidR="007A56F4" w:rsidRDefault="00000000">
      <w:pPr>
        <w:jc w:val="both"/>
      </w:pPr>
      <w:r>
        <w:t>The existence of cancer-caused diabetes also has a methodological consequence for Section 4. It inflates observational associations between T2D and pancreatic cancer in the first years after diabetes diagnosis, which is one reason why Mendelian randomisation results for pancreatic cancer are more modest than observational estimates (Carreras-Torres et al., 2017; S. Yuan et al., 2020).</w:t>
      </w:r>
    </w:p>
    <w:p w14:paraId="177D4F0D" w14:textId="77777777" w:rsidR="007A56F4" w:rsidRDefault="00000000">
      <w:pPr>
        <w:pStyle w:val="Heading2"/>
      </w:pPr>
      <w:r>
        <w:t>6.3 Diabetes After Cancer</w:t>
      </w:r>
    </w:p>
    <w:p w14:paraId="3D4E749F" w14:textId="77777777" w:rsidR="007A56F4" w:rsidRDefault="00000000">
      <w:pPr>
        <w:jc w:val="both"/>
      </w:pPr>
      <w:r>
        <w:t xml:space="preserve">Cancer more generally is associated with subsequent diabetes. In a Korean national cohort of 494,189 adults without diabetes at baseline, incident cancer was associated with a hazard ratio of 1.35 for subsequent diabetes after adjustment for pre-cancer risk factors, with the highest risk after pancreatic cancer and increased risks after cancers of the kidney, liver, gallbladder, lung, blood, breast, stomach and thyroid (Hwangbo et al., 2018). The excess was greatest in the first two years after cancer diagnosis but persisted. Mechanisms include pancreatic damage, glucocorticoids and other treatments, and targeted agents that disrupt insulin signalling. Inhibition of phosphoinositide 3-kinase alpha provides a clear example: in a phase III trial of alpelisib plus fulvestrant for </w:t>
      </w:r>
      <w:r>
        <w:rPr>
          <w:i/>
        </w:rPr>
        <w:t>PIK3CA</w:t>
      </w:r>
      <w:r>
        <w:t>-mutated advanced breast cancer, grade 3 or 4 hyperglycaemia occurred in 36.6% of patients receiving alpelisib compared with 0.7% receiving placebo (André et al., 2019). Such treatment-induced hyperglycaemia resembles insulin-resistant diabetes, whereas ICI-associated diabetes resembles insulin-deficient autoimmune diabetes (Shariff et al., 2019). The contrast illustrates the need to specify the mechanism when diabetes is recorded as an outcome in cancer survivors.</w:t>
      </w:r>
    </w:p>
    <w:p w14:paraId="05DCDBDF" w14:textId="77777777" w:rsidR="007A56F4" w:rsidRDefault="00000000">
      <w:pPr>
        <w:pStyle w:val="Heading1"/>
      </w:pPr>
      <w:r>
        <w:lastRenderedPageBreak/>
        <w:t>7. Immune Checkpoint Inhibition as an Experimental Model at the Intersection</w:t>
      </w:r>
    </w:p>
    <w:p w14:paraId="04EBA0E7" w14:textId="77777777" w:rsidR="007A56F4" w:rsidRDefault="00000000">
      <w:pPr>
        <w:pStyle w:val="Heading2"/>
      </w:pPr>
      <w:r>
        <w:t>7.1 The PD-1 Pathway and Islet Tolerance</w:t>
      </w:r>
    </w:p>
    <w:p w14:paraId="5E887BCF" w14:textId="77777777" w:rsidR="007A56F4" w:rsidRDefault="00000000">
      <w:pPr>
        <w:jc w:val="both"/>
      </w:pPr>
      <w:r>
        <w:t>ICIs provide an unusual opportunity to observe, in humans, what happens when tolerance mechanisms that protect islets are deliberately removed in order to enhance anti-tumour immunity. Experimental work predicted the clinical pattern. In NOD mice, blockade of PD-1 or PD-L1, but not of PD-L2, rapidly precipitated diabetes at any age, whereas CTLA-4 blockade induced disease only in neonates, and PD-L1 was expressed on inflamed islets (Ansari et al., 2003). In a later study, anti-PD-L1 but not anti-CTLA-4 treatment induced diabetes rapidly in NOD mice, with islet infiltration by cytolytic CD8-positive T cells producing interferon-gamma (IFN-γ) (Perdigoto et al., 2022). IFN-γ and tumour necrosis factor-alpha (TNF-α) altered beta-cell transcription, induced checkpoint ligand expression and activated apoptotic pathways, and treatment with antibodies against both cytokines prevented diabetes in anti-PD-L1-treated mice. Pancreatic inflammation and shrinkage were also observed in affected patients. These results suggest that beta cells upregulate PD-L1 as a protective response to inflammation and become vulnerable when that protection is removed.</w:t>
      </w:r>
    </w:p>
    <w:p w14:paraId="35028F63" w14:textId="77777777" w:rsidR="007A56F4" w:rsidRDefault="00000000">
      <w:pPr>
        <w:pStyle w:val="Heading2"/>
      </w:pPr>
      <w:r>
        <w:t>7.2 Clinical Phenotype of Checkpoint Inhibitor-Associated Diabetes</w:t>
      </w:r>
    </w:p>
    <w:p w14:paraId="3E43A4FA" w14:textId="77777777" w:rsidR="007A56F4" w:rsidRDefault="00000000">
      <w:pPr>
        <w:jc w:val="both"/>
      </w:pPr>
      <w:r>
        <w:t>In a review of cases at two academic institutions over six years, insulin-dependent diabetes occurred in 27 patients, an incidence of 0.9%, all of whom had received anti-PD-1 or anti-PD-L1 antibodies (Stamatouli et al., 2018). Diabetic ketoacidosis was present at presentation in 59%, 40% had at least one islet autoantibody, and human leucocyte antigen (HLA)-DR4 was present in 76%. At a quaternary melanoma centre, 1.9% of 538 patients treated with anti-PD-1-based therapy developed the condition (Tsang et al., 2019). Most of those patients lacked islet autoantibodies and high-risk HLA haplotypes, and C-peptide was normal shortly before onset and inappropriately low soon afterwards, indicating abrupt and permanent beta-cell failure.</w:t>
      </w:r>
    </w:p>
    <w:p w14:paraId="441CE6C2" w14:textId="77777777" w:rsidR="007A56F4" w:rsidRDefault="00000000">
      <w:pPr>
        <w:jc w:val="both"/>
      </w:pPr>
      <w:r>
        <w:t xml:space="preserve">Pooled analyses of published cases give a consistent picture despite their reliance on reported cases. A systematic review of 71 cases found a median time to onset of 49 days, ketoacidosis in 76%, universal need for permanent insulin, and islet autoantibodies in half of cases, with antibody-positive patients showing more rapid onset and more frequent ketoacidosis (Akturk et al., 2019). A review of 90 cases reported ketoacidosis in 71%, raised lipase in about half of those tested, islet autoantibodies in 53% and susceptible HLA genotypes in 65% (de Filette et al., 2019). The most recent systematic review applied explicit diagnostic criteria to 192 </w:t>
      </w:r>
      <w:r>
        <w:lastRenderedPageBreak/>
        <w:t>patients and found that 99.5% had received anti-PD-1 or anti-PD-L1 therapy, the median time to onset was 12 weeks, ketoacidosis occurred in 69.7%, and autoantibodies were present in 40.4% and associated with earlier and more severe presentation (Wu et al., 2023). Analysis of the World Health Organization pharmacovigilance database identified 283 cases between 2014 and April 2018, with more than half reported in 2017, reflecting expanding use of these drugs (Wright et al., 2018).</w:t>
      </w:r>
    </w:p>
    <w:p w14:paraId="23CD7573" w14:textId="77777777" w:rsidR="007A56F4" w:rsidRDefault="00000000">
      <w:pPr>
        <w:jc w:val="both"/>
      </w:pPr>
      <w:r>
        <w:t>The accumulated evidence supports the conclusion that checkpoint inhibitor-associated diabetes is a distinct autoimmune phenotype rather than accelerated classical T1D (Quandt et al., 2020; Tsang et al., 2019). It is predominantly associated with PD-1 pathway blockade, often presents with ketoacidosis, progresses rapidly to complete insulin deficiency, and less often shows the islet autoantibodies and HLA risk haplotypes characteristic of classical T1D (Tsang et al., 2019). The overrepresentation of HLA-DR4 in some series suggests a genetic contribution, but HLA typing has been reported for a minority of patients, and differences between series probably reflect referral patterns and the definition of cases. The incidence estimates derive from single or paired institutions, and a meta-analysis of randomised trials that quantified endocrine adverse events across ICI regimens showed that such events vary substantially by drug class and combination (Barroso-Sousa et al., 2018). Precise population incidence therefore remains uncertain.</w:t>
      </w:r>
    </w:p>
    <w:p w14:paraId="1C1F6F82" w14:textId="77777777" w:rsidR="007A56F4" w:rsidRDefault="00000000">
      <w:pPr>
        <w:pStyle w:val="Heading2"/>
      </w:pPr>
      <w:r>
        <w:t>7.3 Pre-Existing Autoimmune Disease and Checkpoint Inhibition</w:t>
      </w:r>
    </w:p>
    <w:p w14:paraId="7D058093" w14:textId="77777777" w:rsidR="007A56F4" w:rsidRDefault="00000000">
      <w:pPr>
        <w:jc w:val="both"/>
      </w:pPr>
      <w:r>
        <w:t>Because clinical trials of ICIs excluded patients with significant autoimmune disease, the evidence on this population is retrospective. Among 30 patients with advanced melanoma and pre-existing autoimmune disorders treated with ipilimumab, 27% experienced exacerbations requiring systemic treatment and 33% developed grade 3 to 5 conventional immune-related adverse events (Johnson et al., 2016). Among 52 patients with pre-existing autoimmune disorders treated with anti-PD-1 therapy, 38% had a flare requiring immunosuppression, but only 4% discontinued treatment for that reason and the response rate was 33% (Menzies et al., 2017). A synthesis of subsequent evidence concluded that ICIs have an acceptable safety profile in carefully selected patients, while noting uncertainty about whether immunosuppression at initiation impairs anti-tumour efficacy and raising the possibility that inhibitors of TNF or interleukin-6 might separate toxicity from efficacy (Tison et al., 2022). These data are subject to selection bias, because clinicians are likely to have treated patients with mild or quiescent autoimmune disease, and they cannot be extrapolated to patients with active severe disease.</w:t>
      </w:r>
    </w:p>
    <w:p w14:paraId="57228A00" w14:textId="77777777" w:rsidR="007A56F4" w:rsidRDefault="00000000">
      <w:pPr>
        <w:pStyle w:val="Heading2"/>
      </w:pPr>
      <w:r>
        <w:lastRenderedPageBreak/>
        <w:t>7.4 Immune-Related Adverse Events and Anti-Tumour Efficacy</w:t>
      </w:r>
    </w:p>
    <w:p w14:paraId="631512EA" w14:textId="77777777" w:rsidR="007A56F4" w:rsidRDefault="00000000">
      <w:pPr>
        <w:jc w:val="both"/>
      </w:pPr>
      <w:r>
        <w:t>The observation that immune-related adverse events are associated with better outcomes after anti-PD-1 and anti-PD-L1 therapy is consistent with the tolerance and immunity trade-off, and several studies have reported improved progression-free survival, overall survival and response rates among patients who experience such events (Das &amp; Johnson, 2019). The association has not been found consistently for anti-CTLA-4 therapy. Its interpretation is complicated because patients must survive and remain on treatment long enough to develop an adverse event, a time-related bias analogous to that described in pharmacoepidemiology (Suissa &amp; Azoulay, 2012). Whether checkpoint inhibitor-associated diabetes specifically predicts tumour response is unknown. The small melanoma series in which eight of ten affected patients had a complete or partial response (Tsang et al., 2019) is compatible with such an association but far too small to establish it.</w:t>
      </w:r>
    </w:p>
    <w:p w14:paraId="3A8390F2" w14:textId="77777777" w:rsidR="007A56F4" w:rsidRDefault="00000000">
      <w:pPr>
        <w:jc w:val="both"/>
      </w:pPr>
      <w:r>
        <w:t>Table 4 compares checkpoint inhibitor-associated diabetes with classical T1D. The discussion in this section shows that the two conditions share insulin deficiency and, in some patients, autoantibodies and HLA susceptibility, but differ in tempo, antibody prevalence and trigger. The table highlights these differences and indicates that the evidence for the drug-induced form is derived largely from case series and systematic reviews of published cases, which limits the precision of the proportions reported.</w:t>
      </w:r>
    </w:p>
    <w:p w14:paraId="645C6A01" w14:textId="77777777" w:rsidR="007A56F4" w:rsidRDefault="00000000">
      <w:pPr>
        <w:keepNext/>
        <w:spacing w:before="120"/>
      </w:pPr>
      <w:r>
        <w:rPr>
          <w:b/>
          <w:sz w:val="21"/>
        </w:rPr>
        <w:t xml:space="preserve">Table 4. </w:t>
      </w:r>
      <w:r>
        <w:rPr>
          <w:sz w:val="21"/>
        </w:rPr>
        <w:t>Comparison of checkpoint inhibitor-associated diabetes with classical type 1 diabetes</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2"/>
        <w:gridCol w:w="2022"/>
        <w:gridCol w:w="2022"/>
        <w:gridCol w:w="2022"/>
        <w:gridCol w:w="1644"/>
      </w:tblGrid>
      <w:tr w:rsidR="007A56F4" w14:paraId="35CADC27" w14:textId="77777777">
        <w:trPr>
          <w:tblHeader/>
          <w:jc w:val="center"/>
        </w:trPr>
        <w:tc>
          <w:tcPr>
            <w:tcW w:w="1361" w:type="dxa"/>
            <w:shd w:val="clear" w:color="auto" w:fill="E7E6E6"/>
          </w:tcPr>
          <w:p w14:paraId="485B9D40" w14:textId="77777777" w:rsidR="007A56F4" w:rsidRDefault="00000000">
            <w:pPr>
              <w:spacing w:after="0" w:line="240" w:lineRule="auto"/>
            </w:pPr>
            <w:r>
              <w:rPr>
                <w:b/>
                <w:sz w:val="17"/>
              </w:rPr>
              <w:t>Feature</w:t>
            </w:r>
          </w:p>
        </w:tc>
        <w:tc>
          <w:tcPr>
            <w:tcW w:w="2022" w:type="dxa"/>
            <w:shd w:val="clear" w:color="auto" w:fill="E7E6E6"/>
          </w:tcPr>
          <w:p w14:paraId="7DAC87DF" w14:textId="77777777" w:rsidR="007A56F4" w:rsidRDefault="00000000">
            <w:pPr>
              <w:spacing w:after="0" w:line="240" w:lineRule="auto"/>
            </w:pPr>
            <w:r>
              <w:rPr>
                <w:b/>
                <w:sz w:val="17"/>
              </w:rPr>
              <w:t>Checkpoint inhibitor-associated diabetes</w:t>
            </w:r>
          </w:p>
        </w:tc>
        <w:tc>
          <w:tcPr>
            <w:tcW w:w="2022" w:type="dxa"/>
            <w:shd w:val="clear" w:color="auto" w:fill="E7E6E6"/>
          </w:tcPr>
          <w:p w14:paraId="5EE57E3B" w14:textId="77777777" w:rsidR="007A56F4" w:rsidRDefault="00000000">
            <w:pPr>
              <w:spacing w:after="0" w:line="240" w:lineRule="auto"/>
            </w:pPr>
            <w:r>
              <w:rPr>
                <w:b/>
                <w:sz w:val="17"/>
              </w:rPr>
              <w:t>Classical type 1 diabetes</w:t>
            </w:r>
          </w:p>
        </w:tc>
        <w:tc>
          <w:tcPr>
            <w:tcW w:w="2022" w:type="dxa"/>
            <w:shd w:val="clear" w:color="auto" w:fill="E7E6E6"/>
          </w:tcPr>
          <w:p w14:paraId="25287FF7" w14:textId="77777777" w:rsidR="007A56F4" w:rsidRDefault="00000000">
            <w:pPr>
              <w:spacing w:after="0" w:line="240" w:lineRule="auto"/>
            </w:pPr>
            <w:r>
              <w:rPr>
                <w:b/>
                <w:sz w:val="17"/>
              </w:rPr>
              <w:t>Strength of evidence for the contrast</w:t>
            </w:r>
          </w:p>
        </w:tc>
        <w:tc>
          <w:tcPr>
            <w:tcW w:w="1644" w:type="dxa"/>
            <w:shd w:val="clear" w:color="auto" w:fill="E7E6E6"/>
          </w:tcPr>
          <w:p w14:paraId="1DC1FB1A" w14:textId="77777777" w:rsidR="007A56F4" w:rsidRDefault="00000000">
            <w:pPr>
              <w:spacing w:after="0" w:line="240" w:lineRule="auto"/>
            </w:pPr>
            <w:r>
              <w:rPr>
                <w:b/>
                <w:sz w:val="17"/>
              </w:rPr>
              <w:t>Supporting references</w:t>
            </w:r>
          </w:p>
        </w:tc>
      </w:tr>
      <w:tr w:rsidR="007A56F4" w14:paraId="6C8EF7FE" w14:textId="77777777">
        <w:trPr>
          <w:jc w:val="center"/>
        </w:trPr>
        <w:tc>
          <w:tcPr>
            <w:tcW w:w="1361" w:type="dxa"/>
          </w:tcPr>
          <w:p w14:paraId="426C977D" w14:textId="77777777" w:rsidR="007A56F4" w:rsidRDefault="00000000">
            <w:pPr>
              <w:spacing w:after="0" w:line="240" w:lineRule="auto"/>
            </w:pPr>
            <w:r>
              <w:rPr>
                <w:sz w:val="17"/>
              </w:rPr>
              <w:t>Trigger</w:t>
            </w:r>
          </w:p>
        </w:tc>
        <w:tc>
          <w:tcPr>
            <w:tcW w:w="2022" w:type="dxa"/>
          </w:tcPr>
          <w:p w14:paraId="5AFC6FA6" w14:textId="77777777" w:rsidR="007A56F4" w:rsidRDefault="00000000">
            <w:pPr>
              <w:spacing w:after="0" w:line="240" w:lineRule="auto"/>
            </w:pPr>
            <w:r>
              <w:rPr>
                <w:sz w:val="17"/>
              </w:rPr>
              <w:t>Blockade of PD-1 or PD-L1 in almost all cases; rare with CTLA-4 monotherapy</w:t>
            </w:r>
          </w:p>
        </w:tc>
        <w:tc>
          <w:tcPr>
            <w:tcW w:w="2022" w:type="dxa"/>
          </w:tcPr>
          <w:p w14:paraId="215419F5" w14:textId="77777777" w:rsidR="007A56F4" w:rsidRDefault="00000000">
            <w:pPr>
              <w:spacing w:after="0" w:line="240" w:lineRule="auto"/>
            </w:pPr>
            <w:r>
              <w:rPr>
                <w:sz w:val="17"/>
              </w:rPr>
              <w:t>Spontaneous loss of tolerance, often after prolonged preclinical autoimmunity</w:t>
            </w:r>
          </w:p>
        </w:tc>
        <w:tc>
          <w:tcPr>
            <w:tcW w:w="2022" w:type="dxa"/>
          </w:tcPr>
          <w:p w14:paraId="3274A000" w14:textId="77777777" w:rsidR="007A56F4" w:rsidRDefault="00000000">
            <w:pPr>
              <w:spacing w:after="0" w:line="240" w:lineRule="auto"/>
            </w:pPr>
            <w:r>
              <w:rPr>
                <w:sz w:val="17"/>
              </w:rPr>
              <w:t>Moderate; consistent across case series and experimental models</w:t>
            </w:r>
          </w:p>
        </w:tc>
        <w:tc>
          <w:tcPr>
            <w:tcW w:w="1644" w:type="dxa"/>
          </w:tcPr>
          <w:p w14:paraId="3F2AEB3A" w14:textId="77777777" w:rsidR="007A56F4" w:rsidRDefault="00000000">
            <w:pPr>
              <w:spacing w:after="0" w:line="240" w:lineRule="auto"/>
            </w:pPr>
            <w:r>
              <w:rPr>
                <w:sz w:val="17"/>
              </w:rPr>
              <w:t>Ansari et al. (2003); Perdigoto et al. (2022); Wu et al. (2023)</w:t>
            </w:r>
          </w:p>
        </w:tc>
      </w:tr>
      <w:tr w:rsidR="007A56F4" w14:paraId="0660FBC7" w14:textId="77777777">
        <w:trPr>
          <w:jc w:val="center"/>
        </w:trPr>
        <w:tc>
          <w:tcPr>
            <w:tcW w:w="1361" w:type="dxa"/>
          </w:tcPr>
          <w:p w14:paraId="43CCC901" w14:textId="77777777" w:rsidR="007A56F4" w:rsidRDefault="00000000">
            <w:pPr>
              <w:spacing w:after="0" w:line="240" w:lineRule="auto"/>
            </w:pPr>
            <w:r>
              <w:rPr>
                <w:sz w:val="17"/>
              </w:rPr>
              <w:t>Tempo of onset</w:t>
            </w:r>
          </w:p>
        </w:tc>
        <w:tc>
          <w:tcPr>
            <w:tcW w:w="2022" w:type="dxa"/>
          </w:tcPr>
          <w:p w14:paraId="2247FD69" w14:textId="77777777" w:rsidR="007A56F4" w:rsidRDefault="00000000">
            <w:pPr>
              <w:spacing w:after="0" w:line="240" w:lineRule="auto"/>
            </w:pPr>
            <w:r>
              <w:rPr>
                <w:sz w:val="17"/>
              </w:rPr>
              <w:t>Median onset within weeks to a few months of treatment; abrupt loss of C-peptide</w:t>
            </w:r>
          </w:p>
        </w:tc>
        <w:tc>
          <w:tcPr>
            <w:tcW w:w="2022" w:type="dxa"/>
          </w:tcPr>
          <w:p w14:paraId="3ED17B03" w14:textId="77777777" w:rsidR="007A56F4" w:rsidRDefault="00000000">
            <w:pPr>
              <w:spacing w:after="0" w:line="240" w:lineRule="auto"/>
            </w:pPr>
            <w:r>
              <w:rPr>
                <w:sz w:val="17"/>
              </w:rPr>
              <w:t>Progressive beta-cell loss over months to years before diagnosis</w:t>
            </w:r>
          </w:p>
        </w:tc>
        <w:tc>
          <w:tcPr>
            <w:tcW w:w="2022" w:type="dxa"/>
          </w:tcPr>
          <w:p w14:paraId="05690214" w14:textId="77777777" w:rsidR="007A56F4" w:rsidRDefault="00000000">
            <w:pPr>
              <w:spacing w:after="0" w:line="240" w:lineRule="auto"/>
            </w:pPr>
            <w:r>
              <w:rPr>
                <w:sz w:val="17"/>
              </w:rPr>
              <w:t>Moderate</w:t>
            </w:r>
          </w:p>
        </w:tc>
        <w:tc>
          <w:tcPr>
            <w:tcW w:w="1644" w:type="dxa"/>
          </w:tcPr>
          <w:p w14:paraId="28816088" w14:textId="77777777" w:rsidR="007A56F4" w:rsidRDefault="00000000">
            <w:pPr>
              <w:spacing w:after="0" w:line="240" w:lineRule="auto"/>
            </w:pPr>
            <w:r>
              <w:rPr>
                <w:sz w:val="17"/>
              </w:rPr>
              <w:t>Akturk et al. (2019); Herold et al. (2019); Tsang et al. (2019)</w:t>
            </w:r>
          </w:p>
        </w:tc>
      </w:tr>
      <w:tr w:rsidR="007A56F4" w14:paraId="1F21A0AE" w14:textId="77777777">
        <w:trPr>
          <w:jc w:val="center"/>
        </w:trPr>
        <w:tc>
          <w:tcPr>
            <w:tcW w:w="1361" w:type="dxa"/>
          </w:tcPr>
          <w:p w14:paraId="51A7C7E0" w14:textId="77777777" w:rsidR="007A56F4" w:rsidRDefault="00000000">
            <w:pPr>
              <w:spacing w:after="0" w:line="240" w:lineRule="auto"/>
            </w:pPr>
            <w:r>
              <w:rPr>
                <w:sz w:val="17"/>
              </w:rPr>
              <w:t>Diabetic ketoacidosis at presentation</w:t>
            </w:r>
          </w:p>
        </w:tc>
        <w:tc>
          <w:tcPr>
            <w:tcW w:w="2022" w:type="dxa"/>
          </w:tcPr>
          <w:p w14:paraId="2CABBA43" w14:textId="77777777" w:rsidR="007A56F4" w:rsidRDefault="00000000">
            <w:pPr>
              <w:spacing w:after="0" w:line="240" w:lineRule="auto"/>
            </w:pPr>
            <w:r>
              <w:rPr>
                <w:sz w:val="17"/>
              </w:rPr>
              <w:t>Approximately 59% to 76% across series</w:t>
            </w:r>
          </w:p>
        </w:tc>
        <w:tc>
          <w:tcPr>
            <w:tcW w:w="2022" w:type="dxa"/>
          </w:tcPr>
          <w:p w14:paraId="531566AB" w14:textId="77777777" w:rsidR="007A56F4" w:rsidRDefault="00000000">
            <w:pPr>
              <w:spacing w:after="0" w:line="240" w:lineRule="auto"/>
            </w:pPr>
            <w:r>
              <w:rPr>
                <w:sz w:val="17"/>
              </w:rPr>
              <w:t>Not the defining feature; frequency depends on the setting of diagnosis</w:t>
            </w:r>
          </w:p>
        </w:tc>
        <w:tc>
          <w:tcPr>
            <w:tcW w:w="2022" w:type="dxa"/>
          </w:tcPr>
          <w:p w14:paraId="77108F26" w14:textId="77777777" w:rsidR="007A56F4" w:rsidRDefault="00000000">
            <w:pPr>
              <w:spacing w:after="0" w:line="240" w:lineRule="auto"/>
            </w:pPr>
            <w:r>
              <w:rPr>
                <w:sz w:val="17"/>
              </w:rPr>
              <w:t>Limited; reporting bias in case series</w:t>
            </w:r>
          </w:p>
        </w:tc>
        <w:tc>
          <w:tcPr>
            <w:tcW w:w="1644" w:type="dxa"/>
          </w:tcPr>
          <w:p w14:paraId="5150AD9F" w14:textId="77777777" w:rsidR="007A56F4" w:rsidRDefault="00000000">
            <w:pPr>
              <w:spacing w:after="0" w:line="240" w:lineRule="auto"/>
            </w:pPr>
            <w:r>
              <w:rPr>
                <w:sz w:val="17"/>
              </w:rPr>
              <w:t>Akturk et al. (2019); de Filette et al. (2019); Stamatouli et al. (2018); Wu et al. (2023)</w:t>
            </w:r>
          </w:p>
        </w:tc>
      </w:tr>
      <w:tr w:rsidR="007A56F4" w14:paraId="69AD8309" w14:textId="77777777">
        <w:trPr>
          <w:jc w:val="center"/>
        </w:trPr>
        <w:tc>
          <w:tcPr>
            <w:tcW w:w="1361" w:type="dxa"/>
          </w:tcPr>
          <w:p w14:paraId="681DE69C" w14:textId="77777777" w:rsidR="007A56F4" w:rsidRDefault="00000000">
            <w:pPr>
              <w:spacing w:after="0" w:line="240" w:lineRule="auto"/>
            </w:pPr>
            <w:r>
              <w:rPr>
                <w:sz w:val="17"/>
              </w:rPr>
              <w:t>Islet autoantibodies</w:t>
            </w:r>
          </w:p>
        </w:tc>
        <w:tc>
          <w:tcPr>
            <w:tcW w:w="2022" w:type="dxa"/>
          </w:tcPr>
          <w:p w14:paraId="5E24DFBD" w14:textId="77777777" w:rsidR="007A56F4" w:rsidRDefault="00000000">
            <w:pPr>
              <w:spacing w:after="0" w:line="240" w:lineRule="auto"/>
            </w:pPr>
            <w:r>
              <w:rPr>
                <w:sz w:val="17"/>
              </w:rPr>
              <w:t>Present in about 40% to 53%</w:t>
            </w:r>
          </w:p>
        </w:tc>
        <w:tc>
          <w:tcPr>
            <w:tcW w:w="2022" w:type="dxa"/>
          </w:tcPr>
          <w:p w14:paraId="47A8332C" w14:textId="77777777" w:rsidR="007A56F4" w:rsidRDefault="00000000">
            <w:pPr>
              <w:spacing w:after="0" w:line="240" w:lineRule="auto"/>
            </w:pPr>
            <w:r>
              <w:rPr>
                <w:sz w:val="17"/>
              </w:rPr>
              <w:t>Characteristic serological marker of autoimmune diabetes</w:t>
            </w:r>
          </w:p>
        </w:tc>
        <w:tc>
          <w:tcPr>
            <w:tcW w:w="2022" w:type="dxa"/>
          </w:tcPr>
          <w:p w14:paraId="1ABFECD6" w14:textId="77777777" w:rsidR="007A56F4" w:rsidRDefault="00000000">
            <w:pPr>
              <w:spacing w:after="0" w:line="240" w:lineRule="auto"/>
            </w:pPr>
            <w:r>
              <w:rPr>
                <w:sz w:val="17"/>
              </w:rPr>
              <w:t>Moderate</w:t>
            </w:r>
          </w:p>
        </w:tc>
        <w:tc>
          <w:tcPr>
            <w:tcW w:w="1644" w:type="dxa"/>
          </w:tcPr>
          <w:p w14:paraId="4FED9D04" w14:textId="77777777" w:rsidR="007A56F4" w:rsidRDefault="00000000">
            <w:pPr>
              <w:spacing w:after="0" w:line="240" w:lineRule="auto"/>
            </w:pPr>
            <w:r>
              <w:rPr>
                <w:sz w:val="17"/>
              </w:rPr>
              <w:t>de Filette et al. (2019); Tsang et al. (2019); Wu et al. (2023)</w:t>
            </w:r>
          </w:p>
        </w:tc>
      </w:tr>
      <w:tr w:rsidR="007A56F4" w14:paraId="0F03A979" w14:textId="77777777">
        <w:trPr>
          <w:jc w:val="center"/>
        </w:trPr>
        <w:tc>
          <w:tcPr>
            <w:tcW w:w="1361" w:type="dxa"/>
          </w:tcPr>
          <w:p w14:paraId="4088CF47" w14:textId="77777777" w:rsidR="007A56F4" w:rsidRDefault="00000000">
            <w:pPr>
              <w:spacing w:after="0" w:line="240" w:lineRule="auto"/>
            </w:pPr>
            <w:r>
              <w:rPr>
                <w:sz w:val="17"/>
              </w:rPr>
              <w:t>HLA susceptibility</w:t>
            </w:r>
          </w:p>
        </w:tc>
        <w:tc>
          <w:tcPr>
            <w:tcW w:w="2022" w:type="dxa"/>
          </w:tcPr>
          <w:p w14:paraId="5B84BCEB" w14:textId="77777777" w:rsidR="007A56F4" w:rsidRDefault="00000000">
            <w:pPr>
              <w:spacing w:after="0" w:line="240" w:lineRule="auto"/>
            </w:pPr>
            <w:r>
              <w:rPr>
                <w:sz w:val="17"/>
              </w:rPr>
              <w:t>HLA-DR4 overrepresented in some series; risk haplotypes uncommon in others</w:t>
            </w:r>
          </w:p>
        </w:tc>
        <w:tc>
          <w:tcPr>
            <w:tcW w:w="2022" w:type="dxa"/>
          </w:tcPr>
          <w:p w14:paraId="0E507351" w14:textId="77777777" w:rsidR="007A56F4" w:rsidRDefault="00000000">
            <w:pPr>
              <w:spacing w:after="0" w:line="240" w:lineRule="auto"/>
            </w:pPr>
            <w:r>
              <w:rPr>
                <w:sz w:val="17"/>
              </w:rPr>
              <w:t>Established HLA class II risk haplotypes</w:t>
            </w:r>
          </w:p>
        </w:tc>
        <w:tc>
          <w:tcPr>
            <w:tcW w:w="2022" w:type="dxa"/>
          </w:tcPr>
          <w:p w14:paraId="3F64AC23" w14:textId="77777777" w:rsidR="007A56F4" w:rsidRDefault="00000000">
            <w:pPr>
              <w:spacing w:after="0" w:line="240" w:lineRule="auto"/>
            </w:pPr>
            <w:r>
              <w:rPr>
                <w:sz w:val="17"/>
              </w:rPr>
              <w:t>Limited; few patients typed</w:t>
            </w:r>
          </w:p>
        </w:tc>
        <w:tc>
          <w:tcPr>
            <w:tcW w:w="1644" w:type="dxa"/>
          </w:tcPr>
          <w:p w14:paraId="142CA005" w14:textId="77777777" w:rsidR="007A56F4" w:rsidRDefault="00000000">
            <w:pPr>
              <w:spacing w:after="0" w:line="240" w:lineRule="auto"/>
            </w:pPr>
            <w:r>
              <w:rPr>
                <w:sz w:val="17"/>
              </w:rPr>
              <w:t>Stamatouli et al. (2018); Tsang et al. (2019); Wu et al. (2023)</w:t>
            </w:r>
          </w:p>
        </w:tc>
      </w:tr>
      <w:tr w:rsidR="007A56F4" w14:paraId="24CE884B" w14:textId="77777777">
        <w:trPr>
          <w:jc w:val="center"/>
        </w:trPr>
        <w:tc>
          <w:tcPr>
            <w:tcW w:w="1361" w:type="dxa"/>
          </w:tcPr>
          <w:p w14:paraId="1A894FA4" w14:textId="77777777" w:rsidR="007A56F4" w:rsidRDefault="00000000">
            <w:pPr>
              <w:spacing w:after="0" w:line="240" w:lineRule="auto"/>
            </w:pPr>
            <w:r>
              <w:rPr>
                <w:sz w:val="17"/>
              </w:rPr>
              <w:t>Pancreatic involvement</w:t>
            </w:r>
          </w:p>
        </w:tc>
        <w:tc>
          <w:tcPr>
            <w:tcW w:w="2022" w:type="dxa"/>
          </w:tcPr>
          <w:p w14:paraId="20C10166" w14:textId="77777777" w:rsidR="007A56F4" w:rsidRDefault="00000000">
            <w:pPr>
              <w:spacing w:after="0" w:line="240" w:lineRule="auto"/>
            </w:pPr>
            <w:r>
              <w:rPr>
                <w:sz w:val="17"/>
              </w:rPr>
              <w:t>Raised lipase and pancreatic shrinkage in a subset</w:t>
            </w:r>
          </w:p>
        </w:tc>
        <w:tc>
          <w:tcPr>
            <w:tcW w:w="2022" w:type="dxa"/>
          </w:tcPr>
          <w:p w14:paraId="275F7016" w14:textId="77777777" w:rsidR="007A56F4" w:rsidRDefault="00000000">
            <w:pPr>
              <w:spacing w:after="0" w:line="240" w:lineRule="auto"/>
            </w:pPr>
            <w:r>
              <w:rPr>
                <w:sz w:val="17"/>
              </w:rPr>
              <w:t>Not a recognised presenting feature</w:t>
            </w:r>
          </w:p>
        </w:tc>
        <w:tc>
          <w:tcPr>
            <w:tcW w:w="2022" w:type="dxa"/>
          </w:tcPr>
          <w:p w14:paraId="135BC127" w14:textId="77777777" w:rsidR="007A56F4" w:rsidRDefault="00000000">
            <w:pPr>
              <w:spacing w:after="0" w:line="240" w:lineRule="auto"/>
            </w:pPr>
            <w:r>
              <w:rPr>
                <w:sz w:val="17"/>
              </w:rPr>
              <w:t>Limited</w:t>
            </w:r>
          </w:p>
        </w:tc>
        <w:tc>
          <w:tcPr>
            <w:tcW w:w="1644" w:type="dxa"/>
          </w:tcPr>
          <w:p w14:paraId="420DC1BF" w14:textId="77777777" w:rsidR="007A56F4" w:rsidRDefault="00000000">
            <w:pPr>
              <w:spacing w:after="0" w:line="240" w:lineRule="auto"/>
            </w:pPr>
            <w:r>
              <w:rPr>
                <w:sz w:val="17"/>
              </w:rPr>
              <w:t>De Filette et al. (2019); Perdigoto et al. (2022); Stamatouli et al. (2018)</w:t>
            </w:r>
          </w:p>
        </w:tc>
      </w:tr>
      <w:tr w:rsidR="007A56F4" w14:paraId="751D372D" w14:textId="77777777">
        <w:trPr>
          <w:jc w:val="center"/>
        </w:trPr>
        <w:tc>
          <w:tcPr>
            <w:tcW w:w="1361" w:type="dxa"/>
          </w:tcPr>
          <w:p w14:paraId="224F58CD" w14:textId="77777777" w:rsidR="007A56F4" w:rsidRDefault="00000000">
            <w:pPr>
              <w:spacing w:after="0" w:line="240" w:lineRule="auto"/>
            </w:pPr>
            <w:r>
              <w:rPr>
                <w:sz w:val="17"/>
              </w:rPr>
              <w:lastRenderedPageBreak/>
              <w:t>Reversibility</w:t>
            </w:r>
          </w:p>
        </w:tc>
        <w:tc>
          <w:tcPr>
            <w:tcW w:w="2022" w:type="dxa"/>
          </w:tcPr>
          <w:p w14:paraId="590E62C0" w14:textId="77777777" w:rsidR="007A56F4" w:rsidRDefault="00000000">
            <w:pPr>
              <w:spacing w:after="0" w:line="240" w:lineRule="auto"/>
            </w:pPr>
            <w:r>
              <w:rPr>
                <w:sz w:val="17"/>
              </w:rPr>
              <w:t>Insulin deficiency usually permanent</w:t>
            </w:r>
          </w:p>
        </w:tc>
        <w:tc>
          <w:tcPr>
            <w:tcW w:w="2022" w:type="dxa"/>
          </w:tcPr>
          <w:p w14:paraId="17EF3505" w14:textId="77777777" w:rsidR="007A56F4" w:rsidRDefault="00000000">
            <w:pPr>
              <w:spacing w:after="0" w:line="240" w:lineRule="auto"/>
            </w:pPr>
            <w:r>
              <w:rPr>
                <w:sz w:val="17"/>
              </w:rPr>
              <w:t>Permanent; progression can be delayed by anti-CD3 therapy before clinical onset</w:t>
            </w:r>
          </w:p>
        </w:tc>
        <w:tc>
          <w:tcPr>
            <w:tcW w:w="2022" w:type="dxa"/>
          </w:tcPr>
          <w:p w14:paraId="4ED1CF6A" w14:textId="77777777" w:rsidR="007A56F4" w:rsidRDefault="00000000">
            <w:pPr>
              <w:spacing w:after="0" w:line="240" w:lineRule="auto"/>
            </w:pPr>
            <w:r>
              <w:rPr>
                <w:sz w:val="17"/>
              </w:rPr>
              <w:t>Moderate</w:t>
            </w:r>
          </w:p>
        </w:tc>
        <w:tc>
          <w:tcPr>
            <w:tcW w:w="1644" w:type="dxa"/>
          </w:tcPr>
          <w:p w14:paraId="620F041A" w14:textId="77777777" w:rsidR="007A56F4" w:rsidRDefault="00000000">
            <w:pPr>
              <w:spacing w:after="0" w:line="240" w:lineRule="auto"/>
            </w:pPr>
            <w:r>
              <w:rPr>
                <w:sz w:val="17"/>
              </w:rPr>
              <w:t>Akturk et al. (2019); Herold et al. (2019)</w:t>
            </w:r>
          </w:p>
        </w:tc>
      </w:tr>
    </w:tbl>
    <w:p w14:paraId="7CDAC277" w14:textId="77777777" w:rsidR="007A56F4" w:rsidRDefault="00000000">
      <w:pPr>
        <w:spacing w:after="240" w:line="240" w:lineRule="auto"/>
      </w:pPr>
      <w:r>
        <w:rPr>
          <w:i/>
          <w:sz w:val="18"/>
        </w:rPr>
        <w:t xml:space="preserve">Note. </w:t>
      </w:r>
      <w:r>
        <w:rPr>
          <w:sz w:val="18"/>
        </w:rPr>
        <w:t>CTLA-4, cytotoxic T-lymphocyte-associated protein 4; HLA, human leucocyte antigen; PD-1, programmed cell death protein 1; PD-L1, programmed death-ligand 1. Proportions are drawn from different case definitions and are presented as ranges.</w:t>
      </w:r>
    </w:p>
    <w:p w14:paraId="6F6338A7" w14:textId="77777777" w:rsidR="007A56F4" w:rsidRDefault="00000000">
      <w:pPr>
        <w:pStyle w:val="Heading1"/>
      </w:pPr>
      <w:r>
        <w:t>8. Pharmacological Intersections</w:t>
      </w:r>
    </w:p>
    <w:p w14:paraId="4C814E63" w14:textId="77777777" w:rsidR="007A56F4" w:rsidRDefault="00000000">
      <w:pPr>
        <w:pStyle w:val="Heading2"/>
      </w:pPr>
      <w:r>
        <w:t>8.1 Metformin: Observational Promise and Trial Evidence</w:t>
      </w:r>
    </w:p>
    <w:p w14:paraId="17A8FF37" w14:textId="77777777" w:rsidR="007A56F4" w:rsidRDefault="00000000">
      <w:pPr>
        <w:jc w:val="both"/>
      </w:pPr>
      <w:r>
        <w:t>Metformin became the most studied example of a diabetes drug proposed to prevent or treat cancer. A record-linkage case-control study from Tayside, Scotland, reported that people with diabetes who used metformin had a lower risk of cancer than those who did not (Evans et al., 2005), and many subsequent observational studies reported reductions of considerable size. A meta-analysis of 47 independent studies estimated a 31% reduction in cancer incidence among metformin users, but restricting the analysis to studies without time-related biases reduced the estimate to 10%, with considerable residual heterogeneity (Gandini et al., 2014). Methodological analysis showed that 13 observational studies suffered from immortal time bias and that others failed to account for time-window or time-lag bias, producing illusory risk reductions ranging from 20% to 94%, whereas three studies that avoided these biases found no effect on cancer incidence (Suissa &amp; Azoulay, 2012).</w:t>
      </w:r>
    </w:p>
    <w:p w14:paraId="49538CE3" w14:textId="77777777" w:rsidR="007A56F4" w:rsidRDefault="00000000">
      <w:pPr>
        <w:jc w:val="both"/>
      </w:pPr>
      <w:r>
        <w:t>The randomised evidence is largely negative for established cancer. The MA.32 trial randomised 3649 patients without diabetes with high-risk non-metastatic breast cancer to metformin or placebo for five years, and found no improvement in invasive disease-free survival, with a hazard ratio of 1.01 in hormone receptor-positive disease (Goodwin et al., 2022). Adding metformin to gemcitabine and erlotinib did not improve survival in advanced pancreatic cancer (Kordes et al., 2015). A meta-analysis of observational adjuvant studies suggested possible benefit in colorectal and prostate cancer (Coyle et al., 2016), but these associations remain untested in adequately powered trials. A small Japanese trial of low-dose metformin in non-diabetic patients after polypectomy reduced the prevalence of adenomas at one year, with a risk ratio of 0.60 (Higurashi et al., 2016), an encouraging but short-term surrogate result from 151 randomised participants.</w:t>
      </w:r>
    </w:p>
    <w:p w14:paraId="2550CB3D" w14:textId="77777777" w:rsidR="007A56F4" w:rsidRDefault="00000000">
      <w:pPr>
        <w:jc w:val="both"/>
      </w:pPr>
      <w:r>
        <w:t xml:space="preserve">The mechanistic rationale extended into immunology when metformin was shown to enable normal but not T-cell-deficient mice to reject tumours, by protecting CD8-positive tumour-infiltrating lymphocytes from exhaustion (Eikawa et al., 2015). This work links a diabetes </w:t>
      </w:r>
      <w:r>
        <w:lastRenderedPageBreak/>
        <w:t>drug to anti-tumour immunity and generates hypotheses for combination with immunotherapy, but the concentrations and models used differ from human therapeutic exposure, and clinical confirmation is lacking. The metformin experience is instructive for the whole field. Plausible mechanisms combined with biased observational designs produced a strong expectation that randomised trials in non-diabetic patients with established cancer did not meet. Whether metformin reduces cancer incidence in people with diabetes, compared with other glucose-lowering drugs, remains uncertain.</w:t>
      </w:r>
    </w:p>
    <w:p w14:paraId="2791B6C8" w14:textId="77777777" w:rsidR="007A56F4" w:rsidRDefault="00000000">
      <w:pPr>
        <w:pStyle w:val="Heading2"/>
      </w:pPr>
      <w:r>
        <w:t>8.2 Insulin, Thiazolidinediones and Incretin-Based Therapies</w:t>
      </w:r>
    </w:p>
    <w:p w14:paraId="1C1DE569" w14:textId="77777777" w:rsidR="007A56F4" w:rsidRDefault="00000000">
      <w:pPr>
        <w:jc w:val="both"/>
      </w:pPr>
      <w:r>
        <w:t>Concern that insulin analogues, particularly insulin glargine, might promote cancer arose from observational analyses that were difficult to interpret because of confounding by indication (Giovannucci et al., 2010). The ORIGIN trial randomised 12,537 people with dysglycaemia to insulin glargine or standard care for a median of 6.2 years and found no difference in cancers, with a hazard ratio of 1.00 (ORIGIN Trial Investigators, 2012). This result does not exclude effects on specific rare cancers, but it provides the strongest available evidence against a general carcinogenic effect of basal insulin over this period.</w:t>
      </w:r>
    </w:p>
    <w:p w14:paraId="41F69CF3" w14:textId="77777777" w:rsidR="007A56F4" w:rsidRDefault="00000000">
      <w:pPr>
        <w:jc w:val="both"/>
      </w:pPr>
      <w:r>
        <w:t>For pioglitazone, a population-based cohort of 145,806 patients in the United Kingdom found an increased risk of bladder cancer compared with other glucose-lowering drugs, with a hazard ratio of 1.63 and evidence of duration-response and dose-response relations, whereas rosiglitazone was not associated with bladder cancer (Tuccori et al., 2016). The drug specificity, lag-time analysis and dose-response pattern strengthen the causal interpretation, although the absolute excess risk is small.</w:t>
      </w:r>
    </w:p>
    <w:p w14:paraId="2CEFEBC6" w14:textId="77777777" w:rsidR="007A56F4" w:rsidRDefault="00000000">
      <w:pPr>
        <w:jc w:val="both"/>
      </w:pPr>
      <w:r>
        <w:t xml:space="preserve">Glucagon-like peptide-1 receptor agonists (GLP-1RAs) are the subject of competing concerns and hopes. A French nested case-control study found that one to three years of use was associated with increased risk of thyroid cancer, with an adjusted hazard ratio of 1.58, and of medullary thyroid cancer (Bezin et al., 2023). A Scandinavian active-comparator new-user cohort, designed to minimise confounding and time-related bias, found no increased risk compared with dipeptidyl peptidase-4 inhibitors, with a hazard ratio of 0.93 (Pasternak et al., 2024). The discrepancy is plausibly explained by the different comparators and by surveillance bias arising from thyroid investigation in GLP-1RA users. In a United States electronic health record cohort, GLP-1RAs were associated with lower risks of 10 of 13 obesity-associated cancers compared with insulin, but not compared with metformin, against which a higher risk of kidney cancer was observed (Wang et al., 2024). Because insulin users </w:t>
      </w:r>
      <w:r>
        <w:lastRenderedPageBreak/>
        <w:t>typically have more advanced diabetes, the comparison with insulin is vulnerable to confounding by indication. The hypothesis that weight loss produced by GLP-1RAs will reduce the cancers designated as associated with excess body fatness (Lauby-Secretan et al., 2016) is reasonable, but it has not yet been tested with randomised or robust quasi-experimental designs.</w:t>
      </w:r>
    </w:p>
    <w:p w14:paraId="0B34C813" w14:textId="77777777" w:rsidR="007A56F4" w:rsidRDefault="00000000">
      <w:pPr>
        <w:pStyle w:val="Heading2"/>
      </w:pPr>
      <w:r>
        <w:t>8.3 Immunomodulation in Autoimmune Disease and in Pre-Clinical Type 1 Diabetes</w:t>
      </w:r>
    </w:p>
    <w:p w14:paraId="02EC3CC6" w14:textId="77777777" w:rsidR="007A56F4" w:rsidRDefault="00000000">
      <w:pPr>
        <w:jc w:val="both"/>
      </w:pPr>
      <w:r>
        <w:t>Immunomodulatory drugs for autoimmune disease occupy the opposite position in the tolerance and immunity trade-off to ICIs. The RA evidence reviewed in Section 5.3 indicates that tumour necrosis factor inhibition does not raise lymphoma risk above background (Mercer et al., 2017), whereas tofacitinib was associated with more cancers than tumour necrosis factor inhibitors in an older population at cardiovascular risk (Ytterberg et al., 2022). In T1D, teplizumab, an Fc receptor-non-binding anti-CD3 monoclonal antibody, delayed the median time to clinical diagnosis from 24.4 to 48.4 months in high-risk relatives, with a hazard ratio of 0.41 (Herold et al., 2019). The trial included 76 participants followed with standard safety monitoring and was not designed to assess cancer risk. As immune interventions move earlier in the course of T1D and other autoimmune diseases, long-term oncological surveillance will be required, because modulating T-cell function in young people could have consequences that short trials cannot detect.</w:t>
      </w:r>
    </w:p>
    <w:p w14:paraId="3BE4306D" w14:textId="77777777" w:rsidR="007A56F4" w:rsidRDefault="00000000">
      <w:pPr>
        <w:jc w:val="both"/>
      </w:pPr>
      <w:r>
        <w:t>Table 5 summarises the pharmacological evidence. The discussion in this section explains why observational estimates frequently exceed randomised ones, and the table makes explicit the design of the strongest available evidence for each drug, the direction of effect and the principal bias affecting interpretation. It shows that randomised evidence is available for metformin, basal insulin and tofacitinib, whereas conclusions about pioglitazone and GLP-1RAs depend on observational designs of varying rigour.</w:t>
      </w:r>
    </w:p>
    <w:p w14:paraId="3C229DCB" w14:textId="77777777" w:rsidR="007A56F4" w:rsidRDefault="00000000">
      <w:pPr>
        <w:keepNext/>
        <w:spacing w:before="120"/>
      </w:pPr>
      <w:r>
        <w:rPr>
          <w:b/>
          <w:sz w:val="21"/>
        </w:rPr>
        <w:t xml:space="preserve">Table 5. </w:t>
      </w:r>
      <w:r>
        <w:rPr>
          <w:sz w:val="21"/>
        </w:rPr>
        <w:t>Drugs at the intersection of diabetes, autoimmunity and cancer: strength and direction of evidence</w:t>
      </w:r>
    </w:p>
    <w:tbl>
      <w:tblPr>
        <w:tblW w:w="9072"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360"/>
        <w:gridCol w:w="1517"/>
        <w:gridCol w:w="1517"/>
        <w:gridCol w:w="1517"/>
        <w:gridCol w:w="1517"/>
        <w:gridCol w:w="1644"/>
      </w:tblGrid>
      <w:tr w:rsidR="007A56F4" w14:paraId="468464DA" w14:textId="77777777">
        <w:trPr>
          <w:tblHeader/>
          <w:jc w:val="center"/>
        </w:trPr>
        <w:tc>
          <w:tcPr>
            <w:tcW w:w="1361" w:type="dxa"/>
            <w:shd w:val="clear" w:color="auto" w:fill="E7E6E6"/>
          </w:tcPr>
          <w:p w14:paraId="170C3736" w14:textId="77777777" w:rsidR="007A56F4" w:rsidRDefault="00000000">
            <w:pPr>
              <w:spacing w:after="0" w:line="240" w:lineRule="auto"/>
            </w:pPr>
            <w:r>
              <w:rPr>
                <w:b/>
                <w:sz w:val="17"/>
              </w:rPr>
              <w:t>Drug or class</w:t>
            </w:r>
          </w:p>
        </w:tc>
        <w:tc>
          <w:tcPr>
            <w:tcW w:w="1517" w:type="dxa"/>
            <w:shd w:val="clear" w:color="auto" w:fill="E7E6E6"/>
          </w:tcPr>
          <w:p w14:paraId="4AAECA83" w14:textId="77777777" w:rsidR="007A56F4" w:rsidRDefault="00000000">
            <w:pPr>
              <w:spacing w:after="0" w:line="240" w:lineRule="auto"/>
            </w:pPr>
            <w:r>
              <w:rPr>
                <w:b/>
                <w:sz w:val="17"/>
              </w:rPr>
              <w:t>Proposed relation to cancer</w:t>
            </w:r>
          </w:p>
        </w:tc>
        <w:tc>
          <w:tcPr>
            <w:tcW w:w="1517" w:type="dxa"/>
            <w:shd w:val="clear" w:color="auto" w:fill="E7E6E6"/>
          </w:tcPr>
          <w:p w14:paraId="2E9BF0C3" w14:textId="77777777" w:rsidR="007A56F4" w:rsidRDefault="00000000">
            <w:pPr>
              <w:spacing w:after="0" w:line="240" w:lineRule="auto"/>
            </w:pPr>
            <w:r>
              <w:rPr>
                <w:b/>
                <w:sz w:val="17"/>
              </w:rPr>
              <w:t>Strongest design available</w:t>
            </w:r>
          </w:p>
        </w:tc>
        <w:tc>
          <w:tcPr>
            <w:tcW w:w="1517" w:type="dxa"/>
            <w:shd w:val="clear" w:color="auto" w:fill="E7E6E6"/>
          </w:tcPr>
          <w:p w14:paraId="2F703545" w14:textId="77777777" w:rsidR="007A56F4" w:rsidRDefault="00000000">
            <w:pPr>
              <w:spacing w:after="0" w:line="240" w:lineRule="auto"/>
            </w:pPr>
            <w:r>
              <w:rPr>
                <w:b/>
                <w:sz w:val="17"/>
              </w:rPr>
              <w:t>Principal finding</w:t>
            </w:r>
          </w:p>
        </w:tc>
        <w:tc>
          <w:tcPr>
            <w:tcW w:w="1517" w:type="dxa"/>
            <w:shd w:val="clear" w:color="auto" w:fill="E7E6E6"/>
          </w:tcPr>
          <w:p w14:paraId="7EB85607" w14:textId="77777777" w:rsidR="007A56F4" w:rsidRDefault="00000000">
            <w:pPr>
              <w:spacing w:after="0" w:line="240" w:lineRule="auto"/>
            </w:pPr>
            <w:r>
              <w:rPr>
                <w:b/>
                <w:sz w:val="17"/>
              </w:rPr>
              <w:t>Main source of bias or uncertainty</w:t>
            </w:r>
          </w:p>
        </w:tc>
        <w:tc>
          <w:tcPr>
            <w:tcW w:w="1644" w:type="dxa"/>
            <w:shd w:val="clear" w:color="auto" w:fill="E7E6E6"/>
          </w:tcPr>
          <w:p w14:paraId="00C95311" w14:textId="77777777" w:rsidR="007A56F4" w:rsidRDefault="00000000">
            <w:pPr>
              <w:spacing w:after="0" w:line="240" w:lineRule="auto"/>
            </w:pPr>
            <w:r>
              <w:rPr>
                <w:b/>
                <w:sz w:val="17"/>
              </w:rPr>
              <w:t>Supporting references</w:t>
            </w:r>
          </w:p>
        </w:tc>
      </w:tr>
      <w:tr w:rsidR="007A56F4" w14:paraId="4FEC38D7" w14:textId="77777777">
        <w:trPr>
          <w:jc w:val="center"/>
        </w:trPr>
        <w:tc>
          <w:tcPr>
            <w:tcW w:w="1361" w:type="dxa"/>
          </w:tcPr>
          <w:p w14:paraId="601DE971" w14:textId="77777777" w:rsidR="007A56F4" w:rsidRDefault="00000000">
            <w:pPr>
              <w:spacing w:after="0" w:line="240" w:lineRule="auto"/>
            </w:pPr>
            <w:r>
              <w:rPr>
                <w:sz w:val="17"/>
              </w:rPr>
              <w:t>Metformin</w:t>
            </w:r>
          </w:p>
        </w:tc>
        <w:tc>
          <w:tcPr>
            <w:tcW w:w="1517" w:type="dxa"/>
          </w:tcPr>
          <w:p w14:paraId="76918F14" w14:textId="77777777" w:rsidR="007A56F4" w:rsidRDefault="00000000">
            <w:pPr>
              <w:spacing w:after="0" w:line="240" w:lineRule="auto"/>
            </w:pPr>
            <w:r>
              <w:rPr>
                <w:sz w:val="17"/>
              </w:rPr>
              <w:t>Reduced incidence or improved outcome</w:t>
            </w:r>
          </w:p>
        </w:tc>
        <w:tc>
          <w:tcPr>
            <w:tcW w:w="1517" w:type="dxa"/>
          </w:tcPr>
          <w:p w14:paraId="492AFC35" w14:textId="77777777" w:rsidR="007A56F4" w:rsidRDefault="00000000">
            <w:pPr>
              <w:spacing w:after="0" w:line="240" w:lineRule="auto"/>
            </w:pPr>
            <w:r>
              <w:rPr>
                <w:sz w:val="17"/>
              </w:rPr>
              <w:t>Randomised controlled trials (breast, pancreatic cancer; colorectal adenoma)</w:t>
            </w:r>
          </w:p>
        </w:tc>
        <w:tc>
          <w:tcPr>
            <w:tcW w:w="1517" w:type="dxa"/>
          </w:tcPr>
          <w:p w14:paraId="111A6688" w14:textId="77777777" w:rsidR="007A56F4" w:rsidRDefault="00000000">
            <w:pPr>
              <w:spacing w:after="0" w:line="240" w:lineRule="auto"/>
            </w:pPr>
            <w:r>
              <w:rPr>
                <w:sz w:val="17"/>
              </w:rPr>
              <w:t>No benefit in breast or advanced pancreatic cancer; fewer adenomas at one year in a small trial</w:t>
            </w:r>
          </w:p>
        </w:tc>
        <w:tc>
          <w:tcPr>
            <w:tcW w:w="1517" w:type="dxa"/>
          </w:tcPr>
          <w:p w14:paraId="3CDC2AC0" w14:textId="77777777" w:rsidR="007A56F4" w:rsidRDefault="00000000">
            <w:pPr>
              <w:spacing w:after="0" w:line="240" w:lineRule="auto"/>
            </w:pPr>
            <w:r>
              <w:rPr>
                <w:sz w:val="17"/>
              </w:rPr>
              <w:t>Immortal time and other time-related biases in observational studies</w:t>
            </w:r>
          </w:p>
        </w:tc>
        <w:tc>
          <w:tcPr>
            <w:tcW w:w="1644" w:type="dxa"/>
          </w:tcPr>
          <w:p w14:paraId="6560DC31" w14:textId="77777777" w:rsidR="007A56F4" w:rsidRDefault="00000000">
            <w:pPr>
              <w:spacing w:after="0" w:line="240" w:lineRule="auto"/>
            </w:pPr>
            <w:r>
              <w:rPr>
                <w:sz w:val="17"/>
              </w:rPr>
              <w:t>Gandini et al. (2014); Goodwin et al. (2022); Higurashi et al. (2016); Kordes et al. (2015); Suissa &amp; Azoulay (2012)</w:t>
            </w:r>
          </w:p>
        </w:tc>
      </w:tr>
      <w:tr w:rsidR="007A56F4" w14:paraId="4AAE6AF2" w14:textId="77777777">
        <w:trPr>
          <w:jc w:val="center"/>
        </w:trPr>
        <w:tc>
          <w:tcPr>
            <w:tcW w:w="1361" w:type="dxa"/>
          </w:tcPr>
          <w:p w14:paraId="344D5F4E" w14:textId="77777777" w:rsidR="007A56F4" w:rsidRDefault="00000000">
            <w:pPr>
              <w:spacing w:after="0" w:line="240" w:lineRule="auto"/>
            </w:pPr>
            <w:r>
              <w:rPr>
                <w:sz w:val="17"/>
              </w:rPr>
              <w:t>Insulin glargine</w:t>
            </w:r>
          </w:p>
        </w:tc>
        <w:tc>
          <w:tcPr>
            <w:tcW w:w="1517" w:type="dxa"/>
          </w:tcPr>
          <w:p w14:paraId="174E0CF4" w14:textId="77777777" w:rsidR="007A56F4" w:rsidRDefault="00000000">
            <w:pPr>
              <w:spacing w:after="0" w:line="240" w:lineRule="auto"/>
            </w:pPr>
            <w:r>
              <w:rPr>
                <w:sz w:val="17"/>
              </w:rPr>
              <w:t>Increased incidence through mitogenic signalling</w:t>
            </w:r>
          </w:p>
        </w:tc>
        <w:tc>
          <w:tcPr>
            <w:tcW w:w="1517" w:type="dxa"/>
          </w:tcPr>
          <w:p w14:paraId="2853A969" w14:textId="77777777" w:rsidR="007A56F4" w:rsidRDefault="00000000">
            <w:pPr>
              <w:spacing w:after="0" w:line="240" w:lineRule="auto"/>
            </w:pPr>
            <w:r>
              <w:rPr>
                <w:sz w:val="17"/>
              </w:rPr>
              <w:t>Randomised controlled trial</w:t>
            </w:r>
          </w:p>
        </w:tc>
        <w:tc>
          <w:tcPr>
            <w:tcW w:w="1517" w:type="dxa"/>
          </w:tcPr>
          <w:p w14:paraId="2C96E089" w14:textId="77777777" w:rsidR="007A56F4" w:rsidRDefault="00000000">
            <w:pPr>
              <w:spacing w:after="0" w:line="240" w:lineRule="auto"/>
            </w:pPr>
            <w:r>
              <w:rPr>
                <w:sz w:val="17"/>
              </w:rPr>
              <w:t>No difference in cancers over a median of 6.2 years</w:t>
            </w:r>
          </w:p>
        </w:tc>
        <w:tc>
          <w:tcPr>
            <w:tcW w:w="1517" w:type="dxa"/>
          </w:tcPr>
          <w:p w14:paraId="3330B4DF" w14:textId="77777777" w:rsidR="007A56F4" w:rsidRDefault="00000000">
            <w:pPr>
              <w:spacing w:after="0" w:line="240" w:lineRule="auto"/>
            </w:pPr>
            <w:r>
              <w:rPr>
                <w:sz w:val="17"/>
              </w:rPr>
              <w:t>Limited power for rare cancers</w:t>
            </w:r>
          </w:p>
        </w:tc>
        <w:tc>
          <w:tcPr>
            <w:tcW w:w="1644" w:type="dxa"/>
          </w:tcPr>
          <w:p w14:paraId="6E97A554" w14:textId="77777777" w:rsidR="007A56F4" w:rsidRDefault="00000000">
            <w:pPr>
              <w:spacing w:after="0" w:line="240" w:lineRule="auto"/>
            </w:pPr>
            <w:r>
              <w:rPr>
                <w:sz w:val="17"/>
              </w:rPr>
              <w:t>ORIGIN Trial Investigators (2012)</w:t>
            </w:r>
          </w:p>
        </w:tc>
      </w:tr>
      <w:tr w:rsidR="007A56F4" w14:paraId="0DB7550E" w14:textId="77777777">
        <w:trPr>
          <w:jc w:val="center"/>
        </w:trPr>
        <w:tc>
          <w:tcPr>
            <w:tcW w:w="1361" w:type="dxa"/>
          </w:tcPr>
          <w:p w14:paraId="2049A141" w14:textId="77777777" w:rsidR="007A56F4" w:rsidRDefault="00000000">
            <w:pPr>
              <w:spacing w:after="0" w:line="240" w:lineRule="auto"/>
            </w:pPr>
            <w:r>
              <w:rPr>
                <w:sz w:val="17"/>
              </w:rPr>
              <w:t>Pioglitazone</w:t>
            </w:r>
          </w:p>
        </w:tc>
        <w:tc>
          <w:tcPr>
            <w:tcW w:w="1517" w:type="dxa"/>
          </w:tcPr>
          <w:p w14:paraId="43BBFE33" w14:textId="77777777" w:rsidR="007A56F4" w:rsidRDefault="00000000">
            <w:pPr>
              <w:spacing w:after="0" w:line="240" w:lineRule="auto"/>
            </w:pPr>
            <w:r>
              <w:rPr>
                <w:sz w:val="17"/>
              </w:rPr>
              <w:t>Increased bladder cancer</w:t>
            </w:r>
          </w:p>
        </w:tc>
        <w:tc>
          <w:tcPr>
            <w:tcW w:w="1517" w:type="dxa"/>
          </w:tcPr>
          <w:p w14:paraId="1E13BE3A" w14:textId="77777777" w:rsidR="007A56F4" w:rsidRDefault="00000000">
            <w:pPr>
              <w:spacing w:after="0" w:line="240" w:lineRule="auto"/>
            </w:pPr>
            <w:r>
              <w:rPr>
                <w:sz w:val="17"/>
              </w:rPr>
              <w:t xml:space="preserve">Population-based cohort with lag </w:t>
            </w:r>
            <w:r>
              <w:rPr>
                <w:sz w:val="17"/>
              </w:rPr>
              <w:lastRenderedPageBreak/>
              <w:t>and dose-response analyses</w:t>
            </w:r>
          </w:p>
        </w:tc>
        <w:tc>
          <w:tcPr>
            <w:tcW w:w="1517" w:type="dxa"/>
          </w:tcPr>
          <w:p w14:paraId="7675666C" w14:textId="77777777" w:rsidR="007A56F4" w:rsidRDefault="00000000">
            <w:pPr>
              <w:spacing w:after="0" w:line="240" w:lineRule="auto"/>
            </w:pPr>
            <w:r>
              <w:rPr>
                <w:sz w:val="17"/>
              </w:rPr>
              <w:lastRenderedPageBreak/>
              <w:t>Hazard ratio 1.63; drug-specific</w:t>
            </w:r>
          </w:p>
        </w:tc>
        <w:tc>
          <w:tcPr>
            <w:tcW w:w="1517" w:type="dxa"/>
          </w:tcPr>
          <w:p w14:paraId="10E735A6" w14:textId="77777777" w:rsidR="007A56F4" w:rsidRDefault="00000000">
            <w:pPr>
              <w:spacing w:after="0" w:line="240" w:lineRule="auto"/>
            </w:pPr>
            <w:r>
              <w:rPr>
                <w:sz w:val="17"/>
              </w:rPr>
              <w:t xml:space="preserve">Residual confounding; </w:t>
            </w:r>
            <w:r>
              <w:rPr>
                <w:sz w:val="17"/>
              </w:rPr>
              <w:lastRenderedPageBreak/>
              <w:t>small absolute risk</w:t>
            </w:r>
          </w:p>
        </w:tc>
        <w:tc>
          <w:tcPr>
            <w:tcW w:w="1644" w:type="dxa"/>
          </w:tcPr>
          <w:p w14:paraId="1101D0E3" w14:textId="77777777" w:rsidR="007A56F4" w:rsidRDefault="00000000">
            <w:pPr>
              <w:spacing w:after="0" w:line="240" w:lineRule="auto"/>
            </w:pPr>
            <w:r>
              <w:rPr>
                <w:sz w:val="17"/>
              </w:rPr>
              <w:lastRenderedPageBreak/>
              <w:t>Tuccori et al. (2016)</w:t>
            </w:r>
          </w:p>
        </w:tc>
      </w:tr>
      <w:tr w:rsidR="007A56F4" w14:paraId="6A63A8B7" w14:textId="77777777">
        <w:trPr>
          <w:jc w:val="center"/>
        </w:trPr>
        <w:tc>
          <w:tcPr>
            <w:tcW w:w="1361" w:type="dxa"/>
          </w:tcPr>
          <w:p w14:paraId="4D46C397" w14:textId="77777777" w:rsidR="007A56F4" w:rsidRDefault="00000000">
            <w:pPr>
              <w:spacing w:after="0" w:line="240" w:lineRule="auto"/>
            </w:pPr>
            <w:r>
              <w:rPr>
                <w:sz w:val="17"/>
              </w:rPr>
              <w:t>GLP-1 receptor agonists</w:t>
            </w:r>
          </w:p>
        </w:tc>
        <w:tc>
          <w:tcPr>
            <w:tcW w:w="1517" w:type="dxa"/>
          </w:tcPr>
          <w:p w14:paraId="2ECA58F7" w14:textId="77777777" w:rsidR="007A56F4" w:rsidRDefault="00000000">
            <w:pPr>
              <w:spacing w:after="0" w:line="240" w:lineRule="auto"/>
            </w:pPr>
            <w:r>
              <w:rPr>
                <w:sz w:val="17"/>
              </w:rPr>
              <w:t>Increased thyroid cancer; reduced obesity-associated cancers</w:t>
            </w:r>
          </w:p>
        </w:tc>
        <w:tc>
          <w:tcPr>
            <w:tcW w:w="1517" w:type="dxa"/>
          </w:tcPr>
          <w:p w14:paraId="23C3BECB" w14:textId="77777777" w:rsidR="007A56F4" w:rsidRDefault="00000000">
            <w:pPr>
              <w:spacing w:after="0" w:line="240" w:lineRule="auto"/>
            </w:pPr>
            <w:r>
              <w:rPr>
                <w:sz w:val="17"/>
              </w:rPr>
              <w:t>Active-comparator new-user cohort; large health record cohort</w:t>
            </w:r>
          </w:p>
        </w:tc>
        <w:tc>
          <w:tcPr>
            <w:tcW w:w="1517" w:type="dxa"/>
          </w:tcPr>
          <w:p w14:paraId="277B3B07" w14:textId="77777777" w:rsidR="007A56F4" w:rsidRDefault="00000000">
            <w:pPr>
              <w:spacing w:after="0" w:line="240" w:lineRule="auto"/>
            </w:pPr>
            <w:r>
              <w:rPr>
                <w:sz w:val="17"/>
              </w:rPr>
              <w:t>Thyroid findings conflict; lower risks mainly compared with insulin</w:t>
            </w:r>
          </w:p>
        </w:tc>
        <w:tc>
          <w:tcPr>
            <w:tcW w:w="1517" w:type="dxa"/>
          </w:tcPr>
          <w:p w14:paraId="3D9447BF" w14:textId="77777777" w:rsidR="007A56F4" w:rsidRDefault="00000000">
            <w:pPr>
              <w:spacing w:after="0" w:line="240" w:lineRule="auto"/>
            </w:pPr>
            <w:r>
              <w:rPr>
                <w:sz w:val="17"/>
              </w:rPr>
              <w:t>Surveillance bias; confounding by indication</w:t>
            </w:r>
          </w:p>
        </w:tc>
        <w:tc>
          <w:tcPr>
            <w:tcW w:w="1644" w:type="dxa"/>
          </w:tcPr>
          <w:p w14:paraId="7C9139CF" w14:textId="77777777" w:rsidR="007A56F4" w:rsidRDefault="00000000">
            <w:pPr>
              <w:spacing w:after="0" w:line="240" w:lineRule="auto"/>
            </w:pPr>
            <w:r>
              <w:rPr>
                <w:sz w:val="17"/>
              </w:rPr>
              <w:t>Bezin et al. (2023); Pasternak et al. (2024); Wang et al. (2024)</w:t>
            </w:r>
          </w:p>
        </w:tc>
      </w:tr>
      <w:tr w:rsidR="007A56F4" w14:paraId="5911E75C" w14:textId="77777777">
        <w:trPr>
          <w:jc w:val="center"/>
        </w:trPr>
        <w:tc>
          <w:tcPr>
            <w:tcW w:w="1361" w:type="dxa"/>
          </w:tcPr>
          <w:p w14:paraId="0C4C71B0" w14:textId="77777777" w:rsidR="007A56F4" w:rsidRDefault="00000000">
            <w:pPr>
              <w:spacing w:after="0" w:line="240" w:lineRule="auto"/>
            </w:pPr>
            <w:r>
              <w:rPr>
                <w:sz w:val="17"/>
              </w:rPr>
              <w:t>Tumour necrosis factor inhibitors</w:t>
            </w:r>
          </w:p>
        </w:tc>
        <w:tc>
          <w:tcPr>
            <w:tcW w:w="1517" w:type="dxa"/>
          </w:tcPr>
          <w:p w14:paraId="6BB2346B" w14:textId="77777777" w:rsidR="007A56F4" w:rsidRDefault="00000000">
            <w:pPr>
              <w:spacing w:after="0" w:line="240" w:lineRule="auto"/>
            </w:pPr>
            <w:r>
              <w:rPr>
                <w:sz w:val="17"/>
              </w:rPr>
              <w:t>Increased lymphoma in rheumatoid arthritis</w:t>
            </w:r>
          </w:p>
        </w:tc>
        <w:tc>
          <w:tcPr>
            <w:tcW w:w="1517" w:type="dxa"/>
          </w:tcPr>
          <w:p w14:paraId="2E91D1A7" w14:textId="77777777" w:rsidR="007A56F4" w:rsidRDefault="00000000">
            <w:pPr>
              <w:spacing w:after="0" w:line="240" w:lineRule="auto"/>
            </w:pPr>
            <w:r>
              <w:rPr>
                <w:sz w:val="17"/>
              </w:rPr>
              <w:t>Prospective biologics register</w:t>
            </w:r>
          </w:p>
        </w:tc>
        <w:tc>
          <w:tcPr>
            <w:tcW w:w="1517" w:type="dxa"/>
          </w:tcPr>
          <w:p w14:paraId="2B24B2FC" w14:textId="77777777" w:rsidR="007A56F4" w:rsidRDefault="00000000">
            <w:pPr>
              <w:spacing w:after="0" w:line="240" w:lineRule="auto"/>
            </w:pPr>
            <w:r>
              <w:rPr>
                <w:sz w:val="17"/>
              </w:rPr>
              <w:t>No excess over biologic-naive patients</w:t>
            </w:r>
          </w:p>
        </w:tc>
        <w:tc>
          <w:tcPr>
            <w:tcW w:w="1517" w:type="dxa"/>
          </w:tcPr>
          <w:p w14:paraId="39F333AE" w14:textId="77777777" w:rsidR="007A56F4" w:rsidRDefault="00000000">
            <w:pPr>
              <w:spacing w:after="0" w:line="240" w:lineRule="auto"/>
            </w:pPr>
            <w:r>
              <w:rPr>
                <w:sz w:val="17"/>
              </w:rPr>
              <w:t>Channelling by disease severity</w:t>
            </w:r>
          </w:p>
        </w:tc>
        <w:tc>
          <w:tcPr>
            <w:tcW w:w="1644" w:type="dxa"/>
          </w:tcPr>
          <w:p w14:paraId="421274A6" w14:textId="77777777" w:rsidR="007A56F4" w:rsidRDefault="00000000">
            <w:pPr>
              <w:spacing w:after="0" w:line="240" w:lineRule="auto"/>
            </w:pPr>
            <w:r>
              <w:rPr>
                <w:sz w:val="17"/>
              </w:rPr>
              <w:t>Mercer et al. (2017)</w:t>
            </w:r>
          </w:p>
        </w:tc>
      </w:tr>
      <w:tr w:rsidR="007A56F4" w14:paraId="1889BAC4" w14:textId="77777777">
        <w:trPr>
          <w:jc w:val="center"/>
        </w:trPr>
        <w:tc>
          <w:tcPr>
            <w:tcW w:w="1361" w:type="dxa"/>
          </w:tcPr>
          <w:p w14:paraId="1EE59335" w14:textId="77777777" w:rsidR="007A56F4" w:rsidRDefault="00000000">
            <w:pPr>
              <w:spacing w:after="0" w:line="240" w:lineRule="auto"/>
            </w:pPr>
            <w:r>
              <w:rPr>
                <w:sz w:val="17"/>
              </w:rPr>
              <w:t>Tofacitinib</w:t>
            </w:r>
          </w:p>
        </w:tc>
        <w:tc>
          <w:tcPr>
            <w:tcW w:w="1517" w:type="dxa"/>
          </w:tcPr>
          <w:p w14:paraId="684D2979" w14:textId="77777777" w:rsidR="007A56F4" w:rsidRDefault="00000000">
            <w:pPr>
              <w:spacing w:after="0" w:line="240" w:lineRule="auto"/>
            </w:pPr>
            <w:r>
              <w:rPr>
                <w:sz w:val="17"/>
              </w:rPr>
              <w:t>Increased cancer compared with other immunomodulators</w:t>
            </w:r>
          </w:p>
        </w:tc>
        <w:tc>
          <w:tcPr>
            <w:tcW w:w="1517" w:type="dxa"/>
          </w:tcPr>
          <w:p w14:paraId="733D0343" w14:textId="77777777" w:rsidR="007A56F4" w:rsidRDefault="00000000">
            <w:pPr>
              <w:spacing w:after="0" w:line="240" w:lineRule="auto"/>
            </w:pPr>
            <w:r>
              <w:rPr>
                <w:sz w:val="17"/>
              </w:rPr>
              <w:t>Randomised safety end-point trial</w:t>
            </w:r>
          </w:p>
        </w:tc>
        <w:tc>
          <w:tcPr>
            <w:tcW w:w="1517" w:type="dxa"/>
          </w:tcPr>
          <w:p w14:paraId="06B3084C" w14:textId="77777777" w:rsidR="007A56F4" w:rsidRDefault="00000000">
            <w:pPr>
              <w:spacing w:after="0" w:line="240" w:lineRule="auto"/>
            </w:pPr>
            <w:r>
              <w:rPr>
                <w:sz w:val="17"/>
              </w:rPr>
              <w:t>Hazard ratio 1.48 versus tumour necrosis factor inhibitors</w:t>
            </w:r>
          </w:p>
        </w:tc>
        <w:tc>
          <w:tcPr>
            <w:tcW w:w="1517" w:type="dxa"/>
          </w:tcPr>
          <w:p w14:paraId="1D51EEE7" w14:textId="77777777" w:rsidR="007A56F4" w:rsidRDefault="00000000">
            <w:pPr>
              <w:spacing w:after="0" w:line="240" w:lineRule="auto"/>
            </w:pPr>
            <w:r>
              <w:rPr>
                <w:sz w:val="17"/>
              </w:rPr>
              <w:t>Active comparator; selected older population</w:t>
            </w:r>
          </w:p>
        </w:tc>
        <w:tc>
          <w:tcPr>
            <w:tcW w:w="1644" w:type="dxa"/>
          </w:tcPr>
          <w:p w14:paraId="6B46DC99" w14:textId="77777777" w:rsidR="007A56F4" w:rsidRDefault="00000000">
            <w:pPr>
              <w:spacing w:after="0" w:line="240" w:lineRule="auto"/>
            </w:pPr>
            <w:r>
              <w:rPr>
                <w:sz w:val="17"/>
              </w:rPr>
              <w:t>Ytterberg et al. (2022)</w:t>
            </w:r>
          </w:p>
        </w:tc>
      </w:tr>
      <w:tr w:rsidR="007A56F4" w14:paraId="17FB7C17" w14:textId="77777777">
        <w:trPr>
          <w:jc w:val="center"/>
        </w:trPr>
        <w:tc>
          <w:tcPr>
            <w:tcW w:w="1361" w:type="dxa"/>
          </w:tcPr>
          <w:p w14:paraId="76CEBB4E" w14:textId="77777777" w:rsidR="007A56F4" w:rsidRDefault="00000000">
            <w:pPr>
              <w:spacing w:after="0" w:line="240" w:lineRule="auto"/>
            </w:pPr>
            <w:r>
              <w:rPr>
                <w:sz w:val="17"/>
              </w:rPr>
              <w:t>Teplizumab</w:t>
            </w:r>
          </w:p>
        </w:tc>
        <w:tc>
          <w:tcPr>
            <w:tcW w:w="1517" w:type="dxa"/>
          </w:tcPr>
          <w:p w14:paraId="73F491D3" w14:textId="77777777" w:rsidR="007A56F4" w:rsidRDefault="00000000">
            <w:pPr>
              <w:spacing w:after="0" w:line="240" w:lineRule="auto"/>
            </w:pPr>
            <w:r>
              <w:rPr>
                <w:sz w:val="17"/>
              </w:rPr>
              <w:t>Delays type 1 diabetes; oncological effect unknown</w:t>
            </w:r>
          </w:p>
        </w:tc>
        <w:tc>
          <w:tcPr>
            <w:tcW w:w="1517" w:type="dxa"/>
          </w:tcPr>
          <w:p w14:paraId="088B3A7A" w14:textId="77777777" w:rsidR="007A56F4" w:rsidRDefault="00000000">
            <w:pPr>
              <w:spacing w:after="0" w:line="240" w:lineRule="auto"/>
            </w:pPr>
            <w:r>
              <w:rPr>
                <w:sz w:val="17"/>
              </w:rPr>
              <w:t>Randomised controlled trial</w:t>
            </w:r>
          </w:p>
        </w:tc>
        <w:tc>
          <w:tcPr>
            <w:tcW w:w="1517" w:type="dxa"/>
          </w:tcPr>
          <w:p w14:paraId="604F004F" w14:textId="77777777" w:rsidR="007A56F4" w:rsidRDefault="00000000">
            <w:pPr>
              <w:spacing w:after="0" w:line="240" w:lineRule="auto"/>
            </w:pPr>
            <w:r>
              <w:rPr>
                <w:sz w:val="17"/>
              </w:rPr>
              <w:t>Hazard ratio 0.41 for diagnosis of type 1 diabetes</w:t>
            </w:r>
          </w:p>
        </w:tc>
        <w:tc>
          <w:tcPr>
            <w:tcW w:w="1517" w:type="dxa"/>
          </w:tcPr>
          <w:p w14:paraId="51CBB40F" w14:textId="77777777" w:rsidR="007A56F4" w:rsidRDefault="00000000">
            <w:pPr>
              <w:spacing w:after="0" w:line="240" w:lineRule="auto"/>
            </w:pPr>
            <w:r>
              <w:rPr>
                <w:sz w:val="17"/>
              </w:rPr>
              <w:t>Small sample; short follow-up for cancer</w:t>
            </w:r>
          </w:p>
        </w:tc>
        <w:tc>
          <w:tcPr>
            <w:tcW w:w="1644" w:type="dxa"/>
          </w:tcPr>
          <w:p w14:paraId="0EC789BB" w14:textId="77777777" w:rsidR="007A56F4" w:rsidRDefault="00000000">
            <w:pPr>
              <w:spacing w:after="0" w:line="240" w:lineRule="auto"/>
            </w:pPr>
            <w:r>
              <w:rPr>
                <w:sz w:val="17"/>
              </w:rPr>
              <w:t>Herold et al. (2019)</w:t>
            </w:r>
          </w:p>
        </w:tc>
      </w:tr>
    </w:tbl>
    <w:p w14:paraId="25D437D4" w14:textId="77777777" w:rsidR="007A56F4" w:rsidRDefault="00000000">
      <w:pPr>
        <w:spacing w:after="240" w:line="240" w:lineRule="auto"/>
      </w:pPr>
      <w:r>
        <w:rPr>
          <w:i/>
          <w:sz w:val="18"/>
        </w:rPr>
        <w:t xml:space="preserve">Note. </w:t>
      </w:r>
      <w:r>
        <w:rPr>
          <w:sz w:val="18"/>
        </w:rPr>
        <w:t>GLP-1, glucagon-like peptide-1. Hazard ratios are those reported in the cited studies for their stated comparisons.</w:t>
      </w:r>
    </w:p>
    <w:p w14:paraId="596E7FB4" w14:textId="77777777" w:rsidR="007A56F4" w:rsidRDefault="00000000">
      <w:pPr>
        <w:pStyle w:val="Heading1"/>
      </w:pPr>
      <w:r>
        <w:t>9. Integrative Synthesis</w:t>
      </w:r>
    </w:p>
    <w:p w14:paraId="7F26055D" w14:textId="77777777" w:rsidR="007A56F4" w:rsidRDefault="00000000">
      <w:pPr>
        <w:pStyle w:val="Heading2"/>
      </w:pPr>
      <w:r>
        <w:t>9.1 A Differentiated Framework</w:t>
      </w:r>
    </w:p>
    <w:p w14:paraId="70A8ACFB" w14:textId="77777777" w:rsidR="007A56F4" w:rsidRDefault="00000000">
      <w:pPr>
        <w:jc w:val="both"/>
      </w:pPr>
      <w:r>
        <w:t>The evidence reviewed supports a framework in which cancer, autoimmunity and diabetes interact through several distinct pathways, each with its own evidential status (Figure 1). The best-supported links are the association of T2D with hepatic, pancreatic and endometrial cancers, with a probable causal contribution of hyperinsulinaemia (Ling et al., 2020; S. Yuan et al., 2020); the excess risk of lymphoma in systemic autoimmune disease, driven substantially by cumulative inflammation (Baecklund et al., 2006; Zintzaras et al., 2005); the occurrence of diabetes as a consequence of PDAC (Hart et al., 2016; Pannala et al., 2009); and the induction of autoimmune diabetes by PD-1 pathway blockade (Perdigoto et al., 2022; Stamatouli et al., 2018). Less secure are the associations of T2D with most other cancers, the modest and inconsistent cancer risks in T1D, and the protective associations of several drugs. The idea that a single immunometabolic abnormality unifies all three conditions is not supported, and attempts to force the evidence into one model would obscure important differences among diabetes phenotypes and among autoimmune diseases.</w:t>
      </w:r>
    </w:p>
    <w:p w14:paraId="1200FE1D" w14:textId="77777777" w:rsidR="007A56F4" w:rsidRDefault="00000000">
      <w:pPr>
        <w:keepNext/>
        <w:jc w:val="center"/>
      </w:pPr>
      <w:r>
        <w:rPr>
          <w:noProof/>
        </w:rPr>
        <w:lastRenderedPageBreak/>
        <w:drawing>
          <wp:inline distT="0" distB="0" distL="0" distR="0" wp14:anchorId="4CF2B8AF" wp14:editId="16A3E113">
            <wp:extent cx="5580000" cy="42464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png"/>
                    <pic:cNvPicPr/>
                  </pic:nvPicPr>
                  <pic:blipFill>
                    <a:blip r:embed="rId8"/>
                    <a:stretch>
                      <a:fillRect/>
                    </a:stretch>
                  </pic:blipFill>
                  <pic:spPr>
                    <a:xfrm>
                      <a:off x="0" y="0"/>
                      <a:ext cx="5580000" cy="4246415"/>
                    </a:xfrm>
                    <a:prstGeom prst="rect">
                      <a:avLst/>
                    </a:prstGeom>
                  </pic:spPr>
                </pic:pic>
              </a:graphicData>
            </a:graphic>
          </wp:inline>
        </w:drawing>
      </w:r>
    </w:p>
    <w:p w14:paraId="4B216BC9" w14:textId="77777777" w:rsidR="007A56F4" w:rsidRDefault="00000000">
      <w:pPr>
        <w:spacing w:after="240" w:line="240" w:lineRule="auto"/>
      </w:pPr>
      <w:r>
        <w:rPr>
          <w:b/>
          <w:sz w:val="20"/>
        </w:rPr>
        <w:t xml:space="preserve">Figure 1. </w:t>
      </w:r>
      <w:r>
        <w:rPr>
          <w:sz w:val="20"/>
        </w:rPr>
        <w:t>Conceptual framework of the principal pathways linking cancer, autoimmunity and diabetes, developed from the present synthesis rather than adapted from prior work. Solid arrows indicate relationships supported by consistent human evidence; dashed arrows indicate relationships that are plausible or supported by inconsistent or indirect evidence. The drugs listed at the top modify these pathways in ways that are inconsistent or specific to individual agents. CTLA-4, cytotoxic T-lymphocyte-associated protein 4; GLP-1RAs, glucagon-like peptide-1 receptor agonists; ICI, immune checkpoint inhibitor; IGF, insulin-like growth factor; JAK, Janus kinase; PD-1, programmed cell death protein 1; PD-L1, programmed death-ligand 1; PDAC, pancreatic ductal adenocarcinoma; T1D, type 1 diabetes; T2D, type 2 diabetes; TNF, tumour necrosis factor; UC, ulcerative colitis.</w:t>
      </w:r>
    </w:p>
    <w:p w14:paraId="5C30E246" w14:textId="77777777" w:rsidR="007A56F4" w:rsidRDefault="00000000">
      <w:pPr>
        <w:pStyle w:val="Heading2"/>
      </w:pPr>
      <w:r>
        <w:t>9.2 Reasons for Disagreement Across the Literature</w:t>
      </w:r>
    </w:p>
    <w:p w14:paraId="5A65729E" w14:textId="77777777" w:rsidR="007A56F4" w:rsidRDefault="00000000">
      <w:pPr>
        <w:jc w:val="both"/>
      </w:pPr>
      <w:r>
        <w:t xml:space="preserve">Four recurring sources of disagreement emerge. The first is the time relation between exposure and outcome. Reverse causation affects pancreatic cancer and diabetes, dermatomyositis and cancer, and the first years after any diagnosis that increases medical contact (Carstensen et al., 2016; Hill et al., 2001; Pannala et al., 2009). The second is time-related bias in drug studies, which generated the metformin paradox and complicates the relation between immune-related adverse events and survival (Das &amp; Johnson, 2019; Suissa &amp; Azoulay, 2012). The third is phenotypic misclassification, including the grouping of diabetes subtypes and the heterogeneity of autoimmune case definitions (Sona et al., 2018; Swerdlow et al., 2023). The fourth is population difference, illustrated by the null Mendelian randomisation result in a Japanese population and by geographical variation in autoimmune </w:t>
      </w:r>
      <w:r>
        <w:lastRenderedPageBreak/>
        <w:t>disease associations (Fischer et al., 2024; Goto et al., 2020). Recognising these sources allows apparently conflicting findings to be reconciled without dismissing either side.</w:t>
      </w:r>
    </w:p>
    <w:p w14:paraId="00EAF36A" w14:textId="77777777" w:rsidR="007A56F4" w:rsidRDefault="00000000">
      <w:pPr>
        <w:pStyle w:val="Heading2"/>
      </w:pPr>
      <w:r>
        <w:t>9.3 Clinical Implications</w:t>
      </w:r>
    </w:p>
    <w:p w14:paraId="5088DF15" w14:textId="77777777" w:rsidR="007A56F4" w:rsidRDefault="00000000">
      <w:pPr>
        <w:jc w:val="both"/>
      </w:pPr>
      <w:r>
        <w:t>The synthesis has several defensible clinical implications. Clinicians caring for people with T2D should regard cancer as a major cause of excess mortality and should ensure participation in established screening programmes, although evidence to support diabetes-specific screening intensification is lacking (Pearson-Stuttard, Bennett, et al., 2021). Unexplained weight loss with new-onset or deteriorating glycaemia in older adults should prompt consideration of pancreatic cancer (Sharma et al., 2018). New-onset dermatomyositis with anti-p155 antibodies warrants a targeted cancer search (Trallero-Araguás et al., 2012). Patients receiving PD-1 or PD-L1 inhibitors should have glucose monitored and be informed of the symptoms of ketoacidosis (Wu et al., 2023). Patients with pre-existing autoimmune disease need not be excluded from ICI therapy as a matter of course, but should be managed jointly with the relevant specialists (Tison et al., 2022). Drug choices in diabetes should not currently be driven by expected anti-cancer effects.</w:t>
      </w:r>
    </w:p>
    <w:p w14:paraId="2DE2FD9A" w14:textId="77777777" w:rsidR="007A56F4" w:rsidRDefault="00000000">
      <w:pPr>
        <w:pStyle w:val="Heading1"/>
      </w:pPr>
      <w:r>
        <w:t>10. Future Directions</w:t>
      </w:r>
    </w:p>
    <w:p w14:paraId="7827BB22" w14:textId="77777777" w:rsidR="007A56F4" w:rsidRDefault="00000000">
      <w:pPr>
        <w:jc w:val="both"/>
      </w:pPr>
      <w:r>
        <w:t>The most immediate priority is to establish whether the association between T2D and cancer is mediated by insulin, and whether lowering insulin exposure reduces risk. Current evidence depends on Mendelian randomisation with relatively weak instruments and on observational measures of insulin at single time points. Multivariable Mendelian randomisation that separates instruments for insulin resistance, insulin secretion and adiposity, conducted in populations of diverse ancestry, would clarify the specificity of the effect. Prospective cohorts with repeated measurements of fasting and post-load insulin and C-peptide would allow the cumulative exposure to be estimated. Outcomes should focus on the sites most robustly associated with T2D, namely liver, pancreas and endometrium. If insulin is causal, trials of weight reduction or of therapies that lower insulin, conducted in high-risk groups with endometrial hyperplasia or hepatic steatosis as intermediate outcomes, would become justified.</w:t>
      </w:r>
    </w:p>
    <w:p w14:paraId="2742FE6A" w14:textId="77777777" w:rsidR="007A56F4" w:rsidRDefault="00000000">
      <w:pPr>
        <w:jc w:val="both"/>
      </w:pPr>
      <w:r>
        <w:t xml:space="preserve">A second immediate priority concerns prediction and prevention of checkpoint inhibitor-associated diabetes. Existing evidence consists of case series and pooled reports with incomplete HLA typing, autoantibody testing and C-peptide measurement. Prospective multicentre registries of patients starting PD-1 or PD-L1 inhibitors, with baseline HLA </w:t>
      </w:r>
      <w:r>
        <w:lastRenderedPageBreak/>
        <w:t>genotyping, islet autoantibodies, C-peptide and pancreatic enzymes, would allow risk models to be built and validated. Relevant outcomes include incidence, ketoacidosis, permanence of insulin deficiency and tumour response. The experimental finding that blockade of IFN-γ and TNF-α prevented diabetes in mice (Perdigoto et al., 2022) justifies early-phase studies of targeted cytokine inhibition in high-risk patients, provided that anti-tumour efficacy is monitored as a co-primary outcome.</w:t>
      </w:r>
    </w:p>
    <w:p w14:paraId="5026F41C" w14:textId="77777777" w:rsidR="007A56F4" w:rsidRDefault="00000000">
      <w:pPr>
        <w:jc w:val="both"/>
      </w:pPr>
      <w:r>
        <w:t>A third priority, with a longer timescale, is to determine the oncological safety of immune interventions that are moving earlier in the course of autoimmune disease. Anti-CD3 therapy in pre-clinical T1D and targeted immunomodulators in other autoimmune diseases will be used in younger people for longer periods. Long-term follow-up of trial cohorts linked to cancer registries, and active-comparator new-user designs in routine data, are needed to detect small excess risks. Comparisons should be drug-specific, given the contrast between tumour necrosis factor inhibitors and tofacitinib (Mercer et al., 2017; Ytterberg et al., 2022).</w:t>
      </w:r>
    </w:p>
    <w:p w14:paraId="016FBA94" w14:textId="77777777" w:rsidR="007A56F4" w:rsidRDefault="00000000">
      <w:pPr>
        <w:jc w:val="both"/>
      </w:pPr>
      <w:r>
        <w:t>A fourth priority is to improve the detection of pancreatic cancer among people with new-onset diabetes. External validation of the ENDPAC model has shown attenuated performance (Khan et al., 2021), indicating a need for biomarkers that discriminate paraneoplastic from ordinary T2D. Prospective cohorts of adults over 50 years of age with new-onset diabetes, enriched for weight loss, should evaluate combined clinical and molecular models using stage at diagnosis and resectability as outcomes. Health economic analysis will be necessary because the prevalence of cancer in this population, although elevated, remains low.</w:t>
      </w:r>
    </w:p>
    <w:p w14:paraId="36558287" w14:textId="77777777" w:rsidR="007A56F4" w:rsidRDefault="00000000">
      <w:pPr>
        <w:jc w:val="both"/>
      </w:pPr>
      <w:r>
        <w:t>A fifth priority is to resolve the inverse associations between autoimmune disease and certain cancers. Reduced risks of breast and endometrial cancer in SLE and RA, and of prostate cancer in T2D, SLE and T1D, have been reproduced but not explained (Bernatsky et al., 2013; Carstensen et al., 2016; Fischer et al., 2024; Ling et al., 2020; L. Song et al., 2018). Studies integrating hormonal measurements, medication histories, screening participation and genetic data could determine whether these reflect biological protection or bias. Their resolution would test the tolerance and immunity trade-off directly.</w:t>
      </w:r>
    </w:p>
    <w:p w14:paraId="097D48D1" w14:textId="77777777" w:rsidR="007A56F4" w:rsidRDefault="00000000">
      <w:pPr>
        <w:jc w:val="both"/>
      </w:pPr>
      <w:r>
        <w:t xml:space="preserve">Finally, methodological standards across the field require improvement. Observational studies of drug effects should use active-comparator new-user designs with explicit handling of immortal time and lag periods, as illustrated by recent GLP-1RA analyses (Pasternak et al., 2024). Studies of diabetes and cancer should report diabetes subtype and duration, and studies of autoimmune disease should distinguish cancers diagnosed around the time of autoimmune </w:t>
      </w:r>
      <w:r>
        <w:lastRenderedPageBreak/>
        <w:t>diagnosis from those arising later. Adoption of these standards would materially reduce the contradictions documented in this review.</w:t>
      </w:r>
    </w:p>
    <w:p w14:paraId="265F3BB7" w14:textId="77777777" w:rsidR="007A56F4" w:rsidRDefault="00000000">
      <w:pPr>
        <w:pStyle w:val="Heading1"/>
      </w:pPr>
      <w:r>
        <w:t>11. Conclusions</w:t>
      </w:r>
    </w:p>
    <w:p w14:paraId="2E82A164" w14:textId="77777777" w:rsidR="007A56F4" w:rsidRDefault="00000000">
      <w:pPr>
        <w:jc w:val="both"/>
      </w:pPr>
      <w:r>
        <w:t>The relationships among cancer, autoimmunity and diabetes are real but heterogeneous, and their strength depends on the form of diabetes, the autoimmune disease, the cancer site and the direction of the association. The most defensible conclusions are that T2D is associated with increased risk of hepatic, pancreatic and endometrial cancer in a manner that is robust to plausible confounding; that hyperinsulinaemia is more consistently implicated than hyperglycaemia; that systemic autoimmune diseases, especially Sjögren's syndrome, SLE and severe RA, carry an excess risk of lymphoma linked to chronic inflammatory activity; that cancer can initiate autoimmunity and cause diabetes, most clearly in dermatomyositis, antibody-defined systemic sclerosis and pancreatic cancer; and that PD-1 pathway blockade causes a distinct, usually permanent, insulin-deficient autoimmune diabetes in a small proportion of treated patients.</w:t>
      </w:r>
    </w:p>
    <w:p w14:paraId="64763EDC" w14:textId="77777777" w:rsidR="007A56F4" w:rsidRDefault="00000000">
      <w:pPr>
        <w:jc w:val="both"/>
      </w:pPr>
      <w:r>
        <w:t>Evidence is more tentative for most other site-specific associations with T2D, for cancer risk in T1D, and for the mechanisms underlying inverse associations between autoimmune disease and some hormone-related cancers. Observational claims that metformin prevents or treats cancer have not been confirmed by randomised trials, and conflicting findings for GLP-1RAs are best explained by differences in design. The relation between immune-related toxicity and ICI efficacy is consistent with a trade-off between tolerance and anti-tumour immunity, but remains vulnerable to bias.</w:t>
      </w:r>
    </w:p>
    <w:p w14:paraId="27566D58" w14:textId="77777777" w:rsidR="007A56F4" w:rsidRDefault="00000000">
      <w:pPr>
        <w:jc w:val="both"/>
      </w:pPr>
      <w:r>
        <w:t>The broader significance of the synthesis is that the three disease groups are best understood as intersecting systems rather than as independent conditions or as manifestations of one unifying defect. The tolerance and immunity trade-off explains the iatrogenic and paraneoplastic links, and insulin-dependent growth signalling explains a substantial part of the metabolic link, but neither accounts for all observations. Progress will depend on precise phenotyping, designs that respect the timing of exposures and outcomes, and trials that test mechanisms rather than associations.</w:t>
      </w:r>
    </w:p>
    <w:p w14:paraId="39AD8044" w14:textId="77777777" w:rsidR="007A56F4" w:rsidRDefault="00000000">
      <w:pPr>
        <w:pStyle w:val="Heading1"/>
      </w:pPr>
      <w:r>
        <w:t>12. Limitations</w:t>
      </w:r>
    </w:p>
    <w:p w14:paraId="501E8C7D" w14:textId="77777777" w:rsidR="007A56F4" w:rsidRDefault="00000000">
      <w:pPr>
        <w:jc w:val="both"/>
      </w:pPr>
      <w:r>
        <w:t xml:space="preserve">This review has the intrinsic limitations of the narrative approach. Although the search strategy, eligibility criteria and appraisal principles were stated explicitly, the selection and </w:t>
      </w:r>
      <w:r>
        <w:lastRenderedPageBreak/>
        <w:t>interpretation of studies involved judgement, and a different team could have weighted particular studies differently or emphasised other themes. The absence of a protocol-driven systematic selection means that the evidence summarised in the tables is representative rather than exhaustive, and some relevant studies may not have been included.</w:t>
      </w:r>
    </w:p>
    <w:p w14:paraId="3F0084CE" w14:textId="77777777" w:rsidR="007A56F4" w:rsidRDefault="00000000">
      <w:pPr>
        <w:jc w:val="both"/>
      </w:pPr>
      <w:r>
        <w:t>The search did not include subscription bibliographic databases, and although the sources searched index most of the biomedical literature, some records available only through those databases may have been missed. Publications in languages other than English were excluded, which may have led to under-representation of regional studies, particularly from countries where autoimmune and metabolic diseases are studied in national-language journals. Some articles were appraised from their abstracts and structured metadata when full texts were not openly accessible, which limited the assessment of methodological detail for those studies.</w:t>
      </w:r>
    </w:p>
    <w:p w14:paraId="11F3B42C" w14:textId="77777777" w:rsidR="007A56F4" w:rsidRDefault="00000000">
      <w:pPr>
        <w:jc w:val="both"/>
      </w:pPr>
      <w:r>
        <w:t>The evidence itself imposes further limitations. Most associations derive from observational studies with heterogeneous definitions of diabetes subtype, autoimmune disease and cancer outcome, and the populations studied are concentrated in Northern Europe, North America and East Asia. Evidence on checkpoint inhibitor-associated diabetes relies heavily on case series and pooled case reports that are susceptible to reporting bias. Long-term data on newer immunomodulatory and incretin-based drugs are scarce. The heterogeneity of study designs and outcomes precluded quantitative synthesis, and the qualitative grading of confidence used in this review is not a substitute for formal certainty-of-evidence assessment. The field is also developing rapidly, and studies published after the search end date may alter some conclusions.</w:t>
      </w:r>
    </w:p>
    <w:p w14:paraId="1E8880B3" w14:textId="77777777" w:rsidR="001B3BB1" w:rsidRDefault="001B3BB1" w:rsidP="001B3BB1">
      <w:pPr>
        <w:spacing w:after="0" w:line="240" w:lineRule="auto"/>
        <w:rPr>
          <w:rFonts w:cs="Times New Roman"/>
          <w:b/>
        </w:rPr>
      </w:pPr>
      <w:r w:rsidRPr="000839CE">
        <w:rPr>
          <w:rFonts w:cs="Times New Roman"/>
          <w:b/>
        </w:rPr>
        <w:t>Declaration of AI Use</w:t>
      </w:r>
    </w:p>
    <w:p w14:paraId="75BE0A3F" w14:textId="77777777" w:rsidR="001B3BB1" w:rsidRDefault="001B3BB1" w:rsidP="001B3BB1">
      <w:pPr>
        <w:spacing w:after="0" w:line="240" w:lineRule="auto"/>
        <w:rPr>
          <w:rFonts w:cs="Times New Roman"/>
          <w:b/>
        </w:rPr>
      </w:pPr>
    </w:p>
    <w:p w14:paraId="169C0E12" w14:textId="77777777" w:rsidR="001B3BB1" w:rsidRDefault="001B3BB1" w:rsidP="001B3BB1">
      <w:pPr>
        <w:spacing w:after="0" w:line="240" w:lineRule="auto"/>
        <w:rPr>
          <w:rFonts w:cs="Times New Roman"/>
          <w:b/>
        </w:rPr>
      </w:pPr>
    </w:p>
    <w:p w14:paraId="7BD493B0" w14:textId="77777777" w:rsidR="001B3BB1" w:rsidRDefault="001B3BB1" w:rsidP="001B3BB1">
      <w:pPr>
        <w:spacing w:after="0" w:line="240" w:lineRule="auto"/>
        <w:rPr>
          <w:rFonts w:cs="Times New Roman"/>
          <w:b/>
        </w:rPr>
      </w:pPr>
    </w:p>
    <w:p w14:paraId="2532CE43" w14:textId="77777777" w:rsidR="001B3BB1" w:rsidRPr="002D08AC" w:rsidRDefault="001B3BB1" w:rsidP="001B3BB1">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2E96305" w14:textId="77777777" w:rsidR="001B3BB1" w:rsidRDefault="001B3BB1">
      <w:pPr>
        <w:jc w:val="both"/>
      </w:pPr>
    </w:p>
    <w:p w14:paraId="4D53AD96" w14:textId="77777777" w:rsidR="007A56F4" w:rsidRDefault="00000000">
      <w:pPr>
        <w:pStyle w:val="Heading1"/>
      </w:pPr>
      <w:r>
        <w:t>References</w:t>
      </w:r>
    </w:p>
    <w:p w14:paraId="1E3736C6" w14:textId="1EB83255" w:rsidR="007A56F4" w:rsidRDefault="00000000">
      <w:pPr>
        <w:spacing w:line="276" w:lineRule="auto"/>
        <w:ind w:left="720" w:hanging="720"/>
      </w:pPr>
      <w:r>
        <w:t xml:space="preserve">Akturk, H. K., Kahramangil, D., Sarwal, A., Hoffecker, L., Murad, M. H., &amp; Michels, A. W. (2019). Immune checkpoint inhibitor-induced type 1 diabetes: A systematic review and meta-analysis. </w:t>
      </w:r>
      <w:r>
        <w:rPr>
          <w:i/>
        </w:rPr>
        <w:t>Diabetic Medicine</w:t>
      </w:r>
      <w:r>
        <w:t xml:space="preserve">, </w:t>
      </w:r>
      <w:r>
        <w:rPr>
          <w:i/>
        </w:rPr>
        <w:t>36</w:t>
      </w:r>
      <w:r>
        <w:t xml:space="preserve">(9), 1075–1081. </w:t>
      </w:r>
      <w:r>
        <w:rPr>
          <w:color w:val="0563C1"/>
          <w:u w:val="single"/>
        </w:rPr>
        <w:t>https://doi.org/10.1111/dme.14050</w:t>
      </w:r>
    </w:p>
    <w:p w14:paraId="473D1741" w14:textId="29669DC3" w:rsidR="007A56F4" w:rsidRDefault="00000000">
      <w:pPr>
        <w:spacing w:line="276" w:lineRule="auto"/>
        <w:ind w:left="720" w:hanging="720"/>
      </w:pPr>
      <w:r>
        <w:lastRenderedPageBreak/>
        <w:t xml:space="preserve">André, F., Ciruelos, E., Rubovszky, G., Campone, M., Loibl, S., Rugo, H. S., Iwata, H., Conte, P., Mayer, I. A., Kaufman, B., Yamashita, T., Lu, Y. S., Inoue, K., Takahashi, M., Pápai, Z., Longin, A. S., Mills, D., Wilke, C., Hirawat, S., &amp; Juric, D. (2019). Alpelisib for </w:t>
      </w:r>
      <w:r>
        <w:rPr>
          <w:i/>
        </w:rPr>
        <w:t>PIK3CA</w:t>
      </w:r>
      <w:r>
        <w:t xml:space="preserve">-mutated, hormone receptor-positive advanced breast cancer. </w:t>
      </w:r>
      <w:r>
        <w:rPr>
          <w:i/>
        </w:rPr>
        <w:t>New England Journal of Medicine</w:t>
      </w:r>
      <w:r>
        <w:t xml:space="preserve">, </w:t>
      </w:r>
      <w:r>
        <w:rPr>
          <w:i/>
        </w:rPr>
        <w:t>380</w:t>
      </w:r>
      <w:r>
        <w:t xml:space="preserve">(20), 1929–1940. </w:t>
      </w:r>
      <w:r>
        <w:rPr>
          <w:color w:val="0563C1"/>
          <w:u w:val="single"/>
        </w:rPr>
        <w:t>https://doi.org/10.1056/nejmoa1813904</w:t>
      </w:r>
    </w:p>
    <w:p w14:paraId="0DB203D7" w14:textId="3C9A876C" w:rsidR="007A56F4" w:rsidRDefault="00000000">
      <w:pPr>
        <w:spacing w:line="276" w:lineRule="auto"/>
        <w:ind w:left="720" w:hanging="720"/>
      </w:pPr>
      <w:r>
        <w:t xml:space="preserve">Ansari, M. J., Salama, A. D., Chitnis, T., Smith, R. N., Yagita, H., Akiba, H., Yamazaki, T., Azuma, M., Iwai, H., Khoury, S. J., Auchincloss, H., &amp; Sayegh, M. H. (2003). The programmed death-1 (PD-1) pathway regulates autoimmune diabetes in nonobese diabetic (NOD) mice. </w:t>
      </w:r>
      <w:r>
        <w:rPr>
          <w:i/>
        </w:rPr>
        <w:t>The Journal of Experimental Medicine</w:t>
      </w:r>
      <w:r>
        <w:t xml:space="preserve">, </w:t>
      </w:r>
      <w:r>
        <w:rPr>
          <w:i/>
        </w:rPr>
        <w:t>198</w:t>
      </w:r>
      <w:r>
        <w:t xml:space="preserve">(1), 63–69. </w:t>
      </w:r>
      <w:r>
        <w:rPr>
          <w:color w:val="0563C1"/>
          <w:u w:val="single"/>
        </w:rPr>
        <w:t>https://doi.org/10.1084/jem.20022125</w:t>
      </w:r>
    </w:p>
    <w:p w14:paraId="0149FFD0" w14:textId="0398F8CE" w:rsidR="007A56F4" w:rsidRDefault="00000000">
      <w:pPr>
        <w:spacing w:line="276" w:lineRule="auto"/>
        <w:ind w:left="720" w:hanging="720"/>
      </w:pPr>
      <w:r>
        <w:t xml:space="preserve">Baecklund, E., Iliadou, A., Askling, J., Ekbom, A., Backlin, C., Granath, F., Catrina, A. I., Rosenquist, R., Feltelius, N., Sundström, C., &amp; Klareskog, L. (2006). Association of chronic inflammation, not its treatment, with increased lymphoma risk in rheumatoid arthritis. </w:t>
      </w:r>
      <w:r>
        <w:rPr>
          <w:i/>
        </w:rPr>
        <w:t>Arthritis &amp; Rheumatism</w:t>
      </w:r>
      <w:r>
        <w:t xml:space="preserve">, </w:t>
      </w:r>
      <w:r>
        <w:rPr>
          <w:i/>
        </w:rPr>
        <w:t>54</w:t>
      </w:r>
      <w:r>
        <w:t xml:space="preserve">(3), 692–701. </w:t>
      </w:r>
      <w:r>
        <w:rPr>
          <w:color w:val="0563C1"/>
          <w:u w:val="single"/>
        </w:rPr>
        <w:t>https://doi.org/10.1002/art.21675</w:t>
      </w:r>
    </w:p>
    <w:p w14:paraId="0EE78497" w14:textId="06ADEEDD" w:rsidR="007A56F4" w:rsidRDefault="00000000">
      <w:pPr>
        <w:spacing w:line="276" w:lineRule="auto"/>
        <w:ind w:left="720" w:hanging="720"/>
      </w:pPr>
      <w:r>
        <w:t xml:space="preserve">Baethge, C., Goldbeck-Wood, S., &amp; Mertens, S. (2019). SANRA—a scale for the quality assessment of narrative review articles. </w:t>
      </w:r>
      <w:r>
        <w:rPr>
          <w:i/>
        </w:rPr>
        <w:t>Research Integrity and Peer Review</w:t>
      </w:r>
      <w:r>
        <w:t xml:space="preserve">, </w:t>
      </w:r>
      <w:r>
        <w:rPr>
          <w:i/>
        </w:rPr>
        <w:t>4</w:t>
      </w:r>
      <w:r>
        <w:t xml:space="preserve">(1), Article 5. </w:t>
      </w:r>
      <w:r>
        <w:rPr>
          <w:color w:val="0563C1"/>
          <w:u w:val="single"/>
        </w:rPr>
        <w:t>https://doi.org/10.1186/s41073-019-0064-8</w:t>
      </w:r>
    </w:p>
    <w:p w14:paraId="62D646E8" w14:textId="26E365C5" w:rsidR="007A56F4" w:rsidRDefault="00000000">
      <w:pPr>
        <w:spacing w:line="276" w:lineRule="auto"/>
        <w:ind w:left="720" w:hanging="720"/>
      </w:pPr>
      <w:r>
        <w:t xml:space="preserve">Barone, B. B., Yeh, H. C., Snyder, C. F., Peairs, K. S., Stein, K. B., Derr, R. L., Wolff, A. C., &amp; Brancati, F. L. (2008). Long-term all-cause mortality in cancer patients with preexisting diabetes mellitus: A systematic review and meta-analysis. </w:t>
      </w:r>
      <w:r>
        <w:rPr>
          <w:i/>
        </w:rPr>
        <w:t>JAMA</w:t>
      </w:r>
      <w:r>
        <w:t xml:space="preserve">, </w:t>
      </w:r>
      <w:r>
        <w:rPr>
          <w:i/>
        </w:rPr>
        <w:t>300</w:t>
      </w:r>
      <w:r>
        <w:t xml:space="preserve">(23), 2754–2764. </w:t>
      </w:r>
      <w:r>
        <w:rPr>
          <w:color w:val="0563C1"/>
          <w:u w:val="single"/>
        </w:rPr>
        <w:t>https://doi.org/10.1001/jama.2008.824</w:t>
      </w:r>
    </w:p>
    <w:p w14:paraId="516B2482" w14:textId="101D423B" w:rsidR="007A56F4" w:rsidRDefault="00000000">
      <w:pPr>
        <w:spacing w:line="276" w:lineRule="auto"/>
        <w:ind w:left="720" w:hanging="720"/>
      </w:pPr>
      <w:r>
        <w:t xml:space="preserve">Barroso-Sousa, R., Barry, W. T., Garrido-Castro, A. C., Hodi, F. S., Min, L., Krop, I. E., &amp; Tolaney, S. M. (2018). Incidence of endocrine dysfunction following the use of different immune checkpoint inhibitor regimens: A systematic review and meta-analysis. </w:t>
      </w:r>
      <w:r>
        <w:rPr>
          <w:i/>
        </w:rPr>
        <w:t>JAMA Oncology</w:t>
      </w:r>
      <w:r>
        <w:t xml:space="preserve">, </w:t>
      </w:r>
      <w:r>
        <w:rPr>
          <w:i/>
        </w:rPr>
        <w:t>4</w:t>
      </w:r>
      <w:r>
        <w:t xml:space="preserve">(2), 173–182. </w:t>
      </w:r>
      <w:r>
        <w:rPr>
          <w:color w:val="0563C1"/>
          <w:u w:val="single"/>
        </w:rPr>
        <w:t>https://doi.org/10.1001/jamaoncol.2017.3064</w:t>
      </w:r>
    </w:p>
    <w:p w14:paraId="166478E1" w14:textId="6DBE3225" w:rsidR="007A56F4" w:rsidRDefault="00000000">
      <w:pPr>
        <w:spacing w:line="276" w:lineRule="auto"/>
        <w:ind w:left="720" w:hanging="720"/>
      </w:pPr>
      <w:r>
        <w:t xml:space="preserve">Belfiore, A., Frasca, F., Pandini, G., Sciacca, L., &amp; Vigneri, R. (2009). Insulin receptor isoforms and insulin receptor/insulin-like growth factor receptor hybrids in physiology and disease. </w:t>
      </w:r>
      <w:r>
        <w:rPr>
          <w:i/>
        </w:rPr>
        <w:t>Endocrine Reviews</w:t>
      </w:r>
      <w:r>
        <w:t xml:space="preserve">, </w:t>
      </w:r>
      <w:r>
        <w:rPr>
          <w:i/>
        </w:rPr>
        <w:t>30</w:t>
      </w:r>
      <w:r>
        <w:t xml:space="preserve">(6), 586–623. </w:t>
      </w:r>
      <w:r>
        <w:rPr>
          <w:color w:val="0563C1"/>
          <w:u w:val="single"/>
        </w:rPr>
        <w:t>https://doi.org/10.1210/er.2008-0047</w:t>
      </w:r>
    </w:p>
    <w:p w14:paraId="277E0790" w14:textId="382F8777" w:rsidR="007A56F4" w:rsidRDefault="00000000">
      <w:pPr>
        <w:spacing w:line="276" w:lineRule="auto"/>
        <w:ind w:left="720" w:hanging="720"/>
      </w:pPr>
      <w:r>
        <w:t xml:space="preserve">Bernatsky, S., Ramsey-Goldman, R., Labrecque, J., Joseph, L., Boivin, J. F., Petri, M., Zoma, A., Manzi, S., Urowitz, M. B., Gladman, D., Fortin, P. R., Ginzler, E., Yelin, E., Bae, S. C., Wallace, D. J., Edworthy, S., Jacobsen, S., Gordon, C., Dooley, M. A., . . . Clarke, A. E. (2013). Cancer risk in systemic lupus: An updated international multi-centre cohort study. </w:t>
      </w:r>
      <w:r>
        <w:rPr>
          <w:i/>
        </w:rPr>
        <w:t>Journal of Autoimmunity</w:t>
      </w:r>
      <w:r>
        <w:t xml:space="preserve">, </w:t>
      </w:r>
      <w:r>
        <w:rPr>
          <w:i/>
        </w:rPr>
        <w:t>42</w:t>
      </w:r>
      <w:r>
        <w:t xml:space="preserve">, 130–135. </w:t>
      </w:r>
      <w:r>
        <w:rPr>
          <w:color w:val="0563C1"/>
          <w:u w:val="single"/>
        </w:rPr>
        <w:t>https://doi.org/10.1016/j.jaut.2012.12.009</w:t>
      </w:r>
    </w:p>
    <w:p w14:paraId="28F4DF27" w14:textId="483D62BC" w:rsidR="007A56F4" w:rsidRDefault="00000000">
      <w:pPr>
        <w:spacing w:line="276" w:lineRule="auto"/>
        <w:ind w:left="720" w:hanging="720"/>
      </w:pPr>
      <w:r>
        <w:t xml:space="preserve">Bezin, J., Gouverneur, A., Pénichon, M., Mathieu, C., Garrel, R., Hillaire-Buys, D., Pariente, A., &amp; Faillie, J. L. (2023). GLP-1 receptor agonists and the risk of thyroid cancer. </w:t>
      </w:r>
      <w:r>
        <w:rPr>
          <w:i/>
        </w:rPr>
        <w:t>Diabetes Care</w:t>
      </w:r>
      <w:r>
        <w:t xml:space="preserve">, </w:t>
      </w:r>
      <w:r>
        <w:rPr>
          <w:i/>
        </w:rPr>
        <w:t>46</w:t>
      </w:r>
      <w:r>
        <w:t xml:space="preserve">(2), 384–390. </w:t>
      </w:r>
      <w:r>
        <w:rPr>
          <w:color w:val="0563C1"/>
          <w:u w:val="single"/>
        </w:rPr>
        <w:t>https://doi.org/10.2337/dc22-1148</w:t>
      </w:r>
    </w:p>
    <w:p w14:paraId="5521ABB7" w14:textId="4C27AC71" w:rsidR="007A56F4" w:rsidRDefault="00000000">
      <w:pPr>
        <w:spacing w:line="276" w:lineRule="auto"/>
        <w:ind w:left="720" w:hanging="720"/>
      </w:pPr>
      <w:r>
        <w:lastRenderedPageBreak/>
        <w:t xml:space="preserve">Carreras-Torres, R., Johansson, M., Gaborieau, V., Haycock, P. C., Wade, K. H., Relton, C. L., Martin, R. M., Davey Smith, G., &amp; Brennan, P. (2017). The role of obesity, type 2 diabetes, and metabolic factors in pancreatic cancer: A Mendelian randomization study. </w:t>
      </w:r>
      <w:r>
        <w:rPr>
          <w:i/>
        </w:rPr>
        <w:t>Journal of the National Cancer Institute</w:t>
      </w:r>
      <w:r>
        <w:t xml:space="preserve">, </w:t>
      </w:r>
      <w:r>
        <w:rPr>
          <w:i/>
        </w:rPr>
        <w:t>109</w:t>
      </w:r>
      <w:r>
        <w:t xml:space="preserve">(9), Article djx012. </w:t>
      </w:r>
      <w:r>
        <w:rPr>
          <w:color w:val="0563C1"/>
          <w:u w:val="single"/>
        </w:rPr>
        <w:t>https://doi.org/10.1093/jnci/djx012</w:t>
      </w:r>
    </w:p>
    <w:p w14:paraId="07C56F70" w14:textId="2443656A" w:rsidR="007A56F4" w:rsidRDefault="00000000">
      <w:pPr>
        <w:spacing w:line="276" w:lineRule="auto"/>
        <w:ind w:left="720" w:hanging="720"/>
      </w:pPr>
      <w:r>
        <w:t xml:space="preserve">Carstensen, B., Read, S. H., Friis, S., Sund, R., Keskimäki, I., Svensson, A. M., Ljung, R., Wild, S. H., Kerssens, J. J., Harding, J. L., Magliano, D. J., &amp; Gudbjörnsdottir, S. (2016). Cancer incidence in persons with type 1 diabetes: A five-country study of 9,000 cancers in type 1 diabetic individuals. </w:t>
      </w:r>
      <w:r>
        <w:rPr>
          <w:i/>
        </w:rPr>
        <w:t>Diabetologia</w:t>
      </w:r>
      <w:r>
        <w:t xml:space="preserve">, </w:t>
      </w:r>
      <w:r>
        <w:rPr>
          <w:i/>
        </w:rPr>
        <w:t>59</w:t>
      </w:r>
      <w:r>
        <w:t xml:space="preserve">(5), 980–988. </w:t>
      </w:r>
      <w:r>
        <w:rPr>
          <w:color w:val="0563C1"/>
          <w:u w:val="single"/>
        </w:rPr>
        <w:t>https://doi.org/10.1007/s00125-016-3884-9</w:t>
      </w:r>
    </w:p>
    <w:p w14:paraId="3C50DB01" w14:textId="3CDCE8D7" w:rsidR="007A56F4" w:rsidRDefault="00000000">
      <w:pPr>
        <w:spacing w:line="276" w:lineRule="auto"/>
        <w:ind w:left="720" w:hanging="720"/>
      </w:pPr>
      <w:r>
        <w:t xml:space="preserve">Conrad, N., Misra, S., Verbakel, J. Y., Verbeke, G., Molenberghs, G., Taylor, P. N., Mason, J., Sattar, N., McMurray, J. J. V., McInnes, I. B., Khunti, K., &amp; Cambridge, G. (2023). Incidence, prevalence, and co-occurrence of autoimmune disorders over time and by age, sex, and socioeconomic status: A population-based cohort study of 22 million individuals in the UK. </w:t>
      </w:r>
      <w:r>
        <w:rPr>
          <w:i/>
        </w:rPr>
        <w:t>The Lancet</w:t>
      </w:r>
      <w:r>
        <w:t xml:space="preserve">, </w:t>
      </w:r>
      <w:r>
        <w:rPr>
          <w:i/>
        </w:rPr>
        <w:t>401</w:t>
      </w:r>
      <w:r>
        <w:t xml:space="preserve">(10391), 1878–1890. </w:t>
      </w:r>
      <w:r>
        <w:rPr>
          <w:color w:val="0563C1"/>
          <w:u w:val="single"/>
        </w:rPr>
        <w:t>https://doi.org/10.1016/s0140-6736(23)00457-9</w:t>
      </w:r>
    </w:p>
    <w:p w14:paraId="04EE7B80" w14:textId="74EE7D7A" w:rsidR="007A56F4" w:rsidRDefault="00000000">
      <w:pPr>
        <w:spacing w:line="276" w:lineRule="auto"/>
        <w:ind w:left="720" w:hanging="720"/>
      </w:pPr>
      <w:r>
        <w:t xml:space="preserve">Coussens, L. M., &amp; Werb, Z. (2002). Inflammation and cancer. </w:t>
      </w:r>
      <w:r>
        <w:rPr>
          <w:i/>
        </w:rPr>
        <w:t>Nature</w:t>
      </w:r>
      <w:r>
        <w:t xml:space="preserve">, </w:t>
      </w:r>
      <w:r>
        <w:rPr>
          <w:i/>
        </w:rPr>
        <w:t>420</w:t>
      </w:r>
      <w:r>
        <w:t xml:space="preserve">(6917), 860–867. </w:t>
      </w:r>
      <w:r>
        <w:rPr>
          <w:color w:val="0563C1"/>
          <w:u w:val="single"/>
        </w:rPr>
        <w:t>https://doi.org/10.1038/nature01322</w:t>
      </w:r>
    </w:p>
    <w:p w14:paraId="4C049193" w14:textId="72C225B5" w:rsidR="007A56F4" w:rsidRDefault="00000000">
      <w:pPr>
        <w:spacing w:line="276" w:lineRule="auto"/>
        <w:ind w:left="720" w:hanging="720"/>
      </w:pPr>
      <w:r>
        <w:t xml:space="preserve">Coyle, C., Cafferty, F. H., Vale, C., &amp; Langley, R. E. (2016). Metformin as an adjuvant treatment for cancer: A systematic review and meta-analysis. </w:t>
      </w:r>
      <w:r>
        <w:rPr>
          <w:i/>
        </w:rPr>
        <w:t>Annals of Oncology</w:t>
      </w:r>
      <w:r>
        <w:t xml:space="preserve">, </w:t>
      </w:r>
      <w:r>
        <w:rPr>
          <w:i/>
        </w:rPr>
        <w:t>27</w:t>
      </w:r>
      <w:r>
        <w:t xml:space="preserve">(12), 2184–2195. </w:t>
      </w:r>
      <w:r>
        <w:rPr>
          <w:color w:val="0563C1"/>
          <w:u w:val="single"/>
        </w:rPr>
        <w:t>https://doi.org/10.1093/annonc/mdw410</w:t>
      </w:r>
    </w:p>
    <w:p w14:paraId="66519775" w14:textId="049F53B0" w:rsidR="007A56F4" w:rsidRDefault="00000000">
      <w:pPr>
        <w:spacing w:line="276" w:lineRule="auto"/>
        <w:ind w:left="720" w:hanging="720"/>
      </w:pPr>
      <w:r>
        <w:t xml:space="preserve">Das, S., &amp; Johnson, D. B. (2019). Immune-related adverse events and anti-tumor efficacy of immune checkpoint inhibitors. </w:t>
      </w:r>
      <w:r>
        <w:rPr>
          <w:i/>
        </w:rPr>
        <w:t>Journal for ImmunoTherapy of Cancer</w:t>
      </w:r>
      <w:r>
        <w:t xml:space="preserve">, </w:t>
      </w:r>
      <w:r>
        <w:rPr>
          <w:i/>
        </w:rPr>
        <w:t>7</w:t>
      </w:r>
      <w:r>
        <w:t xml:space="preserve">(1), Article 306. </w:t>
      </w:r>
      <w:r>
        <w:rPr>
          <w:color w:val="0563C1"/>
          <w:u w:val="single"/>
        </w:rPr>
        <w:t>https://doi.org/10.1186/s40425-019-0805-8</w:t>
      </w:r>
    </w:p>
    <w:p w14:paraId="632C4249" w14:textId="21C0F9F2" w:rsidR="007A56F4" w:rsidRDefault="00000000">
      <w:pPr>
        <w:spacing w:line="276" w:lineRule="auto"/>
        <w:ind w:left="720" w:hanging="720"/>
      </w:pPr>
      <w:r>
        <w:t xml:space="preserve">de Filette, J. M. K., Pen, J. J., Decoster, L., Vissers, T., Bravenboer, B., Van der Auwera, B. J., Gorus, F. K., Roep, B. O., Aspeslagh, S., Neyns, B., Velkeniers, B., &amp; Kharagjitsingh, A. V. (2019). Immune checkpoint inhibitors and type 1 diabetes mellitus: A case report and systematic review. </w:t>
      </w:r>
      <w:r>
        <w:rPr>
          <w:i/>
        </w:rPr>
        <w:t>European Journal of Endocrinology</w:t>
      </w:r>
      <w:r>
        <w:t xml:space="preserve">, </w:t>
      </w:r>
      <w:r>
        <w:rPr>
          <w:i/>
        </w:rPr>
        <w:t>181</w:t>
      </w:r>
      <w:r>
        <w:t xml:space="preserve">(3), 363–374. </w:t>
      </w:r>
      <w:r>
        <w:rPr>
          <w:color w:val="0563C1"/>
          <w:u w:val="single"/>
        </w:rPr>
        <w:t>https://doi.org/10.1530/eje-19-0291</w:t>
      </w:r>
    </w:p>
    <w:p w14:paraId="33F7E21B" w14:textId="699FF59A" w:rsidR="007A56F4" w:rsidRDefault="00000000">
      <w:pPr>
        <w:spacing w:line="276" w:lineRule="auto"/>
        <w:ind w:left="720" w:hanging="720"/>
      </w:pPr>
      <w:r>
        <w:t xml:space="preserve">Donath, M. Y., &amp; Shoelson, S. E. (2011). Type 2 diabetes as an inflammatory disease. </w:t>
      </w:r>
      <w:r>
        <w:rPr>
          <w:i/>
        </w:rPr>
        <w:t>Nature Reviews Immunology</w:t>
      </w:r>
      <w:r>
        <w:t xml:space="preserve">, </w:t>
      </w:r>
      <w:r>
        <w:rPr>
          <w:i/>
        </w:rPr>
        <w:t>11</w:t>
      </w:r>
      <w:r>
        <w:t xml:space="preserve">(2), 98–107. </w:t>
      </w:r>
      <w:r>
        <w:rPr>
          <w:color w:val="0563C1"/>
          <w:u w:val="single"/>
        </w:rPr>
        <w:t>https://doi.org/10.1038/nri2925</w:t>
      </w:r>
    </w:p>
    <w:p w14:paraId="47A9FBC0" w14:textId="5367D04E" w:rsidR="007A56F4" w:rsidRDefault="00000000">
      <w:pPr>
        <w:spacing w:line="276" w:lineRule="auto"/>
        <w:ind w:left="720" w:hanging="720"/>
      </w:pPr>
      <w:r>
        <w:t xml:space="preserve">Eikawa, S., Nishida, M., Mizukami, S., Yamazaki, C., Nakayama, E., &amp; Udono, H. (2015). Immune-mediated antitumor effect by type 2 diabetes drug, metformin. </w:t>
      </w:r>
      <w:r>
        <w:rPr>
          <w:i/>
        </w:rPr>
        <w:t>Proceedings of the National Academy of Sciences of the United States of America</w:t>
      </w:r>
      <w:r>
        <w:t xml:space="preserve">, </w:t>
      </w:r>
      <w:r>
        <w:rPr>
          <w:i/>
        </w:rPr>
        <w:t>112</w:t>
      </w:r>
      <w:r>
        <w:t xml:space="preserve">(6), 1809–1814. </w:t>
      </w:r>
      <w:r>
        <w:rPr>
          <w:color w:val="0563C1"/>
          <w:u w:val="single"/>
        </w:rPr>
        <w:t>https://doi.org/10.1073/pnas.1417636112</w:t>
      </w:r>
    </w:p>
    <w:p w14:paraId="5F2BDBB3" w14:textId="618BF9EB" w:rsidR="007A56F4" w:rsidRDefault="00000000">
      <w:pPr>
        <w:spacing w:line="276" w:lineRule="auto"/>
        <w:ind w:left="720" w:hanging="720"/>
      </w:pPr>
      <w:r>
        <w:t xml:space="preserve">Emerging Risk Factors Collaboration. (2011). Diabetes mellitus, fasting glucose, and risk of cause-specific death. </w:t>
      </w:r>
      <w:r>
        <w:rPr>
          <w:i/>
        </w:rPr>
        <w:t>New England Journal of Medicine</w:t>
      </w:r>
      <w:r>
        <w:t xml:space="preserve">, </w:t>
      </w:r>
      <w:r>
        <w:rPr>
          <w:i/>
        </w:rPr>
        <w:t>364</w:t>
      </w:r>
      <w:r>
        <w:t xml:space="preserve">(9), 829–841. </w:t>
      </w:r>
      <w:r>
        <w:rPr>
          <w:color w:val="0563C1"/>
          <w:u w:val="single"/>
        </w:rPr>
        <w:t>https://doi.org/10.1056/nejmoa1008862</w:t>
      </w:r>
    </w:p>
    <w:p w14:paraId="309851E6" w14:textId="2B9D2BBB" w:rsidR="007A56F4" w:rsidRDefault="00000000">
      <w:pPr>
        <w:spacing w:line="276" w:lineRule="auto"/>
        <w:ind w:left="720" w:hanging="720"/>
      </w:pPr>
      <w:r>
        <w:lastRenderedPageBreak/>
        <w:t xml:space="preserve">Evans, J. M., Donnelly, L. A., Emslie-Smith, A. M., Alessi, D. R., &amp; Morris, A. D. (2005). Metformin and reduced risk of cancer in diabetic patients. </w:t>
      </w:r>
      <w:r>
        <w:rPr>
          <w:i/>
        </w:rPr>
        <w:t>BMJ</w:t>
      </w:r>
      <w:r>
        <w:t xml:space="preserve">, </w:t>
      </w:r>
      <w:r>
        <w:rPr>
          <w:i/>
        </w:rPr>
        <w:t>330</w:t>
      </w:r>
      <w:r>
        <w:t xml:space="preserve">(7503), 1304–1305. </w:t>
      </w:r>
      <w:r>
        <w:rPr>
          <w:color w:val="0563C1"/>
          <w:u w:val="single"/>
        </w:rPr>
        <w:t>https://doi.org/10.1136/bmj.38415.708634.f7</w:t>
      </w:r>
    </w:p>
    <w:p w14:paraId="5E8A9F4C" w14:textId="0611FCA9" w:rsidR="007A56F4" w:rsidRDefault="00000000">
      <w:pPr>
        <w:spacing w:line="276" w:lineRule="auto"/>
        <w:ind w:left="720" w:hanging="720"/>
      </w:pPr>
      <w:r>
        <w:t xml:space="preserve">Fischer, S., Meisinger, C., &amp; Freuer, D. (2024). Autoimmune diseases and female-specific cancer risk: A systematic review and meta-analysis. </w:t>
      </w:r>
      <w:r>
        <w:rPr>
          <w:i/>
        </w:rPr>
        <w:t>Journal of Autoimmunity</w:t>
      </w:r>
      <w:r>
        <w:t xml:space="preserve">, </w:t>
      </w:r>
      <w:r>
        <w:rPr>
          <w:i/>
        </w:rPr>
        <w:t>144</w:t>
      </w:r>
      <w:r>
        <w:t xml:space="preserve">, Article 103187. </w:t>
      </w:r>
      <w:r>
        <w:rPr>
          <w:color w:val="0563C1"/>
          <w:u w:val="single"/>
        </w:rPr>
        <w:t>https://doi.org/10.1016/j.jaut.2024.103187</w:t>
      </w:r>
    </w:p>
    <w:p w14:paraId="070E100A" w14:textId="4F824F1B" w:rsidR="007A56F4" w:rsidRDefault="00000000">
      <w:pPr>
        <w:spacing w:line="276" w:lineRule="auto"/>
        <w:ind w:left="720" w:hanging="720"/>
      </w:pPr>
      <w:r>
        <w:t xml:space="preserve">Gandini, S., Puntoni, M., Heckman-Stoddard, B. M., Dunn, B. K., Ford, L., DeCensi, A., &amp; Szabo, E. (2014). Metformin and cancer risk and mortality: A systematic review and meta-analysis taking into account biases and confounders. </w:t>
      </w:r>
      <w:r>
        <w:rPr>
          <w:i/>
        </w:rPr>
        <w:t>Cancer Prevention Research</w:t>
      </w:r>
      <w:r>
        <w:t xml:space="preserve">, </w:t>
      </w:r>
      <w:r>
        <w:rPr>
          <w:i/>
        </w:rPr>
        <w:t>7</w:t>
      </w:r>
      <w:r>
        <w:t xml:space="preserve">(9), 867–885. </w:t>
      </w:r>
      <w:r>
        <w:rPr>
          <w:color w:val="0563C1"/>
          <w:u w:val="single"/>
        </w:rPr>
        <w:t>https://doi.org/10.1158/1940-6207.capr-13-0424</w:t>
      </w:r>
    </w:p>
    <w:p w14:paraId="4189F28D" w14:textId="3235D476" w:rsidR="007A56F4" w:rsidRDefault="00000000">
      <w:pPr>
        <w:spacing w:line="276" w:lineRule="auto"/>
        <w:ind w:left="720" w:hanging="720"/>
      </w:pPr>
      <w:r>
        <w:t xml:space="preserve">Giovannucci, E., Harlan, D. M., Archer, M. C., Bergenstal, R. M., Gapstur, S. M., Habel, L. A., Pollak, M., Regensteiner, J. G., &amp; Yee, D. (2010). Diabetes and cancer: A consensus report. </w:t>
      </w:r>
      <w:r>
        <w:rPr>
          <w:i/>
        </w:rPr>
        <w:t>Diabetes Care</w:t>
      </w:r>
      <w:r>
        <w:t xml:space="preserve">, </w:t>
      </w:r>
      <w:r>
        <w:rPr>
          <w:i/>
        </w:rPr>
        <w:t>33</w:t>
      </w:r>
      <w:r>
        <w:t xml:space="preserve">(7), 1674–1685. </w:t>
      </w:r>
      <w:r>
        <w:rPr>
          <w:color w:val="0563C1"/>
          <w:u w:val="single"/>
        </w:rPr>
        <w:t>https://doi.org/10.2337/dc10-0666</w:t>
      </w:r>
    </w:p>
    <w:p w14:paraId="642AD76C" w14:textId="0B276A13" w:rsidR="007A56F4" w:rsidRDefault="00000000">
      <w:pPr>
        <w:spacing w:line="276" w:lineRule="auto"/>
        <w:ind w:left="720" w:hanging="720"/>
      </w:pPr>
      <w:r>
        <w:t xml:space="preserve">Goodwin, P. J., Chen, B. E., Gelmon, K. A., Whelan, T. J., Ennis, M., Lemieux, J., Ligibel, J. A., Hershman, D. L., Mayer, I. A., Hobday, T. J., Bliss, J. M., Rastogi, P., Rabaglio-Poretti, M., Mukherjee, S. D., Mackey, J. R., Abramson, V. G., Oja, C., Wesolowski, R., Thompson, A. M., . . . Parulekar, W. R. (2022). Effect of metformin vs placebo on invasive disease-free survival in patients with breast cancer: The MA.32 randomized clinical trial. </w:t>
      </w:r>
      <w:r>
        <w:rPr>
          <w:i/>
        </w:rPr>
        <w:t>JAMA</w:t>
      </w:r>
      <w:r>
        <w:t xml:space="preserve">, </w:t>
      </w:r>
      <w:r>
        <w:rPr>
          <w:i/>
        </w:rPr>
        <w:t>327</w:t>
      </w:r>
      <w:r>
        <w:t xml:space="preserve">(20), 1963–1973. </w:t>
      </w:r>
      <w:r>
        <w:rPr>
          <w:color w:val="0563C1"/>
          <w:u w:val="single"/>
        </w:rPr>
        <w:t>https://doi.org/10.1001/jama.2022.6147</w:t>
      </w:r>
    </w:p>
    <w:p w14:paraId="5A974005" w14:textId="26FCDCD5" w:rsidR="007A56F4" w:rsidRDefault="00000000">
      <w:pPr>
        <w:spacing w:line="276" w:lineRule="auto"/>
        <w:ind w:left="720" w:hanging="720"/>
      </w:pPr>
      <w:r>
        <w:t xml:space="preserve">Goto, A., Yamaji, T., Sawada, N., Momozawa, Y., Kamatani, Y., Kubo, M., Shimazu, T., Inoue, M., Noda, M., Tsugane, S., &amp; Iwasaki, M. (2020). Diabetes and cancer risk: A Mendelian randomization study. </w:t>
      </w:r>
      <w:r>
        <w:rPr>
          <w:i/>
        </w:rPr>
        <w:t>International Journal of Cancer</w:t>
      </w:r>
      <w:r>
        <w:t xml:space="preserve">, </w:t>
      </w:r>
      <w:r>
        <w:rPr>
          <w:i/>
        </w:rPr>
        <w:t>146</w:t>
      </w:r>
      <w:r>
        <w:t xml:space="preserve">(3), 712–719. </w:t>
      </w:r>
      <w:r>
        <w:rPr>
          <w:color w:val="0563C1"/>
          <w:u w:val="single"/>
        </w:rPr>
        <w:t>https://doi.org/10.1002/ijc.32310</w:t>
      </w:r>
    </w:p>
    <w:p w14:paraId="777FEE55" w14:textId="167B6BE9" w:rsidR="007A56F4" w:rsidRDefault="00000000">
      <w:pPr>
        <w:spacing w:line="276" w:lineRule="auto"/>
        <w:ind w:left="720" w:hanging="720"/>
      </w:pPr>
      <w:r>
        <w:t xml:space="preserve">Graus, F., Vogrig, A., Muñiz-Castrillo, S., Antoine, J. G., Desestret, V., Dubey, D., Giometto, B., Irani, S. R., Joubert, B., Leypoldt, F., McKeon, A., Prüss, H., Psimaras, D., Thomas, L., Titulaer, M. J., Vedeler, C. A., Verschuuren, J. J., Dalmau, J., &amp; Honnorat, J. (2021). Updated diagnostic criteria for paraneoplastic neurologic syndromes. </w:t>
      </w:r>
      <w:r>
        <w:rPr>
          <w:i/>
        </w:rPr>
        <w:t>Neurology: Neuroimmunology &amp; Neuroinflammation</w:t>
      </w:r>
      <w:r>
        <w:t xml:space="preserve">, </w:t>
      </w:r>
      <w:r>
        <w:rPr>
          <w:i/>
        </w:rPr>
        <w:t>8</w:t>
      </w:r>
      <w:r>
        <w:t xml:space="preserve">(4), Article e1014. </w:t>
      </w:r>
      <w:r>
        <w:rPr>
          <w:color w:val="0563C1"/>
          <w:u w:val="single"/>
        </w:rPr>
        <w:t>https://doi.org/10.1212/nxi.0000000000001014</w:t>
      </w:r>
    </w:p>
    <w:p w14:paraId="01E73003" w14:textId="201F9988" w:rsidR="007A56F4" w:rsidRDefault="00000000">
      <w:pPr>
        <w:spacing w:line="276" w:lineRule="auto"/>
        <w:ind w:left="720" w:hanging="720"/>
      </w:pPr>
      <w:r>
        <w:t xml:space="preserve">Greenhalgh, T., Thorne, S., &amp; Malterud, K. (2018). Time to challenge the spurious hierarchy of systematic over narrative reviews? </w:t>
      </w:r>
      <w:r>
        <w:rPr>
          <w:i/>
        </w:rPr>
        <w:t>European Journal of Clinical Investigation</w:t>
      </w:r>
      <w:r>
        <w:t xml:space="preserve">, </w:t>
      </w:r>
      <w:r>
        <w:rPr>
          <w:i/>
        </w:rPr>
        <w:t>48</w:t>
      </w:r>
      <w:r>
        <w:t xml:space="preserve">(6), Article e12931. </w:t>
      </w:r>
      <w:r>
        <w:rPr>
          <w:color w:val="0563C1"/>
          <w:u w:val="single"/>
        </w:rPr>
        <w:t>https://doi.org/10.1111/eci.12931</w:t>
      </w:r>
    </w:p>
    <w:p w14:paraId="1D29A3C1" w14:textId="46423378" w:rsidR="007A56F4" w:rsidRDefault="00000000">
      <w:pPr>
        <w:spacing w:line="276" w:lineRule="auto"/>
        <w:ind w:left="720" w:hanging="720"/>
      </w:pPr>
      <w:r>
        <w:t xml:space="preserve">Hanahan, D. (2022). Hallmarks of cancer: New dimensions. </w:t>
      </w:r>
      <w:r>
        <w:rPr>
          <w:i/>
        </w:rPr>
        <w:t>Cancer Discovery</w:t>
      </w:r>
      <w:r>
        <w:t xml:space="preserve">, </w:t>
      </w:r>
      <w:r>
        <w:rPr>
          <w:i/>
        </w:rPr>
        <w:t>12</w:t>
      </w:r>
      <w:r>
        <w:t xml:space="preserve">(1), 31–46. </w:t>
      </w:r>
      <w:r>
        <w:rPr>
          <w:color w:val="0563C1"/>
          <w:u w:val="single"/>
        </w:rPr>
        <w:t>https://doi.org/10.1158/2159-8290.cd-21-1059</w:t>
      </w:r>
    </w:p>
    <w:p w14:paraId="617BF396" w14:textId="54902586" w:rsidR="007A56F4" w:rsidRDefault="00000000">
      <w:pPr>
        <w:spacing w:line="276" w:lineRule="auto"/>
        <w:ind w:left="720" w:hanging="720"/>
      </w:pPr>
      <w:r>
        <w:t xml:space="preserve">Hart, P. A., Bellin, M. D., Andersen, D. K., Bradley, D., Cruz-Monserrate, Z., Forsmark, C. E., Goodarzi, M. O., Habtezion, A., Korc, M., Kudva, Y. C., Pandol, S. J., Yadav, D., &amp; Chari, S. T. (2016). Type 3c (pancreatogenic) diabetes mellitus secondary to chronic pancreatitis and pancreatic cancer. </w:t>
      </w:r>
      <w:r>
        <w:rPr>
          <w:i/>
        </w:rPr>
        <w:t>The Lancet Gastroenterology &amp; Hepatology</w:t>
      </w:r>
      <w:r>
        <w:t xml:space="preserve">, </w:t>
      </w:r>
      <w:r>
        <w:rPr>
          <w:i/>
        </w:rPr>
        <w:t>1</w:t>
      </w:r>
      <w:r>
        <w:t xml:space="preserve">(3), 226–237. </w:t>
      </w:r>
      <w:r>
        <w:rPr>
          <w:color w:val="0563C1"/>
          <w:u w:val="single"/>
        </w:rPr>
        <w:t>https://doi.org/10.1016/s2468-1253(16)30106-6</w:t>
      </w:r>
    </w:p>
    <w:p w14:paraId="6B3CB57B" w14:textId="1531247A" w:rsidR="007A56F4" w:rsidRDefault="00000000">
      <w:pPr>
        <w:spacing w:line="276" w:lineRule="auto"/>
        <w:ind w:left="720" w:hanging="720"/>
      </w:pPr>
      <w:r>
        <w:lastRenderedPageBreak/>
        <w:t xml:space="preserve">Hemminki, K., Liu, X., Ji, J., Sundquist, J., &amp; Sundquist, K. (2012). Autoimmune disease and subsequent digestive tract cancer by histology. </w:t>
      </w:r>
      <w:r>
        <w:rPr>
          <w:i/>
        </w:rPr>
        <w:t>Annals of Oncology</w:t>
      </w:r>
      <w:r>
        <w:t xml:space="preserve">, </w:t>
      </w:r>
      <w:r>
        <w:rPr>
          <w:i/>
        </w:rPr>
        <w:t>23</w:t>
      </w:r>
      <w:r>
        <w:t xml:space="preserve">(4), 927–933. </w:t>
      </w:r>
      <w:r>
        <w:rPr>
          <w:color w:val="0563C1"/>
          <w:u w:val="single"/>
        </w:rPr>
        <w:t>https://doi.org/10.1093/annonc/mdr333</w:t>
      </w:r>
    </w:p>
    <w:p w14:paraId="130B106B" w14:textId="0B005B41" w:rsidR="007A56F4" w:rsidRDefault="00000000">
      <w:pPr>
        <w:spacing w:line="276" w:lineRule="auto"/>
        <w:ind w:left="720" w:hanging="720"/>
      </w:pPr>
      <w:r>
        <w:t xml:space="preserve">Herold, K. C., Bundy, B. N., Long, S. A., Bluestone, J. A., DiMeglio, L. A., Dufort, M. J., Gitelman, S. E., Gottlieb, P. A., Krischer, J. P., Linsley, P. S., Marks, J. B., Moore, W., Moran, A., Rodriguez, H., Russell, W. E., Schatz, D., Skyler, J. S., Tsalikian, E., Wherrett, D. K., . . . Greenbaum, C. J. (2019). An anti-CD3 antibody, teplizumab, in relatives at risk for type 1 diabetes. </w:t>
      </w:r>
      <w:r>
        <w:rPr>
          <w:i/>
        </w:rPr>
        <w:t>New England Journal of Medicine</w:t>
      </w:r>
      <w:r>
        <w:t xml:space="preserve">, </w:t>
      </w:r>
      <w:r>
        <w:rPr>
          <w:i/>
        </w:rPr>
        <w:t>381</w:t>
      </w:r>
      <w:r>
        <w:t xml:space="preserve">(7), 603–613. </w:t>
      </w:r>
      <w:r>
        <w:rPr>
          <w:color w:val="0563C1"/>
          <w:u w:val="single"/>
        </w:rPr>
        <w:t>https://doi.org/10.1056/nejmoa1902226</w:t>
      </w:r>
    </w:p>
    <w:p w14:paraId="2A819F88" w14:textId="1CDE86A9" w:rsidR="007A56F4" w:rsidRDefault="00000000">
      <w:pPr>
        <w:spacing w:line="276" w:lineRule="auto"/>
        <w:ind w:left="720" w:hanging="720"/>
      </w:pPr>
      <w:r>
        <w:t xml:space="preserve">Higurashi, T., Hosono, K., Takahashi, H., Komiya, Y., Umezawa, S., Sakai, E., Uchiyama, T., Taniguchi, L., Hata, Y., Uchiyama, S., Hattori, A., Nagase, H., Kessoku, T., Arimoto, J., Matsuhashi, N., Inayama, Y., Yamanaka, S., Taguri, M., &amp; Nakajima, A. (2016). Metformin for chemoprevention of metachronous colorectal adenoma or polyps in post-polypectomy patients without diabetes: A multicentre double-blind, placebo-controlled, randomised phase 3 trial. </w:t>
      </w:r>
      <w:r>
        <w:rPr>
          <w:i/>
        </w:rPr>
        <w:t>The Lancet Oncology</w:t>
      </w:r>
      <w:r>
        <w:t xml:space="preserve">, </w:t>
      </w:r>
      <w:r>
        <w:rPr>
          <w:i/>
        </w:rPr>
        <w:t>17</w:t>
      </w:r>
      <w:r>
        <w:t xml:space="preserve">(4), 475–483. </w:t>
      </w:r>
      <w:r>
        <w:rPr>
          <w:color w:val="0563C1"/>
          <w:u w:val="single"/>
        </w:rPr>
        <w:t>https://doi.org/10.1016/s1470-2045(15)00565-3</w:t>
      </w:r>
    </w:p>
    <w:p w14:paraId="49D1E2E5" w14:textId="60E74B84" w:rsidR="007A56F4" w:rsidRDefault="00000000">
      <w:pPr>
        <w:spacing w:line="276" w:lineRule="auto"/>
        <w:ind w:left="720" w:hanging="720"/>
      </w:pPr>
      <w:r>
        <w:t xml:space="preserve">Hill, C. L., Zhang, Y., Sigurgeirsson, B., Pukkala, E., Mellemkjaer, L., Airio, A., Evans, S. R., &amp; Felson, D. T. (2001). Frequency of specific cancer types in dermatomyositis and polymyositis: A population-based study. </w:t>
      </w:r>
      <w:r>
        <w:rPr>
          <w:i/>
        </w:rPr>
        <w:t>The Lancet</w:t>
      </w:r>
      <w:r>
        <w:t xml:space="preserve">, </w:t>
      </w:r>
      <w:r>
        <w:rPr>
          <w:i/>
        </w:rPr>
        <w:t>357</w:t>
      </w:r>
      <w:r>
        <w:t xml:space="preserve">(9250), 96–100. </w:t>
      </w:r>
      <w:r>
        <w:rPr>
          <w:color w:val="0563C1"/>
          <w:u w:val="single"/>
        </w:rPr>
        <w:t>https://doi.org/10.1016/s0140-6736(00)03540-6</w:t>
      </w:r>
    </w:p>
    <w:p w14:paraId="13FA57C4" w14:textId="4C97A5EE" w:rsidR="007A56F4" w:rsidRDefault="00000000">
      <w:pPr>
        <w:spacing w:line="276" w:lineRule="auto"/>
        <w:ind w:left="720" w:hanging="720"/>
      </w:pPr>
      <w:r>
        <w:t xml:space="preserve">Hwangbo, Y., Kang, D., Kang, M., Kim, S., Lee, E. K., Kim, Y. A., Chang, Y. J., Choi, K. S., Jung, S. Y., Woo, S. M., Ahn, J. S., Sim, S. H., Hong, Y. S., Pastor-Barriuso, R., Guallar, E., Lee, E. S., Kong, S. Y., &amp; Cho, J. (2018). Incidence of diabetes after cancer development: A Korean national cohort study. </w:t>
      </w:r>
      <w:r>
        <w:rPr>
          <w:i/>
        </w:rPr>
        <w:t>JAMA Oncology</w:t>
      </w:r>
      <w:r>
        <w:t xml:space="preserve">, </w:t>
      </w:r>
      <w:r>
        <w:rPr>
          <w:i/>
        </w:rPr>
        <w:t>4</w:t>
      </w:r>
      <w:r>
        <w:t xml:space="preserve">(8), 1099–1105. </w:t>
      </w:r>
      <w:r>
        <w:rPr>
          <w:color w:val="0563C1"/>
          <w:u w:val="single"/>
        </w:rPr>
        <w:t>https://doi.org/10.1001/jamaoncol.2018.1684</w:t>
      </w:r>
    </w:p>
    <w:p w14:paraId="0605B540" w14:textId="3A49DA17" w:rsidR="007A56F4" w:rsidRDefault="00000000">
      <w:pPr>
        <w:spacing w:line="276" w:lineRule="auto"/>
        <w:ind w:left="720" w:hanging="720"/>
      </w:pPr>
      <w:r>
        <w:t xml:space="preserve">Johnson, D. B., Sullivan, R. J., Ott, P. A., Carlino, M. S., Khushalani, N. I., Ye, F., Guminski, A., Puzanov, I., Lawrence, D. P., Buchbinder, E. I., Mudigonda, T., Spencer, K., Bender, C., Lee, J., Kaufman, H. L., Menzies, A. M., Hassel, J. C., Mehnert, J. M., Sosman, J. A., . . . Clark, J. I. (2016). Ipilimumab therapy in patients with advanced melanoma and preexisting autoimmune disorders. </w:t>
      </w:r>
      <w:r>
        <w:rPr>
          <w:i/>
        </w:rPr>
        <w:t>JAMA Oncology</w:t>
      </w:r>
      <w:r>
        <w:t xml:space="preserve">, </w:t>
      </w:r>
      <w:r>
        <w:rPr>
          <w:i/>
        </w:rPr>
        <w:t>2</w:t>
      </w:r>
      <w:r>
        <w:t xml:space="preserve">(2), 234–240. </w:t>
      </w:r>
      <w:r>
        <w:rPr>
          <w:color w:val="0563C1"/>
          <w:u w:val="single"/>
        </w:rPr>
        <w:t>https://doi.org/10.1001/jamaoncol.2015.4368</w:t>
      </w:r>
    </w:p>
    <w:p w14:paraId="240710D3" w14:textId="3351D165" w:rsidR="007A56F4" w:rsidRDefault="00000000">
      <w:pPr>
        <w:spacing w:line="276" w:lineRule="auto"/>
        <w:ind w:left="720" w:hanging="720"/>
      </w:pPr>
      <w:r>
        <w:t xml:space="preserve">Joseph, C. G., Darrah, E., Shah, A. A., Skora, A. D., Casciola-Rosen, L. A., Wigley, F. M., Boin, F., Fava, A., Thoburn, C., Kinde, I., Jiao, Y., Papadopoulos, N., Kinzler, K. W., Vogelstein, B., &amp; Rosen, A. (2014). Association of the autoimmune disease scleroderma with an immunologic response to cancer. </w:t>
      </w:r>
      <w:r>
        <w:rPr>
          <w:i/>
        </w:rPr>
        <w:t>Science</w:t>
      </w:r>
      <w:r>
        <w:t xml:space="preserve">, </w:t>
      </w:r>
      <w:r>
        <w:rPr>
          <w:i/>
        </w:rPr>
        <w:t>343</w:t>
      </w:r>
      <w:r>
        <w:t xml:space="preserve">(6167), 152–157. </w:t>
      </w:r>
      <w:r>
        <w:rPr>
          <w:color w:val="0563C1"/>
          <w:u w:val="single"/>
        </w:rPr>
        <w:t>https://doi.org/10.1126/science.1246886</w:t>
      </w:r>
    </w:p>
    <w:p w14:paraId="3E1D2773" w14:textId="39E250FB" w:rsidR="007A56F4" w:rsidRDefault="00000000">
      <w:pPr>
        <w:spacing w:line="276" w:lineRule="auto"/>
        <w:ind w:left="720" w:hanging="720"/>
      </w:pPr>
      <w:r>
        <w:t xml:space="preserve">Khan, S., Safarudin, R. F., &amp; Kupec, J. T. (2021). Validation of the ENDPAC model: Identifying new-onset diabetics at risk of pancreatic cancer. </w:t>
      </w:r>
      <w:r>
        <w:rPr>
          <w:i/>
        </w:rPr>
        <w:t>Pancreatology</w:t>
      </w:r>
      <w:r>
        <w:t xml:space="preserve">, </w:t>
      </w:r>
      <w:r>
        <w:rPr>
          <w:i/>
        </w:rPr>
        <w:t>21</w:t>
      </w:r>
      <w:r>
        <w:t xml:space="preserve">(3), 550–555. </w:t>
      </w:r>
      <w:r>
        <w:rPr>
          <w:color w:val="0563C1"/>
          <w:u w:val="single"/>
        </w:rPr>
        <w:t>https://doi.org/10.1016/j.pan.2021.02.001</w:t>
      </w:r>
    </w:p>
    <w:p w14:paraId="7F7F3479" w14:textId="03CED4B4" w:rsidR="007A56F4" w:rsidRDefault="00000000">
      <w:pPr>
        <w:spacing w:line="276" w:lineRule="auto"/>
        <w:ind w:left="720" w:hanging="720"/>
      </w:pPr>
      <w:r>
        <w:t xml:space="preserve">Kordes, S., Pollak, M. N., Zwinderman, A. H., Mathôt, R. A., Weterman, M. J., Beeker, A., Punt, C. J., Richel, D. J., &amp; Wilmink, J. W. (2015). Metformin in patients with </w:t>
      </w:r>
      <w:r>
        <w:lastRenderedPageBreak/>
        <w:t xml:space="preserve">advanced pancreatic cancer: A double-blind, randomised, placebo-controlled phase 2 trial. </w:t>
      </w:r>
      <w:r>
        <w:rPr>
          <w:i/>
        </w:rPr>
        <w:t>The Lancet Oncology</w:t>
      </w:r>
      <w:r>
        <w:t xml:space="preserve">, </w:t>
      </w:r>
      <w:r>
        <w:rPr>
          <w:i/>
        </w:rPr>
        <w:t>16</w:t>
      </w:r>
      <w:r>
        <w:t xml:space="preserve">(7), 839–847. </w:t>
      </w:r>
      <w:r>
        <w:rPr>
          <w:color w:val="0563C1"/>
          <w:u w:val="single"/>
        </w:rPr>
        <w:t>https://doi.org/10.1016/s1470-2045(15)00027-3</w:t>
      </w:r>
    </w:p>
    <w:p w14:paraId="4E0D1405" w14:textId="42614A86" w:rsidR="007A56F4" w:rsidRDefault="00000000">
      <w:pPr>
        <w:spacing w:line="276" w:lineRule="auto"/>
        <w:ind w:left="720" w:hanging="720"/>
      </w:pPr>
      <w:r>
        <w:t xml:space="preserve">Lauby-Secretan, B., Scoccianti, C., Loomis, D., Grosse, Y., Bianchini, F., &amp; Straif, K. (2016). Body fatness and cancer—Viewpoint of the IARC Working Group. </w:t>
      </w:r>
      <w:r>
        <w:rPr>
          <w:i/>
        </w:rPr>
        <w:t>New England Journal of Medicine</w:t>
      </w:r>
      <w:r>
        <w:t xml:space="preserve">, </w:t>
      </w:r>
      <w:r>
        <w:rPr>
          <w:i/>
        </w:rPr>
        <w:t>375</w:t>
      </w:r>
      <w:r>
        <w:t xml:space="preserve">(8), 794–798. </w:t>
      </w:r>
      <w:r>
        <w:rPr>
          <w:color w:val="0563C1"/>
          <w:u w:val="single"/>
        </w:rPr>
        <w:t>https://doi.org/10.1056/nejmsr1606602</w:t>
      </w:r>
    </w:p>
    <w:p w14:paraId="66C5ECA4" w14:textId="723708A2" w:rsidR="007A56F4" w:rsidRDefault="00000000">
      <w:pPr>
        <w:spacing w:line="276" w:lineRule="auto"/>
        <w:ind w:left="720" w:hanging="720"/>
      </w:pPr>
      <w:r>
        <w:t xml:space="preserve">Ling, S., Brown, K., Miksza, J. K., Howells, L., Morrison, A., Issa, E., Yates, T., Khunti, K., Davies, M. J., &amp; Zaccardi, F. (2020). Association of type 2 diabetes with cancer: A meta-analysis with bias analysis for unmeasured confounding in 151 cohorts comprising 32 million people. </w:t>
      </w:r>
      <w:r>
        <w:rPr>
          <w:i/>
        </w:rPr>
        <w:t>Diabetes Care</w:t>
      </w:r>
      <w:r>
        <w:t xml:space="preserve">, </w:t>
      </w:r>
      <w:r>
        <w:rPr>
          <w:i/>
        </w:rPr>
        <w:t>43</w:t>
      </w:r>
      <w:r>
        <w:t xml:space="preserve">(9), 2313–2322. </w:t>
      </w:r>
      <w:r>
        <w:rPr>
          <w:color w:val="0563C1"/>
          <w:u w:val="single"/>
        </w:rPr>
        <w:t>https://doi.org/10.2337/dc20-0204</w:t>
      </w:r>
    </w:p>
    <w:p w14:paraId="52142DD6" w14:textId="418F456A" w:rsidR="007A56F4" w:rsidRDefault="00000000">
      <w:pPr>
        <w:spacing w:line="276" w:lineRule="auto"/>
        <w:ind w:left="720" w:hanging="720"/>
      </w:pPr>
      <w:r>
        <w:t xml:space="preserve">Menzies, A. M., Johnson, D. B., Ramanujam, S., Atkinson, V. G., Wong, A. N. M., Park, J. J., McQuade, J. L., Shoushtari, A. N., Tsai, K. K., Eroglu, Z., Klein, O., Hassel, J. C., Sosman, J. A., Guminski, A., Sullivan, R. J., Ribas, A., Carlino, M. S., Davies, M. A., Sandhu, S. K., &amp; Long, G. V. (2017). Anti-PD-1 therapy in patients with advanced melanoma and preexisting autoimmune disorders or major toxicity with ipilimumab. </w:t>
      </w:r>
      <w:r>
        <w:rPr>
          <w:i/>
        </w:rPr>
        <w:t>Annals of Oncology</w:t>
      </w:r>
      <w:r>
        <w:t xml:space="preserve">, </w:t>
      </w:r>
      <w:r>
        <w:rPr>
          <w:i/>
        </w:rPr>
        <w:t>28</w:t>
      </w:r>
      <w:r>
        <w:t xml:space="preserve">(2), 368–376. </w:t>
      </w:r>
      <w:r>
        <w:rPr>
          <w:color w:val="0563C1"/>
          <w:u w:val="single"/>
        </w:rPr>
        <w:t>https://doi.org/10.1093/annonc/mdw443</w:t>
      </w:r>
    </w:p>
    <w:p w14:paraId="6B2F57E9" w14:textId="36B97D91" w:rsidR="007A56F4" w:rsidRDefault="00000000">
      <w:pPr>
        <w:spacing w:line="276" w:lineRule="auto"/>
        <w:ind w:left="720" w:hanging="720"/>
      </w:pPr>
      <w:r>
        <w:t xml:space="preserve">Mercer, L. K., Galloway, J. B., Lunt, M., Davies, R., Low, A. L., Dixon, W. G., Watson, K. D., Symmons, D. P., &amp; Hyrich, K. L. (2017). Risk of lymphoma in patients exposed to antitumour necrosis factor therapy: Results from the British Society for Rheumatology Biologics Register for Rheumatoid Arthritis. </w:t>
      </w:r>
      <w:r>
        <w:rPr>
          <w:i/>
        </w:rPr>
        <w:t>Annals of the Rheumatic Diseases</w:t>
      </w:r>
      <w:r>
        <w:t xml:space="preserve">, </w:t>
      </w:r>
      <w:r>
        <w:rPr>
          <w:i/>
        </w:rPr>
        <w:t>76</w:t>
      </w:r>
      <w:r>
        <w:t xml:space="preserve">(3), 497–503. </w:t>
      </w:r>
      <w:r>
        <w:rPr>
          <w:color w:val="0563C1"/>
          <w:u w:val="single"/>
        </w:rPr>
        <w:t>https://doi.org/10.1136/annrheumdis-2016-209389</w:t>
      </w:r>
    </w:p>
    <w:p w14:paraId="124C7870" w14:textId="06BDF103" w:rsidR="007A56F4" w:rsidRDefault="00000000">
      <w:pPr>
        <w:spacing w:line="276" w:lineRule="auto"/>
        <w:ind w:left="720" w:hanging="720"/>
      </w:pPr>
      <w:r>
        <w:t xml:space="preserve">Ohkuma, T., Peters, S. A. E., &amp; Woodward, M. (2018). Sex differences in the association between diabetes and cancer: A systematic review and meta-analysis of 121 cohorts including 20 million individuals and one million events. </w:t>
      </w:r>
      <w:r>
        <w:rPr>
          <w:i/>
        </w:rPr>
        <w:t>Diabetologia</w:t>
      </w:r>
      <w:r>
        <w:t xml:space="preserve">, </w:t>
      </w:r>
      <w:r>
        <w:rPr>
          <w:i/>
        </w:rPr>
        <w:t>61</w:t>
      </w:r>
      <w:r>
        <w:t xml:space="preserve">(10), 2140–2154. </w:t>
      </w:r>
      <w:r>
        <w:rPr>
          <w:color w:val="0563C1"/>
          <w:u w:val="single"/>
        </w:rPr>
        <w:t>https://doi.org/10.1007/s00125-018-4664-5</w:t>
      </w:r>
    </w:p>
    <w:p w14:paraId="1AB51EA8" w14:textId="1DA1AB2C" w:rsidR="007A56F4" w:rsidRDefault="00000000">
      <w:pPr>
        <w:spacing w:line="276" w:lineRule="auto"/>
        <w:ind w:left="720" w:hanging="720"/>
      </w:pPr>
      <w:r>
        <w:t xml:space="preserve">Olén, O., Erichsen, R., Sachs, M. C., Pedersen, L., Halfvarson, J., Askling, J., Ekbom, A., Sørensen, H. T., &amp; Ludvigsson, J. F. (2020). Colorectal cancer in ulcerative colitis: A Scandinavian population-based cohort study. </w:t>
      </w:r>
      <w:r>
        <w:rPr>
          <w:i/>
        </w:rPr>
        <w:t>The Lancet</w:t>
      </w:r>
      <w:r>
        <w:t xml:space="preserve">, </w:t>
      </w:r>
      <w:r>
        <w:rPr>
          <w:i/>
        </w:rPr>
        <w:t>395</w:t>
      </w:r>
      <w:r>
        <w:t xml:space="preserve">(10218), 123–131. </w:t>
      </w:r>
      <w:r>
        <w:rPr>
          <w:color w:val="0563C1"/>
          <w:u w:val="single"/>
        </w:rPr>
        <w:t>https://doi.org/10.1016/s0140-6736(19)32545-0</w:t>
      </w:r>
    </w:p>
    <w:p w14:paraId="3165CED3" w14:textId="29B5BFEE" w:rsidR="007A56F4" w:rsidRDefault="00000000">
      <w:pPr>
        <w:spacing w:line="276" w:lineRule="auto"/>
        <w:ind w:left="720" w:hanging="720"/>
      </w:pPr>
      <w:r>
        <w:t xml:space="preserve">ORIGIN Trial Investigators. (2012). Basal insulin and cardiovascular and other outcomes in dysglycemia. </w:t>
      </w:r>
      <w:r>
        <w:rPr>
          <w:i/>
        </w:rPr>
        <w:t>New England Journal of Medicine</w:t>
      </w:r>
      <w:r>
        <w:t xml:space="preserve">, </w:t>
      </w:r>
      <w:r>
        <w:rPr>
          <w:i/>
        </w:rPr>
        <w:t>367</w:t>
      </w:r>
      <w:r>
        <w:t xml:space="preserve">(4), 319–328. </w:t>
      </w:r>
      <w:r>
        <w:rPr>
          <w:color w:val="0563C1"/>
          <w:u w:val="single"/>
        </w:rPr>
        <w:t>https://doi.org/10.1056/nejmoa1203858</w:t>
      </w:r>
    </w:p>
    <w:p w14:paraId="29BC4C8B" w14:textId="4098590A" w:rsidR="007A56F4" w:rsidRDefault="00000000">
      <w:pPr>
        <w:spacing w:line="276" w:lineRule="auto"/>
        <w:ind w:left="720" w:hanging="720"/>
      </w:pPr>
      <w:r>
        <w:t xml:space="preserve">Pannala, R., Basu, A., Petersen, G. M., &amp; Chari, S. T. (2009). New-onset diabetes: A potential clue to the early diagnosis of pancreatic cancer. </w:t>
      </w:r>
      <w:r>
        <w:rPr>
          <w:i/>
        </w:rPr>
        <w:t>The Lancet Oncology</w:t>
      </w:r>
      <w:r>
        <w:t xml:space="preserve">, </w:t>
      </w:r>
      <w:r>
        <w:rPr>
          <w:i/>
        </w:rPr>
        <w:t>10</w:t>
      </w:r>
      <w:r>
        <w:t xml:space="preserve">(1), 88–95. </w:t>
      </w:r>
      <w:r>
        <w:rPr>
          <w:color w:val="0563C1"/>
          <w:u w:val="single"/>
        </w:rPr>
        <w:t>https://doi.org/10.1016/s1470-2045(08)70337-1</w:t>
      </w:r>
    </w:p>
    <w:p w14:paraId="37D14CCF" w14:textId="0314AB4B" w:rsidR="007A56F4" w:rsidRDefault="00000000">
      <w:pPr>
        <w:spacing w:line="276" w:lineRule="auto"/>
        <w:ind w:left="720" w:hanging="720"/>
      </w:pPr>
      <w:r>
        <w:t xml:space="preserve">Pasternak, B., Wintzell, V., Hviid, A., Eliasson, B., Gudbjörnsdottir, S., Jonasson, C., Hveem, K., Svanström, H., Melbye, M., &amp; Ueda, P. (2024). Glucagon-like peptide 1 receptor agonist use and risk of thyroid cancer: Scandinavian cohort study. </w:t>
      </w:r>
      <w:r>
        <w:rPr>
          <w:i/>
        </w:rPr>
        <w:t>BMJ</w:t>
      </w:r>
      <w:r>
        <w:t xml:space="preserve">, </w:t>
      </w:r>
      <w:r>
        <w:rPr>
          <w:i/>
        </w:rPr>
        <w:t>385</w:t>
      </w:r>
      <w:r>
        <w:t xml:space="preserve">, Article e078225. </w:t>
      </w:r>
      <w:r>
        <w:rPr>
          <w:color w:val="0563C1"/>
          <w:u w:val="single"/>
        </w:rPr>
        <w:t>https://doi.org/10.1136/bmj-2023-078225</w:t>
      </w:r>
    </w:p>
    <w:p w14:paraId="737C72A5" w14:textId="3EB8B3B3" w:rsidR="007A56F4" w:rsidRDefault="00000000">
      <w:pPr>
        <w:spacing w:line="276" w:lineRule="auto"/>
        <w:ind w:left="720" w:hanging="720"/>
      </w:pPr>
      <w:r>
        <w:lastRenderedPageBreak/>
        <w:t xml:space="preserve">Pearson-Stuttard, J., Bennett, J., Cheng, Y. J., Vamos, E. P., Cross, A. J., Ezzati, M., &amp; Gregg, E. W. (2021). Trends in predominant causes of death in individuals with and without diabetes in England from 2001 to 2018: An epidemiological analysis of linked primary care records. </w:t>
      </w:r>
      <w:r>
        <w:rPr>
          <w:i/>
        </w:rPr>
        <w:t>The Lancet Diabetes &amp; Endocrinology</w:t>
      </w:r>
      <w:r>
        <w:t xml:space="preserve">, </w:t>
      </w:r>
      <w:r>
        <w:rPr>
          <w:i/>
        </w:rPr>
        <w:t>9</w:t>
      </w:r>
      <w:r>
        <w:t xml:space="preserve">(3), 165–173. </w:t>
      </w:r>
      <w:r>
        <w:rPr>
          <w:color w:val="0563C1"/>
          <w:u w:val="single"/>
        </w:rPr>
        <w:t>https://doi.org/10.1016/s2213-8587(20)30431-9</w:t>
      </w:r>
    </w:p>
    <w:p w14:paraId="08470ECB" w14:textId="5855D670" w:rsidR="007A56F4" w:rsidRDefault="00000000">
      <w:pPr>
        <w:spacing w:line="276" w:lineRule="auto"/>
        <w:ind w:left="720" w:hanging="720"/>
      </w:pPr>
      <w:r>
        <w:t xml:space="preserve">Pearson-Stuttard, J., Papadimitriou, N., Markozannes, G., Cividini, S., Kakourou, A., Gill, D., Rizos, E. C., Monori, G., Ward, H. A., Kyrgiou, M., Gunter, M. J., &amp; Tsilidis, K. K. (2021). Type 2 diabetes and cancer: An umbrella review of observational and Mendelian randomization studies. </w:t>
      </w:r>
      <w:r>
        <w:rPr>
          <w:i/>
        </w:rPr>
        <w:t>Cancer Epidemiology, Biomarkers &amp; Prevention</w:t>
      </w:r>
      <w:r>
        <w:t xml:space="preserve">, </w:t>
      </w:r>
      <w:r>
        <w:rPr>
          <w:i/>
        </w:rPr>
        <w:t>30</w:t>
      </w:r>
      <w:r>
        <w:t xml:space="preserve">(6), 1218–1228. </w:t>
      </w:r>
      <w:r>
        <w:rPr>
          <w:color w:val="0563C1"/>
          <w:u w:val="single"/>
        </w:rPr>
        <w:t>https://doi.org/10.1158/1055-9965.epi-20-1245</w:t>
      </w:r>
    </w:p>
    <w:p w14:paraId="290F361F" w14:textId="66D354B5" w:rsidR="007A56F4" w:rsidRDefault="00000000">
      <w:pPr>
        <w:spacing w:line="276" w:lineRule="auto"/>
        <w:ind w:left="720" w:hanging="720"/>
      </w:pPr>
      <w:r>
        <w:t xml:space="preserve">Pearson-Stuttard, J., Zhou, B., Kontis, V., Bentham, J., Gunter, M. J., &amp; Ezzati, M. (2018). Worldwide burden of cancer attributable to diabetes and high body-mass index: A comparative risk assessment. </w:t>
      </w:r>
      <w:r>
        <w:rPr>
          <w:i/>
        </w:rPr>
        <w:t>The Lancet Diabetes &amp; Endocrinology</w:t>
      </w:r>
      <w:r>
        <w:t xml:space="preserve">, </w:t>
      </w:r>
      <w:r>
        <w:rPr>
          <w:i/>
        </w:rPr>
        <w:t>6</w:t>
      </w:r>
      <w:r>
        <w:t xml:space="preserve">(6), e6–e15. </w:t>
      </w:r>
      <w:r>
        <w:rPr>
          <w:color w:val="0563C1"/>
          <w:u w:val="single"/>
        </w:rPr>
        <w:t>https://doi.org/10.1016/s2213-8587(18)30150-5</w:t>
      </w:r>
    </w:p>
    <w:p w14:paraId="479C1BD4" w14:textId="0E372174" w:rsidR="007A56F4" w:rsidRDefault="00000000">
      <w:pPr>
        <w:spacing w:line="276" w:lineRule="auto"/>
        <w:ind w:left="720" w:hanging="720"/>
      </w:pPr>
      <w:r>
        <w:t xml:space="preserve">Perdigoto, A. L., Deng, S., Du, K. C., Kuchroo, M., Burkhardt, D. B., Tong, A., Israel, G., Robert, M. E., Weisberg, S. P., Kirkiles-Smith, N., Stamatouli, A. M., Kluger, H. M., Quandt, Z., Young, A., Yang, M. L., Mamula, M. J., Pober, J. S., Anderson, M. S., Krishnaswamy, S., &amp; Herold, K. C. (2022). Immune cells and their inflammatory mediators modify β cells and cause checkpoint inhibitor-induced diabetes. </w:t>
      </w:r>
      <w:r>
        <w:rPr>
          <w:i/>
        </w:rPr>
        <w:t>JCI Insight</w:t>
      </w:r>
      <w:r>
        <w:t xml:space="preserve">, </w:t>
      </w:r>
      <w:r>
        <w:rPr>
          <w:i/>
        </w:rPr>
        <w:t>7</w:t>
      </w:r>
      <w:r>
        <w:t xml:space="preserve">(17), Article e156330. </w:t>
      </w:r>
      <w:r>
        <w:rPr>
          <w:color w:val="0563C1"/>
          <w:u w:val="single"/>
        </w:rPr>
        <w:t>https://doi.org/10.1172/jci.insight.156330</w:t>
      </w:r>
    </w:p>
    <w:p w14:paraId="4AE46251" w14:textId="01451CD7" w:rsidR="007A56F4" w:rsidRDefault="00000000">
      <w:pPr>
        <w:spacing w:line="276" w:lineRule="auto"/>
        <w:ind w:left="720" w:hanging="720"/>
      </w:pPr>
      <w:r>
        <w:t xml:space="preserve">Pollak, M. (2012). The insulin and insulin-like growth factor receptor family in neoplasia: An update. </w:t>
      </w:r>
      <w:r>
        <w:rPr>
          <w:i/>
        </w:rPr>
        <w:t>Nature Reviews Cancer</w:t>
      </w:r>
      <w:r>
        <w:t xml:space="preserve">, </w:t>
      </w:r>
      <w:r>
        <w:rPr>
          <w:i/>
        </w:rPr>
        <w:t>12</w:t>
      </w:r>
      <w:r>
        <w:t xml:space="preserve">(3), 159–169. </w:t>
      </w:r>
      <w:r>
        <w:rPr>
          <w:color w:val="0563C1"/>
          <w:u w:val="single"/>
        </w:rPr>
        <w:t>https://doi.org/10.1038/nrc3215</w:t>
      </w:r>
    </w:p>
    <w:p w14:paraId="369C9026" w14:textId="703BB68D" w:rsidR="007A56F4" w:rsidRDefault="00000000">
      <w:pPr>
        <w:spacing w:line="276" w:lineRule="auto"/>
        <w:ind w:left="720" w:hanging="720"/>
      </w:pPr>
      <w:r>
        <w:t xml:space="preserve">Quandt, Z., Young, A., &amp; Anderson, M. (2020). Immune checkpoint inhibitor diabetes mellitus: A novel form of autoimmune diabetes. </w:t>
      </w:r>
      <w:r>
        <w:rPr>
          <w:i/>
        </w:rPr>
        <w:t>Clinical and Experimental Immunology</w:t>
      </w:r>
      <w:r>
        <w:t xml:space="preserve">, </w:t>
      </w:r>
      <w:r>
        <w:rPr>
          <w:i/>
        </w:rPr>
        <w:t>200</w:t>
      </w:r>
      <w:r>
        <w:t xml:space="preserve">(2), 131–140. </w:t>
      </w:r>
      <w:r>
        <w:rPr>
          <w:color w:val="0563C1"/>
          <w:u w:val="single"/>
        </w:rPr>
        <w:t>https://doi.org/10.1111/cei.13424</w:t>
      </w:r>
    </w:p>
    <w:p w14:paraId="2F52C9AA" w14:textId="73EAC14E" w:rsidR="007A56F4" w:rsidRDefault="00000000">
      <w:pPr>
        <w:spacing w:line="276" w:lineRule="auto"/>
        <w:ind w:left="720" w:hanging="720"/>
      </w:pPr>
      <w:r>
        <w:t xml:space="preserve">Schreiber, R. D., Old, L. J., &amp; Smyth, M. J. (2011). Cancer immunoediting: Integrating immunity's roles in cancer suppression and promotion. </w:t>
      </w:r>
      <w:r>
        <w:rPr>
          <w:i/>
        </w:rPr>
        <w:t>Science</w:t>
      </w:r>
      <w:r>
        <w:t xml:space="preserve">, </w:t>
      </w:r>
      <w:r>
        <w:rPr>
          <w:i/>
        </w:rPr>
        <w:t>331</w:t>
      </w:r>
      <w:r>
        <w:t xml:space="preserve">(6024), 1565–1570. </w:t>
      </w:r>
      <w:r>
        <w:rPr>
          <w:color w:val="0563C1"/>
          <w:u w:val="single"/>
        </w:rPr>
        <w:t>https://doi.org/10.1126/science.1203486</w:t>
      </w:r>
    </w:p>
    <w:p w14:paraId="160F39A8" w14:textId="4861B55E" w:rsidR="007A56F4" w:rsidRDefault="00000000">
      <w:pPr>
        <w:spacing w:line="276" w:lineRule="auto"/>
        <w:ind w:left="720" w:hanging="720"/>
      </w:pPr>
      <w:r>
        <w:t xml:space="preserve">Scully, T., Ettela, A., LeRoith, D., &amp; Gallagher, E. J. (2021). Obesity, type 2 diabetes, and cancer risk. </w:t>
      </w:r>
      <w:r>
        <w:rPr>
          <w:i/>
        </w:rPr>
        <w:t>Frontiers in Oncology</w:t>
      </w:r>
      <w:r>
        <w:t xml:space="preserve">, </w:t>
      </w:r>
      <w:r>
        <w:rPr>
          <w:i/>
        </w:rPr>
        <w:t>10</w:t>
      </w:r>
      <w:r>
        <w:t xml:space="preserve">, Article 615375. </w:t>
      </w:r>
      <w:r>
        <w:rPr>
          <w:color w:val="0563C1"/>
          <w:u w:val="single"/>
        </w:rPr>
        <w:t>https://doi.org/10.3389/fonc.2020.615375</w:t>
      </w:r>
    </w:p>
    <w:p w14:paraId="61238CAA" w14:textId="670301A0" w:rsidR="007A56F4" w:rsidRDefault="00000000">
      <w:pPr>
        <w:spacing w:line="276" w:lineRule="auto"/>
        <w:ind w:left="720" w:hanging="720"/>
      </w:pPr>
      <w:r>
        <w:t xml:space="preserve">Shariff, A. I., Syed, S., Shelby, R. A., Force, J., Clarke, J. M., D'Alessio, D., &amp; Corsino, L. (2019). Novel cancer therapies and their association with diabetes. </w:t>
      </w:r>
      <w:r>
        <w:rPr>
          <w:i/>
        </w:rPr>
        <w:t>Journal of Molecular Endocrinology</w:t>
      </w:r>
      <w:r>
        <w:t xml:space="preserve">, </w:t>
      </w:r>
      <w:r>
        <w:rPr>
          <w:i/>
        </w:rPr>
        <w:t>62</w:t>
      </w:r>
      <w:r>
        <w:t xml:space="preserve">(2), R187–R199. </w:t>
      </w:r>
      <w:r>
        <w:rPr>
          <w:color w:val="0563C1"/>
          <w:u w:val="single"/>
        </w:rPr>
        <w:t>https://doi.org/10.1530/jme-18-0002</w:t>
      </w:r>
    </w:p>
    <w:p w14:paraId="2BD83D29" w14:textId="22955A9C" w:rsidR="007A56F4" w:rsidRDefault="00000000">
      <w:pPr>
        <w:spacing w:line="276" w:lineRule="auto"/>
        <w:ind w:left="720" w:hanging="720"/>
      </w:pPr>
      <w:r>
        <w:t xml:space="preserve">Sharma, A., Kandlakunta, H., Nagpal, S. J. S., Feng, Z., Hoos, W., Petersen, G. M., &amp; Chari, S. T. (2018). Model to determine risk of pancreatic cancer in patients with new-onset diabetes. </w:t>
      </w:r>
      <w:r>
        <w:rPr>
          <w:i/>
        </w:rPr>
        <w:t>Gastroenterology</w:t>
      </w:r>
      <w:r>
        <w:t xml:space="preserve">, </w:t>
      </w:r>
      <w:r>
        <w:rPr>
          <w:i/>
        </w:rPr>
        <w:t>155</w:t>
      </w:r>
      <w:r>
        <w:t xml:space="preserve">(3), 730–739.e3. </w:t>
      </w:r>
      <w:r>
        <w:rPr>
          <w:color w:val="0563C1"/>
          <w:u w:val="single"/>
        </w:rPr>
        <w:t>https://doi.org/10.1053/j.gastro.2018.05.023</w:t>
      </w:r>
    </w:p>
    <w:p w14:paraId="21AF1AD9" w14:textId="4AF0BCDD" w:rsidR="007A56F4" w:rsidRDefault="00000000">
      <w:pPr>
        <w:spacing w:line="276" w:lineRule="auto"/>
        <w:ind w:left="720" w:hanging="720"/>
      </w:pPr>
      <w:r>
        <w:lastRenderedPageBreak/>
        <w:t xml:space="preserve">Sona, M. F., Myung, S. K., Park, K., &amp; Jargalsaikhan, G. (2018). Type 1 diabetes mellitus and risk of cancer: A meta-analysis of observational studies. </w:t>
      </w:r>
      <w:r>
        <w:rPr>
          <w:i/>
        </w:rPr>
        <w:t>Japanese Journal of Clinical Oncology</w:t>
      </w:r>
      <w:r>
        <w:t xml:space="preserve">, </w:t>
      </w:r>
      <w:r>
        <w:rPr>
          <w:i/>
        </w:rPr>
        <w:t>48</w:t>
      </w:r>
      <w:r>
        <w:t xml:space="preserve">(5), 426–433. </w:t>
      </w:r>
      <w:r>
        <w:rPr>
          <w:color w:val="0563C1"/>
          <w:u w:val="single"/>
        </w:rPr>
        <w:t>https://doi.org/10.1093/jjco/hyy047</w:t>
      </w:r>
    </w:p>
    <w:p w14:paraId="55A5BF36" w14:textId="31253A74" w:rsidR="007A56F4" w:rsidRDefault="00000000">
      <w:pPr>
        <w:spacing w:line="276" w:lineRule="auto"/>
        <w:ind w:left="720" w:hanging="720"/>
      </w:pPr>
      <w:r>
        <w:t xml:space="preserve">Song, L., Wang, Y., Zhang, J., Song, N., Xu, X., &amp; Lu, Y. (2018). The risks of cancer development in systemic lupus erythematosus (SLE) patients: A systematic review and meta-analysis. </w:t>
      </w:r>
      <w:r>
        <w:rPr>
          <w:i/>
        </w:rPr>
        <w:t>Arthritis Research &amp; Therapy</w:t>
      </w:r>
      <w:r>
        <w:t xml:space="preserve">, </w:t>
      </w:r>
      <w:r>
        <w:rPr>
          <w:i/>
        </w:rPr>
        <w:t>20</w:t>
      </w:r>
      <w:r>
        <w:t xml:space="preserve">(1), Article 270. </w:t>
      </w:r>
      <w:r>
        <w:rPr>
          <w:color w:val="0563C1"/>
          <w:u w:val="single"/>
        </w:rPr>
        <w:t>https://doi.org/10.1186/s13075-018-1760-3</w:t>
      </w:r>
    </w:p>
    <w:p w14:paraId="52A5664A" w14:textId="138319CD" w:rsidR="007A56F4" w:rsidRDefault="00000000">
      <w:pPr>
        <w:spacing w:line="276" w:lineRule="auto"/>
        <w:ind w:left="720" w:hanging="720"/>
      </w:pPr>
      <w:r>
        <w:t xml:space="preserve">Song, M., Latorre, G., Ivanovic-Zuvic, D., Camargo, M. C., &amp; Rabkin, C. S. (2019). Autoimmune diseases and gastric cancer risk: A systematic review and meta-analysis. </w:t>
      </w:r>
      <w:r>
        <w:rPr>
          <w:i/>
        </w:rPr>
        <w:t>Cancer Research and Treatment</w:t>
      </w:r>
      <w:r>
        <w:t xml:space="preserve">, </w:t>
      </w:r>
      <w:r>
        <w:rPr>
          <w:i/>
        </w:rPr>
        <w:t>51</w:t>
      </w:r>
      <w:r>
        <w:t xml:space="preserve">(3), 841–850. </w:t>
      </w:r>
      <w:r>
        <w:rPr>
          <w:color w:val="0563C1"/>
          <w:u w:val="single"/>
        </w:rPr>
        <w:t>https://doi.org/10.4143/crt.2019.151</w:t>
      </w:r>
    </w:p>
    <w:p w14:paraId="2E51FF66" w14:textId="4660F0C2" w:rsidR="007A56F4" w:rsidRDefault="00000000">
      <w:pPr>
        <w:spacing w:line="276" w:lineRule="auto"/>
        <w:ind w:left="720" w:hanging="720"/>
      </w:pPr>
      <w:r>
        <w:t xml:space="preserve">Stamatouli, A. M., Quandt, Z., Perdigoto, A. L., Clark, P. L., Kluger, H., Weiss, S. A., Gettinger, S., Sznol, M., Young, A., Rushakoff, R., Lee, J., Bluestone, J. A., Anderson, M., &amp; Herold, K. C. (2018). Collateral damage: Insulin-dependent diabetes induced with checkpoint inhibitors. </w:t>
      </w:r>
      <w:r>
        <w:rPr>
          <w:i/>
        </w:rPr>
        <w:t>Diabetes</w:t>
      </w:r>
      <w:r>
        <w:t xml:space="preserve">, </w:t>
      </w:r>
      <w:r>
        <w:rPr>
          <w:i/>
        </w:rPr>
        <w:t>67</w:t>
      </w:r>
      <w:r>
        <w:t xml:space="preserve">(8), 1471–1480. </w:t>
      </w:r>
      <w:r>
        <w:rPr>
          <w:color w:val="0563C1"/>
          <w:u w:val="single"/>
        </w:rPr>
        <w:t>https://doi.org/10.2337/dbi18-0002</w:t>
      </w:r>
    </w:p>
    <w:p w14:paraId="1ABFAFB8" w14:textId="0363A932" w:rsidR="007A56F4" w:rsidRDefault="00000000">
      <w:pPr>
        <w:spacing w:line="276" w:lineRule="auto"/>
        <w:ind w:left="720" w:hanging="720"/>
      </w:pPr>
      <w:r>
        <w:t xml:space="preserve">Suissa, S., &amp; Azoulay, L. (2012). Metformin and the risk of cancer: Time-related biases in observational studies. </w:t>
      </w:r>
      <w:r>
        <w:rPr>
          <w:i/>
        </w:rPr>
        <w:t>Diabetes Care</w:t>
      </w:r>
      <w:r>
        <w:t xml:space="preserve">, </w:t>
      </w:r>
      <w:r>
        <w:rPr>
          <w:i/>
        </w:rPr>
        <w:t>35</w:t>
      </w:r>
      <w:r>
        <w:t xml:space="preserve">(12), 2665–2673. </w:t>
      </w:r>
      <w:r>
        <w:rPr>
          <w:color w:val="0563C1"/>
          <w:u w:val="single"/>
        </w:rPr>
        <w:t>https://doi.org/10.2337/dc12-0788</w:t>
      </w:r>
    </w:p>
    <w:p w14:paraId="46C4DA25" w14:textId="31DBB9EC" w:rsidR="007A56F4" w:rsidRDefault="00000000">
      <w:pPr>
        <w:spacing w:line="276" w:lineRule="auto"/>
        <w:ind w:left="720" w:hanging="720"/>
      </w:pPr>
      <w:r>
        <w:t xml:space="preserve">Swerdlow, A. J., Jones, M. E., Slater, S. D., Burden, A. C. F., Botha, J. L., Waugh, N. R., Morris, A. D., Gatling, W., Gillespie, K. M., Patterson, C. C., &amp; Schoemaker, M. J. (2023). Cancer incidence and mortality in 23 000 patients with type 1 diabetes in the UK: Long-term follow-up. </w:t>
      </w:r>
      <w:r>
        <w:rPr>
          <w:i/>
        </w:rPr>
        <w:t>International Journal of Cancer</w:t>
      </w:r>
      <w:r>
        <w:t xml:space="preserve">, </w:t>
      </w:r>
      <w:r>
        <w:rPr>
          <w:i/>
        </w:rPr>
        <w:t>153</w:t>
      </w:r>
      <w:r>
        <w:t xml:space="preserve">(3), 512–523. </w:t>
      </w:r>
      <w:r>
        <w:rPr>
          <w:color w:val="0563C1"/>
          <w:u w:val="single"/>
        </w:rPr>
        <w:t>https://doi.org/10.1002/ijc.34548</w:t>
      </w:r>
    </w:p>
    <w:p w14:paraId="08F18F0B" w14:textId="63B25021" w:rsidR="007A56F4" w:rsidRDefault="00000000">
      <w:pPr>
        <w:spacing w:line="276" w:lineRule="auto"/>
        <w:ind w:left="720" w:hanging="720"/>
      </w:pPr>
      <w:r>
        <w:t xml:space="preserve">Tison, A., Garaud, S., Chiche, L., Cornec, D., &amp; Kostine, M. (2022). Immune-checkpoint inhibitor use in patients with cancer and pre-existing autoimmune diseases. </w:t>
      </w:r>
      <w:r>
        <w:rPr>
          <w:i/>
        </w:rPr>
        <w:t>Nature Reviews Rheumatology</w:t>
      </w:r>
      <w:r>
        <w:t xml:space="preserve">, </w:t>
      </w:r>
      <w:r>
        <w:rPr>
          <w:i/>
        </w:rPr>
        <w:t>18</w:t>
      </w:r>
      <w:r>
        <w:t xml:space="preserve">(11), 641–656. </w:t>
      </w:r>
      <w:r>
        <w:rPr>
          <w:color w:val="0563C1"/>
          <w:u w:val="single"/>
        </w:rPr>
        <w:t>https://doi.org/10.1038/s41584-022-00841-0</w:t>
      </w:r>
    </w:p>
    <w:p w14:paraId="3609450E" w14:textId="49152557" w:rsidR="007A56F4" w:rsidRDefault="00000000">
      <w:pPr>
        <w:spacing w:line="276" w:lineRule="auto"/>
        <w:ind w:left="720" w:hanging="720"/>
      </w:pPr>
      <w:r>
        <w:t xml:space="preserve">Trallero-Araguás, E., Rodrigo-Pendás, J. Á., Selva-O'Callaghan, A., Martínez-Gómez, X., Bosch, X., Labrador-Horrillo, M., Grau-Junyent, J. M., &amp; Vilardell-Tarrés, M. (2012). Usefulness of anti-p155 autoantibody for diagnosing cancer-associated dermatomyositis: A systematic review and meta-analysis. </w:t>
      </w:r>
      <w:r>
        <w:rPr>
          <w:i/>
        </w:rPr>
        <w:t>Arthritis &amp; Rheumatism</w:t>
      </w:r>
      <w:r>
        <w:t xml:space="preserve">, </w:t>
      </w:r>
      <w:r>
        <w:rPr>
          <w:i/>
        </w:rPr>
        <w:t>64</w:t>
      </w:r>
      <w:r>
        <w:t xml:space="preserve">(2), 523–532. </w:t>
      </w:r>
      <w:r>
        <w:rPr>
          <w:color w:val="0563C1"/>
          <w:u w:val="single"/>
        </w:rPr>
        <w:t>https://doi.org/10.1002/art.33379</w:t>
      </w:r>
    </w:p>
    <w:p w14:paraId="1CAAFC6F" w14:textId="1047DDD3" w:rsidR="007A56F4" w:rsidRDefault="00000000">
      <w:pPr>
        <w:spacing w:line="276" w:lineRule="auto"/>
        <w:ind w:left="720" w:hanging="720"/>
      </w:pPr>
      <w:r>
        <w:t xml:space="preserve">Tsang, V. H. M., McGrath, R. T., Clifton-Bligh, R. J., Scolyer, R. A., Jakrot, V., Guminski, A. D., Long, G. V., &amp; Menzies, A. M. (2019). Checkpoint inhibitor-associated autoimmune diabetes is distinct from type 1 diabetes. </w:t>
      </w:r>
      <w:r>
        <w:rPr>
          <w:i/>
        </w:rPr>
        <w:t>The Journal of Clinical Endocrinology &amp; Metabolism</w:t>
      </w:r>
      <w:r>
        <w:t xml:space="preserve">, </w:t>
      </w:r>
      <w:r>
        <w:rPr>
          <w:i/>
        </w:rPr>
        <w:t>104</w:t>
      </w:r>
      <w:r>
        <w:t xml:space="preserve">(11), 5499–5506. </w:t>
      </w:r>
      <w:r>
        <w:rPr>
          <w:color w:val="0563C1"/>
          <w:u w:val="single"/>
        </w:rPr>
        <w:t>https://doi.org/10.1210/jc.2019-00423</w:t>
      </w:r>
    </w:p>
    <w:p w14:paraId="66A2F9B3" w14:textId="5A08EB8A" w:rsidR="007A56F4" w:rsidRDefault="00000000">
      <w:pPr>
        <w:spacing w:line="276" w:lineRule="auto"/>
        <w:ind w:left="720" w:hanging="720"/>
      </w:pPr>
      <w:r>
        <w:t xml:space="preserve">Tsilidis, K. K., Kasimis, J. C., Lopez, D. S., Ntzani, E. E., &amp; Ioannidis, J. P. (2015). Type 2 diabetes and cancer: Umbrella review of meta-analyses of observational studies. </w:t>
      </w:r>
      <w:r>
        <w:rPr>
          <w:i/>
        </w:rPr>
        <w:t>BMJ</w:t>
      </w:r>
      <w:r>
        <w:t xml:space="preserve">, </w:t>
      </w:r>
      <w:r>
        <w:rPr>
          <w:i/>
        </w:rPr>
        <w:t>350</w:t>
      </w:r>
      <w:r>
        <w:t xml:space="preserve">, Article g7607. </w:t>
      </w:r>
      <w:r>
        <w:rPr>
          <w:color w:val="0563C1"/>
          <w:u w:val="single"/>
        </w:rPr>
        <w:t>https://doi.org/10.1136/bmj.g7607</w:t>
      </w:r>
    </w:p>
    <w:p w14:paraId="15523DE4" w14:textId="5AD6119A" w:rsidR="007A56F4" w:rsidRDefault="00000000">
      <w:pPr>
        <w:spacing w:line="276" w:lineRule="auto"/>
        <w:ind w:left="720" w:hanging="720"/>
      </w:pPr>
      <w:r>
        <w:lastRenderedPageBreak/>
        <w:t xml:space="preserve">Tuccori, M., Filion, K. B., Yin, H., Yu, O. H., Platt, R. W., &amp; Azoulay, L. (2016). Pioglitazone use and risk of bladder cancer: Population based cohort study. </w:t>
      </w:r>
      <w:r>
        <w:rPr>
          <w:i/>
        </w:rPr>
        <w:t>BMJ</w:t>
      </w:r>
      <w:r>
        <w:t xml:space="preserve">, </w:t>
      </w:r>
      <w:r>
        <w:rPr>
          <w:i/>
        </w:rPr>
        <w:t>352</w:t>
      </w:r>
      <w:r>
        <w:t xml:space="preserve">, Article i1541. </w:t>
      </w:r>
      <w:r>
        <w:rPr>
          <w:color w:val="0563C1"/>
          <w:u w:val="single"/>
        </w:rPr>
        <w:t>https://doi.org/10.1136/bmj.i1541</w:t>
      </w:r>
    </w:p>
    <w:p w14:paraId="0F1D22F5" w14:textId="26D9C42D" w:rsidR="007A56F4" w:rsidRDefault="00000000">
      <w:pPr>
        <w:spacing w:line="276" w:lineRule="auto"/>
        <w:ind w:left="720" w:hanging="720"/>
      </w:pPr>
      <w:r>
        <w:t xml:space="preserve">Ueda, H., Howson, J. M., Esposito, L., Heward, J., Snook, H., Chamberlain, G., Rainbow, D. B., Hunter, K. M., Smith, A. N., Di Genova, G., Herr, M. H., Dahlman, I., Payne, F., Smyth, D., Lowe, C., Twells, R. C., Howlett, S., Healy, B., Nutland, S., . . . Gough, S. C. (2003). Association of the T-cell regulatory gene </w:t>
      </w:r>
      <w:r>
        <w:rPr>
          <w:i/>
        </w:rPr>
        <w:t>CTLA4</w:t>
      </w:r>
      <w:r>
        <w:t xml:space="preserve"> with susceptibility to autoimmune disease. </w:t>
      </w:r>
      <w:r>
        <w:rPr>
          <w:i/>
        </w:rPr>
        <w:t>Nature</w:t>
      </w:r>
      <w:r>
        <w:t xml:space="preserve">, </w:t>
      </w:r>
      <w:r>
        <w:rPr>
          <w:i/>
        </w:rPr>
        <w:t>423</w:t>
      </w:r>
      <w:r>
        <w:t xml:space="preserve">(6939), 506–511. </w:t>
      </w:r>
      <w:r>
        <w:rPr>
          <w:color w:val="0563C1"/>
          <w:u w:val="single"/>
        </w:rPr>
        <w:t>https://doi.org/10.1038/nature01621</w:t>
      </w:r>
    </w:p>
    <w:p w14:paraId="6BD2BD49" w14:textId="37EEC0F0" w:rsidR="007A56F4" w:rsidRDefault="00000000">
      <w:pPr>
        <w:spacing w:line="276" w:lineRule="auto"/>
        <w:ind w:left="720" w:hanging="720"/>
      </w:pPr>
      <w:r>
        <w:t xml:space="preserve">Wang, L., Xu, R., Kaelber, D. C., &amp; Berger, N. A. (2024). Glucagon-like peptide 1 receptor agonists and 13 obesity-associated cancers in patients with type 2 diabetes. </w:t>
      </w:r>
      <w:r>
        <w:rPr>
          <w:i/>
        </w:rPr>
        <w:t>JAMA Network Open</w:t>
      </w:r>
      <w:r>
        <w:t xml:space="preserve">, </w:t>
      </w:r>
      <w:r>
        <w:rPr>
          <w:i/>
        </w:rPr>
        <w:t>7</w:t>
      </w:r>
      <w:r>
        <w:t xml:space="preserve">(7), Article e2421305. </w:t>
      </w:r>
      <w:r>
        <w:rPr>
          <w:color w:val="0563C1"/>
          <w:u w:val="single"/>
        </w:rPr>
        <w:t>https://doi.org/10.1001/jamanetworkopen.2024.21305</w:t>
      </w:r>
    </w:p>
    <w:p w14:paraId="0EB480C6" w14:textId="213A5C03" w:rsidR="007A56F4" w:rsidRDefault="00000000">
      <w:pPr>
        <w:spacing w:line="276" w:lineRule="auto"/>
        <w:ind w:left="720" w:hanging="720"/>
      </w:pPr>
      <w:r>
        <w:t xml:space="preserve">Wright, J. J., Salem, J. E., Johnson, D. B., Lebrun-Vignes, B., Stamatouli, A., Thomas, J. W., Herold, K. C., Moslehi, J., &amp; Powers, A. C. (2018). Increased reporting of immune checkpoint inhibitor-associated diabetes. </w:t>
      </w:r>
      <w:r>
        <w:rPr>
          <w:i/>
        </w:rPr>
        <w:t>Diabetes Care</w:t>
      </w:r>
      <w:r>
        <w:t xml:space="preserve">, </w:t>
      </w:r>
      <w:r>
        <w:rPr>
          <w:i/>
        </w:rPr>
        <w:t>41</w:t>
      </w:r>
      <w:r>
        <w:t xml:space="preserve">(12), e150–e151. </w:t>
      </w:r>
      <w:r>
        <w:rPr>
          <w:color w:val="0563C1"/>
          <w:u w:val="single"/>
        </w:rPr>
        <w:t>https://doi.org/10.2337/dc18-1465</w:t>
      </w:r>
    </w:p>
    <w:p w14:paraId="3DBCEB18" w14:textId="6F3E2C78" w:rsidR="007A56F4" w:rsidRDefault="00000000">
      <w:pPr>
        <w:spacing w:line="276" w:lineRule="auto"/>
        <w:ind w:left="720" w:hanging="720"/>
      </w:pPr>
      <w:r>
        <w:t xml:space="preserve">Wu, L., Tsang, V., Menzies, A. M., Sasson, S. C., Carlino, M. S., Brown, D. A., Clifton-Bligh, R., &amp; Gunton, J. E. (2023). Risk factors and characteristics of checkpoint inhibitor-associated autoimmune diabetes mellitus (CIADM): A systematic review and delineation from type 1 diabetes. </w:t>
      </w:r>
      <w:r>
        <w:rPr>
          <w:i/>
        </w:rPr>
        <w:t>Diabetes Care</w:t>
      </w:r>
      <w:r>
        <w:t xml:space="preserve">, </w:t>
      </w:r>
      <w:r>
        <w:rPr>
          <w:i/>
        </w:rPr>
        <w:t>46</w:t>
      </w:r>
      <w:r>
        <w:t xml:space="preserve">(6), 1292–1299. </w:t>
      </w:r>
      <w:r>
        <w:rPr>
          <w:color w:val="0563C1"/>
          <w:u w:val="single"/>
        </w:rPr>
        <w:t>https://doi.org/10.2337/dc22-2202</w:t>
      </w:r>
    </w:p>
    <w:p w14:paraId="1393D648" w14:textId="636C4A10" w:rsidR="007A56F4" w:rsidRDefault="00000000">
      <w:pPr>
        <w:spacing w:line="276" w:lineRule="auto"/>
        <w:ind w:left="720" w:hanging="720"/>
      </w:pPr>
      <w:r>
        <w:t xml:space="preserve">Ytterberg, S. R., Bhatt, D. L., Mikuls, T. R., Koch, G. G., Fleischmann, R., Rivas, J. L., Germino, R., Menon, S., Sun, Y., Wang, C., Shapiro, A. B., Kanik, K. S., &amp; Connell, C. A. (2022). Cardiovascular and cancer risk with tofacitinib in rheumatoid arthritis. </w:t>
      </w:r>
      <w:r>
        <w:rPr>
          <w:i/>
        </w:rPr>
        <w:t>New England Journal of Medicine</w:t>
      </w:r>
      <w:r>
        <w:t xml:space="preserve">, </w:t>
      </w:r>
      <w:r>
        <w:rPr>
          <w:i/>
        </w:rPr>
        <w:t>386</w:t>
      </w:r>
      <w:r>
        <w:t xml:space="preserve">(4), 316–326. </w:t>
      </w:r>
      <w:r>
        <w:rPr>
          <w:color w:val="0563C1"/>
          <w:u w:val="single"/>
        </w:rPr>
        <w:t>https://doi.org/10.1056/nejmoa2109927</w:t>
      </w:r>
    </w:p>
    <w:p w14:paraId="2990447A" w14:textId="3529F039" w:rsidR="007A56F4" w:rsidRDefault="00000000">
      <w:pPr>
        <w:spacing w:line="276" w:lineRule="auto"/>
        <w:ind w:left="720" w:hanging="720"/>
      </w:pPr>
      <w:r>
        <w:t xml:space="preserve">Yuan, F., Pfeiffer, R. M., Julián-Serrano, S., Arjani, S., Barrett, M. J., Koshiol, J., &amp; Stolzenberg-Solomon, R. Z. (2023). Autoimmune conditions and pancreatic cancer risk in older American adults. </w:t>
      </w:r>
      <w:r>
        <w:rPr>
          <w:i/>
        </w:rPr>
        <w:t>International Journal of Cancer</w:t>
      </w:r>
      <w:r>
        <w:t xml:space="preserve">, </w:t>
      </w:r>
      <w:r>
        <w:rPr>
          <w:i/>
        </w:rPr>
        <w:t>152</w:t>
      </w:r>
      <w:r>
        <w:t xml:space="preserve">(2), 172–182. </w:t>
      </w:r>
      <w:r>
        <w:rPr>
          <w:color w:val="0563C1"/>
          <w:u w:val="single"/>
        </w:rPr>
        <w:t>https://doi.org/10.1002/ijc.34235</w:t>
      </w:r>
    </w:p>
    <w:p w14:paraId="1E9FB844" w14:textId="14B448C0" w:rsidR="007A56F4" w:rsidRDefault="00000000">
      <w:pPr>
        <w:spacing w:line="276" w:lineRule="auto"/>
        <w:ind w:left="720" w:hanging="720"/>
      </w:pPr>
      <w:r>
        <w:t xml:space="preserve">Yuan, S., Kar, S., Carter, P., Vithayathil, M., Mason, A. M., Burgess, S., &amp; Larsson, S. C. (2020). Is type 2 diabetes causally associated with cancer risk? Evidence from a two-sample Mendelian randomization study. </w:t>
      </w:r>
      <w:r>
        <w:rPr>
          <w:i/>
        </w:rPr>
        <w:t>Diabetes</w:t>
      </w:r>
      <w:r>
        <w:t xml:space="preserve">, </w:t>
      </w:r>
      <w:r>
        <w:rPr>
          <w:i/>
        </w:rPr>
        <w:t>69</w:t>
      </w:r>
      <w:r>
        <w:t xml:space="preserve">(7), 1588–1596. </w:t>
      </w:r>
      <w:r>
        <w:rPr>
          <w:color w:val="0563C1"/>
          <w:u w:val="single"/>
        </w:rPr>
        <w:t>https://doi.org/10.2337/db20-0084</w:t>
      </w:r>
    </w:p>
    <w:p w14:paraId="706CC82A" w14:textId="1988566A" w:rsidR="007A56F4" w:rsidRDefault="00000000">
      <w:pPr>
        <w:spacing w:line="276" w:lineRule="auto"/>
        <w:ind w:left="720" w:hanging="720"/>
      </w:pPr>
      <w:r>
        <w:t xml:space="preserve">Zendehdel, K., Nyrén, O., Ostenson, C. G., Adami, H. O., Ekbom, A., &amp; Ye, W. (2003). Cancer incidence in patients with type 1 diabetes mellitus: A population-based cohort study in Sweden. </w:t>
      </w:r>
      <w:r>
        <w:rPr>
          <w:i/>
        </w:rPr>
        <w:t>Journal of the National Cancer Institute</w:t>
      </w:r>
      <w:r>
        <w:t xml:space="preserve">, </w:t>
      </w:r>
      <w:r>
        <w:rPr>
          <w:i/>
        </w:rPr>
        <w:t>95</w:t>
      </w:r>
      <w:r>
        <w:t xml:space="preserve">(23), 1797–1800. </w:t>
      </w:r>
      <w:r>
        <w:rPr>
          <w:color w:val="0563C1"/>
          <w:u w:val="single"/>
        </w:rPr>
        <w:t>https://doi.org/10.1093/jnci/djg105</w:t>
      </w:r>
    </w:p>
    <w:p w14:paraId="1847EDB2" w14:textId="4B5794B3" w:rsidR="007A56F4" w:rsidRDefault="00000000">
      <w:pPr>
        <w:spacing w:line="276" w:lineRule="auto"/>
        <w:ind w:left="720" w:hanging="720"/>
      </w:pPr>
      <w:r>
        <w:lastRenderedPageBreak/>
        <w:t xml:space="preserve">Zhang, A. M. Y., Wellberg, E. A., Kopp, J. L., &amp; Johnson, J. D. (2021). Hyperinsulinemia in obesity, inflammation, and cancer. </w:t>
      </w:r>
      <w:r>
        <w:rPr>
          <w:i/>
        </w:rPr>
        <w:t>Diabetes &amp; Metabolism Journal</w:t>
      </w:r>
      <w:r>
        <w:t xml:space="preserve">, </w:t>
      </w:r>
      <w:r>
        <w:rPr>
          <w:i/>
        </w:rPr>
        <w:t>45</w:t>
      </w:r>
      <w:r>
        <w:t xml:space="preserve">(3), 285–311. </w:t>
      </w:r>
      <w:r>
        <w:rPr>
          <w:color w:val="0563C1"/>
          <w:u w:val="single"/>
        </w:rPr>
        <w:t>https://doi.org/10.4093/dmj.2020.0250</w:t>
      </w:r>
    </w:p>
    <w:p w14:paraId="1A7671A6" w14:textId="22AED521" w:rsidR="007A56F4" w:rsidRDefault="00000000">
      <w:pPr>
        <w:spacing w:line="276" w:lineRule="auto"/>
        <w:ind w:left="720" w:hanging="720"/>
      </w:pPr>
      <w:r>
        <w:t xml:space="preserve">Zintzaras, E., Voulgarelis, M., &amp; Moutsopoulos, H. M. (2005). The risk of lymphoma development in autoimmune diseases: A meta-analysis. </w:t>
      </w:r>
      <w:r>
        <w:rPr>
          <w:i/>
        </w:rPr>
        <w:t>Archives of Internal Medicine</w:t>
      </w:r>
      <w:r>
        <w:t xml:space="preserve">, </w:t>
      </w:r>
      <w:r>
        <w:rPr>
          <w:i/>
        </w:rPr>
        <w:t>165</w:t>
      </w:r>
      <w:r>
        <w:t xml:space="preserve">(20), 2337–2344. </w:t>
      </w:r>
      <w:r>
        <w:rPr>
          <w:color w:val="0563C1"/>
          <w:u w:val="single"/>
        </w:rPr>
        <w:t>https://doi.org/10.1001/archinte.165.20.2337</w:t>
      </w:r>
    </w:p>
    <w:sectPr w:rsidR="007A56F4"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476EF" w14:textId="77777777" w:rsidR="00A2527D" w:rsidRDefault="00A2527D">
      <w:pPr>
        <w:spacing w:after="0" w:line="240" w:lineRule="auto"/>
      </w:pPr>
      <w:r>
        <w:separator/>
      </w:r>
    </w:p>
  </w:endnote>
  <w:endnote w:type="continuationSeparator" w:id="0">
    <w:p w14:paraId="719A89EE" w14:textId="77777777" w:rsidR="00A2527D" w:rsidRDefault="00A25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9FBB1" w14:textId="77777777" w:rsidR="00B001C1" w:rsidRDefault="00B001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35040" w14:textId="77777777" w:rsidR="007A56F4" w:rsidRDefault="00000000">
    <w:pPr>
      <w:pStyle w:val="Footer"/>
      <w:jc w:val="center"/>
    </w:pPr>
    <w:r>
      <w:fldChar w:fldCharType="begin"/>
    </w:r>
    <w:r>
      <w:instrText>PAGE</w:instrText>
    </w:r>
    <w:r>
      <w:fldChar w:fldCharType="separate"/>
    </w:r>
    <w:r w:rsidR="005D432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D972" w14:textId="77777777" w:rsidR="00B001C1" w:rsidRDefault="00B00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C41BA" w14:textId="77777777" w:rsidR="00A2527D" w:rsidRDefault="00A2527D">
      <w:pPr>
        <w:spacing w:after="0" w:line="240" w:lineRule="auto"/>
      </w:pPr>
      <w:r>
        <w:separator/>
      </w:r>
    </w:p>
  </w:footnote>
  <w:footnote w:type="continuationSeparator" w:id="0">
    <w:p w14:paraId="1B6DF551" w14:textId="77777777" w:rsidR="00A2527D" w:rsidRDefault="00A25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BB1B8" w14:textId="202CFBA5" w:rsidR="00B001C1" w:rsidRDefault="00B001C1">
    <w:pPr>
      <w:pStyle w:val="Header"/>
    </w:pPr>
    <w:r>
      <w:rPr>
        <w:noProof/>
      </w:rPr>
      <w:pict w14:anchorId="225E8B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655469" o:spid="_x0000_s1026" type="#_x0000_t136" style="position:absolute;margin-left:0;margin-top:0;width:575.5pt;height:63.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04FC5" w14:textId="1EDB4A04" w:rsidR="00B001C1" w:rsidRDefault="00B001C1">
    <w:pPr>
      <w:pStyle w:val="Header"/>
    </w:pPr>
    <w:r>
      <w:rPr>
        <w:noProof/>
      </w:rPr>
      <w:pict w14:anchorId="7BDB15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655470" o:spid="_x0000_s1027" type="#_x0000_t136" style="position:absolute;margin-left:0;margin-top:0;width:575.5pt;height:63.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55B69" w14:textId="7CB323F5" w:rsidR="00B001C1" w:rsidRDefault="00B001C1">
    <w:pPr>
      <w:pStyle w:val="Header"/>
    </w:pPr>
    <w:r>
      <w:rPr>
        <w:noProof/>
      </w:rPr>
      <w:pict w14:anchorId="1E0D3B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00655468" o:spid="_x0000_s1025" type="#_x0000_t136" style="position:absolute;margin-left:0;margin-top:0;width:575.5pt;height:63.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1820996">
    <w:abstractNumId w:val="8"/>
  </w:num>
  <w:num w:numId="2" w16cid:durableId="1873955027">
    <w:abstractNumId w:val="6"/>
  </w:num>
  <w:num w:numId="3" w16cid:durableId="1597708751">
    <w:abstractNumId w:val="5"/>
  </w:num>
  <w:num w:numId="4" w16cid:durableId="960846213">
    <w:abstractNumId w:val="4"/>
  </w:num>
  <w:num w:numId="5" w16cid:durableId="993795880">
    <w:abstractNumId w:val="7"/>
  </w:num>
  <w:num w:numId="6" w16cid:durableId="2099398158">
    <w:abstractNumId w:val="3"/>
  </w:num>
  <w:num w:numId="7" w16cid:durableId="688222010">
    <w:abstractNumId w:val="2"/>
  </w:num>
  <w:num w:numId="8" w16cid:durableId="95449592">
    <w:abstractNumId w:val="1"/>
  </w:num>
  <w:num w:numId="9" w16cid:durableId="1854493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6FD9"/>
    <w:rsid w:val="0006063C"/>
    <w:rsid w:val="0015074B"/>
    <w:rsid w:val="00154A5B"/>
    <w:rsid w:val="001B3BB1"/>
    <w:rsid w:val="0029639D"/>
    <w:rsid w:val="00326F90"/>
    <w:rsid w:val="005D4324"/>
    <w:rsid w:val="005E5080"/>
    <w:rsid w:val="007A56F4"/>
    <w:rsid w:val="00A2527D"/>
    <w:rsid w:val="00AA1D8D"/>
    <w:rsid w:val="00B001C1"/>
    <w:rsid w:val="00B47730"/>
    <w:rsid w:val="00CB0664"/>
    <w:rsid w:val="00EC50FA"/>
    <w:rsid w:val="00F77D6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6B7130"/>
  <w14:defaultImageDpi w14:val="300"/>
  <w15:docId w15:val="{32B478B8-0AE0-4562-8F7D-327F4FA58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36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40"/>
      <w:outlineLvl w:val="0"/>
    </w:pPr>
    <w:rPr>
      <w:rFonts w:cs="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cs="Times New Roman"/>
      <w:b/>
      <w:bCs/>
      <w:color w:val="00000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15915</Words>
  <Characters>90719</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SDI 1084</cp:lastModifiedBy>
  <cp:revision>5</cp:revision>
  <dcterms:created xsi:type="dcterms:W3CDTF">2013-12-23T23:15:00Z</dcterms:created>
  <dcterms:modified xsi:type="dcterms:W3CDTF">2026-09-26T13:56:00Z</dcterms:modified>
  <cp:category/>
</cp:coreProperties>
</file>