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313B" w14:textId="77777777" w:rsidR="00F4693E" w:rsidRPr="00F4693E" w:rsidRDefault="00F4693E" w:rsidP="00F4693E">
      <w:pPr>
        <w:spacing w:after="0" w:line="240" w:lineRule="auto"/>
        <w:jc w:val="center"/>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EFFECT OF ENVIRONMENTAL, SOCIAL AND GOVERNANCE (ESG) REPORTING ON FIRM VALUE OF LISTED NON-FINANCIAL COMPANIES IN NIGERIA</w:t>
      </w:r>
    </w:p>
    <w:p w14:paraId="63FC71AF" w14:textId="77777777" w:rsidR="00F4693E" w:rsidRPr="00F4693E" w:rsidRDefault="00F4693E" w:rsidP="00F4693E">
      <w:pPr>
        <w:spacing w:after="0" w:line="240" w:lineRule="auto"/>
        <w:jc w:val="center"/>
        <w:rPr>
          <w:rFonts w:ascii="Times New Roman" w:eastAsia="Times New Roman" w:hAnsi="Times New Roman" w:cs="Times New Roman"/>
          <w:sz w:val="24"/>
          <w:szCs w:val="24"/>
          <w:lang w:eastAsia="en-GB"/>
        </w:rPr>
      </w:pPr>
    </w:p>
    <w:p w14:paraId="4B817C62" w14:textId="77777777" w:rsidR="00BB412A" w:rsidRPr="00033846" w:rsidRDefault="00BB412A" w:rsidP="00033846">
      <w:pPr>
        <w:spacing w:after="0" w:line="240" w:lineRule="auto"/>
        <w:jc w:val="center"/>
        <w:rPr>
          <w:rFonts w:ascii="Times New Roman" w:eastAsia="Times New Roman" w:hAnsi="Times New Roman" w:cs="Times New Roman"/>
          <w:sz w:val="24"/>
          <w:szCs w:val="24"/>
          <w:lang w:eastAsia="en-GB"/>
        </w:rPr>
      </w:pPr>
    </w:p>
    <w:p w14:paraId="32D42349" w14:textId="77777777" w:rsidR="00F4693E" w:rsidRPr="00F4693E" w:rsidRDefault="00F4693E" w:rsidP="00033846">
      <w:pPr>
        <w:spacing w:after="0" w:line="240" w:lineRule="auto"/>
        <w:ind w:left="2880" w:firstLine="720"/>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Abstract</w:t>
      </w:r>
    </w:p>
    <w:p w14:paraId="0F5A67E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This study examined the effect of environmental, social</w:t>
      </w:r>
      <w:r w:rsidR="00FA05C1">
        <w:rPr>
          <w:rFonts w:ascii="Times New Roman" w:eastAsia="Times New Roman" w:hAnsi="Times New Roman" w:cs="Times New Roman"/>
          <w:sz w:val="24"/>
          <w:szCs w:val="24"/>
          <w:lang w:eastAsia="en-GB"/>
        </w:rPr>
        <w:t>,</w:t>
      </w:r>
      <w:r w:rsidRPr="00F4693E">
        <w:rPr>
          <w:rFonts w:ascii="Times New Roman" w:eastAsia="Times New Roman" w:hAnsi="Times New Roman" w:cs="Times New Roman"/>
          <w:sz w:val="24"/>
          <w:szCs w:val="24"/>
          <w:lang w:eastAsia="en-GB"/>
        </w:rPr>
        <w:t xml:space="preserve"> and governance (ESG) reporting on the firm value of listed non-financial companies in Nigeria. The study specifically evaluated whether environmental reporting, social reporting</w:t>
      </w:r>
      <w:r w:rsidR="00FA05C1">
        <w:rPr>
          <w:rFonts w:ascii="Times New Roman" w:eastAsia="Times New Roman" w:hAnsi="Times New Roman" w:cs="Times New Roman"/>
          <w:sz w:val="24"/>
          <w:szCs w:val="24"/>
          <w:lang w:eastAsia="en-GB"/>
        </w:rPr>
        <w:t>,</w:t>
      </w:r>
      <w:r w:rsidRPr="00F4693E">
        <w:rPr>
          <w:rFonts w:ascii="Times New Roman" w:eastAsia="Times New Roman" w:hAnsi="Times New Roman" w:cs="Times New Roman"/>
          <w:sz w:val="24"/>
          <w:szCs w:val="24"/>
          <w:lang w:eastAsia="en-GB"/>
        </w:rPr>
        <w:t xml:space="preserve"> and governance reporting influence firm value measured by Tobin’s Q. An ex post facto research design was adopted using panel data for 60 listed non-financial companies over the 2016–2025 period, producing 600 firm-year observations. Secondary data were obtained from </w:t>
      </w:r>
      <w:r w:rsidR="00FA05C1">
        <w:rPr>
          <w:rFonts w:ascii="Times New Roman" w:eastAsia="Times New Roman" w:hAnsi="Times New Roman" w:cs="Times New Roman"/>
          <w:sz w:val="24"/>
          <w:szCs w:val="24"/>
          <w:lang w:eastAsia="en-GB"/>
        </w:rPr>
        <w:t>companies’</w:t>
      </w:r>
      <w:r w:rsidRPr="00F4693E">
        <w:rPr>
          <w:rFonts w:ascii="Times New Roman" w:eastAsia="Times New Roman" w:hAnsi="Times New Roman" w:cs="Times New Roman"/>
          <w:sz w:val="24"/>
          <w:szCs w:val="24"/>
          <w:lang w:eastAsia="en-GB"/>
        </w:rPr>
        <w:t xml:space="preserve"> annual reports and sustainability-related disclosures, while ESG reporting was measured through a 30-item content-analysis disclosure index comprising 10 environmental, 10 social and 10 governance indicators. Tobin’s Q </w:t>
      </w:r>
      <w:r w:rsidR="0056600F">
        <w:rPr>
          <w:rFonts w:ascii="Times New Roman" w:eastAsia="Times New Roman" w:hAnsi="Times New Roman" w:cs="Times New Roman"/>
          <w:sz w:val="24"/>
          <w:szCs w:val="24"/>
          <w:lang w:eastAsia="en-GB"/>
        </w:rPr>
        <w:t>was</w:t>
      </w:r>
      <w:r w:rsidRPr="00F4693E">
        <w:rPr>
          <w:rFonts w:ascii="Times New Roman" w:eastAsia="Times New Roman" w:hAnsi="Times New Roman" w:cs="Times New Roman"/>
          <w:sz w:val="24"/>
          <w:szCs w:val="24"/>
          <w:lang w:eastAsia="en-GB"/>
        </w:rPr>
        <w:t xml:space="preserve"> employed as </w:t>
      </w:r>
      <w:r w:rsidR="0056600F">
        <w:rPr>
          <w:rFonts w:ascii="Times New Roman" w:eastAsia="Times New Roman" w:hAnsi="Times New Roman" w:cs="Times New Roman"/>
          <w:sz w:val="24"/>
          <w:szCs w:val="24"/>
          <w:lang w:eastAsia="en-GB"/>
        </w:rPr>
        <w:t xml:space="preserve">a </w:t>
      </w:r>
      <w:r w:rsidR="00FA05C1">
        <w:rPr>
          <w:rFonts w:ascii="Times New Roman" w:eastAsia="Times New Roman" w:hAnsi="Times New Roman" w:cs="Times New Roman"/>
          <w:sz w:val="24"/>
          <w:szCs w:val="24"/>
          <w:lang w:eastAsia="en-GB"/>
        </w:rPr>
        <w:t>market-based measure</w:t>
      </w:r>
      <w:r w:rsidRPr="00F4693E">
        <w:rPr>
          <w:rFonts w:ascii="Times New Roman" w:eastAsia="Times New Roman" w:hAnsi="Times New Roman" w:cs="Times New Roman"/>
          <w:sz w:val="24"/>
          <w:szCs w:val="24"/>
          <w:lang w:eastAsia="en-GB"/>
        </w:rPr>
        <w:t xml:space="preserve"> of firm value, while firm size and financial leverage were included as control variables. Descriptive statistics, correlation analysis, variance inflation factor tests</w:t>
      </w:r>
      <w:r w:rsidR="0056600F">
        <w:rPr>
          <w:rFonts w:ascii="Times New Roman" w:eastAsia="Times New Roman" w:hAnsi="Times New Roman" w:cs="Times New Roman"/>
          <w:sz w:val="24"/>
          <w:szCs w:val="24"/>
          <w:lang w:eastAsia="en-GB"/>
        </w:rPr>
        <w:t>,</w:t>
      </w:r>
      <w:r w:rsidRPr="00F4693E">
        <w:rPr>
          <w:rFonts w:ascii="Times New Roman" w:eastAsia="Times New Roman" w:hAnsi="Times New Roman" w:cs="Times New Roman"/>
          <w:sz w:val="24"/>
          <w:szCs w:val="24"/>
          <w:lang w:eastAsia="en-GB"/>
        </w:rPr>
        <w:t xml:space="preserve"> and panel specification procedures were used, with the supplied Stata results showing low pairwise correlations among explanatory variables and a mean VIF of approximately 1.00. The regression results indicate that environmental</w:t>
      </w:r>
      <w:r w:rsidR="00FA05C1">
        <w:rPr>
          <w:rFonts w:ascii="Times New Roman" w:eastAsia="Times New Roman" w:hAnsi="Times New Roman" w:cs="Times New Roman"/>
          <w:sz w:val="24"/>
          <w:szCs w:val="24"/>
          <w:lang w:eastAsia="en-GB"/>
        </w:rPr>
        <w:t xml:space="preserve"> reporting had a positive and </w:t>
      </w:r>
      <w:r w:rsidRPr="00F4693E">
        <w:rPr>
          <w:rFonts w:ascii="Times New Roman" w:eastAsia="Times New Roman" w:hAnsi="Times New Roman" w:cs="Times New Roman"/>
          <w:sz w:val="24"/>
          <w:szCs w:val="24"/>
          <w:lang w:eastAsia="en-GB"/>
        </w:rPr>
        <w:t xml:space="preserve">significant </w:t>
      </w:r>
      <w:r w:rsidR="00FA05C1">
        <w:rPr>
          <w:rFonts w:ascii="Times New Roman" w:eastAsia="Times New Roman" w:hAnsi="Times New Roman" w:cs="Times New Roman"/>
          <w:sz w:val="24"/>
          <w:szCs w:val="24"/>
          <w:lang w:eastAsia="en-GB"/>
        </w:rPr>
        <w:t xml:space="preserve">effect on </w:t>
      </w:r>
      <w:r w:rsidRPr="00F4693E">
        <w:rPr>
          <w:rFonts w:ascii="Times New Roman" w:eastAsia="Times New Roman" w:hAnsi="Times New Roman" w:cs="Times New Roman"/>
          <w:sz w:val="24"/>
          <w:szCs w:val="24"/>
          <w:lang w:eastAsia="en-GB"/>
        </w:rPr>
        <w:t xml:space="preserve">Tobin’s Q (β = 2.15, p &lt; 0.01), </w:t>
      </w:r>
      <w:r w:rsidR="0056600F">
        <w:rPr>
          <w:rFonts w:ascii="Times New Roman" w:eastAsia="Times New Roman" w:hAnsi="Times New Roman" w:cs="Times New Roman"/>
          <w:sz w:val="24"/>
          <w:szCs w:val="24"/>
          <w:lang w:eastAsia="en-GB"/>
        </w:rPr>
        <w:t xml:space="preserve">as did </w:t>
      </w:r>
      <w:r w:rsidRPr="00F4693E">
        <w:rPr>
          <w:rFonts w:ascii="Times New Roman" w:eastAsia="Times New Roman" w:hAnsi="Times New Roman" w:cs="Times New Roman"/>
          <w:sz w:val="24"/>
          <w:szCs w:val="24"/>
          <w:lang w:eastAsia="en-GB"/>
        </w:rPr>
        <w:t>social reporting (β = 1.78, p &lt; 0.01), and governance</w:t>
      </w:r>
      <w:r w:rsidR="00FA05C1">
        <w:rPr>
          <w:rFonts w:ascii="Times New Roman" w:eastAsia="Times New Roman" w:hAnsi="Times New Roman" w:cs="Times New Roman"/>
          <w:sz w:val="24"/>
          <w:szCs w:val="24"/>
          <w:lang w:eastAsia="en-GB"/>
        </w:rPr>
        <w:t xml:space="preserve"> reporting (β = 2.29, p &lt; 0.01)</w:t>
      </w:r>
      <w:r w:rsidRPr="00F4693E">
        <w:rPr>
          <w:rFonts w:ascii="Times New Roman" w:eastAsia="Times New Roman" w:hAnsi="Times New Roman" w:cs="Times New Roman"/>
          <w:sz w:val="24"/>
          <w:szCs w:val="24"/>
          <w:lang w:eastAsia="en-GB"/>
        </w:rPr>
        <w:t>. The findings suggest that ESG reporting is strongl</w:t>
      </w:r>
      <w:r w:rsidR="00FA05C1">
        <w:rPr>
          <w:rFonts w:ascii="Times New Roman" w:eastAsia="Times New Roman" w:hAnsi="Times New Roman" w:cs="Times New Roman"/>
          <w:sz w:val="24"/>
          <w:szCs w:val="24"/>
          <w:lang w:eastAsia="en-GB"/>
        </w:rPr>
        <w:t>y reflected in market valuation</w:t>
      </w:r>
      <w:r w:rsidRPr="00F4693E">
        <w:rPr>
          <w:rFonts w:ascii="Times New Roman" w:eastAsia="Times New Roman" w:hAnsi="Times New Roman" w:cs="Times New Roman"/>
          <w:sz w:val="24"/>
          <w:szCs w:val="24"/>
          <w:lang w:eastAsia="en-GB"/>
        </w:rPr>
        <w:t>. The study contributes by disaggregating ESG reporting into its three pillars and examining market-based measures of firm value within Nigeria’s evolving sustainability-reporting environment.</w:t>
      </w:r>
    </w:p>
    <w:p w14:paraId="1A502411" w14:textId="77777777" w:rsidR="00FA05C1" w:rsidRDefault="00FA05C1" w:rsidP="00F4693E">
      <w:pPr>
        <w:spacing w:after="0" w:line="240" w:lineRule="auto"/>
        <w:jc w:val="both"/>
        <w:rPr>
          <w:rFonts w:ascii="Times New Roman" w:eastAsia="Times New Roman" w:hAnsi="Times New Roman" w:cs="Times New Roman"/>
          <w:sz w:val="24"/>
          <w:szCs w:val="24"/>
          <w:lang w:eastAsia="en-GB"/>
        </w:rPr>
      </w:pPr>
    </w:p>
    <w:p w14:paraId="0F84674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sz w:val="24"/>
          <w:szCs w:val="24"/>
          <w:lang w:eastAsia="en-GB"/>
        </w:rPr>
        <w:t>Keywords:</w:t>
      </w:r>
      <w:r w:rsidRPr="00F4693E">
        <w:rPr>
          <w:rFonts w:ascii="Times New Roman" w:eastAsia="Times New Roman" w:hAnsi="Times New Roman" w:cs="Times New Roman"/>
          <w:sz w:val="24"/>
          <w:szCs w:val="24"/>
          <w:lang w:eastAsia="en-GB"/>
        </w:rPr>
        <w:t xml:space="preserve"> ESG reporting; environmental reporting; social reporting; governance re</w:t>
      </w:r>
      <w:r w:rsidR="00ED1668">
        <w:rPr>
          <w:rFonts w:ascii="Times New Roman" w:eastAsia="Times New Roman" w:hAnsi="Times New Roman" w:cs="Times New Roman"/>
          <w:sz w:val="24"/>
          <w:szCs w:val="24"/>
          <w:lang w:eastAsia="en-GB"/>
        </w:rPr>
        <w:t>porting; firm value; Tobin’s Q.</w:t>
      </w:r>
    </w:p>
    <w:p w14:paraId="657B1D74" w14:textId="77777777" w:rsidR="00F4693E" w:rsidRDefault="00F4693E" w:rsidP="00F4693E">
      <w:pPr>
        <w:spacing w:after="0" w:line="240" w:lineRule="auto"/>
        <w:jc w:val="both"/>
        <w:rPr>
          <w:rFonts w:ascii="Times New Roman" w:eastAsia="Times New Roman" w:hAnsi="Times New Roman" w:cs="Times New Roman"/>
          <w:b/>
          <w:bCs/>
          <w:color w:val="365F91"/>
          <w:sz w:val="24"/>
          <w:szCs w:val="24"/>
          <w:lang w:eastAsia="en-GB"/>
        </w:rPr>
      </w:pPr>
    </w:p>
    <w:p w14:paraId="3F25E559" w14:textId="77777777" w:rsidR="00071952" w:rsidRDefault="00F4693E" w:rsidP="00071952">
      <w:pPr>
        <w:spacing w:after="0" w:line="240" w:lineRule="auto"/>
        <w:jc w:val="both"/>
        <w:rPr>
          <w:rFonts w:ascii="Times New Roman" w:eastAsia="Times New Roman" w:hAnsi="Times New Roman" w:cs="Times New Roman"/>
          <w:b/>
          <w:bCs/>
          <w:sz w:val="24"/>
          <w:szCs w:val="24"/>
          <w:lang w:eastAsia="en-GB"/>
        </w:rPr>
      </w:pPr>
      <w:r w:rsidRPr="00F4693E">
        <w:rPr>
          <w:rFonts w:ascii="Times New Roman" w:eastAsia="Times New Roman" w:hAnsi="Times New Roman" w:cs="Times New Roman"/>
          <w:b/>
          <w:bCs/>
          <w:sz w:val="24"/>
          <w:szCs w:val="24"/>
          <w:lang w:eastAsia="en-GB"/>
        </w:rPr>
        <w:t>1. Introduction</w:t>
      </w:r>
    </w:p>
    <w:p w14:paraId="2BDC6AFD" w14:textId="77777777" w:rsidR="00071952" w:rsidRDefault="00071952" w:rsidP="00033846">
      <w:pPr>
        <w:spacing w:after="120" w:line="240" w:lineRule="auto"/>
        <w:jc w:val="both"/>
        <w:rPr>
          <w:rFonts w:ascii="Times New Roman" w:eastAsia="Times New Roman" w:hAnsi="Times New Roman" w:cs="Times New Roman"/>
          <w:sz w:val="24"/>
          <w:szCs w:val="24"/>
          <w:lang w:eastAsia="en-GB"/>
        </w:rPr>
      </w:pPr>
      <w:r w:rsidRPr="00071952">
        <w:rPr>
          <w:rFonts w:ascii="Times New Roman" w:hAnsi="Times New Roman" w:cs="Times New Roman"/>
          <w:sz w:val="24"/>
          <w:szCs w:val="24"/>
        </w:rPr>
        <w:t xml:space="preserve">At the global level, declining firm value has become a major concern because it can </w:t>
      </w:r>
      <w:r w:rsidR="00033846">
        <w:rPr>
          <w:rFonts w:ascii="Times New Roman" w:hAnsi="Times New Roman" w:cs="Times New Roman"/>
          <w:sz w:val="24"/>
          <w:szCs w:val="24"/>
        </w:rPr>
        <w:t>erode shareholders’ wealth, undermine investor confidence, raise</w:t>
      </w:r>
      <w:r w:rsidRPr="00071952">
        <w:rPr>
          <w:rFonts w:ascii="Times New Roman" w:hAnsi="Times New Roman" w:cs="Times New Roman"/>
          <w:sz w:val="24"/>
          <w:szCs w:val="24"/>
        </w:rPr>
        <w:t xml:space="preserve"> the cost of capital, and constrain a company’s ability to attract and retain financial resources. Companies therefore seek to protect and enhance firm value through improved financial performance, effective corporate governance, strategic risk management, innovation, and stronger relationships with investors and other stakeholders. Increasing stakeholder awareness of environmental and social ri</w:t>
      </w:r>
      <w:r>
        <w:rPr>
          <w:rFonts w:ascii="Times New Roman" w:hAnsi="Times New Roman" w:cs="Times New Roman"/>
          <w:sz w:val="24"/>
          <w:szCs w:val="24"/>
        </w:rPr>
        <w:t>sks has further encouraged companies</w:t>
      </w:r>
      <w:r w:rsidRPr="00071952">
        <w:rPr>
          <w:rFonts w:ascii="Times New Roman" w:hAnsi="Times New Roman" w:cs="Times New Roman"/>
          <w:sz w:val="24"/>
          <w:szCs w:val="24"/>
        </w:rPr>
        <w:t xml:space="preserve"> to demonstrate responsible and sustainable business practices. Consequently, many companies have increasingly adopted Environmental, Social and Governance (ESG) reporting to provide stakeholders with transparent information about their sustainability practices, risk management, and governance quality. ESG reporting </w:t>
      </w:r>
      <w:r>
        <w:rPr>
          <w:rFonts w:ascii="Times New Roman" w:hAnsi="Times New Roman" w:cs="Times New Roman"/>
          <w:sz w:val="24"/>
          <w:szCs w:val="24"/>
        </w:rPr>
        <w:t xml:space="preserve">may be seen </w:t>
      </w:r>
      <w:r w:rsidRPr="00071952">
        <w:rPr>
          <w:rFonts w:ascii="Times New Roman" w:hAnsi="Times New Roman" w:cs="Times New Roman"/>
          <w:sz w:val="24"/>
          <w:szCs w:val="24"/>
        </w:rPr>
        <w:t>a</w:t>
      </w:r>
      <w:r>
        <w:rPr>
          <w:rFonts w:ascii="Times New Roman" w:hAnsi="Times New Roman" w:cs="Times New Roman"/>
          <w:sz w:val="24"/>
          <w:szCs w:val="24"/>
        </w:rPr>
        <w:t>s a</w:t>
      </w:r>
      <w:r w:rsidRPr="00071952">
        <w:rPr>
          <w:rFonts w:ascii="Times New Roman" w:hAnsi="Times New Roman" w:cs="Times New Roman"/>
          <w:sz w:val="24"/>
          <w:szCs w:val="24"/>
        </w:rPr>
        <w:t xml:space="preserve"> potential </w:t>
      </w:r>
      <w:r>
        <w:rPr>
          <w:rFonts w:ascii="Times New Roman" w:hAnsi="Times New Roman" w:cs="Times New Roman"/>
          <w:sz w:val="24"/>
          <w:szCs w:val="24"/>
        </w:rPr>
        <w:t>tool</w:t>
      </w:r>
      <w:r w:rsidRPr="00071952">
        <w:rPr>
          <w:rFonts w:ascii="Times New Roman" w:hAnsi="Times New Roman" w:cs="Times New Roman"/>
          <w:sz w:val="24"/>
          <w:szCs w:val="24"/>
        </w:rPr>
        <w:t xml:space="preserve"> for enhancing firm value by reducing information asymmetry, strengthening corporate reputation,</w:t>
      </w:r>
      <w:r>
        <w:rPr>
          <w:rFonts w:ascii="Times New Roman" w:hAnsi="Times New Roman" w:cs="Times New Roman"/>
          <w:sz w:val="24"/>
          <w:szCs w:val="24"/>
        </w:rPr>
        <w:t xml:space="preserve"> and improving stakeholder trust</w:t>
      </w:r>
      <w:r>
        <w:rPr>
          <w:rFonts w:ascii="Times New Roman" w:eastAsia="Times New Roman" w:hAnsi="Times New Roman" w:cs="Times New Roman"/>
          <w:sz w:val="24"/>
          <w:szCs w:val="24"/>
          <w:lang w:eastAsia="en-GB"/>
        </w:rPr>
        <w:t xml:space="preserve">. </w:t>
      </w:r>
      <w:r w:rsidR="00F4693E" w:rsidRPr="00F4693E">
        <w:rPr>
          <w:rFonts w:ascii="Times New Roman" w:eastAsia="Times New Roman" w:hAnsi="Times New Roman" w:cs="Times New Roman"/>
          <w:sz w:val="24"/>
          <w:szCs w:val="24"/>
          <w:lang w:eastAsia="en-GB"/>
        </w:rPr>
        <w:t xml:space="preserve">Investors, lenders, regulators and other stakeholders increasingly require information about how companies manage </w:t>
      </w:r>
      <w:r>
        <w:rPr>
          <w:rFonts w:ascii="Times New Roman" w:eastAsia="Times New Roman" w:hAnsi="Times New Roman" w:cs="Times New Roman"/>
          <w:sz w:val="24"/>
          <w:szCs w:val="24"/>
          <w:lang w:eastAsia="en-GB"/>
        </w:rPr>
        <w:t>ESG issues</w:t>
      </w:r>
      <w:r w:rsidR="00F4693E" w:rsidRPr="00F4693E">
        <w:rPr>
          <w:rFonts w:ascii="Times New Roman" w:eastAsia="Times New Roman" w:hAnsi="Times New Roman" w:cs="Times New Roman"/>
          <w:sz w:val="24"/>
          <w:szCs w:val="24"/>
          <w:lang w:eastAsia="en-GB"/>
        </w:rPr>
        <w:t xml:space="preserve"> because such information</w:t>
      </w:r>
      <w:r>
        <w:rPr>
          <w:rFonts w:ascii="Times New Roman" w:eastAsia="Times New Roman" w:hAnsi="Times New Roman" w:cs="Times New Roman"/>
          <w:sz w:val="24"/>
          <w:szCs w:val="24"/>
          <w:lang w:eastAsia="en-GB"/>
        </w:rPr>
        <w:t xml:space="preserve"> can affect future cash flows and </w:t>
      </w:r>
      <w:r w:rsidR="00F4693E" w:rsidRPr="00F4693E">
        <w:rPr>
          <w:rFonts w:ascii="Times New Roman" w:eastAsia="Times New Roman" w:hAnsi="Times New Roman" w:cs="Times New Roman"/>
          <w:sz w:val="24"/>
          <w:szCs w:val="24"/>
          <w:lang w:eastAsia="en-GB"/>
        </w:rPr>
        <w:t>access to finance</w:t>
      </w:r>
      <w:r>
        <w:rPr>
          <w:rFonts w:ascii="Times New Roman" w:eastAsia="Times New Roman" w:hAnsi="Times New Roman" w:cs="Times New Roman"/>
          <w:sz w:val="24"/>
          <w:szCs w:val="24"/>
          <w:lang w:eastAsia="en-GB"/>
        </w:rPr>
        <w:t xml:space="preserve">. </w:t>
      </w:r>
      <w:r w:rsidR="00F4693E" w:rsidRPr="00F4693E">
        <w:rPr>
          <w:rFonts w:ascii="Times New Roman" w:eastAsia="Times New Roman" w:hAnsi="Times New Roman" w:cs="Times New Roman"/>
          <w:sz w:val="24"/>
          <w:szCs w:val="24"/>
          <w:lang w:eastAsia="en-GB"/>
        </w:rPr>
        <w:t>IFRS S1, which is effective for annual reporting periods beginning on or after 1 January 2024, requires entities to disclose sustainability-related risks and opportunities that could reasonably be expe</w:t>
      </w:r>
      <w:r>
        <w:rPr>
          <w:rFonts w:ascii="Times New Roman" w:eastAsia="Times New Roman" w:hAnsi="Times New Roman" w:cs="Times New Roman"/>
          <w:sz w:val="24"/>
          <w:szCs w:val="24"/>
          <w:lang w:eastAsia="en-GB"/>
        </w:rPr>
        <w:t>cted to affect their financial prospects</w:t>
      </w:r>
      <w:r w:rsidR="00F4693E" w:rsidRPr="00F4693E">
        <w:rPr>
          <w:rFonts w:ascii="Times New Roman" w:eastAsia="Times New Roman" w:hAnsi="Times New Roman" w:cs="Times New Roman"/>
          <w:sz w:val="24"/>
          <w:szCs w:val="24"/>
          <w:lang w:eastAsia="en-GB"/>
        </w:rPr>
        <w:t>. This development reinforces the growing relevance of sustainability informatio</w:t>
      </w:r>
      <w:r>
        <w:rPr>
          <w:rFonts w:ascii="Times New Roman" w:eastAsia="Times New Roman" w:hAnsi="Times New Roman" w:cs="Times New Roman"/>
          <w:sz w:val="24"/>
          <w:szCs w:val="24"/>
          <w:lang w:eastAsia="en-GB"/>
        </w:rPr>
        <w:t>n to financial decision-making (</w:t>
      </w:r>
      <w:proofErr w:type="spellStart"/>
      <w:r>
        <w:rPr>
          <w:rFonts w:ascii="Times New Roman" w:hAnsi="Times New Roman" w:cs="Times New Roman"/>
          <w:sz w:val="24"/>
          <w:szCs w:val="24"/>
        </w:rPr>
        <w:t>Ezejiofor</w:t>
      </w:r>
      <w:proofErr w:type="spellEnd"/>
      <w:r>
        <w:rPr>
          <w:rFonts w:ascii="Times New Roman" w:hAnsi="Times New Roman" w:cs="Times New Roman"/>
          <w:sz w:val="24"/>
          <w:szCs w:val="24"/>
        </w:rPr>
        <w:t xml:space="preserve"> &amp; Ufot, </w:t>
      </w:r>
      <w:r w:rsidRPr="00071952">
        <w:rPr>
          <w:rFonts w:ascii="Times New Roman" w:hAnsi="Times New Roman" w:cs="Times New Roman"/>
          <w:sz w:val="24"/>
          <w:szCs w:val="24"/>
        </w:rPr>
        <w:t>2025)</w:t>
      </w:r>
      <w:r>
        <w:rPr>
          <w:rFonts w:ascii="Times New Roman" w:hAnsi="Times New Roman" w:cs="Times New Roman"/>
          <w:sz w:val="24"/>
          <w:szCs w:val="24"/>
        </w:rPr>
        <w:t>.</w:t>
      </w:r>
      <w:r>
        <w:rPr>
          <w:rFonts w:ascii="Times New Roman" w:eastAsia="Times New Roman" w:hAnsi="Times New Roman" w:cs="Times New Roman"/>
          <w:sz w:val="24"/>
          <w:szCs w:val="24"/>
          <w:lang w:eastAsia="en-GB"/>
        </w:rPr>
        <w:t xml:space="preserve"> </w:t>
      </w:r>
      <w:r w:rsidR="00F4693E" w:rsidRPr="00F4693E">
        <w:rPr>
          <w:rFonts w:ascii="Times New Roman" w:eastAsia="Times New Roman" w:hAnsi="Times New Roman" w:cs="Times New Roman"/>
          <w:sz w:val="24"/>
          <w:szCs w:val="24"/>
          <w:lang w:eastAsia="en-GB"/>
        </w:rPr>
        <w:t xml:space="preserve">The </w:t>
      </w:r>
      <w:r w:rsidRPr="00F4693E">
        <w:rPr>
          <w:rFonts w:ascii="Times New Roman" w:eastAsia="Times New Roman" w:hAnsi="Times New Roman" w:cs="Times New Roman"/>
          <w:sz w:val="24"/>
          <w:szCs w:val="24"/>
          <w:lang w:eastAsia="en-GB"/>
        </w:rPr>
        <w:t>importance</w:t>
      </w:r>
      <w:r w:rsidR="00F4693E" w:rsidRPr="00F4693E">
        <w:rPr>
          <w:rFonts w:ascii="Times New Roman" w:eastAsia="Times New Roman" w:hAnsi="Times New Roman" w:cs="Times New Roman"/>
          <w:sz w:val="24"/>
          <w:szCs w:val="24"/>
          <w:lang w:eastAsia="en-GB"/>
        </w:rPr>
        <w:t xml:space="preserve"> of ESG reporting is particularly important in emerging markets, where information asymmetry, institutional weaknesses and evolving sustainability regulation may increase uncertainty for investors. </w:t>
      </w:r>
    </w:p>
    <w:p w14:paraId="420135B7" w14:textId="77777777" w:rsidR="008C3C8E" w:rsidRDefault="008C3C8E"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In Nigeria,</w:t>
      </w:r>
      <w:r w:rsidR="00071952" w:rsidRPr="00F4693E">
        <w:rPr>
          <w:rFonts w:ascii="Times New Roman" w:eastAsia="Times New Roman" w:hAnsi="Times New Roman" w:cs="Times New Roman"/>
          <w:sz w:val="24"/>
          <w:szCs w:val="24"/>
          <w:lang w:eastAsia="en-GB"/>
        </w:rPr>
        <w:t xml:space="preserve"> the country's sustainability-reporting architecture is undergoing rapid develo</w:t>
      </w:r>
      <w:r>
        <w:rPr>
          <w:rFonts w:ascii="Times New Roman" w:eastAsia="Times New Roman" w:hAnsi="Times New Roman" w:cs="Times New Roman"/>
          <w:sz w:val="24"/>
          <w:szCs w:val="24"/>
          <w:lang w:eastAsia="en-GB"/>
        </w:rPr>
        <w:t>pment. Nigeria has been recognis</w:t>
      </w:r>
      <w:r w:rsidR="00071952" w:rsidRPr="00F4693E">
        <w:rPr>
          <w:rFonts w:ascii="Times New Roman" w:eastAsia="Times New Roman" w:hAnsi="Times New Roman" w:cs="Times New Roman"/>
          <w:sz w:val="24"/>
          <w:szCs w:val="24"/>
          <w:lang w:eastAsia="en-GB"/>
        </w:rPr>
        <w:t>ed for its early movement toward International Sustainability Standards Board (ISSB) standards, and the Financial Reporting Council of Nigeria (FRCN) introduced a phased roadmap that initially allowed voluntary adoption before moving toward mandatory implementation. The FRCN subsequently issued an amended roadmap and Sustainability Reporting Guideline 1 in February 2026 to provide additional implementation gu</w:t>
      </w:r>
      <w:r>
        <w:rPr>
          <w:rFonts w:ascii="Times New Roman" w:eastAsia="Times New Roman" w:hAnsi="Times New Roman" w:cs="Times New Roman"/>
          <w:sz w:val="24"/>
          <w:szCs w:val="24"/>
          <w:lang w:eastAsia="en-GB"/>
        </w:rPr>
        <w:t xml:space="preserve">idance for IFRS S1 and IFRS S2 </w:t>
      </w:r>
      <w:r w:rsidRPr="00E03E19">
        <w:rPr>
          <w:rFonts w:ascii="Times New Roman" w:eastAsia="Times New Roman" w:hAnsi="Times New Roman" w:cs="Times New Roman"/>
          <w:sz w:val="24"/>
          <w:szCs w:val="24"/>
          <w:lang w:eastAsia="en-GB"/>
        </w:rPr>
        <w:t>(Yahaya, 2026).</w:t>
      </w:r>
      <w:r>
        <w:rPr>
          <w:rFonts w:ascii="Times New Roman" w:eastAsia="Times New Roman" w:hAnsi="Times New Roman" w:cs="Times New Roman"/>
          <w:sz w:val="24"/>
          <w:szCs w:val="24"/>
          <w:lang w:eastAsia="en-GB"/>
        </w:rPr>
        <w:t xml:space="preserve"> </w:t>
      </w:r>
      <w:r w:rsidRPr="008C3C8E">
        <w:rPr>
          <w:rFonts w:ascii="Times New Roman" w:eastAsia="Times New Roman" w:hAnsi="Times New Roman" w:cs="Times New Roman"/>
          <w:sz w:val="24"/>
          <w:szCs w:val="24"/>
          <w:lang w:eastAsia="en-GB"/>
        </w:rPr>
        <w:t>Despite these developments, empirical evidence on ESG reporting and firm value among listed non-financial companies in Nigeria remains relatively limited. Recent Nigerian studies have examined ESG disclosure and related ou</w:t>
      </w:r>
      <w:r>
        <w:rPr>
          <w:rFonts w:ascii="Times New Roman" w:eastAsia="Times New Roman" w:hAnsi="Times New Roman" w:cs="Times New Roman"/>
          <w:sz w:val="24"/>
          <w:szCs w:val="24"/>
          <w:lang w:eastAsia="en-GB"/>
        </w:rPr>
        <w:t>tcomes among non-financial companies</w:t>
      </w:r>
      <w:r w:rsidRPr="008C3C8E">
        <w:rPr>
          <w:rFonts w:ascii="Times New Roman" w:eastAsia="Times New Roman" w:hAnsi="Times New Roman" w:cs="Times New Roman"/>
          <w:sz w:val="24"/>
          <w:szCs w:val="24"/>
          <w:lang w:eastAsia="en-GB"/>
        </w:rPr>
        <w:t>, but the evidence remains insufficient regarding its specific effect on firm value.</w:t>
      </w:r>
    </w:p>
    <w:p w14:paraId="43768419" w14:textId="77777777" w:rsidR="008C3C8E" w:rsidRDefault="008C3C8E" w:rsidP="00F4693E">
      <w:pPr>
        <w:spacing w:after="0" w:line="240" w:lineRule="auto"/>
        <w:jc w:val="both"/>
        <w:rPr>
          <w:rFonts w:ascii="Times New Roman" w:eastAsia="Times New Roman" w:hAnsi="Times New Roman" w:cs="Times New Roman"/>
          <w:sz w:val="24"/>
          <w:szCs w:val="24"/>
          <w:lang w:eastAsia="en-GB"/>
        </w:rPr>
      </w:pPr>
    </w:p>
    <w:p w14:paraId="34B68C06" w14:textId="77777777" w:rsidR="008C3C8E" w:rsidRDefault="008C3C8E"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Furthermore, most of the studies on </w:t>
      </w:r>
      <w:r w:rsidR="00A80BBF">
        <w:rPr>
          <w:rFonts w:ascii="Times New Roman" w:eastAsia="Times New Roman" w:hAnsi="Times New Roman" w:cs="Times New Roman"/>
          <w:sz w:val="24"/>
          <w:szCs w:val="24"/>
          <w:lang w:eastAsia="en-GB"/>
        </w:rPr>
        <w:t xml:space="preserve">the effect </w:t>
      </w:r>
      <w:r w:rsidR="00A80BBF" w:rsidRPr="008C3C8E">
        <w:rPr>
          <w:rFonts w:ascii="Times New Roman" w:eastAsia="Times New Roman" w:hAnsi="Times New Roman" w:cs="Times New Roman"/>
          <w:sz w:val="24"/>
          <w:szCs w:val="24"/>
          <w:lang w:eastAsia="en-GB"/>
        </w:rPr>
        <w:t>ESG reporting and firm value</w:t>
      </w:r>
      <w:r w:rsidR="00A80BBF">
        <w:rPr>
          <w:rFonts w:ascii="Times New Roman" w:eastAsia="Times New Roman" w:hAnsi="Times New Roman" w:cs="Times New Roman"/>
          <w:sz w:val="24"/>
          <w:szCs w:val="24"/>
          <w:lang w:eastAsia="en-GB"/>
        </w:rPr>
        <w:t xml:space="preserve"> were done in developed countries. For instance, </w:t>
      </w:r>
      <w:r w:rsidR="00A80BBF" w:rsidRPr="00A80BBF">
        <w:rPr>
          <w:rFonts w:ascii="Times New Roman" w:eastAsia="Times New Roman" w:hAnsi="Times New Roman" w:cs="Times New Roman"/>
          <w:sz w:val="24"/>
          <w:szCs w:val="24"/>
          <w:lang w:eastAsia="en-GB"/>
        </w:rPr>
        <w:t xml:space="preserve"> </w:t>
      </w:r>
      <w:proofErr w:type="spellStart"/>
      <w:r w:rsidR="00A80BBF" w:rsidRPr="00A80BBF">
        <w:rPr>
          <w:rFonts w:ascii="Times New Roman" w:eastAsia="Times New Roman" w:hAnsi="Times New Roman" w:cs="Times New Roman"/>
          <w:sz w:val="24"/>
          <w:szCs w:val="24"/>
          <w:lang w:eastAsia="en-GB"/>
        </w:rPr>
        <w:t>G</w:t>
      </w:r>
      <w:r w:rsidR="00A80BBF">
        <w:rPr>
          <w:rFonts w:ascii="Times New Roman" w:eastAsia="Times New Roman" w:hAnsi="Times New Roman" w:cs="Times New Roman"/>
          <w:sz w:val="24"/>
          <w:szCs w:val="24"/>
          <w:lang w:eastAsia="en-GB"/>
        </w:rPr>
        <w:t>erged</w:t>
      </w:r>
      <w:proofErr w:type="spellEnd"/>
      <w:r w:rsidR="00A80BBF">
        <w:rPr>
          <w:rFonts w:ascii="Times New Roman" w:eastAsia="Times New Roman" w:hAnsi="Times New Roman" w:cs="Times New Roman"/>
          <w:sz w:val="24"/>
          <w:szCs w:val="24"/>
          <w:lang w:eastAsia="en-GB"/>
        </w:rPr>
        <w:t xml:space="preserve"> et al. (2023), using companies</w:t>
      </w:r>
      <w:r w:rsidR="00A80BBF" w:rsidRPr="00A80BBF">
        <w:rPr>
          <w:rFonts w:ascii="Times New Roman" w:eastAsia="Times New Roman" w:hAnsi="Times New Roman" w:cs="Times New Roman"/>
          <w:sz w:val="24"/>
          <w:szCs w:val="24"/>
          <w:lang w:eastAsia="en-GB"/>
        </w:rPr>
        <w:t xml:space="preserve"> from the United States, Canada, and the United Kingdom, found that ESG transparency did not significantly predict Tobin’s Q, although broader sustainability initiatives were positively associated with firm value. </w:t>
      </w:r>
      <w:proofErr w:type="spellStart"/>
      <w:r w:rsidR="00A80BBF" w:rsidRPr="00A80BBF">
        <w:rPr>
          <w:rFonts w:ascii="Times New Roman" w:eastAsia="Times New Roman" w:hAnsi="Times New Roman" w:cs="Times New Roman"/>
          <w:sz w:val="24"/>
          <w:szCs w:val="24"/>
          <w:lang w:eastAsia="en-GB"/>
        </w:rPr>
        <w:t>Boulhaga</w:t>
      </w:r>
      <w:proofErr w:type="spellEnd"/>
      <w:r w:rsidR="00A80BBF" w:rsidRPr="00A80BBF">
        <w:rPr>
          <w:rFonts w:ascii="Times New Roman" w:eastAsia="Times New Roman" w:hAnsi="Times New Roman" w:cs="Times New Roman"/>
          <w:sz w:val="24"/>
          <w:szCs w:val="24"/>
          <w:lang w:eastAsia="en-GB"/>
        </w:rPr>
        <w:t xml:space="preserve"> et al. (2023) in France and Gonçalves et al. (2023) across European developed markets reported positive and significant relationships between ESG performance and firm value. In contrast, </w:t>
      </w:r>
      <w:proofErr w:type="spellStart"/>
      <w:r w:rsidR="00A80BBF" w:rsidRPr="00A80BBF">
        <w:rPr>
          <w:rFonts w:ascii="Times New Roman" w:eastAsia="Times New Roman" w:hAnsi="Times New Roman" w:cs="Times New Roman"/>
          <w:sz w:val="24"/>
          <w:szCs w:val="24"/>
          <w:lang w:eastAsia="en-GB"/>
        </w:rPr>
        <w:t>Nampoothiri</w:t>
      </w:r>
      <w:proofErr w:type="spellEnd"/>
      <w:r w:rsidR="00A80BBF" w:rsidRPr="00A80BBF">
        <w:rPr>
          <w:rFonts w:ascii="Times New Roman" w:eastAsia="Times New Roman" w:hAnsi="Times New Roman" w:cs="Times New Roman"/>
          <w:sz w:val="24"/>
          <w:szCs w:val="24"/>
          <w:lang w:eastAsia="en-GB"/>
        </w:rPr>
        <w:t xml:space="preserve"> et al. (2024)</w:t>
      </w:r>
      <w:r w:rsidR="00A80BBF">
        <w:rPr>
          <w:rFonts w:ascii="Times New Roman" w:eastAsia="Times New Roman" w:hAnsi="Times New Roman" w:cs="Times New Roman"/>
          <w:sz w:val="24"/>
          <w:szCs w:val="24"/>
          <w:lang w:eastAsia="en-GB"/>
        </w:rPr>
        <w:t>, based on listed European companies</w:t>
      </w:r>
      <w:r w:rsidR="00A80BBF" w:rsidRPr="00A80BBF">
        <w:rPr>
          <w:rFonts w:ascii="Times New Roman" w:eastAsia="Times New Roman" w:hAnsi="Times New Roman" w:cs="Times New Roman"/>
          <w:sz w:val="24"/>
          <w:szCs w:val="24"/>
          <w:lang w:eastAsia="en-GB"/>
        </w:rPr>
        <w:t xml:space="preserve">, found that mandatory sustainability disclosures had no significant overall effect on firm value, while </w:t>
      </w:r>
      <w:proofErr w:type="spellStart"/>
      <w:r w:rsidR="00A80BBF" w:rsidRPr="00A80BBF">
        <w:rPr>
          <w:rFonts w:ascii="Times New Roman" w:eastAsia="Times New Roman" w:hAnsi="Times New Roman" w:cs="Times New Roman"/>
          <w:sz w:val="24"/>
          <w:szCs w:val="24"/>
          <w:lang w:eastAsia="en-GB"/>
        </w:rPr>
        <w:t>Zureck</w:t>
      </w:r>
      <w:proofErr w:type="spellEnd"/>
      <w:r w:rsidR="00A80BBF" w:rsidRPr="00A80BBF">
        <w:rPr>
          <w:rFonts w:ascii="Times New Roman" w:eastAsia="Times New Roman" w:hAnsi="Times New Roman" w:cs="Times New Roman"/>
          <w:sz w:val="24"/>
          <w:szCs w:val="24"/>
          <w:lang w:eastAsia="en-GB"/>
        </w:rPr>
        <w:t xml:space="preserve"> and </w:t>
      </w:r>
      <w:proofErr w:type="spellStart"/>
      <w:r w:rsidR="00A80BBF" w:rsidRPr="00A80BBF">
        <w:rPr>
          <w:rFonts w:ascii="Times New Roman" w:eastAsia="Times New Roman" w:hAnsi="Times New Roman" w:cs="Times New Roman"/>
          <w:sz w:val="24"/>
          <w:szCs w:val="24"/>
          <w:lang w:eastAsia="en-GB"/>
        </w:rPr>
        <w:t>Tselekis</w:t>
      </w:r>
      <w:proofErr w:type="spellEnd"/>
      <w:r w:rsidR="00A80BBF" w:rsidRPr="00A80BBF">
        <w:rPr>
          <w:rFonts w:ascii="Times New Roman" w:eastAsia="Times New Roman" w:hAnsi="Times New Roman" w:cs="Times New Roman"/>
          <w:sz w:val="24"/>
          <w:szCs w:val="24"/>
          <w:lang w:eastAsia="en-GB"/>
        </w:rPr>
        <w:t xml:space="preserve"> (2026) similarly reported an insignificant independent effect of ESG transparency on</w:t>
      </w:r>
      <w:r w:rsidR="00A80BBF">
        <w:rPr>
          <w:rFonts w:ascii="Times New Roman" w:eastAsia="Times New Roman" w:hAnsi="Times New Roman" w:cs="Times New Roman"/>
          <w:sz w:val="24"/>
          <w:szCs w:val="24"/>
          <w:lang w:eastAsia="en-GB"/>
        </w:rPr>
        <w:t xml:space="preserve"> firm value among European companies</w:t>
      </w:r>
      <w:r w:rsidR="00A80BBF" w:rsidRPr="00A80BBF">
        <w:rPr>
          <w:rFonts w:ascii="Times New Roman" w:eastAsia="Times New Roman" w:hAnsi="Times New Roman" w:cs="Times New Roman"/>
          <w:sz w:val="24"/>
          <w:szCs w:val="24"/>
          <w:lang w:eastAsia="en-GB"/>
        </w:rPr>
        <w:t>. These findings suggest that the effect of ESG reporting on Tobin’s Q may depend on the institutional environment, regulatory requirements, industry characteristics, and the quality and credibility of sustainability disclosures.</w:t>
      </w:r>
    </w:p>
    <w:p w14:paraId="5A268CF5" w14:textId="77777777" w:rsidR="00A80BBF" w:rsidRDefault="00A80BBF" w:rsidP="00A80BBF">
      <w:pPr>
        <w:spacing w:after="0" w:line="240" w:lineRule="auto"/>
        <w:jc w:val="both"/>
        <w:rPr>
          <w:rFonts w:ascii="Times New Roman" w:eastAsia="Times New Roman" w:hAnsi="Times New Roman" w:cs="Times New Roman"/>
          <w:sz w:val="24"/>
          <w:szCs w:val="24"/>
          <w:lang w:eastAsia="en-GB"/>
        </w:rPr>
      </w:pPr>
    </w:p>
    <w:p w14:paraId="13FA777C" w14:textId="77777777" w:rsidR="00C13690" w:rsidRDefault="00A80BBF" w:rsidP="00C13690">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central problem addressed in this study is therefore not simply whether ESG reporting matters, but whether its individual dimensions matter differently when firm value is viewed from market perspectives. Many earlier studies</w:t>
      </w:r>
      <w:r>
        <w:rPr>
          <w:rFonts w:ascii="Times New Roman" w:eastAsia="Times New Roman" w:hAnsi="Times New Roman" w:cs="Times New Roman"/>
          <w:sz w:val="24"/>
          <w:szCs w:val="24"/>
          <w:lang w:eastAsia="en-GB"/>
        </w:rPr>
        <w:t xml:space="preserve"> such as </w:t>
      </w:r>
      <w:r w:rsidRPr="00A80BBF">
        <w:rPr>
          <w:rStyle w:val="Strong"/>
          <w:rFonts w:ascii="Times New Roman" w:hAnsi="Times New Roman" w:cs="Times New Roman"/>
          <w:b w:val="0"/>
          <w:sz w:val="24"/>
          <w:szCs w:val="24"/>
        </w:rPr>
        <w:t>Desai (2024)</w:t>
      </w:r>
      <w:r>
        <w:t xml:space="preserve"> </w:t>
      </w:r>
      <w:r>
        <w:rPr>
          <w:rFonts w:ascii="Times New Roman" w:eastAsia="Times New Roman" w:hAnsi="Times New Roman" w:cs="Times New Roman"/>
          <w:sz w:val="24"/>
          <w:szCs w:val="24"/>
          <w:lang w:eastAsia="en-GB"/>
        </w:rPr>
        <w:t xml:space="preserve">and </w:t>
      </w:r>
      <w:proofErr w:type="spellStart"/>
      <w:r w:rsidRPr="00A80BBF">
        <w:rPr>
          <w:rFonts w:ascii="Times New Roman" w:eastAsia="Times New Roman" w:hAnsi="Times New Roman" w:cs="Times New Roman"/>
          <w:sz w:val="24"/>
          <w:szCs w:val="24"/>
          <w:lang w:eastAsia="en-GB"/>
        </w:rPr>
        <w:t>Mutiah</w:t>
      </w:r>
      <w:proofErr w:type="spellEnd"/>
      <w:r w:rsidRPr="00A80BBF">
        <w:rPr>
          <w:rFonts w:ascii="Times New Roman" w:eastAsia="Times New Roman" w:hAnsi="Times New Roman" w:cs="Times New Roman"/>
          <w:sz w:val="24"/>
          <w:szCs w:val="24"/>
          <w:lang w:eastAsia="en-GB"/>
        </w:rPr>
        <w:t xml:space="preserve"> and </w:t>
      </w:r>
      <w:proofErr w:type="spellStart"/>
      <w:r w:rsidRPr="00A80BBF">
        <w:rPr>
          <w:rFonts w:ascii="Times New Roman" w:eastAsia="Times New Roman" w:hAnsi="Times New Roman" w:cs="Times New Roman"/>
          <w:sz w:val="24"/>
          <w:szCs w:val="24"/>
          <w:lang w:eastAsia="en-GB"/>
        </w:rPr>
        <w:t>Rusmanto</w:t>
      </w:r>
      <w:proofErr w:type="spellEnd"/>
      <w:r w:rsidRPr="00A80BBF">
        <w:rPr>
          <w:rFonts w:ascii="Times New Roman" w:eastAsia="Times New Roman" w:hAnsi="Times New Roman" w:cs="Times New Roman"/>
          <w:sz w:val="24"/>
          <w:szCs w:val="24"/>
          <w:lang w:eastAsia="en-GB"/>
        </w:rPr>
        <w:t xml:space="preserve"> (2024)</w:t>
      </w:r>
      <w:r>
        <w:rPr>
          <w:rFonts w:ascii="Times New Roman" w:eastAsia="Times New Roman" w:hAnsi="Times New Roman" w:cs="Times New Roman"/>
          <w:sz w:val="24"/>
          <w:szCs w:val="24"/>
          <w:lang w:eastAsia="en-GB"/>
        </w:rPr>
        <w:t xml:space="preserve"> </w:t>
      </w:r>
      <w:r w:rsidRPr="00F4693E">
        <w:rPr>
          <w:rFonts w:ascii="Times New Roman" w:eastAsia="Times New Roman" w:hAnsi="Times New Roman" w:cs="Times New Roman"/>
          <w:sz w:val="24"/>
          <w:szCs w:val="24"/>
          <w:lang w:eastAsia="en-GB"/>
        </w:rPr>
        <w:t>use</w:t>
      </w:r>
      <w:r>
        <w:rPr>
          <w:rFonts w:ascii="Times New Roman" w:eastAsia="Times New Roman" w:hAnsi="Times New Roman" w:cs="Times New Roman"/>
          <w:sz w:val="24"/>
          <w:szCs w:val="24"/>
          <w:lang w:eastAsia="en-GB"/>
        </w:rPr>
        <w:t>d</w:t>
      </w:r>
      <w:r w:rsidRPr="00F4693E">
        <w:rPr>
          <w:rFonts w:ascii="Times New Roman" w:eastAsia="Times New Roman" w:hAnsi="Times New Roman" w:cs="Times New Roman"/>
          <w:sz w:val="24"/>
          <w:szCs w:val="24"/>
          <w:lang w:eastAsia="en-GB"/>
        </w:rPr>
        <w:t xml:space="preserve"> an aggregate ESG score, which may </w:t>
      </w:r>
      <w:r w:rsidR="00C13690" w:rsidRPr="00F4693E">
        <w:rPr>
          <w:rFonts w:ascii="Times New Roman" w:eastAsia="Times New Roman" w:hAnsi="Times New Roman" w:cs="Times New Roman"/>
          <w:sz w:val="24"/>
          <w:szCs w:val="24"/>
          <w:lang w:eastAsia="en-GB"/>
        </w:rPr>
        <w:t>hide</w:t>
      </w:r>
      <w:r w:rsidRPr="00F4693E">
        <w:rPr>
          <w:rFonts w:ascii="Times New Roman" w:eastAsia="Times New Roman" w:hAnsi="Times New Roman" w:cs="Times New Roman"/>
          <w:sz w:val="24"/>
          <w:szCs w:val="24"/>
          <w:lang w:eastAsia="en-GB"/>
        </w:rPr>
        <w:t xml:space="preserve"> the distinct economic consequences of environmental, social and governance information</w:t>
      </w:r>
      <w:r w:rsidR="00C13690">
        <w:rPr>
          <w:rFonts w:ascii="Times New Roman" w:eastAsia="Times New Roman" w:hAnsi="Times New Roman" w:cs="Times New Roman"/>
          <w:sz w:val="24"/>
          <w:szCs w:val="24"/>
          <w:lang w:eastAsia="en-GB"/>
        </w:rPr>
        <w:t xml:space="preserve"> on firm value. A company</w:t>
      </w:r>
      <w:r w:rsidRPr="00F4693E">
        <w:rPr>
          <w:rFonts w:ascii="Times New Roman" w:eastAsia="Times New Roman" w:hAnsi="Times New Roman" w:cs="Times New Roman"/>
          <w:sz w:val="24"/>
          <w:szCs w:val="24"/>
          <w:lang w:eastAsia="en-GB"/>
        </w:rPr>
        <w:t xml:space="preserve"> may disclose extensively about governance while reporting relatively little about environmental issues, and an aggregate score would treat these differences as a single construct. By separating ESG reporting into environmental reporting (ER), social reporting (SR) and governance reporting (GR), this study provides more precise evidence about which reporting dimension is associated with </w:t>
      </w:r>
      <w:r w:rsidR="00C13690">
        <w:rPr>
          <w:rFonts w:ascii="Times New Roman" w:eastAsia="Times New Roman" w:hAnsi="Times New Roman" w:cs="Times New Roman"/>
          <w:sz w:val="24"/>
          <w:szCs w:val="24"/>
          <w:lang w:eastAsia="en-GB"/>
        </w:rPr>
        <w:t xml:space="preserve">firm value. </w:t>
      </w:r>
      <w:r w:rsidR="00C13690" w:rsidRPr="00F4693E">
        <w:rPr>
          <w:rFonts w:ascii="Times New Roman" w:eastAsia="Times New Roman" w:hAnsi="Times New Roman" w:cs="Times New Roman"/>
          <w:sz w:val="24"/>
          <w:szCs w:val="24"/>
          <w:lang w:eastAsia="en-GB"/>
        </w:rPr>
        <w:t>Accordingly, the objective of this study is to examine the effects of environmental, social and governance reporting on the firm value of listed non-financial companies in Nigeria using Tobin’s Q</w:t>
      </w:r>
      <w:r w:rsidR="00C13690">
        <w:rPr>
          <w:rFonts w:ascii="Times New Roman" w:eastAsia="Times New Roman" w:hAnsi="Times New Roman" w:cs="Times New Roman"/>
          <w:sz w:val="24"/>
          <w:szCs w:val="24"/>
          <w:lang w:eastAsia="en-GB"/>
        </w:rPr>
        <w:t xml:space="preserve"> to measure firm value</w:t>
      </w:r>
      <w:r w:rsidR="00C13690" w:rsidRPr="00F4693E">
        <w:rPr>
          <w:rFonts w:ascii="Times New Roman" w:eastAsia="Times New Roman" w:hAnsi="Times New Roman" w:cs="Times New Roman"/>
          <w:sz w:val="24"/>
          <w:szCs w:val="24"/>
          <w:lang w:eastAsia="en-GB"/>
        </w:rPr>
        <w:t>. The study contr</w:t>
      </w:r>
      <w:r w:rsidR="00C13690">
        <w:rPr>
          <w:rFonts w:ascii="Times New Roman" w:eastAsia="Times New Roman" w:hAnsi="Times New Roman" w:cs="Times New Roman"/>
          <w:sz w:val="24"/>
          <w:szCs w:val="24"/>
          <w:lang w:eastAsia="en-GB"/>
        </w:rPr>
        <w:t>ibutes to the literature in three</w:t>
      </w:r>
      <w:r w:rsidR="00C13690" w:rsidRPr="00F4693E">
        <w:rPr>
          <w:rFonts w:ascii="Times New Roman" w:eastAsia="Times New Roman" w:hAnsi="Times New Roman" w:cs="Times New Roman"/>
          <w:sz w:val="24"/>
          <w:szCs w:val="24"/>
          <w:lang w:eastAsia="en-GB"/>
        </w:rPr>
        <w:t xml:space="preserve"> ways. First, it disaggregates ESG reporting into three reporting dimensions rather than relying solely on an aggregate score. Second, it covers a broad group of listed non-financial companies over a ten-</w:t>
      </w:r>
      <w:r w:rsidR="00C13690">
        <w:rPr>
          <w:rFonts w:ascii="Times New Roman" w:eastAsia="Times New Roman" w:hAnsi="Times New Roman" w:cs="Times New Roman"/>
          <w:sz w:val="24"/>
          <w:szCs w:val="24"/>
          <w:lang w:eastAsia="en-GB"/>
        </w:rPr>
        <w:t>year period. Third</w:t>
      </w:r>
      <w:r w:rsidR="00C13690" w:rsidRPr="00F4693E">
        <w:rPr>
          <w:rFonts w:ascii="Times New Roman" w:eastAsia="Times New Roman" w:hAnsi="Times New Roman" w:cs="Times New Roman"/>
          <w:sz w:val="24"/>
          <w:szCs w:val="24"/>
          <w:lang w:eastAsia="en-GB"/>
        </w:rPr>
        <w:t>, it provides evidence relevant to Nigeria's transition toward more structured sustainability reporting and the implementation of ISSB-based requirements.</w:t>
      </w:r>
    </w:p>
    <w:p w14:paraId="0AC699C8" w14:textId="77777777" w:rsidR="00033846" w:rsidRPr="00F4693E" w:rsidRDefault="00033846" w:rsidP="00C13690">
      <w:pPr>
        <w:spacing w:after="0" w:line="240" w:lineRule="auto"/>
        <w:jc w:val="both"/>
        <w:rPr>
          <w:rFonts w:ascii="Times New Roman" w:eastAsia="Times New Roman" w:hAnsi="Times New Roman" w:cs="Times New Roman"/>
          <w:sz w:val="24"/>
          <w:szCs w:val="24"/>
          <w:lang w:eastAsia="en-GB"/>
        </w:rPr>
      </w:pPr>
    </w:p>
    <w:p w14:paraId="000636F2" w14:textId="77777777" w:rsidR="00A80BBF" w:rsidRDefault="00A80BBF" w:rsidP="00F4693E">
      <w:pPr>
        <w:spacing w:after="0" w:line="240" w:lineRule="auto"/>
        <w:jc w:val="both"/>
        <w:rPr>
          <w:rFonts w:ascii="Times New Roman" w:eastAsia="Times New Roman" w:hAnsi="Times New Roman" w:cs="Times New Roman"/>
          <w:sz w:val="24"/>
          <w:szCs w:val="24"/>
          <w:lang w:eastAsia="en-GB"/>
        </w:rPr>
      </w:pPr>
    </w:p>
    <w:p w14:paraId="0976989E" w14:textId="77777777" w:rsidR="00F4693E" w:rsidRPr="00C13690" w:rsidRDefault="00F4693E" w:rsidP="00F4693E">
      <w:pPr>
        <w:spacing w:after="0" w:line="240" w:lineRule="auto"/>
        <w:jc w:val="both"/>
        <w:rPr>
          <w:rFonts w:ascii="Times New Roman" w:eastAsia="Times New Roman" w:hAnsi="Times New Roman" w:cs="Times New Roman"/>
          <w:sz w:val="24"/>
          <w:szCs w:val="24"/>
          <w:lang w:eastAsia="en-GB"/>
        </w:rPr>
      </w:pPr>
      <w:r w:rsidRPr="00C13690">
        <w:rPr>
          <w:rFonts w:ascii="Times New Roman" w:eastAsia="Times New Roman" w:hAnsi="Times New Roman" w:cs="Times New Roman"/>
          <w:b/>
          <w:bCs/>
          <w:sz w:val="24"/>
          <w:szCs w:val="24"/>
          <w:lang w:eastAsia="en-GB"/>
        </w:rPr>
        <w:t>Research Hypotheses</w:t>
      </w:r>
    </w:p>
    <w:p w14:paraId="25C98971" w14:textId="77777777" w:rsidR="00F4693E" w:rsidRPr="00F4693E" w:rsidRDefault="00C13690" w:rsidP="00F4693E">
      <w:pPr>
        <w:spacing w:after="0" w:line="240" w:lineRule="auto"/>
        <w:jc w:val="both"/>
        <w:rPr>
          <w:rFonts w:ascii="Times New Roman" w:eastAsia="Times New Roman" w:hAnsi="Times New Roman" w:cs="Times New Roman"/>
          <w:sz w:val="24"/>
          <w:szCs w:val="24"/>
          <w:lang w:eastAsia="en-GB"/>
        </w:rPr>
      </w:pPr>
      <w:r w:rsidRPr="00033846">
        <w:rPr>
          <w:rFonts w:ascii="Times New Roman" w:eastAsia="Times New Roman" w:hAnsi="Times New Roman" w:cs="Times New Roman"/>
          <w:b/>
          <w:i/>
          <w:szCs w:val="24"/>
          <w:lang w:eastAsia="en-GB"/>
        </w:rPr>
        <w:t>H01</w:t>
      </w:r>
      <w:r w:rsidR="00F4693E" w:rsidRPr="00F4693E">
        <w:rPr>
          <w:rFonts w:ascii="Times New Roman" w:eastAsia="Times New Roman" w:hAnsi="Times New Roman" w:cs="Times New Roman"/>
          <w:sz w:val="24"/>
          <w:szCs w:val="24"/>
          <w:lang w:eastAsia="en-GB"/>
        </w:rPr>
        <w:t>: Environmental reporting has no significant effect on the firm value (Tobin’s Q) of listed non-financial companies in Nigeria.</w:t>
      </w:r>
    </w:p>
    <w:p w14:paraId="3FAA8358" w14:textId="77777777" w:rsidR="00F4693E" w:rsidRPr="00F4693E" w:rsidRDefault="00C13690" w:rsidP="00F4693E">
      <w:pPr>
        <w:spacing w:after="0" w:line="240" w:lineRule="auto"/>
        <w:jc w:val="both"/>
        <w:rPr>
          <w:rFonts w:ascii="Times New Roman" w:eastAsia="Times New Roman" w:hAnsi="Times New Roman" w:cs="Times New Roman"/>
          <w:sz w:val="24"/>
          <w:szCs w:val="24"/>
          <w:lang w:eastAsia="en-GB"/>
        </w:rPr>
      </w:pPr>
      <w:r w:rsidRPr="00033846">
        <w:rPr>
          <w:rFonts w:ascii="Times New Roman" w:eastAsia="Times New Roman" w:hAnsi="Times New Roman" w:cs="Times New Roman"/>
          <w:b/>
          <w:i/>
          <w:szCs w:val="24"/>
          <w:lang w:eastAsia="en-GB"/>
        </w:rPr>
        <w:t>H02</w:t>
      </w:r>
      <w:r w:rsidR="00F4693E" w:rsidRPr="00C13690">
        <w:rPr>
          <w:rFonts w:ascii="Times New Roman" w:eastAsia="Times New Roman" w:hAnsi="Times New Roman" w:cs="Times New Roman"/>
          <w:b/>
          <w:i/>
          <w:sz w:val="24"/>
          <w:szCs w:val="24"/>
          <w:lang w:eastAsia="en-GB"/>
        </w:rPr>
        <w:t>:</w:t>
      </w:r>
      <w:r w:rsidR="00F4693E" w:rsidRPr="00F4693E">
        <w:rPr>
          <w:rFonts w:ascii="Times New Roman" w:eastAsia="Times New Roman" w:hAnsi="Times New Roman" w:cs="Times New Roman"/>
          <w:sz w:val="24"/>
          <w:szCs w:val="24"/>
          <w:lang w:eastAsia="en-GB"/>
        </w:rPr>
        <w:t xml:space="preserve"> Social reporting has no significant effect on the firm value (Tobin’s Q) of listed non-financial companies in Nigeria.</w:t>
      </w:r>
    </w:p>
    <w:p w14:paraId="0B7D9FB0" w14:textId="77777777" w:rsidR="00F4693E" w:rsidRDefault="00C13690" w:rsidP="00F4693E">
      <w:pPr>
        <w:spacing w:after="0" w:line="240" w:lineRule="auto"/>
        <w:jc w:val="both"/>
        <w:rPr>
          <w:rFonts w:ascii="Times New Roman" w:eastAsia="Times New Roman" w:hAnsi="Times New Roman" w:cs="Times New Roman"/>
          <w:sz w:val="24"/>
          <w:szCs w:val="24"/>
          <w:lang w:eastAsia="en-GB"/>
        </w:rPr>
      </w:pPr>
      <w:r w:rsidRPr="00033846">
        <w:rPr>
          <w:rFonts w:ascii="Times New Roman" w:eastAsia="Times New Roman" w:hAnsi="Times New Roman" w:cs="Times New Roman"/>
          <w:b/>
          <w:i/>
          <w:szCs w:val="24"/>
          <w:lang w:eastAsia="en-GB"/>
        </w:rPr>
        <w:lastRenderedPageBreak/>
        <w:t>H03</w:t>
      </w:r>
      <w:r w:rsidR="00F4693E" w:rsidRPr="00033846">
        <w:rPr>
          <w:rFonts w:ascii="Times New Roman" w:eastAsia="Times New Roman" w:hAnsi="Times New Roman" w:cs="Times New Roman"/>
          <w:b/>
          <w:i/>
          <w:szCs w:val="24"/>
          <w:lang w:eastAsia="en-GB"/>
        </w:rPr>
        <w:t>:</w:t>
      </w:r>
      <w:r w:rsidR="00F4693E" w:rsidRPr="00F4693E">
        <w:rPr>
          <w:rFonts w:ascii="Times New Roman" w:eastAsia="Times New Roman" w:hAnsi="Times New Roman" w:cs="Times New Roman"/>
          <w:sz w:val="24"/>
          <w:szCs w:val="24"/>
          <w:lang w:eastAsia="en-GB"/>
        </w:rPr>
        <w:t xml:space="preserve"> Governance reporting has no significant effect on the firm value (Tobin’s Q) of listed non-financial companies in Nigeria.</w:t>
      </w:r>
    </w:p>
    <w:p w14:paraId="6D63D8CF" w14:textId="77777777" w:rsidR="00C13690" w:rsidRPr="00F4693E" w:rsidRDefault="00C13690" w:rsidP="00F4693E">
      <w:pPr>
        <w:spacing w:after="0" w:line="240" w:lineRule="auto"/>
        <w:jc w:val="both"/>
        <w:rPr>
          <w:rFonts w:ascii="Times New Roman" w:eastAsia="Times New Roman" w:hAnsi="Times New Roman" w:cs="Times New Roman"/>
          <w:sz w:val="24"/>
          <w:szCs w:val="24"/>
          <w:lang w:eastAsia="en-GB"/>
        </w:rPr>
      </w:pPr>
    </w:p>
    <w:p w14:paraId="2A816E0B" w14:textId="77777777" w:rsidR="00C13690" w:rsidRPr="00033846" w:rsidRDefault="00F4693E" w:rsidP="00F4693E">
      <w:pPr>
        <w:spacing w:after="0" w:line="240" w:lineRule="auto"/>
        <w:jc w:val="both"/>
        <w:rPr>
          <w:rFonts w:ascii="Times New Roman" w:eastAsia="Times New Roman" w:hAnsi="Times New Roman" w:cs="Times New Roman"/>
          <w:sz w:val="24"/>
          <w:szCs w:val="24"/>
          <w:lang w:eastAsia="en-GB"/>
        </w:rPr>
      </w:pPr>
      <w:r w:rsidRPr="00C13690">
        <w:rPr>
          <w:rFonts w:ascii="Times New Roman" w:eastAsia="Times New Roman" w:hAnsi="Times New Roman" w:cs="Times New Roman"/>
          <w:b/>
          <w:bCs/>
          <w:sz w:val="24"/>
          <w:szCs w:val="24"/>
          <w:lang w:eastAsia="en-GB"/>
        </w:rPr>
        <w:t>2. Review of Related Literature and Theoretical Background</w:t>
      </w:r>
    </w:p>
    <w:p w14:paraId="426764C0" w14:textId="77777777" w:rsidR="00C13690" w:rsidRDefault="00C13690" w:rsidP="00F4693E">
      <w:pPr>
        <w:spacing w:after="0" w:line="24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2.1 Firm Value</w:t>
      </w:r>
    </w:p>
    <w:p w14:paraId="139101E7" w14:textId="77777777" w:rsidR="00C13690" w:rsidRPr="004E09BB" w:rsidRDefault="00C13690" w:rsidP="00F4693E">
      <w:pPr>
        <w:spacing w:after="0" w:line="240" w:lineRule="auto"/>
        <w:jc w:val="both"/>
        <w:rPr>
          <w:rFonts w:ascii="Times New Roman" w:eastAsia="Times New Roman" w:hAnsi="Times New Roman" w:cs="Times New Roman"/>
          <w:bCs/>
          <w:sz w:val="24"/>
          <w:szCs w:val="24"/>
          <w:lang w:eastAsia="en-GB"/>
        </w:rPr>
      </w:pPr>
      <w:r w:rsidRPr="00C13690">
        <w:rPr>
          <w:rFonts w:ascii="Times New Roman" w:eastAsia="Times New Roman" w:hAnsi="Times New Roman" w:cs="Times New Roman"/>
          <w:bCs/>
          <w:sz w:val="24"/>
          <w:szCs w:val="24"/>
          <w:lang w:eastAsia="en-GB"/>
        </w:rPr>
        <w:t>Firm value refers to the market’s assessment of a company’s overall worth and its capacity to create wealth for shareholders, incorporating investors’ expectations about future growth and profitability. Tobin’s Q is a market-based measure of firm value that com</w:t>
      </w:r>
      <w:r w:rsidR="004E09BB">
        <w:rPr>
          <w:rFonts w:ascii="Times New Roman" w:eastAsia="Times New Roman" w:hAnsi="Times New Roman" w:cs="Times New Roman"/>
          <w:bCs/>
          <w:sz w:val="24"/>
          <w:szCs w:val="24"/>
          <w:lang w:eastAsia="en-GB"/>
        </w:rPr>
        <w:t>pares the market value of a company</w:t>
      </w:r>
      <w:r w:rsidRPr="00C13690">
        <w:rPr>
          <w:rFonts w:ascii="Times New Roman" w:eastAsia="Times New Roman" w:hAnsi="Times New Roman" w:cs="Times New Roman"/>
          <w:bCs/>
          <w:sz w:val="24"/>
          <w:szCs w:val="24"/>
          <w:lang w:eastAsia="en-GB"/>
        </w:rPr>
        <w:t xml:space="preserve"> with the replacement cost of its assets, thereby capturing how financial markets va</w:t>
      </w:r>
      <w:r w:rsidR="004E09BB">
        <w:rPr>
          <w:rFonts w:ascii="Times New Roman" w:eastAsia="Times New Roman" w:hAnsi="Times New Roman" w:cs="Times New Roman"/>
          <w:bCs/>
          <w:sz w:val="24"/>
          <w:szCs w:val="24"/>
          <w:lang w:eastAsia="en-GB"/>
        </w:rPr>
        <w:t>lue the company</w:t>
      </w:r>
      <w:r w:rsidRPr="00C13690">
        <w:rPr>
          <w:rFonts w:ascii="Times New Roman" w:eastAsia="Times New Roman" w:hAnsi="Times New Roman" w:cs="Times New Roman"/>
          <w:bCs/>
          <w:sz w:val="24"/>
          <w:szCs w:val="24"/>
          <w:lang w:eastAsia="en-GB"/>
        </w:rPr>
        <w:t xml:space="preserve"> relative to the resources employed in generating future returns. It is particularly appropriate for ESG research because, u</w:t>
      </w:r>
      <w:r w:rsidR="004E09BB">
        <w:rPr>
          <w:rFonts w:ascii="Times New Roman" w:eastAsia="Times New Roman" w:hAnsi="Times New Roman" w:cs="Times New Roman"/>
          <w:bCs/>
          <w:sz w:val="24"/>
          <w:szCs w:val="24"/>
          <w:lang w:eastAsia="en-GB"/>
        </w:rPr>
        <w:t>nlike accounting-based measures</w:t>
      </w:r>
      <w:r w:rsidRPr="00C13690">
        <w:rPr>
          <w:rFonts w:ascii="Times New Roman" w:eastAsia="Times New Roman" w:hAnsi="Times New Roman" w:cs="Times New Roman"/>
          <w:bCs/>
          <w:sz w:val="24"/>
          <w:szCs w:val="24"/>
          <w:lang w:eastAsia="en-GB"/>
        </w:rPr>
        <w:t>, Tobin’s Q reflects investors’ expectations and incorporates intangible benefits associated with reputation, sustainability, risk management,</w:t>
      </w:r>
      <w:r w:rsidR="004E09BB">
        <w:rPr>
          <w:rFonts w:ascii="Times New Roman" w:eastAsia="Times New Roman" w:hAnsi="Times New Roman" w:cs="Times New Roman"/>
          <w:bCs/>
          <w:sz w:val="24"/>
          <w:szCs w:val="24"/>
          <w:lang w:eastAsia="en-GB"/>
        </w:rPr>
        <w:t xml:space="preserve"> and stakeholder relationships (Rahat &amp; Nguyen, </w:t>
      </w:r>
      <w:r w:rsidR="004E09BB" w:rsidRPr="00C13690">
        <w:rPr>
          <w:rFonts w:ascii="Times New Roman" w:eastAsia="Times New Roman" w:hAnsi="Times New Roman" w:cs="Times New Roman"/>
          <w:bCs/>
          <w:sz w:val="24"/>
          <w:szCs w:val="24"/>
          <w:lang w:eastAsia="en-GB"/>
        </w:rPr>
        <w:t>2024)</w:t>
      </w:r>
      <w:r w:rsidR="004E09BB">
        <w:rPr>
          <w:rFonts w:ascii="Times New Roman" w:eastAsia="Times New Roman" w:hAnsi="Times New Roman" w:cs="Times New Roman"/>
          <w:bCs/>
          <w:sz w:val="24"/>
          <w:szCs w:val="24"/>
          <w:lang w:eastAsia="en-GB"/>
        </w:rPr>
        <w:t>.</w:t>
      </w:r>
      <w:r w:rsidR="004E09BB" w:rsidRPr="00C13690">
        <w:rPr>
          <w:rFonts w:ascii="Times New Roman" w:eastAsia="Times New Roman" w:hAnsi="Times New Roman" w:cs="Times New Roman"/>
          <w:bCs/>
          <w:sz w:val="24"/>
          <w:szCs w:val="24"/>
          <w:lang w:eastAsia="en-GB"/>
        </w:rPr>
        <w:t xml:space="preserve"> </w:t>
      </w:r>
      <w:r w:rsidR="004E09BB" w:rsidRPr="004E09BB">
        <w:rPr>
          <w:rFonts w:ascii="Times New Roman" w:eastAsia="Times New Roman" w:hAnsi="Times New Roman" w:cs="Times New Roman"/>
          <w:bCs/>
          <w:sz w:val="24"/>
          <w:szCs w:val="24"/>
          <w:lang w:eastAsia="en-GB"/>
        </w:rPr>
        <w:t>Accordingly, this study measures firm value using Tobin’s Q, calculated as (Market value of equity + Total liabilities) / Total assets, because it provides a forward-looking market-based assessment of how investors perceive the value-creating implications of ESG reporting.</w:t>
      </w:r>
      <w:r w:rsidR="004E09BB">
        <w:rPr>
          <w:rFonts w:ascii="Times New Roman" w:eastAsia="Times New Roman" w:hAnsi="Times New Roman" w:cs="Times New Roman"/>
          <w:bCs/>
          <w:sz w:val="24"/>
          <w:szCs w:val="24"/>
          <w:lang w:eastAsia="en-GB"/>
        </w:rPr>
        <w:t xml:space="preserve"> </w:t>
      </w:r>
      <w:r w:rsidR="004E09BB" w:rsidRPr="004E09BB">
        <w:rPr>
          <w:rFonts w:ascii="Times New Roman" w:eastAsia="Times New Roman" w:hAnsi="Times New Roman" w:cs="Times New Roman"/>
          <w:bCs/>
          <w:sz w:val="24"/>
          <w:szCs w:val="24"/>
          <w:lang w:eastAsia="en-GB"/>
        </w:rPr>
        <w:t>This measure is consistent with the approach adopted by Nishitani et al. (2026) and Rahat and Nguyen (2024).</w:t>
      </w:r>
    </w:p>
    <w:p w14:paraId="3D02C0D4" w14:textId="77777777" w:rsidR="004E09BB" w:rsidRDefault="004E09BB" w:rsidP="00F4693E">
      <w:pPr>
        <w:spacing w:after="0" w:line="240" w:lineRule="auto"/>
        <w:jc w:val="both"/>
        <w:rPr>
          <w:rFonts w:ascii="Times New Roman" w:eastAsia="Times New Roman" w:hAnsi="Times New Roman" w:cs="Times New Roman"/>
          <w:b/>
          <w:bCs/>
          <w:sz w:val="24"/>
          <w:szCs w:val="24"/>
          <w:lang w:eastAsia="en-GB"/>
        </w:rPr>
      </w:pPr>
    </w:p>
    <w:p w14:paraId="2DAC4A8D" w14:textId="77777777" w:rsidR="00F4693E" w:rsidRPr="00C13690" w:rsidRDefault="004E09BB"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2.2 </w:t>
      </w:r>
      <w:r w:rsidR="00F4693E" w:rsidRPr="00C13690">
        <w:rPr>
          <w:rFonts w:ascii="Times New Roman" w:eastAsia="Times New Roman" w:hAnsi="Times New Roman" w:cs="Times New Roman"/>
          <w:b/>
          <w:bCs/>
          <w:sz w:val="24"/>
          <w:szCs w:val="24"/>
          <w:lang w:eastAsia="en-GB"/>
        </w:rPr>
        <w:t>ESG Reporting</w:t>
      </w:r>
    </w:p>
    <w:p w14:paraId="45B4CC47" w14:textId="77777777" w:rsidR="00F4693E" w:rsidRPr="00F4693E" w:rsidRDefault="00F4693E" w:rsidP="00033846">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ESG reporting refers to the disclosure of information concerning an organisation’s environmental impacts, social responsibilities and governance structures and practices. Environmental reporting communicates information about matters such as climate risk, greenhouse-gas emissions, energy and water use, waste, pollution, biodiversity and environmental expenditure. Social reporting addresses employees, health and safety, diversity, human rights, communities, customers and supply-chain responsibilities. Governance reporting concerns board structure, independence and diversity, risk management, internal control, ethics, regulatory compliance, shareholder rights and executive remuneration. The three dimensions collectively provide stakeholders with information that complements co</w:t>
      </w:r>
      <w:r w:rsidR="004E09BB">
        <w:rPr>
          <w:rFonts w:ascii="Times New Roman" w:eastAsia="Times New Roman" w:hAnsi="Times New Roman" w:cs="Times New Roman"/>
          <w:sz w:val="24"/>
          <w:szCs w:val="24"/>
          <w:lang w:eastAsia="en-GB"/>
        </w:rPr>
        <w:t>nventional financial statements (</w:t>
      </w:r>
      <w:proofErr w:type="spellStart"/>
      <w:r w:rsidR="004E09BB">
        <w:rPr>
          <w:rFonts w:ascii="Times New Roman" w:eastAsia="Times New Roman" w:hAnsi="Times New Roman" w:cs="Times New Roman"/>
          <w:sz w:val="24"/>
          <w:szCs w:val="24"/>
          <w:lang w:eastAsia="en-GB"/>
        </w:rPr>
        <w:t>Mutiah</w:t>
      </w:r>
      <w:proofErr w:type="spellEnd"/>
      <w:r w:rsidR="004E09BB">
        <w:rPr>
          <w:rFonts w:ascii="Times New Roman" w:eastAsia="Times New Roman" w:hAnsi="Times New Roman" w:cs="Times New Roman"/>
          <w:sz w:val="24"/>
          <w:szCs w:val="24"/>
          <w:lang w:eastAsia="en-GB"/>
        </w:rPr>
        <w:t xml:space="preserve"> &amp; </w:t>
      </w:r>
      <w:proofErr w:type="spellStart"/>
      <w:r w:rsidR="004E09BB">
        <w:rPr>
          <w:rFonts w:ascii="Times New Roman" w:eastAsia="Times New Roman" w:hAnsi="Times New Roman" w:cs="Times New Roman"/>
          <w:sz w:val="24"/>
          <w:szCs w:val="24"/>
          <w:lang w:eastAsia="en-GB"/>
        </w:rPr>
        <w:t>Rusmanto</w:t>
      </w:r>
      <w:proofErr w:type="spellEnd"/>
      <w:r w:rsidR="004E09BB">
        <w:rPr>
          <w:rFonts w:ascii="Times New Roman" w:eastAsia="Times New Roman" w:hAnsi="Times New Roman" w:cs="Times New Roman"/>
          <w:sz w:val="24"/>
          <w:szCs w:val="24"/>
          <w:lang w:eastAsia="en-GB"/>
        </w:rPr>
        <w:t xml:space="preserve">, </w:t>
      </w:r>
      <w:r w:rsidR="004E09BB" w:rsidRPr="004E09BB">
        <w:rPr>
          <w:rFonts w:ascii="Times New Roman" w:eastAsia="Times New Roman" w:hAnsi="Times New Roman" w:cs="Times New Roman"/>
          <w:sz w:val="24"/>
          <w:szCs w:val="24"/>
          <w:lang w:eastAsia="en-GB"/>
        </w:rPr>
        <w:t>2024</w:t>
      </w:r>
      <w:r w:rsidR="004B3B5A">
        <w:rPr>
          <w:rFonts w:ascii="Times New Roman" w:eastAsia="Times New Roman" w:hAnsi="Times New Roman" w:cs="Times New Roman"/>
          <w:sz w:val="24"/>
          <w:szCs w:val="24"/>
          <w:lang w:eastAsia="en-GB"/>
        </w:rPr>
        <w:t>;</w:t>
      </w:r>
      <w:r w:rsidR="004E09BB">
        <w:rPr>
          <w:rFonts w:ascii="Times New Roman" w:eastAsia="Times New Roman" w:hAnsi="Times New Roman" w:cs="Times New Roman"/>
          <w:sz w:val="24"/>
          <w:szCs w:val="24"/>
          <w:lang w:eastAsia="en-GB"/>
        </w:rPr>
        <w:t xml:space="preserve"> Gonc</w:t>
      </w:r>
      <w:r w:rsidR="004E09BB" w:rsidRPr="004E09BB">
        <w:rPr>
          <w:rFonts w:ascii="Times New Roman" w:eastAsia="Times New Roman" w:hAnsi="Times New Roman" w:cs="Times New Roman"/>
          <w:sz w:val="24"/>
          <w:szCs w:val="24"/>
          <w:lang w:eastAsia="en-GB"/>
        </w:rPr>
        <w:t>alves, 2023)</w:t>
      </w:r>
      <w:r w:rsidR="004B3B5A">
        <w:rPr>
          <w:rFonts w:ascii="Times New Roman" w:eastAsia="Times New Roman" w:hAnsi="Times New Roman" w:cs="Times New Roman"/>
          <w:sz w:val="24"/>
          <w:szCs w:val="24"/>
          <w:lang w:eastAsia="en-GB"/>
        </w:rPr>
        <w:t>.</w:t>
      </w:r>
    </w:p>
    <w:p w14:paraId="440D9D74" w14:textId="77777777" w:rsidR="00C13690" w:rsidRPr="00ED1668" w:rsidRDefault="00F4693E" w:rsidP="00ED1668">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GRI Standards provide a widely used framework for sustainability reporting and organize reporting through universal, sector and topic standards. The 2021 Universal Standards emphasize structured disclosure and the use of topic standards according to material topics identified by an organization. </w:t>
      </w:r>
      <w:r w:rsidR="004E09BB" w:rsidRPr="004E09BB">
        <w:rPr>
          <w:rFonts w:ascii="Times New Roman" w:eastAsia="Times New Roman" w:hAnsi="Times New Roman" w:cs="Times New Roman"/>
          <w:sz w:val="24"/>
          <w:szCs w:val="24"/>
          <w:lang w:eastAsia="en-GB"/>
        </w:rPr>
        <w:t>Glo</w:t>
      </w:r>
      <w:r w:rsidR="004E09BB">
        <w:rPr>
          <w:rFonts w:ascii="Times New Roman" w:eastAsia="Times New Roman" w:hAnsi="Times New Roman" w:cs="Times New Roman"/>
          <w:sz w:val="24"/>
          <w:szCs w:val="24"/>
          <w:lang w:eastAsia="en-GB"/>
        </w:rPr>
        <w:t xml:space="preserve">bal Reporting Initiative. (2024). </w:t>
      </w:r>
      <w:r w:rsidRPr="00F4693E">
        <w:rPr>
          <w:rFonts w:ascii="Times New Roman" w:eastAsia="Times New Roman" w:hAnsi="Times New Roman" w:cs="Times New Roman"/>
          <w:sz w:val="24"/>
          <w:szCs w:val="24"/>
          <w:lang w:eastAsia="en-GB"/>
        </w:rPr>
        <w:t>In Nigeria, the movement toward IFRS S1 and S2 adds a financial-materiality perspective by requiring sustainability-related information that is useful to providers of capital. The coexistence of impact-oriented and investor-oriented reporting perspectives makes the quality and content of ESG disclosure increasingly r</w:t>
      </w:r>
      <w:r w:rsidR="00ED1668">
        <w:rPr>
          <w:rFonts w:ascii="Times New Roman" w:eastAsia="Times New Roman" w:hAnsi="Times New Roman" w:cs="Times New Roman"/>
          <w:sz w:val="24"/>
          <w:szCs w:val="24"/>
          <w:lang w:eastAsia="en-GB"/>
        </w:rPr>
        <w:t>elevant to corporate valuation.</w:t>
      </w:r>
    </w:p>
    <w:p w14:paraId="595E46ED" w14:textId="77777777" w:rsidR="00F4693E" w:rsidRPr="004B3B5A" w:rsidRDefault="00F4693E" w:rsidP="00F4693E">
      <w:pPr>
        <w:spacing w:after="0" w:line="240" w:lineRule="auto"/>
        <w:jc w:val="both"/>
        <w:rPr>
          <w:rFonts w:ascii="Times New Roman" w:eastAsia="Times New Roman" w:hAnsi="Times New Roman" w:cs="Times New Roman"/>
          <w:b/>
          <w:sz w:val="24"/>
          <w:szCs w:val="24"/>
          <w:lang w:eastAsia="en-GB"/>
        </w:rPr>
      </w:pPr>
      <w:r w:rsidRPr="004B3B5A">
        <w:rPr>
          <w:rFonts w:ascii="Times New Roman" w:eastAsia="Times New Roman" w:hAnsi="Times New Roman" w:cs="Times New Roman"/>
          <w:b/>
          <w:bCs/>
          <w:sz w:val="24"/>
          <w:szCs w:val="24"/>
          <w:lang w:eastAsia="en-GB"/>
        </w:rPr>
        <w:t>Environmental Reporting and Firm Value</w:t>
      </w:r>
    </w:p>
    <w:p w14:paraId="10D3DF7F" w14:textId="77777777" w:rsidR="009C62E1" w:rsidRPr="00ED1668" w:rsidRDefault="004B3B5A" w:rsidP="00ED1668">
      <w:pPr>
        <w:spacing w:after="120" w:line="240" w:lineRule="auto"/>
        <w:jc w:val="both"/>
        <w:rPr>
          <w:rFonts w:ascii="Times New Roman" w:eastAsia="Times New Roman" w:hAnsi="Times New Roman" w:cs="Times New Roman"/>
          <w:sz w:val="24"/>
          <w:szCs w:val="24"/>
          <w:lang w:eastAsia="en-GB"/>
        </w:rPr>
      </w:pPr>
      <w:r w:rsidRPr="004B3B5A">
        <w:rPr>
          <w:rFonts w:ascii="Times New Roman" w:eastAsia="Times New Roman" w:hAnsi="Times New Roman" w:cs="Times New Roman"/>
          <w:sz w:val="24"/>
          <w:szCs w:val="24"/>
          <w:lang w:eastAsia="en-GB"/>
        </w:rPr>
        <w:t xml:space="preserve">Environmental </w:t>
      </w:r>
      <w:r w:rsidR="00D151BE">
        <w:rPr>
          <w:rFonts w:ascii="Times New Roman" w:eastAsia="Times New Roman" w:hAnsi="Times New Roman" w:cs="Times New Roman"/>
          <w:sz w:val="24"/>
          <w:szCs w:val="24"/>
          <w:lang w:eastAsia="en-GB"/>
        </w:rPr>
        <w:t>reporting communicates how companies</w:t>
      </w:r>
      <w:r w:rsidRPr="004B3B5A">
        <w:rPr>
          <w:rFonts w:ascii="Times New Roman" w:eastAsia="Times New Roman" w:hAnsi="Times New Roman" w:cs="Times New Roman"/>
          <w:sz w:val="24"/>
          <w:szCs w:val="24"/>
          <w:lang w:eastAsia="en-GB"/>
        </w:rPr>
        <w:t xml:space="preserve"> identify, manage, and respond to environmental risks and opportunities, thereby reducing uncertainty about regulatory, climate, and resource-related exposures. It can enhance firm value by strengthening corporate reputation and signalling effective management to investors. However, </w:t>
      </w:r>
      <w:r w:rsidR="00D151BE">
        <w:rPr>
          <w:rFonts w:ascii="Times New Roman" w:eastAsia="Times New Roman" w:hAnsi="Times New Roman" w:cs="Times New Roman"/>
          <w:sz w:val="24"/>
          <w:szCs w:val="24"/>
          <w:lang w:eastAsia="en-GB"/>
        </w:rPr>
        <w:t xml:space="preserve">it may decrease firm value because </w:t>
      </w:r>
      <w:r w:rsidRPr="004B3B5A">
        <w:rPr>
          <w:rFonts w:ascii="Times New Roman" w:eastAsia="Times New Roman" w:hAnsi="Times New Roman" w:cs="Times New Roman"/>
          <w:sz w:val="24"/>
          <w:szCs w:val="24"/>
          <w:lang w:eastAsia="en-GB"/>
        </w:rPr>
        <w:t>the substantial costs of environmental programmes may negatively affect investor perceptions when the associated expenditures are not perceived to generate clear financial returns.</w:t>
      </w:r>
      <w:r w:rsidR="009C62E1">
        <w:rPr>
          <w:rFonts w:ascii="Times New Roman" w:eastAsia="Times New Roman" w:hAnsi="Times New Roman" w:cs="Times New Roman"/>
          <w:sz w:val="24"/>
          <w:szCs w:val="24"/>
          <w:lang w:eastAsia="en-GB"/>
        </w:rPr>
        <w:t xml:space="preserve"> </w:t>
      </w:r>
      <w:r w:rsidR="00D151BE">
        <w:rPr>
          <w:rFonts w:ascii="Times New Roman" w:eastAsia="Times New Roman" w:hAnsi="Times New Roman" w:cs="Times New Roman"/>
          <w:sz w:val="24"/>
          <w:szCs w:val="24"/>
          <w:lang w:eastAsia="en-GB"/>
        </w:rPr>
        <w:t xml:space="preserve">These evidence are demonstrated by the studies such as </w:t>
      </w:r>
      <w:proofErr w:type="spellStart"/>
      <w:r w:rsidR="00D151BE" w:rsidRPr="00E03E19">
        <w:rPr>
          <w:rFonts w:ascii="Times New Roman" w:eastAsia="Times New Roman" w:hAnsi="Times New Roman" w:cs="Times New Roman"/>
          <w:sz w:val="24"/>
          <w:szCs w:val="24"/>
          <w:lang w:eastAsia="en-GB"/>
        </w:rPr>
        <w:t>Alareeni</w:t>
      </w:r>
      <w:proofErr w:type="spellEnd"/>
      <w:r w:rsidR="00D151BE" w:rsidRPr="00E03E19">
        <w:rPr>
          <w:rFonts w:ascii="Times New Roman" w:eastAsia="Times New Roman" w:hAnsi="Times New Roman" w:cs="Times New Roman"/>
          <w:sz w:val="24"/>
          <w:szCs w:val="24"/>
          <w:lang w:eastAsia="en-GB"/>
        </w:rPr>
        <w:t xml:space="preserve"> and Hamdan (2020),</w:t>
      </w:r>
      <w:r w:rsidR="00D151BE">
        <w:rPr>
          <w:rFonts w:ascii="Times New Roman" w:eastAsia="Times New Roman" w:hAnsi="Times New Roman" w:cs="Times New Roman"/>
          <w:sz w:val="24"/>
          <w:szCs w:val="24"/>
          <w:lang w:eastAsia="en-GB"/>
        </w:rPr>
        <w:t xml:space="preserve"> who</w:t>
      </w:r>
      <w:r w:rsidR="00D151BE" w:rsidRPr="00D151BE">
        <w:rPr>
          <w:rFonts w:ascii="Times New Roman" w:eastAsia="Times New Roman" w:hAnsi="Times New Roman" w:cs="Times New Roman"/>
          <w:sz w:val="24"/>
          <w:szCs w:val="24"/>
          <w:lang w:eastAsia="en-GB"/>
        </w:rPr>
        <w:t xml:space="preserve"> found that environmental disclosure </w:t>
      </w:r>
      <w:r w:rsidR="00D151BE">
        <w:rPr>
          <w:rFonts w:ascii="Times New Roman" w:eastAsia="Times New Roman" w:hAnsi="Times New Roman" w:cs="Times New Roman"/>
          <w:sz w:val="24"/>
          <w:szCs w:val="24"/>
          <w:lang w:eastAsia="en-GB"/>
        </w:rPr>
        <w:t>increase frim value</w:t>
      </w:r>
      <w:r w:rsidR="00D151BE" w:rsidRPr="00D151BE">
        <w:rPr>
          <w:rFonts w:ascii="Times New Roman" w:eastAsia="Times New Roman" w:hAnsi="Times New Roman" w:cs="Times New Roman"/>
          <w:sz w:val="24"/>
          <w:szCs w:val="24"/>
          <w:lang w:eastAsia="en-GB"/>
        </w:rPr>
        <w:t xml:space="preserve"> </w:t>
      </w:r>
      <w:r w:rsidR="009C62E1">
        <w:rPr>
          <w:rFonts w:ascii="Times New Roman" w:eastAsia="Times New Roman" w:hAnsi="Times New Roman" w:cs="Times New Roman"/>
          <w:sz w:val="24"/>
          <w:szCs w:val="24"/>
          <w:lang w:eastAsia="en-GB"/>
        </w:rPr>
        <w:t xml:space="preserve">among S&amp;P 500 companies. </w:t>
      </w:r>
      <w:r w:rsidR="00D151BE" w:rsidRPr="009C62E1">
        <w:rPr>
          <w:rFonts w:ascii="Times New Roman" w:eastAsia="Times New Roman" w:hAnsi="Times New Roman" w:cs="Times New Roman"/>
          <w:sz w:val="24"/>
          <w:szCs w:val="24"/>
          <w:lang w:eastAsia="en-GB"/>
        </w:rPr>
        <w:t xml:space="preserve">However, </w:t>
      </w:r>
      <w:proofErr w:type="spellStart"/>
      <w:r w:rsidRPr="009C62E1">
        <w:rPr>
          <w:rFonts w:ascii="Times New Roman" w:eastAsia="Times New Roman" w:hAnsi="Times New Roman" w:cs="Times New Roman"/>
          <w:sz w:val="24"/>
          <w:szCs w:val="24"/>
          <w:lang w:eastAsia="en-GB"/>
        </w:rPr>
        <w:t>Aydog</w:t>
      </w:r>
      <w:r w:rsidR="00F4693E" w:rsidRPr="009C62E1">
        <w:rPr>
          <w:rFonts w:ascii="Times New Roman" w:eastAsia="Times New Roman" w:hAnsi="Times New Roman" w:cs="Times New Roman"/>
          <w:sz w:val="24"/>
          <w:szCs w:val="24"/>
          <w:lang w:eastAsia="en-GB"/>
        </w:rPr>
        <w:t>muş</w:t>
      </w:r>
      <w:proofErr w:type="spellEnd"/>
      <w:r w:rsidR="00F4693E" w:rsidRPr="009C62E1">
        <w:rPr>
          <w:rFonts w:ascii="Times New Roman" w:eastAsia="Times New Roman" w:hAnsi="Times New Roman" w:cs="Times New Roman"/>
          <w:sz w:val="24"/>
          <w:szCs w:val="24"/>
          <w:lang w:eastAsia="en-GB"/>
        </w:rPr>
        <w:t xml:space="preserve"> et al. (2022) found that the environmental score did not have </w:t>
      </w:r>
      <w:r w:rsidR="00F4693E" w:rsidRPr="009C62E1">
        <w:rPr>
          <w:rFonts w:ascii="Times New Roman" w:eastAsia="Times New Roman" w:hAnsi="Times New Roman" w:cs="Times New Roman"/>
          <w:sz w:val="24"/>
          <w:szCs w:val="24"/>
          <w:lang w:eastAsia="en-GB"/>
        </w:rPr>
        <w:lastRenderedPageBreak/>
        <w:t>a significan</w:t>
      </w:r>
      <w:r w:rsidR="00D151BE" w:rsidRPr="009C62E1">
        <w:rPr>
          <w:rFonts w:ascii="Times New Roman" w:eastAsia="Times New Roman" w:hAnsi="Times New Roman" w:cs="Times New Roman"/>
          <w:sz w:val="24"/>
          <w:szCs w:val="24"/>
          <w:lang w:eastAsia="en-GB"/>
        </w:rPr>
        <w:t>t relationship with firm value.</w:t>
      </w:r>
      <w:r w:rsidR="009C62E1" w:rsidRPr="009C62E1">
        <w:rPr>
          <w:rFonts w:ascii="Times New Roman" w:eastAsia="Times New Roman" w:hAnsi="Times New Roman" w:cs="Times New Roman"/>
          <w:sz w:val="24"/>
          <w:szCs w:val="24"/>
          <w:lang w:eastAsia="en-GB"/>
        </w:rPr>
        <w:t xml:space="preserve"> </w:t>
      </w:r>
      <w:r w:rsidR="009C62E1">
        <w:rPr>
          <w:rFonts w:ascii="Times New Roman" w:eastAsia="Times New Roman" w:hAnsi="Times New Roman" w:cs="Times New Roman"/>
          <w:sz w:val="24"/>
          <w:szCs w:val="24"/>
          <w:lang w:eastAsia="en-GB"/>
        </w:rPr>
        <w:t>Dinca</w:t>
      </w:r>
      <w:r w:rsidR="00F4693E" w:rsidRPr="009C62E1">
        <w:rPr>
          <w:rFonts w:ascii="Times New Roman" w:eastAsia="Times New Roman" w:hAnsi="Times New Roman" w:cs="Times New Roman"/>
          <w:sz w:val="24"/>
          <w:szCs w:val="24"/>
          <w:lang w:eastAsia="en-GB"/>
        </w:rPr>
        <w:t xml:space="preserve"> et al. (2022) also reported mixed effects across ESG dimensions in </w:t>
      </w:r>
      <w:r w:rsidR="009C62E1" w:rsidRPr="009C62E1">
        <w:rPr>
          <w:rFonts w:ascii="Times New Roman" w:eastAsia="Times New Roman" w:hAnsi="Times New Roman" w:cs="Times New Roman"/>
          <w:sz w:val="24"/>
          <w:szCs w:val="24"/>
          <w:lang w:eastAsia="en-GB"/>
        </w:rPr>
        <w:t>the global automotive industry.</w:t>
      </w:r>
    </w:p>
    <w:p w14:paraId="2B31C61B" w14:textId="77777777" w:rsidR="00F4693E" w:rsidRPr="009C62E1" w:rsidRDefault="00F4693E" w:rsidP="00F4693E">
      <w:pPr>
        <w:spacing w:after="0" w:line="240" w:lineRule="auto"/>
        <w:jc w:val="both"/>
        <w:rPr>
          <w:rFonts w:ascii="Times New Roman" w:eastAsia="Times New Roman" w:hAnsi="Times New Roman" w:cs="Times New Roman"/>
          <w:sz w:val="24"/>
          <w:szCs w:val="24"/>
          <w:lang w:eastAsia="en-GB"/>
        </w:rPr>
      </w:pPr>
      <w:r w:rsidRPr="009C62E1">
        <w:rPr>
          <w:rFonts w:ascii="Times New Roman" w:eastAsia="Times New Roman" w:hAnsi="Times New Roman" w:cs="Times New Roman"/>
          <w:b/>
          <w:bCs/>
          <w:sz w:val="24"/>
          <w:szCs w:val="24"/>
          <w:lang w:eastAsia="en-GB"/>
        </w:rPr>
        <w:t>Social Reporting and Firm Value</w:t>
      </w:r>
    </w:p>
    <w:p w14:paraId="2F89D1C7" w14:textId="77777777" w:rsidR="009C62E1" w:rsidRDefault="009C62E1" w:rsidP="00033846">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Social reporting reflects a company</w:t>
      </w:r>
      <w:r w:rsidRPr="009C62E1">
        <w:rPr>
          <w:rFonts w:ascii="Times New Roman" w:eastAsia="Times New Roman" w:hAnsi="Times New Roman" w:cs="Times New Roman"/>
          <w:sz w:val="24"/>
          <w:szCs w:val="24"/>
          <w:lang w:eastAsia="en-GB"/>
        </w:rPr>
        <w:t xml:space="preserve">'s relationships with employees, communities, customers, suppliers, and other stakeholders, potentially strengthening trust, reputation, and operational resilience. It may improve firm value by signalling strong human-capital management and responsible stakeholder engagement. However, </w:t>
      </w:r>
      <w:r>
        <w:rPr>
          <w:rFonts w:ascii="Times New Roman" w:eastAsia="Times New Roman" w:hAnsi="Times New Roman" w:cs="Times New Roman"/>
          <w:sz w:val="24"/>
          <w:szCs w:val="24"/>
          <w:lang w:eastAsia="en-GB"/>
        </w:rPr>
        <w:t xml:space="preserve">it </w:t>
      </w:r>
      <w:r w:rsidRPr="009C62E1">
        <w:rPr>
          <w:rFonts w:ascii="Times New Roman" w:eastAsia="Times New Roman" w:hAnsi="Times New Roman" w:cs="Times New Roman"/>
          <w:sz w:val="24"/>
          <w:szCs w:val="24"/>
          <w:lang w:eastAsia="en-GB"/>
        </w:rPr>
        <w:t>may</w:t>
      </w:r>
      <w:r>
        <w:rPr>
          <w:rFonts w:ascii="Times New Roman" w:eastAsia="Times New Roman" w:hAnsi="Times New Roman" w:cs="Times New Roman"/>
          <w:sz w:val="24"/>
          <w:szCs w:val="24"/>
          <w:lang w:eastAsia="en-GB"/>
        </w:rPr>
        <w:t xml:space="preserve"> decrease firm value because </w:t>
      </w:r>
      <w:r w:rsidRPr="009C62E1">
        <w:rPr>
          <w:rFonts w:ascii="Times New Roman" w:eastAsia="Times New Roman" w:hAnsi="Times New Roman" w:cs="Times New Roman"/>
          <w:sz w:val="24"/>
          <w:szCs w:val="24"/>
          <w:lang w:eastAsia="en-GB"/>
        </w:rPr>
        <w:t>social expenditures may be perceived as immediate costs by short-term-oriented investors.</w:t>
      </w:r>
      <w:r>
        <w:rPr>
          <w:rFonts w:ascii="Times New Roman" w:eastAsia="Times New Roman" w:hAnsi="Times New Roman" w:cs="Times New Roman"/>
          <w:sz w:val="24"/>
          <w:szCs w:val="24"/>
          <w:lang w:eastAsia="en-GB"/>
        </w:rPr>
        <w:t xml:space="preserve"> These results are proved by studies such as </w:t>
      </w:r>
      <w:proofErr w:type="spellStart"/>
      <w:r>
        <w:rPr>
          <w:rFonts w:ascii="Times New Roman" w:eastAsia="Times New Roman" w:hAnsi="Times New Roman" w:cs="Times New Roman"/>
          <w:sz w:val="24"/>
          <w:szCs w:val="24"/>
          <w:lang w:eastAsia="en-GB"/>
        </w:rPr>
        <w:t>Aydog</w:t>
      </w:r>
      <w:r w:rsidR="00F4693E" w:rsidRPr="00F4693E">
        <w:rPr>
          <w:rFonts w:ascii="Times New Roman" w:eastAsia="Times New Roman" w:hAnsi="Times New Roman" w:cs="Times New Roman"/>
          <w:sz w:val="24"/>
          <w:szCs w:val="24"/>
          <w:lang w:eastAsia="en-GB"/>
        </w:rPr>
        <w:t>muş</w:t>
      </w:r>
      <w:proofErr w:type="spellEnd"/>
      <w:r w:rsidR="00F4693E" w:rsidRPr="00F4693E">
        <w:rPr>
          <w:rFonts w:ascii="Times New Roman" w:eastAsia="Times New Roman" w:hAnsi="Times New Roman" w:cs="Times New Roman"/>
          <w:sz w:val="24"/>
          <w:szCs w:val="24"/>
          <w:lang w:eastAsia="en-GB"/>
        </w:rPr>
        <w:t xml:space="preserve"> et al. (2022)</w:t>
      </w:r>
      <w:r>
        <w:rPr>
          <w:rFonts w:ascii="Times New Roman" w:eastAsia="Times New Roman" w:hAnsi="Times New Roman" w:cs="Times New Roman"/>
          <w:sz w:val="24"/>
          <w:szCs w:val="24"/>
          <w:lang w:eastAsia="en-GB"/>
        </w:rPr>
        <w:t>, who</w:t>
      </w:r>
      <w:r w:rsidR="00F4693E" w:rsidRPr="00F4693E">
        <w:rPr>
          <w:rFonts w:ascii="Times New Roman" w:eastAsia="Times New Roman" w:hAnsi="Times New Roman" w:cs="Times New Roman"/>
          <w:sz w:val="24"/>
          <w:szCs w:val="24"/>
          <w:lang w:eastAsia="en-GB"/>
        </w:rPr>
        <w:t xml:space="preserve"> reporte</w:t>
      </w:r>
      <w:r>
        <w:rPr>
          <w:rFonts w:ascii="Times New Roman" w:eastAsia="Times New Roman" w:hAnsi="Times New Roman" w:cs="Times New Roman"/>
          <w:sz w:val="24"/>
          <w:szCs w:val="24"/>
          <w:lang w:eastAsia="en-GB"/>
        </w:rPr>
        <w:t xml:space="preserve">d that social reporting enhanced </w:t>
      </w:r>
      <w:r w:rsidR="00F4693E" w:rsidRPr="00F4693E">
        <w:rPr>
          <w:rFonts w:ascii="Times New Roman" w:eastAsia="Times New Roman" w:hAnsi="Times New Roman" w:cs="Times New Roman"/>
          <w:sz w:val="24"/>
          <w:szCs w:val="24"/>
          <w:lang w:eastAsia="en-GB"/>
        </w:rPr>
        <w:t xml:space="preserve">firm value, while </w:t>
      </w:r>
      <w:r>
        <w:rPr>
          <w:rFonts w:ascii="Times New Roman" w:eastAsia="Times New Roman" w:hAnsi="Times New Roman" w:cs="Times New Roman"/>
          <w:sz w:val="24"/>
          <w:szCs w:val="24"/>
          <w:lang w:eastAsia="en-GB"/>
        </w:rPr>
        <w:t>Dinca</w:t>
      </w:r>
      <w:r w:rsidR="00F4693E" w:rsidRPr="00F4693E">
        <w:rPr>
          <w:rFonts w:ascii="Times New Roman" w:eastAsia="Times New Roman" w:hAnsi="Times New Roman" w:cs="Times New Roman"/>
          <w:sz w:val="24"/>
          <w:szCs w:val="24"/>
          <w:lang w:eastAsia="en-GB"/>
        </w:rPr>
        <w:t xml:space="preserve"> et</w:t>
      </w:r>
      <w:r>
        <w:rPr>
          <w:rFonts w:ascii="Times New Roman" w:eastAsia="Times New Roman" w:hAnsi="Times New Roman" w:cs="Times New Roman"/>
          <w:sz w:val="24"/>
          <w:szCs w:val="24"/>
          <w:lang w:eastAsia="en-GB"/>
        </w:rPr>
        <w:t xml:space="preserve"> al. (2022) found mixed effects. </w:t>
      </w:r>
    </w:p>
    <w:p w14:paraId="55417C35" w14:textId="77777777" w:rsidR="00F4693E" w:rsidRPr="009C62E1" w:rsidRDefault="00F4693E" w:rsidP="00F4693E">
      <w:pPr>
        <w:spacing w:after="0" w:line="240" w:lineRule="auto"/>
        <w:jc w:val="both"/>
        <w:rPr>
          <w:rFonts w:ascii="Times New Roman" w:eastAsia="Times New Roman" w:hAnsi="Times New Roman" w:cs="Times New Roman"/>
          <w:sz w:val="24"/>
          <w:szCs w:val="24"/>
          <w:lang w:eastAsia="en-GB"/>
        </w:rPr>
      </w:pPr>
      <w:r w:rsidRPr="009C62E1">
        <w:rPr>
          <w:rFonts w:ascii="Times New Roman" w:eastAsia="Times New Roman" w:hAnsi="Times New Roman" w:cs="Times New Roman"/>
          <w:b/>
          <w:bCs/>
          <w:sz w:val="24"/>
          <w:szCs w:val="24"/>
          <w:lang w:eastAsia="en-GB"/>
        </w:rPr>
        <w:t>Governance Reporting and Firm Value</w:t>
      </w:r>
    </w:p>
    <w:p w14:paraId="4C46F0F1" w14:textId="77777777" w:rsidR="00F4693E" w:rsidRPr="00F4693E" w:rsidRDefault="009C62E1" w:rsidP="00F4693E">
      <w:pPr>
        <w:spacing w:after="0" w:line="240" w:lineRule="auto"/>
        <w:jc w:val="both"/>
        <w:rPr>
          <w:rFonts w:ascii="Times New Roman" w:eastAsia="Times New Roman" w:hAnsi="Times New Roman" w:cs="Times New Roman"/>
          <w:sz w:val="24"/>
          <w:szCs w:val="24"/>
          <w:lang w:eastAsia="en-GB"/>
        </w:rPr>
      </w:pPr>
      <w:r w:rsidRPr="009C62E1">
        <w:rPr>
          <w:rFonts w:ascii="Times New Roman" w:eastAsia="Times New Roman" w:hAnsi="Times New Roman" w:cs="Times New Roman"/>
          <w:sz w:val="24"/>
          <w:szCs w:val="24"/>
          <w:lang w:eastAsia="en-GB"/>
        </w:rPr>
        <w:t>Governance reporting discloses the mechanisms through which a company is directed and controlled, including board structure, risk management, internal controls, ethical conduct, shareholder rights, and executive remuneration. It can reduce information asymmetry and agency conflicts by providing investors with greater transparency regarding managerial oversight and accountability. Strong governance may also lower perceived risk, strengthen investor confidence, and ultimately enhance firm value.</w:t>
      </w:r>
      <w:r w:rsidR="00C209AF">
        <w:rPr>
          <w:rFonts w:ascii="Times New Roman" w:eastAsia="Times New Roman" w:hAnsi="Times New Roman" w:cs="Times New Roman"/>
          <w:sz w:val="24"/>
          <w:szCs w:val="24"/>
          <w:lang w:eastAsia="en-GB"/>
        </w:rPr>
        <w:t xml:space="preserve"> </w:t>
      </w:r>
      <w:r w:rsidR="00C209AF" w:rsidRPr="00C209AF">
        <w:rPr>
          <w:rFonts w:ascii="Times New Roman" w:eastAsia="Times New Roman" w:hAnsi="Times New Roman" w:cs="Times New Roman"/>
          <w:sz w:val="24"/>
          <w:szCs w:val="24"/>
          <w:lang w:eastAsia="en-GB"/>
        </w:rPr>
        <w:t xml:space="preserve">The empirical evidence of </w:t>
      </w:r>
      <w:proofErr w:type="spellStart"/>
      <w:r w:rsidR="00C209AF" w:rsidRPr="00C209AF">
        <w:rPr>
          <w:rFonts w:ascii="Times New Roman" w:eastAsia="Times New Roman" w:hAnsi="Times New Roman" w:cs="Times New Roman"/>
          <w:sz w:val="24"/>
          <w:szCs w:val="24"/>
          <w:lang w:eastAsia="en-GB"/>
        </w:rPr>
        <w:t>Aydogmuş</w:t>
      </w:r>
      <w:proofErr w:type="spellEnd"/>
      <w:r w:rsidR="00C209AF" w:rsidRPr="00C209AF">
        <w:rPr>
          <w:rFonts w:ascii="Times New Roman" w:eastAsia="Times New Roman" w:hAnsi="Times New Roman" w:cs="Times New Roman"/>
          <w:sz w:val="24"/>
          <w:szCs w:val="24"/>
          <w:lang w:eastAsia="en-GB"/>
        </w:rPr>
        <w:t xml:space="preserve"> et al. (2022), which demonstrated that governance reporting improved firm value, contrasts with </w:t>
      </w:r>
      <w:proofErr w:type="spellStart"/>
      <w:r w:rsidR="00C209AF" w:rsidRPr="00C209AF">
        <w:rPr>
          <w:rFonts w:ascii="Times New Roman" w:eastAsia="Times New Roman" w:hAnsi="Times New Roman" w:cs="Times New Roman"/>
          <w:sz w:val="24"/>
          <w:szCs w:val="24"/>
          <w:lang w:eastAsia="en-GB"/>
        </w:rPr>
        <w:t>Rahmithasari</w:t>
      </w:r>
      <w:proofErr w:type="spellEnd"/>
      <w:r w:rsidR="00C209AF" w:rsidRPr="00C209AF">
        <w:rPr>
          <w:rFonts w:ascii="Times New Roman" w:eastAsia="Times New Roman" w:hAnsi="Times New Roman" w:cs="Times New Roman"/>
          <w:sz w:val="24"/>
          <w:szCs w:val="24"/>
          <w:lang w:eastAsia="en-GB"/>
        </w:rPr>
        <w:t xml:space="preserve"> and Qadri (2</w:t>
      </w:r>
      <w:r w:rsidR="00C209AF">
        <w:rPr>
          <w:rFonts w:ascii="Times New Roman" w:eastAsia="Times New Roman" w:hAnsi="Times New Roman" w:cs="Times New Roman"/>
          <w:sz w:val="24"/>
          <w:szCs w:val="24"/>
          <w:lang w:eastAsia="en-GB"/>
        </w:rPr>
        <w:t xml:space="preserve">024), who found that governance </w:t>
      </w:r>
      <w:r w:rsidR="00C209AF" w:rsidRPr="00C209AF">
        <w:rPr>
          <w:rFonts w:ascii="Times New Roman" w:eastAsia="Times New Roman" w:hAnsi="Times New Roman" w:cs="Times New Roman"/>
          <w:sz w:val="24"/>
          <w:szCs w:val="24"/>
          <w:lang w:eastAsia="en-GB"/>
        </w:rPr>
        <w:t>disclosure had an adverse effect on firm value among non-bank</w:t>
      </w:r>
      <w:r w:rsidR="00C209AF">
        <w:rPr>
          <w:rFonts w:ascii="Times New Roman" w:eastAsia="Times New Roman" w:hAnsi="Times New Roman" w:cs="Times New Roman"/>
          <w:sz w:val="24"/>
          <w:szCs w:val="24"/>
          <w:lang w:eastAsia="en-GB"/>
        </w:rPr>
        <w:t xml:space="preserve"> companies</w:t>
      </w:r>
      <w:r w:rsidR="00C209AF" w:rsidRPr="00C209AF">
        <w:rPr>
          <w:rFonts w:ascii="Times New Roman" w:eastAsia="Times New Roman" w:hAnsi="Times New Roman" w:cs="Times New Roman"/>
          <w:sz w:val="24"/>
          <w:szCs w:val="24"/>
          <w:lang w:eastAsia="en-GB"/>
        </w:rPr>
        <w:t xml:space="preserve"> listed in Indonesia.</w:t>
      </w:r>
    </w:p>
    <w:p w14:paraId="589638C6" w14:textId="77777777" w:rsidR="00C209AF" w:rsidRDefault="00C209AF" w:rsidP="00F4693E">
      <w:pPr>
        <w:spacing w:after="0" w:line="240" w:lineRule="auto"/>
        <w:jc w:val="both"/>
        <w:rPr>
          <w:rFonts w:ascii="Times New Roman" w:eastAsia="Times New Roman" w:hAnsi="Times New Roman" w:cs="Times New Roman"/>
          <w:b/>
          <w:bCs/>
          <w:color w:val="4F81BD"/>
          <w:sz w:val="24"/>
          <w:szCs w:val="24"/>
          <w:lang w:eastAsia="en-GB"/>
        </w:rPr>
      </w:pPr>
    </w:p>
    <w:p w14:paraId="160CDB00" w14:textId="77777777" w:rsidR="00F4693E" w:rsidRPr="00C209AF" w:rsidRDefault="00C209AF"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2.3</w:t>
      </w:r>
      <w:r w:rsidR="00F4693E" w:rsidRPr="00C209AF">
        <w:rPr>
          <w:rFonts w:ascii="Times New Roman" w:eastAsia="Times New Roman" w:hAnsi="Times New Roman" w:cs="Times New Roman"/>
          <w:b/>
          <w:bCs/>
          <w:sz w:val="24"/>
          <w:szCs w:val="24"/>
          <w:lang w:eastAsia="en-GB"/>
        </w:rPr>
        <w:t xml:space="preserve"> Theoretical Background</w:t>
      </w:r>
    </w:p>
    <w:p w14:paraId="063A4507" w14:textId="77777777" w:rsidR="00F4693E" w:rsidRPr="00F4693E" w:rsidRDefault="006C0AEB" w:rsidP="00033846">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Stakeholder t</w:t>
      </w:r>
      <w:r w:rsidR="00F4693E" w:rsidRPr="00F4693E">
        <w:rPr>
          <w:rFonts w:ascii="Times New Roman" w:eastAsia="Times New Roman" w:hAnsi="Times New Roman" w:cs="Times New Roman"/>
          <w:sz w:val="24"/>
          <w:szCs w:val="24"/>
          <w:lang w:eastAsia="en-GB"/>
        </w:rPr>
        <w:t>heo</w:t>
      </w:r>
      <w:r w:rsidR="00C209AF">
        <w:rPr>
          <w:rFonts w:ascii="Times New Roman" w:eastAsia="Times New Roman" w:hAnsi="Times New Roman" w:cs="Times New Roman"/>
          <w:sz w:val="24"/>
          <w:szCs w:val="24"/>
          <w:lang w:eastAsia="en-GB"/>
        </w:rPr>
        <w:t>ry argues that companies</w:t>
      </w:r>
      <w:r w:rsidR="00F4693E" w:rsidRPr="00F4693E">
        <w:rPr>
          <w:rFonts w:ascii="Times New Roman" w:eastAsia="Times New Roman" w:hAnsi="Times New Roman" w:cs="Times New Roman"/>
          <w:sz w:val="24"/>
          <w:szCs w:val="24"/>
          <w:lang w:eastAsia="en-GB"/>
        </w:rPr>
        <w:t xml:space="preserve"> depend on relationships with multiple stakeholder groups and should therefore provide information that demonstrates responsiveness to stakeholder interests. ESG reporting is consistent with this perspective because environmental, social and governance disclosures communicate how a company manages relationships with communities, employees, customers, regulators, i</w:t>
      </w:r>
      <w:r w:rsidR="00C209AF">
        <w:rPr>
          <w:rFonts w:ascii="Times New Roman" w:eastAsia="Times New Roman" w:hAnsi="Times New Roman" w:cs="Times New Roman"/>
          <w:sz w:val="24"/>
          <w:szCs w:val="24"/>
          <w:lang w:eastAsia="en-GB"/>
        </w:rPr>
        <w:t xml:space="preserve">nvestors and other stakeholder (Singhania &amp; Bhan, </w:t>
      </w:r>
      <w:r w:rsidR="00C209AF" w:rsidRPr="00C209AF">
        <w:rPr>
          <w:rFonts w:ascii="Times New Roman" w:eastAsia="Times New Roman" w:hAnsi="Times New Roman" w:cs="Times New Roman"/>
          <w:sz w:val="24"/>
          <w:szCs w:val="24"/>
          <w:lang w:eastAsia="en-GB"/>
        </w:rPr>
        <w:t>2025)</w:t>
      </w:r>
      <w:r w:rsidR="00C209AF">
        <w:rPr>
          <w:rFonts w:ascii="Times New Roman" w:eastAsia="Times New Roman" w:hAnsi="Times New Roman" w:cs="Times New Roman"/>
          <w:sz w:val="24"/>
          <w:szCs w:val="24"/>
          <w:lang w:eastAsia="en-GB"/>
        </w:rPr>
        <w:t>.</w:t>
      </w:r>
      <w:r w:rsidR="00F4693E" w:rsidRPr="00F4693E">
        <w:rPr>
          <w:rFonts w:ascii="Times New Roman" w:eastAsia="Times New Roman" w:hAnsi="Times New Roman" w:cs="Times New Roman"/>
          <w:sz w:val="24"/>
          <w:szCs w:val="24"/>
          <w:lang w:eastAsia="en-GB"/>
        </w:rPr>
        <w:t xml:space="preserve"> Greater transparency may strengthen stakeholder support and improve the resources available t</w:t>
      </w:r>
      <w:r w:rsidR="00C209AF">
        <w:rPr>
          <w:rFonts w:ascii="Times New Roman" w:eastAsia="Times New Roman" w:hAnsi="Times New Roman" w:cs="Times New Roman"/>
          <w:sz w:val="24"/>
          <w:szCs w:val="24"/>
          <w:lang w:eastAsia="en-GB"/>
        </w:rPr>
        <w:t xml:space="preserve">o the company. In the present </w:t>
      </w:r>
      <w:r w:rsidR="00F4693E" w:rsidRPr="00F4693E">
        <w:rPr>
          <w:rFonts w:ascii="Times New Roman" w:eastAsia="Times New Roman" w:hAnsi="Times New Roman" w:cs="Times New Roman"/>
          <w:sz w:val="24"/>
          <w:szCs w:val="24"/>
          <w:lang w:eastAsia="en-GB"/>
        </w:rPr>
        <w:t>study, stakeholder theory provides a basis for expecting ESG reporting to enhance firm value through improved trust and legitimacy.</w:t>
      </w:r>
    </w:p>
    <w:p w14:paraId="0476CF99" w14:textId="77777777" w:rsidR="00033846" w:rsidRDefault="006C0AEB" w:rsidP="00033846">
      <w:pPr>
        <w:spacing w:after="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Agency t</w:t>
      </w:r>
      <w:r w:rsidR="00F4693E" w:rsidRPr="00F4693E">
        <w:rPr>
          <w:rFonts w:ascii="Times New Roman" w:eastAsia="Times New Roman" w:hAnsi="Times New Roman" w:cs="Times New Roman"/>
          <w:sz w:val="24"/>
          <w:szCs w:val="24"/>
          <w:lang w:eastAsia="en-GB"/>
        </w:rPr>
        <w:t>heory explains the role of disclosure in reducing conflicts between managers and owners. Managers generally possess more information about corporate operations than outside investors, creating information asymmetry and opportunities for managerial opportunism. ESG reporting can reduce this information gap by providing additional evidence about management policies, risk management and accountability. Governance reporting is especially consistent with agency theory because board independence, internal control, audit committee activities and executive remuneration are mechanisms for monitoring management</w:t>
      </w:r>
      <w:r w:rsidR="00C209AF">
        <w:rPr>
          <w:rFonts w:ascii="Times New Roman" w:eastAsia="Times New Roman" w:hAnsi="Times New Roman" w:cs="Times New Roman"/>
          <w:sz w:val="24"/>
          <w:szCs w:val="24"/>
          <w:lang w:eastAsia="en-GB"/>
        </w:rPr>
        <w:t xml:space="preserve"> (Pinto &amp; Gaio, 2025). </w:t>
      </w:r>
    </w:p>
    <w:p w14:paraId="5D06E0F2" w14:textId="77777777" w:rsidR="00033846" w:rsidRDefault="00C209AF" w:rsidP="00033846">
      <w:pPr>
        <w:spacing w:after="240" w:line="240" w:lineRule="auto"/>
        <w:jc w:val="both"/>
        <w:rPr>
          <w:rFonts w:ascii="Times New Roman" w:eastAsia="Times New Roman" w:hAnsi="Times New Roman" w:cs="Times New Roman"/>
          <w:sz w:val="24"/>
          <w:szCs w:val="24"/>
          <w:lang w:eastAsia="en-GB"/>
        </w:rPr>
      </w:pPr>
      <w:r w:rsidRPr="00C209AF">
        <w:rPr>
          <w:rFonts w:ascii="Times New Roman" w:eastAsia="Times New Roman" w:hAnsi="Times New Roman" w:cs="Times New Roman"/>
          <w:sz w:val="24"/>
          <w:szCs w:val="24"/>
          <w:lang w:eastAsia="en-GB"/>
        </w:rPr>
        <w:t>Sig</w:t>
      </w:r>
      <w:r w:rsidR="006C0AEB">
        <w:rPr>
          <w:rFonts w:ascii="Times New Roman" w:eastAsia="Times New Roman" w:hAnsi="Times New Roman" w:cs="Times New Roman"/>
          <w:sz w:val="24"/>
          <w:szCs w:val="24"/>
          <w:lang w:eastAsia="en-GB"/>
        </w:rPr>
        <w:t>nalling t</w:t>
      </w:r>
      <w:r>
        <w:rPr>
          <w:rFonts w:ascii="Times New Roman" w:eastAsia="Times New Roman" w:hAnsi="Times New Roman" w:cs="Times New Roman"/>
          <w:sz w:val="24"/>
          <w:szCs w:val="24"/>
          <w:lang w:eastAsia="en-GB"/>
        </w:rPr>
        <w:t>heory posits that companies</w:t>
      </w:r>
      <w:r w:rsidRPr="00C209AF">
        <w:rPr>
          <w:rFonts w:ascii="Times New Roman" w:eastAsia="Times New Roman" w:hAnsi="Times New Roman" w:cs="Times New Roman"/>
          <w:sz w:val="24"/>
          <w:szCs w:val="24"/>
          <w:lang w:eastAsia="en-GB"/>
        </w:rPr>
        <w:t xml:space="preserve"> use credible disclosures to communicate information about their quality, management, risk, and future prospects to investors. High-quality ESG reporting can therefore signal effective management, lower risk, strategic preparedness, and commitment to long-term sustainability, potentially encouraging investors to value the firm more highly. This perspective is particularly relevant to </w:t>
      </w:r>
      <w:r>
        <w:rPr>
          <w:rFonts w:ascii="Times New Roman" w:eastAsia="Times New Roman" w:hAnsi="Times New Roman" w:cs="Times New Roman"/>
          <w:sz w:val="24"/>
          <w:szCs w:val="24"/>
          <w:lang w:eastAsia="en-GB"/>
        </w:rPr>
        <w:t>firm value</w:t>
      </w:r>
      <w:r w:rsidRPr="00C209AF">
        <w:rPr>
          <w:rFonts w:ascii="Times New Roman" w:eastAsia="Times New Roman" w:hAnsi="Times New Roman" w:cs="Times New Roman"/>
          <w:sz w:val="24"/>
          <w:szCs w:val="24"/>
          <w:lang w:eastAsia="en-GB"/>
        </w:rPr>
        <w:t xml:space="preserve"> because </w:t>
      </w:r>
      <w:r w:rsidR="00EA4412">
        <w:rPr>
          <w:rFonts w:ascii="Times New Roman" w:eastAsia="Times New Roman" w:hAnsi="Times New Roman" w:cs="Times New Roman"/>
          <w:sz w:val="24"/>
          <w:szCs w:val="24"/>
          <w:lang w:eastAsia="en-GB"/>
        </w:rPr>
        <w:t>it</w:t>
      </w:r>
      <w:r w:rsidRPr="00C209AF">
        <w:rPr>
          <w:rFonts w:ascii="Times New Roman" w:eastAsia="Times New Roman" w:hAnsi="Times New Roman" w:cs="Times New Roman"/>
          <w:sz w:val="24"/>
          <w:szCs w:val="24"/>
          <w:lang w:eastAsia="en-GB"/>
        </w:rPr>
        <w:t xml:space="preserve"> reflects investors’ expectations about future performance and can respond to non-financial information before its effects become evident in accounting measures </w:t>
      </w:r>
      <w:r w:rsidRPr="00E03E19">
        <w:rPr>
          <w:rFonts w:ascii="Times New Roman" w:eastAsia="Times New Roman" w:hAnsi="Times New Roman" w:cs="Times New Roman"/>
          <w:sz w:val="24"/>
          <w:szCs w:val="24"/>
          <w:lang w:eastAsia="en-GB"/>
        </w:rPr>
        <w:t>(Nguyen, 2025).</w:t>
      </w:r>
      <w:r w:rsidR="00EA4412">
        <w:rPr>
          <w:rFonts w:ascii="Times New Roman" w:eastAsia="Times New Roman" w:hAnsi="Times New Roman" w:cs="Times New Roman"/>
          <w:sz w:val="24"/>
          <w:szCs w:val="24"/>
          <w:lang w:eastAsia="en-GB"/>
        </w:rPr>
        <w:t xml:space="preserve"> </w:t>
      </w:r>
    </w:p>
    <w:p w14:paraId="6BF07EE0" w14:textId="77777777" w:rsidR="00EA4412" w:rsidRPr="00033846" w:rsidRDefault="00EA4412" w:rsidP="00033846">
      <w:pPr>
        <w:spacing w:after="240" w:line="240" w:lineRule="auto"/>
        <w:jc w:val="both"/>
        <w:rPr>
          <w:rFonts w:ascii="Times New Roman" w:eastAsia="Times New Roman" w:hAnsi="Times New Roman" w:cs="Times New Roman"/>
          <w:sz w:val="24"/>
          <w:szCs w:val="24"/>
          <w:lang w:eastAsia="en-GB"/>
        </w:rPr>
      </w:pPr>
      <w:r w:rsidRPr="00EA4412">
        <w:rPr>
          <w:rFonts w:ascii="Times New Roman" w:eastAsia="Times New Roman" w:hAnsi="Times New Roman" w:cs="Times New Roman"/>
          <w:sz w:val="24"/>
          <w:szCs w:val="24"/>
          <w:lang w:eastAsia="en-GB"/>
        </w:rPr>
        <w:t>Legit</w:t>
      </w:r>
      <w:r w:rsidR="006C0AEB">
        <w:rPr>
          <w:rFonts w:ascii="Times New Roman" w:eastAsia="Times New Roman" w:hAnsi="Times New Roman" w:cs="Times New Roman"/>
          <w:sz w:val="24"/>
          <w:szCs w:val="24"/>
          <w:lang w:eastAsia="en-GB"/>
        </w:rPr>
        <w:t>imacy t</w:t>
      </w:r>
      <w:r>
        <w:rPr>
          <w:rFonts w:ascii="Times New Roman" w:eastAsia="Times New Roman" w:hAnsi="Times New Roman" w:cs="Times New Roman"/>
          <w:sz w:val="24"/>
          <w:szCs w:val="24"/>
          <w:lang w:eastAsia="en-GB"/>
        </w:rPr>
        <w:t>heory suggests that companies</w:t>
      </w:r>
      <w:r w:rsidRPr="00EA4412">
        <w:rPr>
          <w:rFonts w:ascii="Times New Roman" w:eastAsia="Times New Roman" w:hAnsi="Times New Roman" w:cs="Times New Roman"/>
          <w:sz w:val="24"/>
          <w:szCs w:val="24"/>
          <w:lang w:eastAsia="en-GB"/>
        </w:rPr>
        <w:t xml:space="preserve"> use ESG disclosure to demonstrate that their activities conform to societal expectations and accepted environmental, social, and governance norms. In emerging markets such as Nigeria, such disclosure can strengthen corporate </w:t>
      </w:r>
      <w:r w:rsidRPr="00EA4412">
        <w:rPr>
          <w:rFonts w:ascii="Times New Roman" w:eastAsia="Times New Roman" w:hAnsi="Times New Roman" w:cs="Times New Roman"/>
          <w:sz w:val="24"/>
          <w:szCs w:val="24"/>
          <w:lang w:eastAsia="en-GB"/>
        </w:rPr>
        <w:lastRenderedPageBreak/>
        <w:t xml:space="preserve">legitimacy, protect reputation, and reduce social and regulatory risks. </w:t>
      </w:r>
      <w:proofErr w:type="spellStart"/>
      <w:r w:rsidRPr="00EA4412">
        <w:rPr>
          <w:rFonts w:ascii="Times New Roman" w:eastAsia="Times New Roman" w:hAnsi="Times New Roman" w:cs="Times New Roman"/>
          <w:sz w:val="24"/>
          <w:szCs w:val="24"/>
          <w:lang w:eastAsia="en-GB"/>
        </w:rPr>
        <w:t>Kallisia</w:t>
      </w:r>
      <w:proofErr w:type="spellEnd"/>
      <w:r w:rsidRPr="00EA4412">
        <w:rPr>
          <w:rFonts w:ascii="Times New Roman" w:eastAsia="Times New Roman" w:hAnsi="Times New Roman" w:cs="Times New Roman"/>
          <w:sz w:val="24"/>
          <w:szCs w:val="24"/>
          <w:lang w:eastAsia="en-GB"/>
        </w:rPr>
        <w:t xml:space="preserve"> et al. (2025) found that legitimacy pressures influence the extent of ESG disclosure among companies in ASEAN-5 countries. They also found that younger companies may experience stronger valuation effects from ESG transparency because of greater legitimacy and signalling needs.</w:t>
      </w:r>
    </w:p>
    <w:p w14:paraId="044044D9" w14:textId="77777777" w:rsidR="00C13690" w:rsidRPr="00EA4412" w:rsidRDefault="00BA696B" w:rsidP="00F4693E">
      <w:pPr>
        <w:spacing w:after="0" w:line="24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2.4</w:t>
      </w:r>
      <w:r w:rsidR="00F4693E" w:rsidRPr="00EA4412">
        <w:rPr>
          <w:rFonts w:ascii="Times New Roman" w:eastAsia="Times New Roman" w:hAnsi="Times New Roman" w:cs="Times New Roman"/>
          <w:b/>
          <w:bCs/>
          <w:sz w:val="24"/>
          <w:szCs w:val="24"/>
          <w:lang w:eastAsia="en-GB"/>
        </w:rPr>
        <w:t xml:space="preserve"> Empirical Literature and Research Gap</w:t>
      </w:r>
    </w:p>
    <w:p w14:paraId="309DFAD8" w14:textId="77777777" w:rsidR="00EA4412" w:rsidRDefault="00EA4412" w:rsidP="00C13690">
      <w:pPr>
        <w:spacing w:after="0" w:line="240" w:lineRule="auto"/>
        <w:jc w:val="both"/>
        <w:rPr>
          <w:rFonts w:ascii="Times New Roman" w:eastAsia="Times New Roman" w:hAnsi="Times New Roman" w:cs="Times New Roman"/>
          <w:sz w:val="24"/>
          <w:szCs w:val="24"/>
          <w:lang w:eastAsia="en-GB"/>
        </w:rPr>
      </w:pPr>
      <w:r w:rsidRPr="00EA4412">
        <w:rPr>
          <w:rFonts w:ascii="Times New Roman" w:eastAsia="Times New Roman" w:hAnsi="Times New Roman" w:cs="Times New Roman"/>
          <w:sz w:val="24"/>
          <w:szCs w:val="24"/>
          <w:lang w:eastAsia="en-GB"/>
        </w:rPr>
        <w:t>This section reviewed empirical studies examining the effect of ESG reporting on firm value across different countries, industries, and ESG dimensions.</w:t>
      </w:r>
    </w:p>
    <w:p w14:paraId="37AD0B48" w14:textId="77777777" w:rsidR="00EA4412" w:rsidRDefault="00EA4412" w:rsidP="00C13690">
      <w:pPr>
        <w:spacing w:after="0" w:line="240" w:lineRule="auto"/>
        <w:jc w:val="both"/>
        <w:rPr>
          <w:rFonts w:ascii="Times New Roman" w:eastAsia="Times New Roman" w:hAnsi="Times New Roman" w:cs="Times New Roman"/>
          <w:sz w:val="24"/>
          <w:szCs w:val="24"/>
          <w:lang w:eastAsia="en-GB"/>
        </w:rPr>
      </w:pPr>
      <w:proofErr w:type="spellStart"/>
      <w:r w:rsidRPr="00EA4412">
        <w:rPr>
          <w:rFonts w:ascii="Times New Roman" w:eastAsia="Times New Roman" w:hAnsi="Times New Roman" w:cs="Times New Roman"/>
          <w:sz w:val="24"/>
          <w:szCs w:val="24"/>
          <w:lang w:eastAsia="en-GB"/>
        </w:rPr>
        <w:t>Zureck</w:t>
      </w:r>
      <w:proofErr w:type="spellEnd"/>
      <w:r w:rsidRPr="00EA4412">
        <w:rPr>
          <w:rFonts w:ascii="Times New Roman" w:eastAsia="Times New Roman" w:hAnsi="Times New Roman" w:cs="Times New Roman"/>
          <w:sz w:val="24"/>
          <w:szCs w:val="24"/>
          <w:lang w:eastAsia="en-GB"/>
        </w:rPr>
        <w:t xml:space="preserve"> and </w:t>
      </w:r>
      <w:proofErr w:type="spellStart"/>
      <w:r w:rsidRPr="00EA4412">
        <w:rPr>
          <w:rFonts w:ascii="Times New Roman" w:eastAsia="Times New Roman" w:hAnsi="Times New Roman" w:cs="Times New Roman"/>
          <w:sz w:val="24"/>
          <w:szCs w:val="24"/>
          <w:lang w:eastAsia="en-GB"/>
        </w:rPr>
        <w:t>Tselekis</w:t>
      </w:r>
      <w:proofErr w:type="spellEnd"/>
      <w:r w:rsidRPr="00EA4412">
        <w:rPr>
          <w:rFonts w:ascii="Times New Roman" w:eastAsia="Times New Roman" w:hAnsi="Times New Roman" w:cs="Times New Roman"/>
          <w:sz w:val="24"/>
          <w:szCs w:val="24"/>
          <w:lang w:eastAsia="en-GB"/>
        </w:rPr>
        <w:t xml:space="preserve"> (2026) examined 1,763 firm-year observations of STOXX Europ</w:t>
      </w:r>
      <w:r>
        <w:rPr>
          <w:rFonts w:ascii="Times New Roman" w:eastAsia="Times New Roman" w:hAnsi="Times New Roman" w:cs="Times New Roman"/>
          <w:sz w:val="24"/>
          <w:szCs w:val="24"/>
          <w:lang w:eastAsia="en-GB"/>
        </w:rPr>
        <w:t xml:space="preserve">e 600 companies from 2020–2023. </w:t>
      </w:r>
      <w:r w:rsidRPr="00EA4412">
        <w:rPr>
          <w:rFonts w:ascii="Times New Roman" w:eastAsia="Times New Roman" w:hAnsi="Times New Roman" w:cs="Times New Roman"/>
          <w:sz w:val="24"/>
          <w:szCs w:val="24"/>
          <w:lang w:eastAsia="en-GB"/>
        </w:rPr>
        <w:t>The study found that ESG transparency alone had no statistically si</w:t>
      </w:r>
      <w:r>
        <w:rPr>
          <w:rFonts w:ascii="Times New Roman" w:eastAsia="Times New Roman" w:hAnsi="Times New Roman" w:cs="Times New Roman"/>
          <w:sz w:val="24"/>
          <w:szCs w:val="24"/>
          <w:lang w:eastAsia="en-GB"/>
        </w:rPr>
        <w:t xml:space="preserve">gnificant effect on firm value. </w:t>
      </w:r>
      <w:r w:rsidRPr="00EA4412">
        <w:rPr>
          <w:rFonts w:ascii="Times New Roman" w:eastAsia="Times New Roman" w:hAnsi="Times New Roman" w:cs="Times New Roman"/>
          <w:sz w:val="24"/>
          <w:szCs w:val="24"/>
          <w:lang w:eastAsia="en-GB"/>
        </w:rPr>
        <w:t xml:space="preserve">The findings suggest that ESG reporting may not automatically translate into </w:t>
      </w:r>
      <w:r w:rsidR="00B22625">
        <w:rPr>
          <w:rFonts w:ascii="Times New Roman" w:eastAsia="Times New Roman" w:hAnsi="Times New Roman" w:cs="Times New Roman"/>
          <w:sz w:val="24"/>
          <w:szCs w:val="24"/>
          <w:lang w:eastAsia="en-GB"/>
        </w:rPr>
        <w:t xml:space="preserve">an </w:t>
      </w:r>
      <w:r w:rsidR="00715B84">
        <w:rPr>
          <w:rFonts w:ascii="Times New Roman" w:eastAsia="Times New Roman" w:hAnsi="Times New Roman" w:cs="Times New Roman"/>
          <w:sz w:val="24"/>
          <w:szCs w:val="24"/>
          <w:lang w:eastAsia="en-GB"/>
        </w:rPr>
        <w:t>increase in firm value unless companies</w:t>
      </w:r>
      <w:r w:rsidRPr="00EA4412">
        <w:rPr>
          <w:rFonts w:ascii="Times New Roman" w:eastAsia="Times New Roman" w:hAnsi="Times New Roman" w:cs="Times New Roman"/>
          <w:sz w:val="24"/>
          <w:szCs w:val="24"/>
          <w:lang w:eastAsia="en-GB"/>
        </w:rPr>
        <w:t xml:space="preserve"> effectively integrate sustainability repo</w:t>
      </w:r>
      <w:r w:rsidR="00715B84">
        <w:rPr>
          <w:rFonts w:ascii="Times New Roman" w:eastAsia="Times New Roman" w:hAnsi="Times New Roman" w:cs="Times New Roman"/>
          <w:sz w:val="24"/>
          <w:szCs w:val="24"/>
          <w:lang w:eastAsia="en-GB"/>
        </w:rPr>
        <w:t>rting with digital capabilities</w:t>
      </w:r>
      <w:r w:rsidRPr="00EA4412">
        <w:rPr>
          <w:rFonts w:ascii="Times New Roman" w:eastAsia="Times New Roman" w:hAnsi="Times New Roman" w:cs="Times New Roman"/>
          <w:sz w:val="24"/>
          <w:szCs w:val="24"/>
          <w:lang w:eastAsia="en-GB"/>
        </w:rPr>
        <w:t>.</w:t>
      </w:r>
    </w:p>
    <w:p w14:paraId="0496A8B2" w14:textId="77777777" w:rsidR="003D258E" w:rsidRDefault="003D258E" w:rsidP="00C13690">
      <w:pPr>
        <w:spacing w:after="0" w:line="240" w:lineRule="auto"/>
        <w:jc w:val="both"/>
        <w:rPr>
          <w:rFonts w:ascii="Times New Roman" w:eastAsia="Times New Roman" w:hAnsi="Times New Roman" w:cs="Times New Roman"/>
          <w:sz w:val="24"/>
          <w:szCs w:val="24"/>
          <w:lang w:eastAsia="en-GB"/>
        </w:rPr>
      </w:pPr>
    </w:p>
    <w:p w14:paraId="22D2587B" w14:textId="77777777" w:rsidR="003D258E" w:rsidRDefault="003D258E" w:rsidP="005E306C">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Msomi et al. </w:t>
      </w:r>
      <w:r w:rsidRPr="003D258E">
        <w:rPr>
          <w:rFonts w:ascii="Times New Roman" w:eastAsia="Times New Roman" w:hAnsi="Times New Roman" w:cs="Times New Roman"/>
          <w:sz w:val="24"/>
          <w:szCs w:val="24"/>
          <w:lang w:eastAsia="en-GB"/>
        </w:rPr>
        <w:t xml:space="preserve">(2025) </w:t>
      </w:r>
      <w:r>
        <w:rPr>
          <w:rFonts w:ascii="Times New Roman" w:eastAsia="Times New Roman" w:hAnsi="Times New Roman" w:cs="Times New Roman"/>
          <w:sz w:val="24"/>
          <w:szCs w:val="24"/>
          <w:lang w:eastAsia="en-GB"/>
        </w:rPr>
        <w:t>determined the effect of ESG reporting on firm value of non-financial companies</w:t>
      </w:r>
      <w:r w:rsidRPr="003D258E">
        <w:rPr>
          <w:rFonts w:ascii="Times New Roman" w:eastAsia="Times New Roman" w:hAnsi="Times New Roman" w:cs="Times New Roman"/>
          <w:sz w:val="24"/>
          <w:szCs w:val="24"/>
          <w:lang w:eastAsia="en-GB"/>
        </w:rPr>
        <w:t xml:space="preserve"> listed in South Africa using 642 firm-year observa</w:t>
      </w:r>
      <w:r>
        <w:rPr>
          <w:rFonts w:ascii="Times New Roman" w:eastAsia="Times New Roman" w:hAnsi="Times New Roman" w:cs="Times New Roman"/>
          <w:sz w:val="24"/>
          <w:szCs w:val="24"/>
          <w:lang w:eastAsia="en-GB"/>
        </w:rPr>
        <w:t>tions covering 2017–2022.</w:t>
      </w:r>
      <w:r w:rsidRPr="003D258E">
        <w:rPr>
          <w:rFonts w:ascii="Times New Roman" w:eastAsia="Times New Roman" w:hAnsi="Times New Roman" w:cs="Times New Roman"/>
          <w:sz w:val="24"/>
          <w:szCs w:val="24"/>
          <w:lang w:eastAsia="en-GB"/>
        </w:rPr>
        <w:t xml:space="preserve"> The study employed Fixed Effects, Random Eff</w:t>
      </w:r>
      <w:r>
        <w:rPr>
          <w:rFonts w:ascii="Times New Roman" w:eastAsia="Times New Roman" w:hAnsi="Times New Roman" w:cs="Times New Roman"/>
          <w:sz w:val="24"/>
          <w:szCs w:val="24"/>
          <w:lang w:eastAsia="en-GB"/>
        </w:rPr>
        <w:t xml:space="preserve">ects, and System GMM estimators for statically analysis. </w:t>
      </w:r>
      <w:r w:rsidRPr="003D258E">
        <w:rPr>
          <w:rFonts w:ascii="Times New Roman" w:eastAsia="Times New Roman" w:hAnsi="Times New Roman" w:cs="Times New Roman"/>
          <w:sz w:val="24"/>
          <w:szCs w:val="24"/>
          <w:lang w:eastAsia="en-GB"/>
        </w:rPr>
        <w:t>The</w:t>
      </w:r>
      <w:r>
        <w:rPr>
          <w:rFonts w:ascii="Times New Roman" w:eastAsia="Times New Roman" w:hAnsi="Times New Roman" w:cs="Times New Roman"/>
          <w:sz w:val="24"/>
          <w:szCs w:val="24"/>
          <w:lang w:eastAsia="en-GB"/>
        </w:rPr>
        <w:t xml:space="preserve"> </w:t>
      </w:r>
      <w:r w:rsidRPr="003D258E">
        <w:rPr>
          <w:rFonts w:ascii="Times New Roman" w:eastAsia="Times New Roman" w:hAnsi="Times New Roman" w:cs="Times New Roman"/>
          <w:sz w:val="24"/>
          <w:szCs w:val="24"/>
          <w:lang w:eastAsia="en-GB"/>
        </w:rPr>
        <w:t xml:space="preserve">findings </w:t>
      </w:r>
      <w:r>
        <w:rPr>
          <w:rFonts w:ascii="Times New Roman" w:eastAsia="Times New Roman" w:hAnsi="Times New Roman" w:cs="Times New Roman"/>
          <w:sz w:val="24"/>
          <w:szCs w:val="24"/>
          <w:lang w:eastAsia="en-GB"/>
        </w:rPr>
        <w:t>revealed</w:t>
      </w:r>
      <w:r w:rsidRPr="003D258E">
        <w:rPr>
          <w:rFonts w:ascii="Times New Roman" w:eastAsia="Times New Roman" w:hAnsi="Times New Roman" w:cs="Times New Roman"/>
          <w:sz w:val="24"/>
          <w:szCs w:val="24"/>
          <w:lang w:eastAsia="en-GB"/>
        </w:rPr>
        <w:t xml:space="preserve"> that aggregate ESG disclosure significant</w:t>
      </w:r>
      <w:r>
        <w:rPr>
          <w:rFonts w:ascii="Times New Roman" w:eastAsia="Times New Roman" w:hAnsi="Times New Roman" w:cs="Times New Roman"/>
          <w:sz w:val="24"/>
          <w:szCs w:val="24"/>
          <w:lang w:eastAsia="en-GB"/>
        </w:rPr>
        <w:t>ly improved firm value</w:t>
      </w:r>
      <w:r w:rsidRPr="003D258E">
        <w:rPr>
          <w:rFonts w:ascii="Times New Roman" w:eastAsia="Times New Roman" w:hAnsi="Times New Roman" w:cs="Times New Roman"/>
          <w:sz w:val="24"/>
          <w:szCs w:val="24"/>
          <w:lang w:eastAsia="en-GB"/>
        </w:rPr>
        <w:t xml:space="preserve"> although the effect differed across sectors, with ESG disclosure positively associated with firm val</w:t>
      </w:r>
      <w:r>
        <w:rPr>
          <w:rFonts w:ascii="Times New Roman" w:eastAsia="Times New Roman" w:hAnsi="Times New Roman" w:cs="Times New Roman"/>
          <w:sz w:val="24"/>
          <w:szCs w:val="24"/>
          <w:lang w:eastAsia="en-GB"/>
        </w:rPr>
        <w:t>ue among non-manufacturing companies</w:t>
      </w:r>
      <w:r w:rsidRPr="003D258E">
        <w:rPr>
          <w:rFonts w:ascii="Times New Roman" w:eastAsia="Times New Roman" w:hAnsi="Times New Roman" w:cs="Times New Roman"/>
          <w:sz w:val="24"/>
          <w:szCs w:val="24"/>
          <w:lang w:eastAsia="en-GB"/>
        </w:rPr>
        <w:t xml:space="preserve"> but negatively associated with</w:t>
      </w:r>
      <w:r>
        <w:rPr>
          <w:rFonts w:ascii="Times New Roman" w:eastAsia="Times New Roman" w:hAnsi="Times New Roman" w:cs="Times New Roman"/>
          <w:sz w:val="24"/>
          <w:szCs w:val="24"/>
          <w:lang w:eastAsia="en-GB"/>
        </w:rPr>
        <w:t xml:space="preserve"> value among manufacturing companies</w:t>
      </w:r>
      <w:r w:rsidRPr="003D258E">
        <w:rPr>
          <w:rFonts w:ascii="Times New Roman" w:eastAsia="Times New Roman" w:hAnsi="Times New Roman" w:cs="Times New Roman"/>
          <w:sz w:val="24"/>
          <w:szCs w:val="24"/>
          <w:lang w:eastAsia="en-GB"/>
        </w:rPr>
        <w:t>.</w:t>
      </w:r>
    </w:p>
    <w:p w14:paraId="7A9939C7" w14:textId="77777777" w:rsidR="00033846" w:rsidRDefault="001F4A65" w:rsidP="00033846">
      <w:pPr>
        <w:spacing w:after="120" w:line="240" w:lineRule="auto"/>
        <w:jc w:val="both"/>
        <w:rPr>
          <w:rFonts w:ascii="Times New Roman" w:eastAsia="Times New Roman" w:hAnsi="Times New Roman" w:cs="Times New Roman"/>
          <w:sz w:val="24"/>
          <w:szCs w:val="24"/>
          <w:lang w:eastAsia="en-GB"/>
        </w:rPr>
      </w:pPr>
      <w:proofErr w:type="spellStart"/>
      <w:r w:rsidRPr="001F4A65">
        <w:rPr>
          <w:rFonts w:ascii="Times New Roman" w:eastAsia="Times New Roman" w:hAnsi="Times New Roman" w:cs="Times New Roman"/>
          <w:sz w:val="24"/>
          <w:szCs w:val="24"/>
          <w:lang w:eastAsia="en-GB"/>
        </w:rPr>
        <w:t>Ezejiofor</w:t>
      </w:r>
      <w:proofErr w:type="spellEnd"/>
      <w:r w:rsidRPr="001F4A65">
        <w:rPr>
          <w:rFonts w:ascii="Times New Roman" w:eastAsia="Times New Roman" w:hAnsi="Times New Roman" w:cs="Times New Roman"/>
          <w:sz w:val="24"/>
          <w:szCs w:val="24"/>
          <w:lang w:eastAsia="en-GB"/>
        </w:rPr>
        <w:t xml:space="preserve"> and Ufot (2025) </w:t>
      </w:r>
      <w:r>
        <w:rPr>
          <w:rFonts w:ascii="Times New Roman" w:eastAsia="Times New Roman" w:hAnsi="Times New Roman" w:cs="Times New Roman"/>
          <w:sz w:val="24"/>
          <w:szCs w:val="24"/>
          <w:lang w:eastAsia="en-GB"/>
        </w:rPr>
        <w:t>evaluated the effect of ESG reporting on firm value of 18 listed consumer-goods companies</w:t>
      </w:r>
      <w:r w:rsidRPr="001F4A65">
        <w:rPr>
          <w:rFonts w:ascii="Times New Roman" w:eastAsia="Times New Roman" w:hAnsi="Times New Roman" w:cs="Times New Roman"/>
          <w:sz w:val="24"/>
          <w:szCs w:val="24"/>
          <w:lang w:eastAsia="en-GB"/>
        </w:rPr>
        <w:t xml:space="preserve"> in Nigeria over 2012–2023,</w:t>
      </w:r>
      <w:r>
        <w:rPr>
          <w:rFonts w:ascii="Times New Roman" w:eastAsia="Times New Roman" w:hAnsi="Times New Roman" w:cs="Times New Roman"/>
          <w:sz w:val="24"/>
          <w:szCs w:val="24"/>
          <w:lang w:eastAsia="en-GB"/>
        </w:rPr>
        <w:t xml:space="preserve"> using an ex-post facto design </w:t>
      </w:r>
      <w:r w:rsidRPr="001F4A65">
        <w:rPr>
          <w:rFonts w:ascii="Times New Roman" w:eastAsia="Times New Roman" w:hAnsi="Times New Roman" w:cs="Times New Roman"/>
          <w:sz w:val="24"/>
          <w:szCs w:val="24"/>
          <w:lang w:eastAsia="en-GB"/>
        </w:rPr>
        <w:t>and multiple regression analysis. The study found that environmental</w:t>
      </w:r>
      <w:r>
        <w:rPr>
          <w:rFonts w:ascii="Times New Roman" w:eastAsia="Times New Roman" w:hAnsi="Times New Roman" w:cs="Times New Roman"/>
          <w:sz w:val="24"/>
          <w:szCs w:val="24"/>
          <w:lang w:eastAsia="en-GB"/>
        </w:rPr>
        <w:t xml:space="preserve"> and governance</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reporting</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reduced firm value</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while </w:t>
      </w:r>
      <w:r w:rsidRPr="001F4A65">
        <w:rPr>
          <w:rFonts w:ascii="Times New Roman" w:eastAsia="Times New Roman" w:hAnsi="Times New Roman" w:cs="Times New Roman"/>
          <w:sz w:val="24"/>
          <w:szCs w:val="24"/>
          <w:lang w:eastAsia="en-GB"/>
        </w:rPr>
        <w:t xml:space="preserve">social </w:t>
      </w:r>
      <w:r>
        <w:rPr>
          <w:rFonts w:ascii="Times New Roman" w:eastAsia="Times New Roman" w:hAnsi="Times New Roman" w:cs="Times New Roman"/>
          <w:sz w:val="24"/>
          <w:szCs w:val="24"/>
          <w:lang w:eastAsia="en-GB"/>
        </w:rPr>
        <w:t>reporting</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increased it</w:t>
      </w:r>
      <w:r w:rsidRPr="001F4A65">
        <w:rPr>
          <w:rFonts w:ascii="Times New Roman" w:eastAsia="Times New Roman" w:hAnsi="Times New Roman" w:cs="Times New Roman"/>
          <w:sz w:val="24"/>
          <w:szCs w:val="24"/>
          <w:lang w:eastAsia="en-GB"/>
        </w:rPr>
        <w:t>.</w:t>
      </w:r>
      <w:r w:rsidR="00033846">
        <w:rPr>
          <w:rFonts w:ascii="Times New Roman" w:eastAsia="Times New Roman" w:hAnsi="Times New Roman" w:cs="Times New Roman"/>
          <w:sz w:val="24"/>
          <w:szCs w:val="24"/>
          <w:lang w:eastAsia="en-GB"/>
        </w:rPr>
        <w:t xml:space="preserve"> </w:t>
      </w:r>
    </w:p>
    <w:p w14:paraId="634A71FD" w14:textId="77777777" w:rsidR="003D258E" w:rsidRDefault="001F4A65" w:rsidP="005E306C">
      <w:pPr>
        <w:spacing w:after="120" w:line="240" w:lineRule="auto"/>
        <w:jc w:val="both"/>
        <w:rPr>
          <w:rFonts w:ascii="Times New Roman" w:eastAsia="Times New Roman" w:hAnsi="Times New Roman" w:cs="Times New Roman"/>
          <w:sz w:val="24"/>
          <w:szCs w:val="24"/>
          <w:lang w:eastAsia="en-GB"/>
        </w:rPr>
      </w:pPr>
      <w:proofErr w:type="spellStart"/>
      <w:r w:rsidRPr="001F4A65">
        <w:rPr>
          <w:rFonts w:ascii="Times New Roman" w:eastAsia="Times New Roman" w:hAnsi="Times New Roman" w:cs="Times New Roman"/>
          <w:sz w:val="24"/>
          <w:szCs w:val="24"/>
          <w:lang w:eastAsia="en-GB"/>
        </w:rPr>
        <w:t>Ibiang</w:t>
      </w:r>
      <w:proofErr w:type="spellEnd"/>
      <w:r w:rsidRPr="001F4A65">
        <w:rPr>
          <w:rFonts w:ascii="Times New Roman" w:eastAsia="Times New Roman" w:hAnsi="Times New Roman" w:cs="Times New Roman"/>
          <w:sz w:val="24"/>
          <w:szCs w:val="24"/>
          <w:lang w:eastAsia="en-GB"/>
        </w:rPr>
        <w:t xml:space="preserve"> et al. (2025) </w:t>
      </w:r>
      <w:r>
        <w:rPr>
          <w:rFonts w:ascii="Times New Roman" w:eastAsia="Times New Roman" w:hAnsi="Times New Roman" w:cs="Times New Roman"/>
          <w:sz w:val="24"/>
          <w:szCs w:val="24"/>
          <w:lang w:eastAsia="en-GB"/>
        </w:rPr>
        <w:t>assessed 59 listed non-financial companies</w:t>
      </w:r>
      <w:r w:rsidRPr="001F4A65">
        <w:rPr>
          <w:rFonts w:ascii="Times New Roman" w:eastAsia="Times New Roman" w:hAnsi="Times New Roman" w:cs="Times New Roman"/>
          <w:sz w:val="24"/>
          <w:szCs w:val="24"/>
          <w:lang w:eastAsia="en-GB"/>
        </w:rPr>
        <w:t xml:space="preserve"> in Nigeria</w:t>
      </w:r>
      <w:r>
        <w:rPr>
          <w:rFonts w:ascii="Times New Roman" w:eastAsia="Times New Roman" w:hAnsi="Times New Roman" w:cs="Times New Roman"/>
          <w:sz w:val="24"/>
          <w:szCs w:val="24"/>
          <w:lang w:eastAsia="en-GB"/>
        </w:rPr>
        <w:t>, selecting a sample of 43 companies over the period 2014–2023</w:t>
      </w:r>
      <w:r w:rsidRPr="001F4A65">
        <w:rPr>
          <w:rFonts w:ascii="Times New Roman" w:eastAsia="Times New Roman" w:hAnsi="Times New Roman" w:cs="Times New Roman"/>
          <w:sz w:val="24"/>
          <w:szCs w:val="24"/>
          <w:lang w:eastAsia="en-GB"/>
        </w:rPr>
        <w:t>. The study used an ex-post facto research design, constructed ESG scores using a weighted disclosure index, and app</w:t>
      </w:r>
      <w:r>
        <w:rPr>
          <w:rFonts w:ascii="Times New Roman" w:eastAsia="Times New Roman" w:hAnsi="Times New Roman" w:cs="Times New Roman"/>
          <w:sz w:val="24"/>
          <w:szCs w:val="24"/>
          <w:lang w:eastAsia="en-GB"/>
        </w:rPr>
        <w:t xml:space="preserve">lied panel regression analysis for data analysis. </w:t>
      </w:r>
      <w:r w:rsidRPr="001F4A65">
        <w:rPr>
          <w:rFonts w:ascii="Times New Roman" w:eastAsia="Times New Roman" w:hAnsi="Times New Roman" w:cs="Times New Roman"/>
          <w:sz w:val="24"/>
          <w:szCs w:val="24"/>
          <w:lang w:eastAsia="en-GB"/>
        </w:rPr>
        <w:t xml:space="preserve">The findings </w:t>
      </w:r>
      <w:r w:rsidR="003D258E">
        <w:rPr>
          <w:rFonts w:ascii="Times New Roman" w:eastAsia="Times New Roman" w:hAnsi="Times New Roman" w:cs="Times New Roman"/>
          <w:sz w:val="24"/>
          <w:szCs w:val="24"/>
          <w:lang w:eastAsia="en-GB"/>
        </w:rPr>
        <w:t>reported</w:t>
      </w:r>
      <w:r w:rsidRPr="001F4A65">
        <w:rPr>
          <w:rFonts w:ascii="Times New Roman" w:eastAsia="Times New Roman" w:hAnsi="Times New Roman" w:cs="Times New Roman"/>
          <w:sz w:val="24"/>
          <w:szCs w:val="24"/>
          <w:lang w:eastAsia="en-GB"/>
        </w:rPr>
        <w:t xml:space="preserve"> a positive and significant relationship between ESG reporting and firm value, with governance indicators ex</w:t>
      </w:r>
      <w:r w:rsidR="005E306C">
        <w:rPr>
          <w:rFonts w:ascii="Times New Roman" w:eastAsia="Times New Roman" w:hAnsi="Times New Roman" w:cs="Times New Roman"/>
          <w:sz w:val="24"/>
          <w:szCs w:val="24"/>
          <w:lang w:eastAsia="en-GB"/>
        </w:rPr>
        <w:t>erting the strongest influence.</w:t>
      </w:r>
    </w:p>
    <w:p w14:paraId="3A03E9ED" w14:textId="77777777" w:rsidR="00033846" w:rsidRDefault="003D258E" w:rsidP="00033846">
      <w:pPr>
        <w:spacing w:after="120" w:line="240" w:lineRule="auto"/>
        <w:jc w:val="both"/>
        <w:rPr>
          <w:rFonts w:ascii="Times New Roman" w:eastAsia="Times New Roman" w:hAnsi="Times New Roman" w:cs="Times New Roman"/>
          <w:sz w:val="24"/>
          <w:szCs w:val="24"/>
          <w:lang w:eastAsia="en-GB"/>
        </w:rPr>
      </w:pPr>
      <w:proofErr w:type="spellStart"/>
      <w:r w:rsidRPr="003D258E">
        <w:rPr>
          <w:rFonts w:ascii="Times New Roman" w:eastAsia="Times New Roman" w:hAnsi="Times New Roman" w:cs="Times New Roman"/>
          <w:sz w:val="24"/>
          <w:szCs w:val="24"/>
          <w:lang w:eastAsia="en-GB"/>
        </w:rPr>
        <w:t>Otor</w:t>
      </w:r>
      <w:r w:rsidR="002A06F5">
        <w:rPr>
          <w:rFonts w:ascii="Times New Roman" w:eastAsia="Times New Roman" w:hAnsi="Times New Roman" w:cs="Times New Roman"/>
          <w:sz w:val="24"/>
          <w:szCs w:val="24"/>
          <w:lang w:eastAsia="en-GB"/>
        </w:rPr>
        <w:t>i</w:t>
      </w:r>
      <w:proofErr w:type="spellEnd"/>
      <w:r w:rsidR="002A06F5">
        <w:rPr>
          <w:rFonts w:ascii="Times New Roman" w:eastAsia="Times New Roman" w:hAnsi="Times New Roman" w:cs="Times New Roman"/>
          <w:sz w:val="24"/>
          <w:szCs w:val="24"/>
          <w:lang w:eastAsia="en-GB"/>
        </w:rPr>
        <w:t xml:space="preserve"> (2025) examined the effect ESG reporting</w:t>
      </w:r>
      <w:r w:rsidRPr="003D258E">
        <w:rPr>
          <w:rFonts w:ascii="Times New Roman" w:eastAsia="Times New Roman" w:hAnsi="Times New Roman" w:cs="Times New Roman"/>
          <w:sz w:val="24"/>
          <w:szCs w:val="24"/>
          <w:lang w:eastAsia="en-GB"/>
        </w:rPr>
        <w:t xml:space="preserve"> on firm value among listed non-financial firms in Nigeria. The study focused on 52 listed manufa</w:t>
      </w:r>
      <w:r w:rsidR="002A06F5">
        <w:rPr>
          <w:rFonts w:ascii="Times New Roman" w:eastAsia="Times New Roman" w:hAnsi="Times New Roman" w:cs="Times New Roman"/>
          <w:sz w:val="24"/>
          <w:szCs w:val="24"/>
          <w:lang w:eastAsia="en-GB"/>
        </w:rPr>
        <w:t>cturing and consumer-goods companies</w:t>
      </w:r>
      <w:r w:rsidRPr="003D258E">
        <w:rPr>
          <w:rFonts w:ascii="Times New Roman" w:eastAsia="Times New Roman" w:hAnsi="Times New Roman" w:cs="Times New Roman"/>
          <w:sz w:val="24"/>
          <w:szCs w:val="24"/>
          <w:lang w:eastAsia="en-GB"/>
        </w:rPr>
        <w:t xml:space="preserve">, generating 416 firm-year observations, and employed an ex-post facto research design with panel regression techniques, including fixed-effects estimation. The findings </w:t>
      </w:r>
      <w:r w:rsidR="002A06F5">
        <w:rPr>
          <w:rFonts w:ascii="Times New Roman" w:eastAsia="Times New Roman" w:hAnsi="Times New Roman" w:cs="Times New Roman"/>
          <w:sz w:val="24"/>
          <w:szCs w:val="24"/>
          <w:lang w:eastAsia="en-GB"/>
        </w:rPr>
        <w:t>revealed</w:t>
      </w:r>
      <w:r w:rsidRPr="003D258E">
        <w:rPr>
          <w:rFonts w:ascii="Times New Roman" w:eastAsia="Times New Roman" w:hAnsi="Times New Roman" w:cs="Times New Roman"/>
          <w:sz w:val="24"/>
          <w:szCs w:val="24"/>
          <w:lang w:eastAsia="en-GB"/>
        </w:rPr>
        <w:t xml:space="preserve"> that environmental, and governance disclosures positively and significantly affected </w:t>
      </w:r>
      <w:r w:rsidR="002A06F5">
        <w:rPr>
          <w:rFonts w:ascii="Times New Roman" w:eastAsia="Times New Roman" w:hAnsi="Times New Roman" w:cs="Times New Roman"/>
          <w:sz w:val="24"/>
          <w:szCs w:val="24"/>
          <w:lang w:eastAsia="en-GB"/>
        </w:rPr>
        <w:t>firm value</w:t>
      </w:r>
      <w:r w:rsidRPr="003D258E">
        <w:rPr>
          <w:rFonts w:ascii="Times New Roman" w:eastAsia="Times New Roman" w:hAnsi="Times New Roman" w:cs="Times New Roman"/>
          <w:sz w:val="24"/>
          <w:szCs w:val="24"/>
          <w:lang w:eastAsia="en-GB"/>
        </w:rPr>
        <w:t>, while social disclosure w</w:t>
      </w:r>
      <w:r w:rsidR="002A06F5">
        <w:rPr>
          <w:rFonts w:ascii="Times New Roman" w:eastAsia="Times New Roman" w:hAnsi="Times New Roman" w:cs="Times New Roman"/>
          <w:sz w:val="24"/>
          <w:szCs w:val="24"/>
          <w:lang w:eastAsia="en-GB"/>
        </w:rPr>
        <w:t>as only marginally significant.</w:t>
      </w:r>
    </w:p>
    <w:p w14:paraId="4331FBF8" w14:textId="342FC3D9" w:rsidR="00EA4412" w:rsidRDefault="00B22625" w:rsidP="005E306C">
      <w:pPr>
        <w:spacing w:after="120" w:line="240" w:lineRule="auto"/>
        <w:jc w:val="both"/>
        <w:rPr>
          <w:rFonts w:ascii="Times New Roman" w:eastAsia="Times New Roman" w:hAnsi="Times New Roman" w:cs="Times New Roman"/>
          <w:sz w:val="24"/>
          <w:szCs w:val="24"/>
          <w:lang w:eastAsia="en-GB"/>
        </w:rPr>
      </w:pPr>
      <w:proofErr w:type="spellStart"/>
      <w:r w:rsidRPr="00B22625">
        <w:rPr>
          <w:rFonts w:ascii="Times New Roman" w:eastAsia="Times New Roman" w:hAnsi="Times New Roman" w:cs="Times New Roman"/>
          <w:sz w:val="24"/>
          <w:szCs w:val="24"/>
          <w:lang w:eastAsia="en-GB"/>
        </w:rPr>
        <w:t>Nampoothiri</w:t>
      </w:r>
      <w:proofErr w:type="spellEnd"/>
      <w:r w:rsidRPr="00B22625">
        <w:rPr>
          <w:rFonts w:ascii="Times New Roman" w:eastAsia="Times New Roman" w:hAnsi="Times New Roman" w:cs="Times New Roman"/>
          <w:sz w:val="24"/>
          <w:szCs w:val="24"/>
          <w:lang w:eastAsia="en-GB"/>
        </w:rPr>
        <w:t xml:space="preserve"> et al. (2024) studied listed non-financial companies across 30 European countries, covering 2015–201</w:t>
      </w:r>
      <w:r>
        <w:rPr>
          <w:rFonts w:ascii="Times New Roman" w:eastAsia="Times New Roman" w:hAnsi="Times New Roman" w:cs="Times New Roman"/>
          <w:sz w:val="24"/>
          <w:szCs w:val="24"/>
          <w:lang w:eastAsia="en-GB"/>
        </w:rPr>
        <w:t>9 and excluding 2017, with companies</w:t>
      </w:r>
      <w:r w:rsidRPr="00B22625">
        <w:rPr>
          <w:rFonts w:ascii="Times New Roman" w:eastAsia="Times New Roman" w:hAnsi="Times New Roman" w:cs="Times New Roman"/>
          <w:sz w:val="24"/>
          <w:szCs w:val="24"/>
          <w:lang w:eastAsia="en-GB"/>
        </w:rPr>
        <w:t xml:space="preserve"> in </w:t>
      </w:r>
      <w:r>
        <w:rPr>
          <w:rFonts w:ascii="Times New Roman" w:eastAsia="Times New Roman" w:hAnsi="Times New Roman" w:cs="Times New Roman"/>
          <w:sz w:val="24"/>
          <w:szCs w:val="24"/>
          <w:lang w:eastAsia="en-GB"/>
        </w:rPr>
        <w:t>8</w:t>
      </w:r>
      <w:r w:rsidRPr="00B22625">
        <w:rPr>
          <w:rFonts w:ascii="Times New Roman" w:eastAsia="Times New Roman" w:hAnsi="Times New Roman" w:cs="Times New Roman"/>
          <w:sz w:val="24"/>
          <w:szCs w:val="24"/>
          <w:lang w:eastAsia="en-GB"/>
        </w:rPr>
        <w:t xml:space="preserve"> industries included in the analysis. The study employed a difference-in-differences regression technique with industry-country clustered robust standard errors, using Tobin’s Q as the measure of firm </w:t>
      </w:r>
      <w:r>
        <w:rPr>
          <w:rFonts w:ascii="Times New Roman" w:eastAsia="Times New Roman" w:hAnsi="Times New Roman" w:cs="Times New Roman"/>
          <w:sz w:val="24"/>
          <w:szCs w:val="24"/>
          <w:lang w:eastAsia="en-GB"/>
        </w:rPr>
        <w:t>value. The findings showed that ESG</w:t>
      </w:r>
      <w:r w:rsidRPr="00B22625">
        <w:rPr>
          <w:rFonts w:ascii="Times New Roman" w:eastAsia="Times New Roman" w:hAnsi="Times New Roman" w:cs="Times New Roman"/>
          <w:sz w:val="24"/>
          <w:szCs w:val="24"/>
          <w:lang w:eastAsia="en-GB"/>
        </w:rPr>
        <w:t xml:space="preserve"> disclosure had no statistically significant aggregate effect on firm value, although significant differences were observed across industries.</w:t>
      </w:r>
    </w:p>
    <w:p w14:paraId="6F9C2EE2" w14:textId="77777777" w:rsidR="00EA4412" w:rsidRDefault="00B22625" w:rsidP="005E306C">
      <w:pPr>
        <w:spacing w:after="120" w:line="240" w:lineRule="auto"/>
        <w:jc w:val="both"/>
        <w:rPr>
          <w:rFonts w:ascii="Times New Roman" w:eastAsia="Times New Roman" w:hAnsi="Times New Roman" w:cs="Times New Roman"/>
          <w:sz w:val="24"/>
          <w:szCs w:val="24"/>
          <w:lang w:eastAsia="en-GB"/>
        </w:rPr>
      </w:pPr>
      <w:r w:rsidRPr="00B22625">
        <w:rPr>
          <w:rFonts w:ascii="Times New Roman" w:eastAsia="Times New Roman" w:hAnsi="Times New Roman" w:cs="Times New Roman"/>
          <w:sz w:val="24"/>
          <w:szCs w:val="24"/>
          <w:lang w:eastAsia="en-GB"/>
        </w:rPr>
        <w:t xml:space="preserve">Desai (2024) </w:t>
      </w:r>
      <w:r>
        <w:rPr>
          <w:rFonts w:ascii="Times New Roman" w:eastAsia="Times New Roman" w:hAnsi="Times New Roman" w:cs="Times New Roman"/>
          <w:sz w:val="24"/>
          <w:szCs w:val="24"/>
          <w:lang w:eastAsia="en-GB"/>
        </w:rPr>
        <w:t xml:space="preserve">investigated </w:t>
      </w:r>
      <w:r w:rsidRPr="00B22625">
        <w:rPr>
          <w:rFonts w:ascii="Times New Roman" w:eastAsia="Times New Roman" w:hAnsi="Times New Roman" w:cs="Times New Roman"/>
          <w:sz w:val="24"/>
          <w:szCs w:val="24"/>
          <w:lang w:eastAsia="en-GB"/>
        </w:rPr>
        <w:t>940 listed non-financial companies in India using data for</w:t>
      </w:r>
      <w:r w:rsidR="001B1996">
        <w:rPr>
          <w:rFonts w:ascii="Times New Roman" w:eastAsia="Times New Roman" w:hAnsi="Times New Roman" w:cs="Times New Roman"/>
          <w:sz w:val="24"/>
          <w:szCs w:val="24"/>
          <w:lang w:eastAsia="en-GB"/>
        </w:rPr>
        <w:t xml:space="preserve"> 2021–2022</w:t>
      </w:r>
      <w:r w:rsidRPr="00B22625">
        <w:rPr>
          <w:rFonts w:ascii="Times New Roman" w:eastAsia="Times New Roman" w:hAnsi="Times New Roman" w:cs="Times New Roman"/>
          <w:sz w:val="24"/>
          <w:szCs w:val="24"/>
          <w:lang w:eastAsia="en-GB"/>
        </w:rPr>
        <w:t xml:space="preserve">. The study adopted a cross-sectional regression analysis </w:t>
      </w:r>
      <w:r w:rsidR="001B1996">
        <w:rPr>
          <w:rFonts w:ascii="Times New Roman" w:eastAsia="Times New Roman" w:hAnsi="Times New Roman" w:cs="Times New Roman"/>
          <w:sz w:val="24"/>
          <w:szCs w:val="24"/>
          <w:lang w:eastAsia="en-GB"/>
        </w:rPr>
        <w:t xml:space="preserve">and the </w:t>
      </w:r>
      <w:r w:rsidRPr="00B22625">
        <w:rPr>
          <w:rFonts w:ascii="Times New Roman" w:eastAsia="Times New Roman" w:hAnsi="Times New Roman" w:cs="Times New Roman"/>
          <w:sz w:val="24"/>
          <w:szCs w:val="24"/>
          <w:lang w:eastAsia="en-GB"/>
        </w:rPr>
        <w:t xml:space="preserve">findings revealed that ESG disclosure </w:t>
      </w:r>
      <w:r w:rsidR="001B1996">
        <w:rPr>
          <w:rFonts w:ascii="Times New Roman" w:eastAsia="Times New Roman" w:hAnsi="Times New Roman" w:cs="Times New Roman"/>
          <w:sz w:val="24"/>
          <w:szCs w:val="24"/>
          <w:lang w:eastAsia="en-GB"/>
        </w:rPr>
        <w:t>increase firm value. A</w:t>
      </w:r>
      <w:r w:rsidRPr="00B22625">
        <w:rPr>
          <w:rFonts w:ascii="Times New Roman" w:eastAsia="Times New Roman" w:hAnsi="Times New Roman" w:cs="Times New Roman"/>
          <w:sz w:val="24"/>
          <w:szCs w:val="24"/>
          <w:lang w:eastAsia="en-GB"/>
        </w:rPr>
        <w:t>lthough the strength of the relationship was weaker among carbon-se</w:t>
      </w:r>
      <w:r w:rsidR="005E306C">
        <w:rPr>
          <w:rFonts w:ascii="Times New Roman" w:eastAsia="Times New Roman" w:hAnsi="Times New Roman" w:cs="Times New Roman"/>
          <w:sz w:val="24"/>
          <w:szCs w:val="24"/>
          <w:lang w:eastAsia="en-GB"/>
        </w:rPr>
        <w:t>nsitive companies</w:t>
      </w:r>
    </w:p>
    <w:p w14:paraId="55BF937B" w14:textId="77777777" w:rsidR="00033846" w:rsidRDefault="001B1996" w:rsidP="00033846">
      <w:pPr>
        <w:spacing w:after="12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Mutiah</w:t>
      </w:r>
      <w:proofErr w:type="spellEnd"/>
      <w:r>
        <w:rPr>
          <w:rFonts w:ascii="Times New Roman" w:eastAsia="Times New Roman" w:hAnsi="Times New Roman" w:cs="Times New Roman"/>
          <w:sz w:val="24"/>
          <w:szCs w:val="24"/>
          <w:lang w:eastAsia="en-GB"/>
        </w:rPr>
        <w:t xml:space="preserve"> and </w:t>
      </w:r>
      <w:proofErr w:type="spellStart"/>
      <w:r>
        <w:rPr>
          <w:rFonts w:ascii="Times New Roman" w:eastAsia="Times New Roman" w:hAnsi="Times New Roman" w:cs="Times New Roman"/>
          <w:sz w:val="24"/>
          <w:szCs w:val="24"/>
          <w:lang w:eastAsia="en-GB"/>
        </w:rPr>
        <w:t>Rusmanto</w:t>
      </w:r>
      <w:proofErr w:type="spellEnd"/>
      <w:r>
        <w:rPr>
          <w:rFonts w:ascii="Times New Roman" w:eastAsia="Times New Roman" w:hAnsi="Times New Roman" w:cs="Times New Roman"/>
          <w:sz w:val="24"/>
          <w:szCs w:val="24"/>
          <w:lang w:eastAsia="en-GB"/>
        </w:rPr>
        <w:t xml:space="preserve"> (</w:t>
      </w:r>
      <w:r w:rsidRPr="001B1996">
        <w:rPr>
          <w:rFonts w:ascii="Times New Roman" w:eastAsia="Times New Roman" w:hAnsi="Times New Roman" w:cs="Times New Roman"/>
          <w:sz w:val="24"/>
          <w:szCs w:val="24"/>
          <w:lang w:eastAsia="en-GB"/>
        </w:rPr>
        <w:t xml:space="preserve">2024) </w:t>
      </w:r>
      <w:r>
        <w:rPr>
          <w:rFonts w:ascii="Times New Roman" w:eastAsia="Times New Roman" w:hAnsi="Times New Roman" w:cs="Times New Roman"/>
          <w:sz w:val="24"/>
          <w:szCs w:val="24"/>
          <w:lang w:eastAsia="en-GB"/>
        </w:rPr>
        <w:t>carried out a study on</w:t>
      </w:r>
      <w:r w:rsidRPr="001B1996">
        <w:rPr>
          <w:rFonts w:ascii="Times New Roman" w:eastAsia="Times New Roman" w:hAnsi="Times New Roman" w:cs="Times New Roman"/>
          <w:sz w:val="24"/>
          <w:szCs w:val="24"/>
          <w:lang w:eastAsia="en-GB"/>
        </w:rPr>
        <w:t xml:space="preserve"> 294 companies listed on the Bloomberg ESG In</w:t>
      </w:r>
      <w:r>
        <w:rPr>
          <w:rFonts w:ascii="Times New Roman" w:eastAsia="Times New Roman" w:hAnsi="Times New Roman" w:cs="Times New Roman"/>
          <w:sz w:val="24"/>
          <w:szCs w:val="24"/>
          <w:lang w:eastAsia="en-GB"/>
        </w:rPr>
        <w:t>dex across five ASEAN countries (</w:t>
      </w:r>
      <w:r w:rsidRPr="001B1996">
        <w:rPr>
          <w:rFonts w:ascii="Times New Roman" w:eastAsia="Times New Roman" w:hAnsi="Times New Roman" w:cs="Times New Roman"/>
          <w:sz w:val="24"/>
          <w:szCs w:val="24"/>
          <w:lang w:eastAsia="en-GB"/>
        </w:rPr>
        <w:t>Indonesia, Malaysia, the Phili</w:t>
      </w:r>
      <w:r>
        <w:rPr>
          <w:rFonts w:ascii="Times New Roman" w:eastAsia="Times New Roman" w:hAnsi="Times New Roman" w:cs="Times New Roman"/>
          <w:sz w:val="24"/>
          <w:szCs w:val="24"/>
          <w:lang w:eastAsia="en-GB"/>
        </w:rPr>
        <w:t xml:space="preserve">ppines, Singapore, and </w:t>
      </w:r>
      <w:r>
        <w:rPr>
          <w:rFonts w:ascii="Times New Roman" w:eastAsia="Times New Roman" w:hAnsi="Times New Roman" w:cs="Times New Roman"/>
          <w:sz w:val="24"/>
          <w:szCs w:val="24"/>
          <w:lang w:eastAsia="en-GB"/>
        </w:rPr>
        <w:lastRenderedPageBreak/>
        <w:t xml:space="preserve">Thailand) </w:t>
      </w:r>
      <w:r w:rsidRPr="001B1996">
        <w:rPr>
          <w:rFonts w:ascii="Times New Roman" w:eastAsia="Times New Roman" w:hAnsi="Times New Roman" w:cs="Times New Roman"/>
          <w:sz w:val="24"/>
          <w:szCs w:val="24"/>
          <w:lang w:eastAsia="en-GB"/>
        </w:rPr>
        <w:t xml:space="preserve">over the period 2018–2021. The findings indicated that ESG </w:t>
      </w:r>
      <w:r>
        <w:rPr>
          <w:rFonts w:ascii="Times New Roman" w:eastAsia="Times New Roman" w:hAnsi="Times New Roman" w:cs="Times New Roman"/>
          <w:sz w:val="24"/>
          <w:szCs w:val="24"/>
          <w:lang w:eastAsia="en-GB"/>
        </w:rPr>
        <w:t>reporting</w:t>
      </w:r>
      <w:r w:rsidRPr="001B199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enhanced</w:t>
      </w:r>
      <w:r w:rsidRPr="001B1996">
        <w:rPr>
          <w:rFonts w:ascii="Times New Roman" w:eastAsia="Times New Roman" w:hAnsi="Times New Roman" w:cs="Times New Roman"/>
          <w:sz w:val="24"/>
          <w:szCs w:val="24"/>
          <w:lang w:eastAsia="en-GB"/>
        </w:rPr>
        <w:t xml:space="preserve"> firm value, while the disaggregated results indicated that environmental and social </w:t>
      </w:r>
      <w:r>
        <w:rPr>
          <w:rFonts w:ascii="Times New Roman" w:eastAsia="Times New Roman" w:hAnsi="Times New Roman" w:cs="Times New Roman"/>
          <w:sz w:val="24"/>
          <w:szCs w:val="24"/>
          <w:lang w:eastAsia="en-GB"/>
        </w:rPr>
        <w:t>reporting</w:t>
      </w:r>
      <w:r w:rsidRPr="001B199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increased the firm value</w:t>
      </w:r>
      <w:r w:rsidRPr="001B1996">
        <w:rPr>
          <w:rFonts w:ascii="Times New Roman" w:eastAsia="Times New Roman" w:hAnsi="Times New Roman" w:cs="Times New Roman"/>
          <w:sz w:val="24"/>
          <w:szCs w:val="24"/>
          <w:lang w:eastAsia="en-GB"/>
        </w:rPr>
        <w:t xml:space="preserve">, whereas governance disclosure </w:t>
      </w:r>
      <w:r>
        <w:rPr>
          <w:rFonts w:ascii="Times New Roman" w:eastAsia="Times New Roman" w:hAnsi="Times New Roman" w:cs="Times New Roman"/>
          <w:sz w:val="24"/>
          <w:szCs w:val="24"/>
          <w:lang w:eastAsia="en-GB"/>
        </w:rPr>
        <w:t xml:space="preserve">decreased it. This suggests </w:t>
      </w:r>
      <w:r w:rsidRPr="001B1996">
        <w:rPr>
          <w:rFonts w:ascii="Times New Roman" w:eastAsia="Times New Roman" w:hAnsi="Times New Roman" w:cs="Times New Roman"/>
          <w:sz w:val="24"/>
          <w:szCs w:val="24"/>
          <w:lang w:eastAsia="en-GB"/>
        </w:rPr>
        <w:t>that the value relevance of ESG reporting differs across its individual dimensions.</w:t>
      </w:r>
    </w:p>
    <w:p w14:paraId="3189A76E" w14:textId="27792C3B" w:rsidR="001B1996" w:rsidRDefault="001F4A65" w:rsidP="00033846">
      <w:pPr>
        <w:spacing w:after="120" w:line="240" w:lineRule="auto"/>
        <w:jc w:val="both"/>
        <w:rPr>
          <w:rFonts w:ascii="Times New Roman" w:eastAsia="Times New Roman" w:hAnsi="Times New Roman" w:cs="Times New Roman"/>
          <w:sz w:val="24"/>
          <w:szCs w:val="24"/>
          <w:lang w:eastAsia="en-GB"/>
        </w:rPr>
      </w:pPr>
      <w:r w:rsidRPr="001F4A65">
        <w:rPr>
          <w:rFonts w:ascii="Times New Roman" w:eastAsia="Times New Roman" w:hAnsi="Times New Roman" w:cs="Times New Roman"/>
          <w:sz w:val="24"/>
          <w:szCs w:val="24"/>
          <w:lang w:eastAsia="en-GB"/>
        </w:rPr>
        <w:t xml:space="preserve">Rahat and Nguyen (2024) examined the effect of ESG </w:t>
      </w:r>
      <w:r>
        <w:rPr>
          <w:rFonts w:ascii="Times New Roman" w:eastAsia="Times New Roman" w:hAnsi="Times New Roman" w:cs="Times New Roman"/>
          <w:sz w:val="24"/>
          <w:szCs w:val="24"/>
          <w:lang w:eastAsia="en-GB"/>
        </w:rPr>
        <w:t>reporting on firm value of non-financial companies</w:t>
      </w:r>
      <w:r w:rsidRPr="001F4A65">
        <w:rPr>
          <w:rFonts w:ascii="Times New Roman" w:eastAsia="Times New Roman" w:hAnsi="Times New Roman" w:cs="Times New Roman"/>
          <w:sz w:val="24"/>
          <w:szCs w:val="24"/>
          <w:lang w:eastAsia="en-GB"/>
        </w:rPr>
        <w:t xml:space="preserve"> across 16 emerging markets over an 11-year period, employing </w:t>
      </w:r>
      <w:r>
        <w:rPr>
          <w:rFonts w:ascii="Times New Roman" w:eastAsia="Times New Roman" w:hAnsi="Times New Roman" w:cs="Times New Roman"/>
          <w:sz w:val="24"/>
          <w:szCs w:val="24"/>
          <w:lang w:eastAsia="en-GB"/>
        </w:rPr>
        <w:t>fixed-effects panel estimations for data analysis</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Pr="001F4A65">
        <w:rPr>
          <w:rFonts w:ascii="Times New Roman" w:eastAsia="Times New Roman" w:hAnsi="Times New Roman" w:cs="Times New Roman"/>
          <w:sz w:val="24"/>
          <w:szCs w:val="24"/>
          <w:lang w:eastAsia="en-GB"/>
        </w:rPr>
        <w:t xml:space="preserve">he study </w:t>
      </w:r>
      <w:r>
        <w:rPr>
          <w:rFonts w:ascii="Times New Roman" w:eastAsia="Times New Roman" w:hAnsi="Times New Roman" w:cs="Times New Roman"/>
          <w:sz w:val="24"/>
          <w:szCs w:val="24"/>
          <w:lang w:eastAsia="en-GB"/>
        </w:rPr>
        <w:t>revealed</w:t>
      </w:r>
      <w:r w:rsidRPr="001F4A65">
        <w:rPr>
          <w:rFonts w:ascii="Times New Roman" w:eastAsia="Times New Roman" w:hAnsi="Times New Roman" w:cs="Times New Roman"/>
          <w:sz w:val="24"/>
          <w:szCs w:val="24"/>
          <w:lang w:eastAsia="en-GB"/>
        </w:rPr>
        <w:t xml:space="preserve"> a positive relationship between ESG </w:t>
      </w:r>
      <w:r>
        <w:rPr>
          <w:rFonts w:ascii="Times New Roman" w:eastAsia="Times New Roman" w:hAnsi="Times New Roman" w:cs="Times New Roman"/>
          <w:sz w:val="24"/>
          <w:szCs w:val="24"/>
          <w:lang w:eastAsia="en-GB"/>
        </w:rPr>
        <w:t>reporting and firm value.</w:t>
      </w:r>
    </w:p>
    <w:p w14:paraId="08E90753" w14:textId="77777777" w:rsidR="00033846" w:rsidRDefault="00050634" w:rsidP="00033846">
      <w:pPr>
        <w:spacing w:after="120" w:line="240" w:lineRule="auto"/>
        <w:jc w:val="both"/>
        <w:rPr>
          <w:rFonts w:ascii="Times New Roman" w:eastAsia="Times New Roman" w:hAnsi="Times New Roman" w:cs="Times New Roman"/>
          <w:sz w:val="24"/>
          <w:szCs w:val="24"/>
          <w:lang w:eastAsia="en-GB"/>
        </w:rPr>
      </w:pPr>
      <w:r w:rsidRPr="00050634">
        <w:rPr>
          <w:rFonts w:ascii="Times New Roman" w:eastAsia="Times New Roman" w:hAnsi="Times New Roman" w:cs="Times New Roman"/>
          <w:sz w:val="24"/>
          <w:szCs w:val="24"/>
          <w:lang w:eastAsia="en-GB"/>
        </w:rPr>
        <w:t>Al-</w:t>
      </w:r>
      <w:proofErr w:type="spellStart"/>
      <w:r w:rsidRPr="00050634">
        <w:rPr>
          <w:rFonts w:ascii="Times New Roman" w:eastAsia="Times New Roman" w:hAnsi="Times New Roman" w:cs="Times New Roman"/>
          <w:sz w:val="24"/>
          <w:szCs w:val="24"/>
          <w:lang w:eastAsia="en-GB"/>
        </w:rPr>
        <w:t>Tarawneh</w:t>
      </w:r>
      <w:proofErr w:type="spellEnd"/>
      <w:r w:rsidRPr="00050634">
        <w:rPr>
          <w:rFonts w:ascii="Times New Roman" w:eastAsia="Times New Roman" w:hAnsi="Times New Roman" w:cs="Times New Roman"/>
          <w:sz w:val="24"/>
          <w:szCs w:val="24"/>
          <w:lang w:eastAsia="en-GB"/>
        </w:rPr>
        <w:t xml:space="preserve"> et al. (2024) </w:t>
      </w:r>
      <w:r w:rsidR="00774EE0">
        <w:rPr>
          <w:rFonts w:ascii="Times New Roman" w:eastAsia="Times New Roman" w:hAnsi="Times New Roman" w:cs="Times New Roman"/>
          <w:sz w:val="24"/>
          <w:szCs w:val="24"/>
          <w:lang w:eastAsia="en-GB"/>
        </w:rPr>
        <w:t>ascertained</w:t>
      </w:r>
      <w:r w:rsidRPr="00050634">
        <w:rPr>
          <w:rFonts w:ascii="Times New Roman" w:eastAsia="Times New Roman" w:hAnsi="Times New Roman" w:cs="Times New Roman"/>
          <w:sz w:val="24"/>
          <w:szCs w:val="24"/>
          <w:lang w:eastAsia="en-GB"/>
        </w:rPr>
        <w:t xml:space="preserve"> the </w:t>
      </w:r>
      <w:r w:rsidR="00774EE0">
        <w:rPr>
          <w:rFonts w:ascii="Times New Roman" w:eastAsia="Times New Roman" w:hAnsi="Times New Roman" w:cs="Times New Roman"/>
          <w:sz w:val="24"/>
          <w:szCs w:val="24"/>
          <w:lang w:eastAsia="en-GB"/>
        </w:rPr>
        <w:t>effect of</w:t>
      </w:r>
      <w:r w:rsidRPr="00050634">
        <w:rPr>
          <w:rFonts w:ascii="Times New Roman" w:eastAsia="Times New Roman" w:hAnsi="Times New Roman" w:cs="Times New Roman"/>
          <w:sz w:val="24"/>
          <w:szCs w:val="24"/>
          <w:lang w:eastAsia="en-GB"/>
        </w:rPr>
        <w:t xml:space="preserve"> ESG scores and c</w:t>
      </w:r>
      <w:r w:rsidR="00774EE0">
        <w:rPr>
          <w:rFonts w:ascii="Times New Roman" w:eastAsia="Times New Roman" w:hAnsi="Times New Roman" w:cs="Times New Roman"/>
          <w:sz w:val="24"/>
          <w:szCs w:val="24"/>
          <w:lang w:eastAsia="en-GB"/>
        </w:rPr>
        <w:t>orporate financial performance among non-financial companies</w:t>
      </w:r>
      <w:r w:rsidRPr="00050634">
        <w:rPr>
          <w:rFonts w:ascii="Times New Roman" w:eastAsia="Times New Roman" w:hAnsi="Times New Roman" w:cs="Times New Roman"/>
          <w:sz w:val="24"/>
          <w:szCs w:val="24"/>
          <w:lang w:eastAsia="en-GB"/>
        </w:rPr>
        <w:t xml:space="preserve"> listed in the United Kingdom. The study covered </w:t>
      </w:r>
      <w:r w:rsidR="00774EE0">
        <w:rPr>
          <w:rFonts w:ascii="Times New Roman" w:eastAsia="Times New Roman" w:hAnsi="Times New Roman" w:cs="Times New Roman"/>
          <w:sz w:val="24"/>
          <w:szCs w:val="24"/>
          <w:lang w:eastAsia="en-GB"/>
        </w:rPr>
        <w:t>2015–2023 and included 188 companies</w:t>
      </w:r>
      <w:r w:rsidRPr="00050634">
        <w:rPr>
          <w:rFonts w:ascii="Times New Roman" w:eastAsia="Times New Roman" w:hAnsi="Times New Roman" w:cs="Times New Roman"/>
          <w:sz w:val="24"/>
          <w:szCs w:val="24"/>
          <w:lang w:eastAsia="en-GB"/>
        </w:rPr>
        <w:t xml:space="preserve">, employing a panel research design with panel regression </w:t>
      </w:r>
      <w:r w:rsidR="00774EE0">
        <w:rPr>
          <w:rFonts w:ascii="Times New Roman" w:eastAsia="Times New Roman" w:hAnsi="Times New Roman" w:cs="Times New Roman"/>
          <w:sz w:val="24"/>
          <w:szCs w:val="24"/>
          <w:lang w:eastAsia="en-GB"/>
        </w:rPr>
        <w:t>for data analysis</w:t>
      </w:r>
      <w:r w:rsidRPr="00050634">
        <w:rPr>
          <w:rFonts w:ascii="Times New Roman" w:eastAsia="Times New Roman" w:hAnsi="Times New Roman" w:cs="Times New Roman"/>
          <w:sz w:val="24"/>
          <w:szCs w:val="24"/>
          <w:lang w:eastAsia="en-GB"/>
        </w:rPr>
        <w:t>. The findings revealed that aggregate ESG performance had a negative and statistically significant effect on Tobin’s Q, while governance performance also had a negative and sig</w:t>
      </w:r>
      <w:r w:rsidR="00774EE0">
        <w:rPr>
          <w:rFonts w:ascii="Times New Roman" w:eastAsia="Times New Roman" w:hAnsi="Times New Roman" w:cs="Times New Roman"/>
          <w:sz w:val="24"/>
          <w:szCs w:val="24"/>
          <w:lang w:eastAsia="en-GB"/>
        </w:rPr>
        <w:t>nificant effect at the 1% level</w:t>
      </w:r>
      <w:r w:rsidR="001C0D0D">
        <w:rPr>
          <w:rFonts w:ascii="Times New Roman" w:eastAsia="Times New Roman" w:hAnsi="Times New Roman" w:cs="Times New Roman"/>
          <w:sz w:val="24"/>
          <w:szCs w:val="24"/>
          <w:lang w:eastAsia="en-GB"/>
        </w:rPr>
        <w:t>.</w:t>
      </w:r>
      <w:r w:rsidR="00033846">
        <w:rPr>
          <w:rFonts w:ascii="Times New Roman" w:eastAsia="Times New Roman" w:hAnsi="Times New Roman" w:cs="Times New Roman"/>
          <w:sz w:val="24"/>
          <w:szCs w:val="24"/>
          <w:lang w:eastAsia="en-GB"/>
        </w:rPr>
        <w:t xml:space="preserve"> </w:t>
      </w:r>
    </w:p>
    <w:p w14:paraId="6ECA9EE4" w14:textId="77777777" w:rsidR="002A06F5" w:rsidRDefault="002A06F5" w:rsidP="005E306C">
      <w:pPr>
        <w:spacing w:after="120" w:line="240" w:lineRule="auto"/>
        <w:jc w:val="both"/>
        <w:rPr>
          <w:rFonts w:ascii="Times New Roman" w:eastAsia="Times New Roman" w:hAnsi="Times New Roman" w:cs="Times New Roman"/>
          <w:sz w:val="24"/>
          <w:szCs w:val="24"/>
          <w:lang w:eastAsia="en-GB"/>
        </w:rPr>
      </w:pPr>
      <w:proofErr w:type="spellStart"/>
      <w:r w:rsidRPr="002A06F5">
        <w:rPr>
          <w:rFonts w:ascii="Times New Roman" w:eastAsia="Times New Roman" w:hAnsi="Times New Roman" w:cs="Times New Roman"/>
          <w:sz w:val="24"/>
          <w:szCs w:val="24"/>
          <w:lang w:eastAsia="en-GB"/>
        </w:rPr>
        <w:t>Gerged</w:t>
      </w:r>
      <w:proofErr w:type="spellEnd"/>
      <w:r w:rsidRPr="002A06F5">
        <w:rPr>
          <w:rFonts w:ascii="Times New Roman" w:eastAsia="Times New Roman" w:hAnsi="Times New Roman" w:cs="Times New Roman"/>
          <w:sz w:val="24"/>
          <w:szCs w:val="24"/>
          <w:lang w:eastAsia="en-GB"/>
        </w:rPr>
        <w:t xml:space="preserve"> et al. (2023) </w:t>
      </w:r>
      <w:r>
        <w:rPr>
          <w:rFonts w:ascii="Times New Roman" w:eastAsia="Times New Roman" w:hAnsi="Times New Roman" w:cs="Times New Roman"/>
          <w:sz w:val="24"/>
          <w:szCs w:val="24"/>
          <w:lang w:eastAsia="en-GB"/>
        </w:rPr>
        <w:t>studied</w:t>
      </w:r>
      <w:r w:rsidRPr="002A06F5">
        <w:rPr>
          <w:rFonts w:ascii="Times New Roman" w:eastAsia="Times New Roman" w:hAnsi="Times New Roman" w:cs="Times New Roman"/>
          <w:sz w:val="24"/>
          <w:szCs w:val="24"/>
          <w:lang w:eastAsia="en-GB"/>
        </w:rPr>
        <w:t xml:space="preserve"> whether ESG disclosure, enhance firm value among leading listed companies in the United States, Canada, and the United Kingdom. The study covered 2013–2019 </w:t>
      </w:r>
      <w:r>
        <w:rPr>
          <w:rFonts w:ascii="Times New Roman" w:eastAsia="Times New Roman" w:hAnsi="Times New Roman" w:cs="Times New Roman"/>
          <w:sz w:val="24"/>
          <w:szCs w:val="24"/>
          <w:lang w:eastAsia="en-GB"/>
        </w:rPr>
        <w:t xml:space="preserve">with a </w:t>
      </w:r>
      <w:r w:rsidRPr="002A06F5">
        <w:rPr>
          <w:rFonts w:ascii="Times New Roman" w:eastAsia="Times New Roman" w:hAnsi="Times New Roman" w:cs="Times New Roman"/>
          <w:sz w:val="24"/>
          <w:szCs w:val="24"/>
          <w:lang w:eastAsia="en-GB"/>
        </w:rPr>
        <w:t xml:space="preserve">sample </w:t>
      </w:r>
      <w:r>
        <w:rPr>
          <w:rFonts w:ascii="Times New Roman" w:eastAsia="Times New Roman" w:hAnsi="Times New Roman" w:cs="Times New Roman"/>
          <w:sz w:val="24"/>
          <w:szCs w:val="24"/>
          <w:lang w:eastAsia="en-GB"/>
        </w:rPr>
        <w:t>of 6,978 firm-year observations</w:t>
      </w:r>
      <w:r w:rsidRPr="002A06F5">
        <w:rPr>
          <w:rFonts w:ascii="Times New Roman" w:eastAsia="Times New Roman" w:hAnsi="Times New Roman" w:cs="Times New Roman"/>
          <w:sz w:val="24"/>
          <w:szCs w:val="24"/>
          <w:lang w:eastAsia="en-GB"/>
        </w:rPr>
        <w:t>. The researchers adopted a panel research design and emp</w:t>
      </w:r>
      <w:r>
        <w:rPr>
          <w:rFonts w:ascii="Times New Roman" w:eastAsia="Times New Roman" w:hAnsi="Times New Roman" w:cs="Times New Roman"/>
          <w:sz w:val="24"/>
          <w:szCs w:val="24"/>
          <w:lang w:eastAsia="en-GB"/>
        </w:rPr>
        <w:t xml:space="preserve">loyed fixed-effects regression for statically data analysis. The </w:t>
      </w:r>
      <w:r w:rsidRPr="002A06F5">
        <w:rPr>
          <w:rFonts w:ascii="Times New Roman" w:eastAsia="Times New Roman" w:hAnsi="Times New Roman" w:cs="Times New Roman"/>
          <w:sz w:val="24"/>
          <w:szCs w:val="24"/>
          <w:lang w:eastAsia="en-GB"/>
        </w:rPr>
        <w:t xml:space="preserve">finding </w:t>
      </w:r>
      <w:r>
        <w:rPr>
          <w:rFonts w:ascii="Times New Roman" w:eastAsia="Times New Roman" w:hAnsi="Times New Roman" w:cs="Times New Roman"/>
          <w:sz w:val="24"/>
          <w:szCs w:val="24"/>
          <w:lang w:eastAsia="en-GB"/>
        </w:rPr>
        <w:t xml:space="preserve">indicated </w:t>
      </w:r>
      <w:r w:rsidRPr="002A06F5">
        <w:rPr>
          <w:rFonts w:ascii="Times New Roman" w:eastAsia="Times New Roman" w:hAnsi="Times New Roman" w:cs="Times New Roman"/>
          <w:sz w:val="24"/>
          <w:szCs w:val="24"/>
          <w:lang w:eastAsia="en-GB"/>
        </w:rPr>
        <w:t>that ESG ratings alone did not significantly predict firm value, whereas integrated sustainability transparency approaches were positively associated with market value.</w:t>
      </w:r>
    </w:p>
    <w:p w14:paraId="6E3E8351" w14:textId="77777777" w:rsidR="001C0D0D" w:rsidRDefault="002A06F5" w:rsidP="001C0D0D">
      <w:pPr>
        <w:spacing w:after="120" w:line="240" w:lineRule="auto"/>
        <w:jc w:val="both"/>
        <w:rPr>
          <w:rFonts w:ascii="Times New Roman" w:eastAsia="Times New Roman" w:hAnsi="Times New Roman" w:cs="Times New Roman"/>
          <w:sz w:val="24"/>
          <w:szCs w:val="24"/>
          <w:lang w:eastAsia="en-GB"/>
        </w:rPr>
      </w:pPr>
      <w:r w:rsidRPr="002A06F5">
        <w:rPr>
          <w:rFonts w:ascii="Times New Roman" w:eastAsia="Times New Roman" w:hAnsi="Times New Roman" w:cs="Times New Roman"/>
          <w:sz w:val="24"/>
          <w:szCs w:val="24"/>
          <w:lang w:eastAsia="en-GB"/>
        </w:rPr>
        <w:t xml:space="preserve">Gonçalves et al. (2023) </w:t>
      </w:r>
      <w:r>
        <w:rPr>
          <w:rFonts w:ascii="Times New Roman" w:eastAsia="Times New Roman" w:hAnsi="Times New Roman" w:cs="Times New Roman"/>
          <w:sz w:val="24"/>
          <w:szCs w:val="24"/>
          <w:lang w:eastAsia="en-GB"/>
        </w:rPr>
        <w:t>researched into</w:t>
      </w:r>
      <w:r w:rsidRPr="002A06F5">
        <w:rPr>
          <w:rFonts w:ascii="Times New Roman" w:eastAsia="Times New Roman" w:hAnsi="Times New Roman" w:cs="Times New Roman"/>
          <w:sz w:val="24"/>
          <w:szCs w:val="24"/>
          <w:lang w:eastAsia="en-GB"/>
        </w:rPr>
        <w:t xml:space="preserve"> the association between ESG perform</w:t>
      </w:r>
      <w:r>
        <w:rPr>
          <w:rFonts w:ascii="Times New Roman" w:eastAsia="Times New Roman" w:hAnsi="Times New Roman" w:cs="Times New Roman"/>
          <w:sz w:val="24"/>
          <w:szCs w:val="24"/>
          <w:lang w:eastAsia="en-GB"/>
        </w:rPr>
        <w:t>ance and financial performance</w:t>
      </w:r>
      <w:r w:rsidRPr="002A06F5">
        <w:rPr>
          <w:rFonts w:ascii="Times New Roman" w:eastAsia="Times New Roman" w:hAnsi="Times New Roman" w:cs="Times New Roman"/>
          <w:sz w:val="24"/>
          <w:szCs w:val="24"/>
          <w:lang w:eastAsia="en-GB"/>
        </w:rPr>
        <w:t xml:space="preserve"> among companies included in the STOXX Europe 600. T</w:t>
      </w:r>
      <w:r>
        <w:rPr>
          <w:rFonts w:ascii="Times New Roman" w:eastAsia="Times New Roman" w:hAnsi="Times New Roman" w:cs="Times New Roman"/>
          <w:sz w:val="24"/>
          <w:szCs w:val="24"/>
          <w:lang w:eastAsia="en-GB"/>
        </w:rPr>
        <w:t>he study analysed European companies</w:t>
      </w:r>
      <w:r w:rsidRPr="002A06F5">
        <w:rPr>
          <w:rFonts w:ascii="Times New Roman" w:eastAsia="Times New Roman" w:hAnsi="Times New Roman" w:cs="Times New Roman"/>
          <w:sz w:val="24"/>
          <w:szCs w:val="24"/>
          <w:lang w:eastAsia="en-GB"/>
        </w:rPr>
        <w:t xml:space="preserve"> over the post-2</w:t>
      </w:r>
      <w:r>
        <w:rPr>
          <w:rFonts w:ascii="Times New Roman" w:eastAsia="Times New Roman" w:hAnsi="Times New Roman" w:cs="Times New Roman"/>
          <w:sz w:val="24"/>
          <w:szCs w:val="24"/>
          <w:lang w:eastAsia="en-GB"/>
        </w:rPr>
        <w:t xml:space="preserve">015 period. </w:t>
      </w:r>
      <w:r w:rsidRPr="002A06F5">
        <w:rPr>
          <w:rFonts w:ascii="Times New Roman" w:eastAsia="Times New Roman" w:hAnsi="Times New Roman" w:cs="Times New Roman"/>
          <w:sz w:val="24"/>
          <w:szCs w:val="24"/>
          <w:lang w:eastAsia="en-GB"/>
        </w:rPr>
        <w:t xml:space="preserve">The study employed econometric regression approaches and found ESG </w:t>
      </w:r>
      <w:r>
        <w:rPr>
          <w:rFonts w:ascii="Times New Roman" w:eastAsia="Times New Roman" w:hAnsi="Times New Roman" w:cs="Times New Roman"/>
          <w:sz w:val="24"/>
          <w:szCs w:val="24"/>
          <w:lang w:eastAsia="en-GB"/>
        </w:rPr>
        <w:t>reporting significantly increase firm value</w:t>
      </w:r>
      <w:r w:rsidRPr="002A06F5">
        <w:rPr>
          <w:rFonts w:ascii="Times New Roman" w:eastAsia="Times New Roman" w:hAnsi="Times New Roman" w:cs="Times New Roman"/>
          <w:sz w:val="24"/>
          <w:szCs w:val="24"/>
          <w:lang w:eastAsia="en-GB"/>
        </w:rPr>
        <w:t>, with the social dimension producing the strongest effect</w:t>
      </w:r>
      <w:r w:rsidR="001C0D0D">
        <w:rPr>
          <w:rFonts w:ascii="Times New Roman" w:eastAsia="Times New Roman" w:hAnsi="Times New Roman" w:cs="Times New Roman"/>
          <w:sz w:val="24"/>
          <w:szCs w:val="24"/>
          <w:lang w:eastAsia="en-GB"/>
        </w:rPr>
        <w:t>.</w:t>
      </w:r>
      <w:r w:rsidR="00033846">
        <w:rPr>
          <w:rFonts w:ascii="Times New Roman" w:eastAsia="Times New Roman" w:hAnsi="Times New Roman" w:cs="Times New Roman"/>
          <w:sz w:val="24"/>
          <w:szCs w:val="24"/>
          <w:lang w:eastAsia="en-GB"/>
        </w:rPr>
        <w:t xml:space="preserve"> </w:t>
      </w:r>
    </w:p>
    <w:p w14:paraId="6F40A93E" w14:textId="77777777" w:rsidR="00EA4412" w:rsidRPr="00947194" w:rsidRDefault="00947194" w:rsidP="005E306C">
      <w:pPr>
        <w:spacing w:after="120" w:line="240" w:lineRule="auto"/>
        <w:jc w:val="both"/>
        <w:rPr>
          <w:rFonts w:ascii="Times New Roman" w:eastAsia="Times New Roman" w:hAnsi="Times New Roman" w:cs="Times New Roman"/>
          <w:sz w:val="24"/>
          <w:szCs w:val="24"/>
          <w:lang w:eastAsia="en-GB"/>
        </w:rPr>
      </w:pPr>
      <w:proofErr w:type="spellStart"/>
      <w:r w:rsidRPr="00947194">
        <w:rPr>
          <w:rFonts w:ascii="Times New Roman" w:eastAsia="Times New Roman" w:hAnsi="Times New Roman" w:cs="Times New Roman"/>
          <w:bCs/>
          <w:sz w:val="24"/>
          <w:szCs w:val="24"/>
          <w:lang w:eastAsia="en-GB"/>
        </w:rPr>
        <w:t>Boulhaga</w:t>
      </w:r>
      <w:proofErr w:type="spellEnd"/>
      <w:r w:rsidRPr="00947194">
        <w:rPr>
          <w:rFonts w:ascii="Times New Roman" w:eastAsia="Times New Roman" w:hAnsi="Times New Roman" w:cs="Times New Roman"/>
          <w:bCs/>
          <w:sz w:val="24"/>
          <w:szCs w:val="24"/>
          <w:lang w:eastAsia="en-GB"/>
        </w:rPr>
        <w:t xml:space="preserve"> et al. (2023) investigated the effect of ESG ratings on firm performance among 98 French listed companies over the period 2012–2018. The study adopted a panel research design and employed multiple linear regression and system GMM t</w:t>
      </w:r>
      <w:r>
        <w:rPr>
          <w:rFonts w:ascii="Times New Roman" w:eastAsia="Times New Roman" w:hAnsi="Times New Roman" w:cs="Times New Roman"/>
          <w:bCs/>
          <w:sz w:val="24"/>
          <w:szCs w:val="24"/>
          <w:lang w:eastAsia="en-GB"/>
        </w:rPr>
        <w:t>o address potential endogeneity.</w:t>
      </w:r>
      <w:r w:rsidRPr="00947194">
        <w:rPr>
          <w:rFonts w:ascii="Times New Roman" w:eastAsia="Times New Roman" w:hAnsi="Times New Roman" w:cs="Times New Roman"/>
          <w:bCs/>
          <w:sz w:val="24"/>
          <w:szCs w:val="24"/>
          <w:lang w:eastAsia="en-GB"/>
        </w:rPr>
        <w:t xml:space="preserve"> The findings </w:t>
      </w:r>
      <w:r>
        <w:rPr>
          <w:rFonts w:ascii="Times New Roman" w:eastAsia="Times New Roman" w:hAnsi="Times New Roman" w:cs="Times New Roman"/>
          <w:bCs/>
          <w:sz w:val="24"/>
          <w:szCs w:val="24"/>
          <w:lang w:eastAsia="en-GB"/>
        </w:rPr>
        <w:t>reported</w:t>
      </w:r>
      <w:r w:rsidRPr="00947194">
        <w:rPr>
          <w:rFonts w:ascii="Times New Roman" w:eastAsia="Times New Roman" w:hAnsi="Times New Roman" w:cs="Times New Roman"/>
          <w:bCs/>
          <w:sz w:val="24"/>
          <w:szCs w:val="24"/>
          <w:lang w:eastAsia="en-GB"/>
        </w:rPr>
        <w:t xml:space="preserve"> that ESG ratings had a positive and statistically significant effect on Tobin’s Q, while internal control weaknesses negatively moderated the ESG–firm performance relationship.</w:t>
      </w:r>
    </w:p>
    <w:p w14:paraId="1EA9A23E" w14:textId="77777777" w:rsidR="00947194" w:rsidRPr="00947194" w:rsidRDefault="00947194" w:rsidP="005E306C">
      <w:pPr>
        <w:spacing w:after="12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Aydog</w:t>
      </w:r>
      <w:r w:rsidRPr="00947194">
        <w:rPr>
          <w:rFonts w:ascii="Times New Roman" w:eastAsia="Times New Roman" w:hAnsi="Times New Roman" w:cs="Times New Roman"/>
          <w:sz w:val="24"/>
          <w:szCs w:val="24"/>
          <w:lang w:eastAsia="en-GB"/>
        </w:rPr>
        <w:t>muş</w:t>
      </w:r>
      <w:proofErr w:type="spellEnd"/>
      <w:r w:rsidRPr="00947194">
        <w:rPr>
          <w:rFonts w:ascii="Times New Roman" w:eastAsia="Times New Roman" w:hAnsi="Times New Roman" w:cs="Times New Roman"/>
          <w:sz w:val="24"/>
          <w:szCs w:val="24"/>
          <w:lang w:eastAsia="en-GB"/>
        </w:rPr>
        <w:t xml:space="preserve"> et al. (2022) </w:t>
      </w:r>
      <w:r>
        <w:rPr>
          <w:rFonts w:ascii="Times New Roman" w:eastAsia="Times New Roman" w:hAnsi="Times New Roman" w:cs="Times New Roman"/>
          <w:sz w:val="24"/>
          <w:szCs w:val="24"/>
          <w:lang w:eastAsia="en-GB"/>
        </w:rPr>
        <w:t>determined</w:t>
      </w:r>
      <w:r w:rsidRPr="00947194">
        <w:rPr>
          <w:rFonts w:ascii="Times New Roman" w:eastAsia="Times New Roman" w:hAnsi="Times New Roman" w:cs="Times New Roman"/>
          <w:sz w:val="24"/>
          <w:szCs w:val="24"/>
          <w:lang w:eastAsia="en-GB"/>
        </w:rPr>
        <w:t xml:space="preserve"> the effect o</w:t>
      </w:r>
      <w:r>
        <w:rPr>
          <w:rFonts w:ascii="Times New Roman" w:eastAsia="Times New Roman" w:hAnsi="Times New Roman" w:cs="Times New Roman"/>
          <w:sz w:val="24"/>
          <w:szCs w:val="24"/>
          <w:lang w:eastAsia="en-GB"/>
        </w:rPr>
        <w:t>f ESG performance on firm value using a large sample of companies</w:t>
      </w:r>
      <w:r w:rsidRPr="00947194">
        <w:rPr>
          <w:rFonts w:ascii="Times New Roman" w:eastAsia="Times New Roman" w:hAnsi="Times New Roman" w:cs="Times New Roman"/>
          <w:sz w:val="24"/>
          <w:szCs w:val="24"/>
          <w:lang w:eastAsia="en-GB"/>
        </w:rPr>
        <w:t xml:space="preserve">. The study employed panel-data regression analysis to examine both the aggregate ESG score and the individual environmental, social, and governance dimensions. The findings </w:t>
      </w:r>
      <w:r>
        <w:rPr>
          <w:rFonts w:ascii="Times New Roman" w:eastAsia="Times New Roman" w:hAnsi="Times New Roman" w:cs="Times New Roman"/>
          <w:sz w:val="24"/>
          <w:szCs w:val="24"/>
          <w:lang w:eastAsia="en-GB"/>
        </w:rPr>
        <w:t>revealed</w:t>
      </w:r>
      <w:r w:rsidRPr="00947194">
        <w:rPr>
          <w:rFonts w:ascii="Times New Roman" w:eastAsia="Times New Roman" w:hAnsi="Times New Roman" w:cs="Times New Roman"/>
          <w:sz w:val="24"/>
          <w:szCs w:val="24"/>
          <w:lang w:eastAsia="en-GB"/>
        </w:rPr>
        <w:t xml:space="preserve"> that aggregate ESG, social, and governance scores were positively and significantly associated with firm value, whereas the environmental score had no significant relationship with firm value, although all ESG measures positively affected profitability.</w:t>
      </w:r>
    </w:p>
    <w:p w14:paraId="6CC1DB98" w14:textId="77777777" w:rsidR="00C13690" w:rsidRDefault="00947194" w:rsidP="005E306C">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Dinca</w:t>
      </w:r>
      <w:r w:rsidRPr="00947194">
        <w:rPr>
          <w:rFonts w:ascii="Times New Roman" w:eastAsia="Times New Roman" w:hAnsi="Times New Roman" w:cs="Times New Roman"/>
          <w:sz w:val="24"/>
          <w:szCs w:val="24"/>
          <w:lang w:eastAsia="en-GB"/>
        </w:rPr>
        <w:t xml:space="preserve"> et al. (2022) investigated the relationship between ESG performance and firm value among 131 listed automotive companies worldwide over 2015–2020, using annual ESG and financial data. The study adopted a structural equation modelling (SEM) design, specifically a </w:t>
      </w:r>
      <w:r>
        <w:rPr>
          <w:rFonts w:ascii="Times New Roman" w:eastAsia="Times New Roman" w:hAnsi="Times New Roman" w:cs="Times New Roman"/>
          <w:sz w:val="24"/>
          <w:szCs w:val="24"/>
          <w:lang w:eastAsia="en-GB"/>
        </w:rPr>
        <w:t>cross-lagged panel model for data analysis</w:t>
      </w:r>
      <w:r w:rsidRPr="00947194">
        <w:rPr>
          <w:rFonts w:ascii="Times New Roman" w:eastAsia="Times New Roman" w:hAnsi="Times New Roman" w:cs="Times New Roman"/>
          <w:sz w:val="24"/>
          <w:szCs w:val="24"/>
          <w:lang w:eastAsia="en-GB"/>
        </w:rPr>
        <w:t xml:space="preserve">. The findings </w:t>
      </w:r>
      <w:r>
        <w:rPr>
          <w:rFonts w:ascii="Times New Roman" w:eastAsia="Times New Roman" w:hAnsi="Times New Roman" w:cs="Times New Roman"/>
          <w:sz w:val="24"/>
          <w:szCs w:val="24"/>
          <w:lang w:eastAsia="en-GB"/>
        </w:rPr>
        <w:t xml:space="preserve">showed that </w:t>
      </w:r>
      <w:r w:rsidRPr="00947194">
        <w:rPr>
          <w:rFonts w:ascii="Times New Roman" w:eastAsia="Times New Roman" w:hAnsi="Times New Roman" w:cs="Times New Roman"/>
          <w:sz w:val="24"/>
          <w:szCs w:val="24"/>
          <w:lang w:eastAsia="en-GB"/>
        </w:rPr>
        <w:t>environmental reporting having only one significant positive lagged effect, governance showing both positive and negative effects, and the aggregate ESG score producing both positive and negative effects on subsequent firm value.</w:t>
      </w:r>
    </w:p>
    <w:p w14:paraId="64124376" w14:textId="77777777" w:rsidR="00947194" w:rsidRDefault="00947194" w:rsidP="005E306C">
      <w:pPr>
        <w:spacing w:after="120" w:line="240" w:lineRule="auto"/>
        <w:jc w:val="both"/>
        <w:rPr>
          <w:rFonts w:ascii="Times New Roman" w:eastAsia="Times New Roman" w:hAnsi="Times New Roman" w:cs="Times New Roman"/>
          <w:sz w:val="24"/>
          <w:szCs w:val="24"/>
          <w:lang w:eastAsia="en-GB"/>
        </w:rPr>
      </w:pPr>
      <w:proofErr w:type="spellStart"/>
      <w:r w:rsidRPr="00E03E19">
        <w:rPr>
          <w:rFonts w:ascii="Times New Roman" w:eastAsia="Times New Roman" w:hAnsi="Times New Roman" w:cs="Times New Roman"/>
          <w:sz w:val="24"/>
          <w:szCs w:val="24"/>
          <w:lang w:eastAsia="en-GB"/>
        </w:rPr>
        <w:t>Alareeni</w:t>
      </w:r>
      <w:proofErr w:type="spellEnd"/>
      <w:r w:rsidRPr="00E03E19">
        <w:rPr>
          <w:rFonts w:ascii="Times New Roman" w:eastAsia="Times New Roman" w:hAnsi="Times New Roman" w:cs="Times New Roman"/>
          <w:sz w:val="24"/>
          <w:szCs w:val="24"/>
          <w:lang w:eastAsia="en-GB"/>
        </w:rPr>
        <w:t xml:space="preserve"> and Hamdan (2020)</w:t>
      </w:r>
      <w:r w:rsidRPr="00947194">
        <w:rPr>
          <w:rFonts w:ascii="Times New Roman" w:eastAsia="Times New Roman" w:hAnsi="Times New Roman" w:cs="Times New Roman"/>
          <w:sz w:val="24"/>
          <w:szCs w:val="24"/>
          <w:lang w:eastAsia="en-GB"/>
        </w:rPr>
        <w:t xml:space="preserve"> explored the relationship between ESG disclosure and firm performance among S&amp;P 500-listed companies in the United States over the period 2009–2018. The study empl</w:t>
      </w:r>
      <w:r>
        <w:rPr>
          <w:rFonts w:ascii="Times New Roman" w:eastAsia="Times New Roman" w:hAnsi="Times New Roman" w:cs="Times New Roman"/>
          <w:sz w:val="24"/>
          <w:szCs w:val="24"/>
          <w:lang w:eastAsia="en-GB"/>
        </w:rPr>
        <w:t>oyed panel regression analysis to analyse data.</w:t>
      </w:r>
      <w:r w:rsidRPr="00947194">
        <w:rPr>
          <w:rFonts w:ascii="Times New Roman" w:eastAsia="Times New Roman" w:hAnsi="Times New Roman" w:cs="Times New Roman"/>
          <w:sz w:val="24"/>
          <w:szCs w:val="24"/>
          <w:lang w:eastAsia="en-GB"/>
        </w:rPr>
        <w:t xml:space="preserve"> The findings exhibited that </w:t>
      </w:r>
      <w:r w:rsidRPr="00947194">
        <w:rPr>
          <w:rFonts w:ascii="Times New Roman" w:eastAsia="Times New Roman" w:hAnsi="Times New Roman" w:cs="Times New Roman"/>
          <w:sz w:val="24"/>
          <w:szCs w:val="24"/>
          <w:lang w:eastAsia="en-GB"/>
        </w:rPr>
        <w:lastRenderedPageBreak/>
        <w:t>aggregate ESG disclosure positively affected firm performance, while the individual dimensions produced mixed results: environmental and social disclosure were posit</w:t>
      </w:r>
      <w:r>
        <w:rPr>
          <w:rFonts w:ascii="Times New Roman" w:eastAsia="Times New Roman" w:hAnsi="Times New Roman" w:cs="Times New Roman"/>
          <w:sz w:val="24"/>
          <w:szCs w:val="24"/>
          <w:lang w:eastAsia="en-GB"/>
        </w:rPr>
        <w:t>ively related to Tobin’s Q</w:t>
      </w:r>
      <w:r w:rsidRPr="00947194">
        <w:rPr>
          <w:rFonts w:ascii="Times New Roman" w:eastAsia="Times New Roman" w:hAnsi="Times New Roman" w:cs="Times New Roman"/>
          <w:sz w:val="24"/>
          <w:szCs w:val="24"/>
          <w:lang w:eastAsia="en-GB"/>
        </w:rPr>
        <w:t>, whereas governance disclosur</w:t>
      </w:r>
      <w:r>
        <w:rPr>
          <w:rFonts w:ascii="Times New Roman" w:eastAsia="Times New Roman" w:hAnsi="Times New Roman" w:cs="Times New Roman"/>
          <w:sz w:val="24"/>
          <w:szCs w:val="24"/>
          <w:lang w:eastAsia="en-GB"/>
        </w:rPr>
        <w:t>e positively affected Tobin’s Q.</w:t>
      </w:r>
    </w:p>
    <w:p w14:paraId="2BB2FFC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sz w:val="24"/>
          <w:szCs w:val="24"/>
          <w:lang w:eastAsia="en-GB"/>
        </w:rPr>
        <w:t>The r</w:t>
      </w:r>
      <w:r w:rsidR="00BA696B" w:rsidRPr="00BA696B">
        <w:rPr>
          <w:rFonts w:ascii="Times New Roman" w:eastAsia="Times New Roman" w:hAnsi="Times New Roman" w:cs="Times New Roman"/>
          <w:sz w:val="24"/>
          <w:szCs w:val="24"/>
          <w:lang w:eastAsia="en-GB"/>
        </w:rPr>
        <w:t>eviewed literature reveals two</w:t>
      </w:r>
      <w:r w:rsidRPr="00BA696B">
        <w:rPr>
          <w:rFonts w:ascii="Times New Roman" w:eastAsia="Times New Roman" w:hAnsi="Times New Roman" w:cs="Times New Roman"/>
          <w:sz w:val="24"/>
          <w:szCs w:val="24"/>
          <w:lang w:eastAsia="en-GB"/>
        </w:rPr>
        <w:t xml:space="preserve"> principal gaps. Geographically, evidence remains concentrated in developed markets and selected emerging economies, while Nigerian evidence is often sector-specific. Measurement-wise, many studi</w:t>
      </w:r>
      <w:r w:rsidR="00510D63" w:rsidRPr="00BA696B">
        <w:rPr>
          <w:rFonts w:ascii="Times New Roman" w:eastAsia="Times New Roman" w:hAnsi="Times New Roman" w:cs="Times New Roman"/>
          <w:sz w:val="24"/>
          <w:szCs w:val="24"/>
          <w:lang w:eastAsia="en-GB"/>
        </w:rPr>
        <w:t>es rely on aggregate ESG scores</w:t>
      </w:r>
      <w:r w:rsidRPr="00BA696B">
        <w:rPr>
          <w:rFonts w:ascii="Times New Roman" w:eastAsia="Times New Roman" w:hAnsi="Times New Roman" w:cs="Times New Roman"/>
          <w:sz w:val="24"/>
          <w:szCs w:val="24"/>
          <w:lang w:eastAsia="en-GB"/>
        </w:rPr>
        <w:t>, making it difficult to identify the separate contrib</w:t>
      </w:r>
      <w:r w:rsidR="00510D63" w:rsidRPr="00BA696B">
        <w:rPr>
          <w:rFonts w:ascii="Times New Roman" w:eastAsia="Times New Roman" w:hAnsi="Times New Roman" w:cs="Times New Roman"/>
          <w:sz w:val="24"/>
          <w:szCs w:val="24"/>
          <w:lang w:eastAsia="en-GB"/>
        </w:rPr>
        <w:t xml:space="preserve">utions of the three ESG pillars on </w:t>
      </w:r>
      <w:r w:rsidR="00BA696B" w:rsidRPr="00BA696B">
        <w:rPr>
          <w:rFonts w:ascii="Times New Roman" w:eastAsia="Times New Roman" w:hAnsi="Times New Roman" w:cs="Times New Roman"/>
          <w:sz w:val="24"/>
          <w:szCs w:val="24"/>
          <w:lang w:eastAsia="en-GB"/>
        </w:rPr>
        <w:t>firm value</w:t>
      </w:r>
      <w:r w:rsidRPr="00BA696B">
        <w:rPr>
          <w:rFonts w:ascii="Times New Roman" w:eastAsia="Times New Roman" w:hAnsi="Times New Roman" w:cs="Times New Roman"/>
          <w:sz w:val="24"/>
          <w:szCs w:val="24"/>
          <w:lang w:eastAsia="en-GB"/>
        </w:rPr>
        <w:t>. The present study addresses these gaps by using a 30-item content-analysis index, separating environmental, social and governance reporting, employing Tobin’s Q, and examining a broad panel of listed non-financial companies in Nigeria.</w:t>
      </w:r>
    </w:p>
    <w:p w14:paraId="0D0B3D14" w14:textId="77777777" w:rsidR="00EA4412" w:rsidRDefault="00EA4412" w:rsidP="00F4693E">
      <w:pPr>
        <w:spacing w:after="0" w:line="240" w:lineRule="auto"/>
        <w:jc w:val="both"/>
        <w:rPr>
          <w:rFonts w:ascii="Times New Roman" w:eastAsia="Times New Roman" w:hAnsi="Times New Roman" w:cs="Times New Roman"/>
          <w:b/>
          <w:bCs/>
          <w:color w:val="365F91"/>
          <w:sz w:val="24"/>
          <w:szCs w:val="24"/>
          <w:lang w:eastAsia="en-GB"/>
        </w:rPr>
      </w:pPr>
    </w:p>
    <w:p w14:paraId="0332DC32"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 Methodology</w:t>
      </w:r>
    </w:p>
    <w:p w14:paraId="513618EB"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3.1 Research Design and Sample</w:t>
      </w:r>
    </w:p>
    <w:p w14:paraId="2366D667"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study adopted an ex post facto research design because the variables were derived from historical corporate reports and financial information that could not be manipulated by the researcher. The empirical analysis used panel data for 60 listed non-financial companies in Nigeria over the 2016–2025 period. The ten-year period generated 600 firm-year observations. The use of panel data allows the analysis to exploit both cross-sectional and time-series variation and therefore provides more information than a single-year cross-section.</w:t>
      </w:r>
    </w:p>
    <w:p w14:paraId="3B3BEE88"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unit of analysis was the firm-year observation. Financial institutions were excluded because their operating structures, regulatory requirements and balance-sheet characteristics differ materially from those of non-financial companies. The result</w:t>
      </w:r>
      <w:r w:rsidR="00BA696B">
        <w:rPr>
          <w:rFonts w:ascii="Times New Roman" w:eastAsia="Times New Roman" w:hAnsi="Times New Roman" w:cs="Times New Roman"/>
          <w:sz w:val="24"/>
          <w:szCs w:val="24"/>
          <w:lang w:eastAsia="en-GB"/>
        </w:rPr>
        <w:t>ing focus on non-financial companies</w:t>
      </w:r>
      <w:r w:rsidRPr="00F4693E">
        <w:rPr>
          <w:rFonts w:ascii="Times New Roman" w:eastAsia="Times New Roman" w:hAnsi="Times New Roman" w:cs="Times New Roman"/>
          <w:sz w:val="24"/>
          <w:szCs w:val="24"/>
          <w:lang w:eastAsia="en-GB"/>
        </w:rPr>
        <w:t xml:space="preserve"> improves comparability across the sample and directly addresses the research objective concerning listed non-financial companies.</w:t>
      </w:r>
    </w:p>
    <w:p w14:paraId="053AAB54"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3.2 Sources of Data</w:t>
      </w:r>
    </w:p>
    <w:p w14:paraId="36CB79C7"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study relied on secondary data obtained from the an</w:t>
      </w:r>
      <w:r w:rsidR="00BA696B">
        <w:rPr>
          <w:rFonts w:ascii="Times New Roman" w:eastAsia="Times New Roman" w:hAnsi="Times New Roman" w:cs="Times New Roman"/>
          <w:sz w:val="24"/>
          <w:szCs w:val="24"/>
          <w:lang w:eastAsia="en-GB"/>
        </w:rPr>
        <w:t xml:space="preserve">nual reports and sustainability/ESG reports </w:t>
      </w:r>
      <w:r w:rsidRPr="00F4693E">
        <w:rPr>
          <w:rFonts w:ascii="Times New Roman" w:eastAsia="Times New Roman" w:hAnsi="Times New Roman" w:cs="Times New Roman"/>
          <w:sz w:val="24"/>
          <w:szCs w:val="24"/>
          <w:lang w:eastAsia="en-GB"/>
        </w:rPr>
        <w:t xml:space="preserve">of the sampled companies. Annual reports were used to extract financial information required for Tobin’s Q, firm size and leverage, while ESG disclosures were examined through systematic content analysis. The use of </w:t>
      </w:r>
      <w:r w:rsidR="00BA696B">
        <w:rPr>
          <w:rFonts w:ascii="Times New Roman" w:eastAsia="Times New Roman" w:hAnsi="Times New Roman" w:cs="Times New Roman"/>
          <w:sz w:val="24"/>
          <w:szCs w:val="24"/>
          <w:lang w:eastAsia="en-GB"/>
        </w:rPr>
        <w:t>companies’</w:t>
      </w:r>
      <w:r w:rsidRPr="00F4693E">
        <w:rPr>
          <w:rFonts w:ascii="Times New Roman" w:eastAsia="Times New Roman" w:hAnsi="Times New Roman" w:cs="Times New Roman"/>
          <w:sz w:val="24"/>
          <w:szCs w:val="24"/>
          <w:lang w:eastAsia="en-GB"/>
        </w:rPr>
        <w:t xml:space="preserve"> reports is appropriate because </w:t>
      </w:r>
      <w:r w:rsidR="00BA696B">
        <w:rPr>
          <w:rFonts w:ascii="Times New Roman" w:eastAsia="Times New Roman" w:hAnsi="Times New Roman" w:cs="Times New Roman"/>
          <w:sz w:val="24"/>
          <w:szCs w:val="24"/>
          <w:lang w:eastAsia="en-GB"/>
        </w:rPr>
        <w:t>the study investigates reported</w:t>
      </w:r>
      <w:r w:rsidRPr="00F4693E">
        <w:rPr>
          <w:rFonts w:ascii="Times New Roman" w:eastAsia="Times New Roman" w:hAnsi="Times New Roman" w:cs="Times New Roman"/>
          <w:sz w:val="24"/>
          <w:szCs w:val="24"/>
          <w:lang w:eastAsia="en-GB"/>
        </w:rPr>
        <w:t xml:space="preserve"> information rather than managers’ perceptions of ESG practices.</w:t>
      </w:r>
    </w:p>
    <w:p w14:paraId="370B8CFA" w14:textId="77777777" w:rsid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measurement framework was designed to capture disclosure across the three ESG dimensions. The environmental component comprised environmental management and policy, regulatory compliance, climate strategy, greenhouse-gas emissions, energy efficiency, water management, waste management, pollution prevention, biodiversity and environmental investment. The social component covered employee welfare, health and safety, training and development, diversity and inclusion, human rights, community development, corporate social responsibility, customer responsibility, employee relations and supply-chain responsibility. Governance covered board structure, board independence, board diversity, audit committee, risk management, internal control, business ethics, regulatory compliance, shareholder rights and executive remuneration.</w:t>
      </w:r>
    </w:p>
    <w:p w14:paraId="512C29D0" w14:textId="77777777" w:rsidR="005E306C" w:rsidRDefault="005E306C" w:rsidP="001C0D0D">
      <w:pPr>
        <w:spacing w:after="120" w:line="240" w:lineRule="auto"/>
        <w:jc w:val="both"/>
        <w:rPr>
          <w:rFonts w:ascii="Times New Roman" w:eastAsia="Times New Roman" w:hAnsi="Times New Roman" w:cs="Times New Roman"/>
          <w:sz w:val="24"/>
          <w:szCs w:val="24"/>
          <w:lang w:eastAsia="en-GB"/>
        </w:rPr>
      </w:pPr>
    </w:p>
    <w:p w14:paraId="264CE5FC" w14:textId="77777777" w:rsidR="005E306C" w:rsidRPr="00F4693E" w:rsidRDefault="005E306C" w:rsidP="001C0D0D">
      <w:pPr>
        <w:spacing w:after="120" w:line="240" w:lineRule="auto"/>
        <w:jc w:val="both"/>
        <w:rPr>
          <w:rFonts w:ascii="Times New Roman" w:eastAsia="Times New Roman" w:hAnsi="Times New Roman" w:cs="Times New Roman"/>
          <w:sz w:val="24"/>
          <w:szCs w:val="24"/>
          <w:lang w:eastAsia="en-GB"/>
        </w:rPr>
      </w:pPr>
    </w:p>
    <w:p w14:paraId="6F1FAAB8"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3.3 Measurement of Variables</w:t>
      </w:r>
    </w:p>
    <w:p w14:paraId="2CE53B33"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ESG reporting was measured through a 30-item disclosure index. Each item received a score of 1 where the company disclosed the relevant information and 0 where the information was not disclosed. The environmental reporting index was computed as the number of environmental indicators disclosed divided by 10; the social reporting index was the number </w:t>
      </w:r>
      <w:r w:rsidRPr="00F4693E">
        <w:rPr>
          <w:rFonts w:ascii="Times New Roman" w:eastAsia="Times New Roman" w:hAnsi="Times New Roman" w:cs="Times New Roman"/>
          <w:sz w:val="24"/>
          <w:szCs w:val="24"/>
          <w:lang w:eastAsia="en-GB"/>
        </w:rPr>
        <w:lastRenderedPageBreak/>
        <w:t>of social indicators disclosed divided by 10; and the governance reporting index was the number of governance indicators disclosed divided by 10. The resulting indices range from 0 to 1, with higher values indicating greater disclosure intensity. This approach is transparent, reproducible and suitable for annual-report content analysis.</w:t>
      </w:r>
    </w:p>
    <w:p w14:paraId="711CCBCC"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Tobin’s Q was treated as the market-based measure of firm value and calculated using the conventional relationship between the market value of the firm and the book value of its assets. Firm size (FS) was measured as the natural logarithm of total assets, while financial leverage (FL) was measured as the ratio of debt to total assets. The use of FS and FL as controls helps separate the association between ESG reporting and firm value from differences in scale and capital structure.</w:t>
      </w:r>
    </w:p>
    <w:p w14:paraId="78C33AC1" w14:textId="77777777" w:rsidR="00BA696B" w:rsidRPr="00F4693E" w:rsidRDefault="00BA696B" w:rsidP="00F4693E">
      <w:pPr>
        <w:spacing w:after="0" w:line="240" w:lineRule="auto"/>
        <w:jc w:val="both"/>
        <w:rPr>
          <w:rFonts w:ascii="Times New Roman" w:eastAsia="Times New Roman" w:hAnsi="Times New Roman" w:cs="Times New Roman"/>
          <w:sz w:val="24"/>
          <w:szCs w:val="24"/>
          <w:lang w:eastAsia="en-GB"/>
        </w:rPr>
      </w:pPr>
    </w:p>
    <w:p w14:paraId="74B202C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Table 1. Measurement of Variables</w:t>
      </w:r>
    </w:p>
    <w:tbl>
      <w:tblPr>
        <w:tblW w:w="9209" w:type="dxa"/>
        <w:tblLook w:val="04A0" w:firstRow="1" w:lastRow="0" w:firstColumn="1" w:lastColumn="0" w:noHBand="0" w:noVBand="1"/>
      </w:tblPr>
      <w:tblGrid>
        <w:gridCol w:w="1696"/>
        <w:gridCol w:w="2552"/>
        <w:gridCol w:w="4961"/>
      </w:tblGrid>
      <w:tr w:rsidR="00F4693E" w:rsidRPr="00F4693E" w14:paraId="0CDF99EF" w14:textId="77777777" w:rsidTr="00ED5CF7">
        <w:tc>
          <w:tcPr>
            <w:tcW w:w="1696" w:type="dxa"/>
            <w:tcBorders>
              <w:top w:val="single" w:sz="4" w:space="0" w:color="auto"/>
              <w:bottom w:val="single" w:sz="4" w:space="0" w:color="auto"/>
            </w:tcBorders>
            <w:hideMark/>
          </w:tcPr>
          <w:p w14:paraId="6C22B36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2552" w:type="dxa"/>
            <w:tcBorders>
              <w:top w:val="single" w:sz="4" w:space="0" w:color="auto"/>
              <w:bottom w:val="single" w:sz="4" w:space="0" w:color="auto"/>
            </w:tcBorders>
            <w:hideMark/>
          </w:tcPr>
          <w:p w14:paraId="0A49B8D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Type</w:t>
            </w:r>
          </w:p>
        </w:tc>
        <w:tc>
          <w:tcPr>
            <w:tcW w:w="4961" w:type="dxa"/>
            <w:tcBorders>
              <w:top w:val="single" w:sz="4" w:space="0" w:color="auto"/>
              <w:bottom w:val="single" w:sz="4" w:space="0" w:color="auto"/>
            </w:tcBorders>
            <w:hideMark/>
          </w:tcPr>
          <w:p w14:paraId="4945912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Measurement</w:t>
            </w:r>
          </w:p>
        </w:tc>
      </w:tr>
      <w:tr w:rsidR="00F4693E" w:rsidRPr="00F4693E" w14:paraId="7E099937" w14:textId="77777777" w:rsidTr="00ED5CF7">
        <w:tc>
          <w:tcPr>
            <w:tcW w:w="1696" w:type="dxa"/>
            <w:tcBorders>
              <w:top w:val="single" w:sz="4" w:space="0" w:color="auto"/>
            </w:tcBorders>
            <w:hideMark/>
          </w:tcPr>
          <w:p w14:paraId="792121D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Tobin’s Q</w:t>
            </w:r>
          </w:p>
        </w:tc>
        <w:tc>
          <w:tcPr>
            <w:tcW w:w="2552" w:type="dxa"/>
            <w:tcBorders>
              <w:top w:val="single" w:sz="4" w:space="0" w:color="auto"/>
            </w:tcBorders>
            <w:hideMark/>
          </w:tcPr>
          <w:p w14:paraId="071C21E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Dependent</w:t>
            </w:r>
          </w:p>
        </w:tc>
        <w:tc>
          <w:tcPr>
            <w:tcW w:w="4961" w:type="dxa"/>
            <w:tcBorders>
              <w:top w:val="single" w:sz="4" w:space="0" w:color="auto"/>
            </w:tcBorders>
            <w:hideMark/>
          </w:tcPr>
          <w:p w14:paraId="5D4D6AD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Market-based firm value relative to asset base</w:t>
            </w:r>
          </w:p>
        </w:tc>
      </w:tr>
      <w:tr w:rsidR="00F4693E" w:rsidRPr="00F4693E" w14:paraId="57376ED8" w14:textId="77777777" w:rsidTr="00ED5CF7">
        <w:tc>
          <w:tcPr>
            <w:tcW w:w="1696" w:type="dxa"/>
            <w:hideMark/>
          </w:tcPr>
          <w:p w14:paraId="5147D9A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2552" w:type="dxa"/>
            <w:hideMark/>
          </w:tcPr>
          <w:p w14:paraId="4C74B8B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Independent</w:t>
            </w:r>
          </w:p>
        </w:tc>
        <w:tc>
          <w:tcPr>
            <w:tcW w:w="4961" w:type="dxa"/>
            <w:hideMark/>
          </w:tcPr>
          <w:p w14:paraId="34DE823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Environmental items disclosed / 10</w:t>
            </w:r>
          </w:p>
        </w:tc>
      </w:tr>
      <w:tr w:rsidR="00F4693E" w:rsidRPr="00F4693E" w14:paraId="7FD8D8CD" w14:textId="77777777" w:rsidTr="00ED5CF7">
        <w:tc>
          <w:tcPr>
            <w:tcW w:w="1696" w:type="dxa"/>
            <w:hideMark/>
          </w:tcPr>
          <w:p w14:paraId="04A44B0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2552" w:type="dxa"/>
            <w:hideMark/>
          </w:tcPr>
          <w:p w14:paraId="2DDE4CD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Independent</w:t>
            </w:r>
          </w:p>
        </w:tc>
        <w:tc>
          <w:tcPr>
            <w:tcW w:w="4961" w:type="dxa"/>
            <w:hideMark/>
          </w:tcPr>
          <w:p w14:paraId="4436A80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Social items disclosed / 10</w:t>
            </w:r>
          </w:p>
        </w:tc>
      </w:tr>
      <w:tr w:rsidR="00F4693E" w:rsidRPr="00F4693E" w14:paraId="5D32E437" w14:textId="77777777" w:rsidTr="00ED5CF7">
        <w:tc>
          <w:tcPr>
            <w:tcW w:w="1696" w:type="dxa"/>
            <w:hideMark/>
          </w:tcPr>
          <w:p w14:paraId="3D021C8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2552" w:type="dxa"/>
            <w:hideMark/>
          </w:tcPr>
          <w:p w14:paraId="150CF17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Independent</w:t>
            </w:r>
          </w:p>
        </w:tc>
        <w:tc>
          <w:tcPr>
            <w:tcW w:w="4961" w:type="dxa"/>
            <w:hideMark/>
          </w:tcPr>
          <w:p w14:paraId="2C97F8D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Governance items disclosed / 10</w:t>
            </w:r>
          </w:p>
        </w:tc>
      </w:tr>
      <w:tr w:rsidR="00F4693E" w:rsidRPr="00F4693E" w14:paraId="2A545ABE" w14:textId="77777777" w:rsidTr="00ED5CF7">
        <w:tc>
          <w:tcPr>
            <w:tcW w:w="1696" w:type="dxa"/>
            <w:hideMark/>
          </w:tcPr>
          <w:p w14:paraId="0469F91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2552" w:type="dxa"/>
            <w:hideMark/>
          </w:tcPr>
          <w:p w14:paraId="7085721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Control</w:t>
            </w:r>
          </w:p>
        </w:tc>
        <w:tc>
          <w:tcPr>
            <w:tcW w:w="4961" w:type="dxa"/>
            <w:hideMark/>
          </w:tcPr>
          <w:p w14:paraId="4A75F56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Natural logarithm of total assets</w:t>
            </w:r>
          </w:p>
        </w:tc>
      </w:tr>
      <w:tr w:rsidR="00F4693E" w:rsidRPr="00F4693E" w14:paraId="647E9D39" w14:textId="77777777" w:rsidTr="00ED5CF7">
        <w:tc>
          <w:tcPr>
            <w:tcW w:w="1696" w:type="dxa"/>
            <w:tcBorders>
              <w:bottom w:val="single" w:sz="4" w:space="0" w:color="auto"/>
            </w:tcBorders>
            <w:hideMark/>
          </w:tcPr>
          <w:p w14:paraId="0129FB3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2552" w:type="dxa"/>
            <w:tcBorders>
              <w:bottom w:val="single" w:sz="4" w:space="0" w:color="auto"/>
            </w:tcBorders>
            <w:hideMark/>
          </w:tcPr>
          <w:p w14:paraId="429694A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Control</w:t>
            </w:r>
          </w:p>
        </w:tc>
        <w:tc>
          <w:tcPr>
            <w:tcW w:w="4961" w:type="dxa"/>
            <w:tcBorders>
              <w:bottom w:val="single" w:sz="4" w:space="0" w:color="auto"/>
            </w:tcBorders>
            <w:hideMark/>
          </w:tcPr>
          <w:p w14:paraId="25D12B8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Debt / total assets</w:t>
            </w:r>
          </w:p>
        </w:tc>
      </w:tr>
    </w:tbl>
    <w:p w14:paraId="686277BC" w14:textId="77777777" w:rsidR="00ED5CF7" w:rsidRDefault="00ED5CF7" w:rsidP="00ED5CF7">
      <w:pPr>
        <w:spacing w:after="0" w:line="240" w:lineRule="auto"/>
        <w:jc w:val="both"/>
        <w:rPr>
          <w:rFonts w:ascii="Times New Roman" w:hAnsi="Times New Roman" w:cs="Times New Roman"/>
          <w:bCs/>
          <w:iCs/>
          <w:sz w:val="24"/>
          <w:szCs w:val="24"/>
          <w:lang w:val="en-US"/>
        </w:rPr>
      </w:pPr>
      <w:r>
        <w:rPr>
          <w:rFonts w:ascii="Times New Roman" w:hAnsi="Times New Roman" w:cs="Times New Roman"/>
          <w:b/>
          <w:bCs/>
          <w:iCs/>
          <w:sz w:val="24"/>
          <w:szCs w:val="24"/>
          <w:lang w:val="en-US"/>
        </w:rPr>
        <w:t>Source:</w:t>
      </w:r>
      <w:r>
        <w:rPr>
          <w:rFonts w:ascii="Times New Roman" w:hAnsi="Times New Roman" w:cs="Times New Roman"/>
          <w:bCs/>
          <w:iCs/>
          <w:sz w:val="24"/>
          <w:szCs w:val="24"/>
          <w:lang w:val="en-US"/>
        </w:rPr>
        <w:t xml:space="preserve"> </w:t>
      </w:r>
      <w:r>
        <w:rPr>
          <w:rFonts w:ascii="Times New Roman" w:hAnsi="Times New Roman" w:cs="Times New Roman"/>
          <w:bCs/>
          <w:i/>
          <w:iCs/>
          <w:sz w:val="24"/>
          <w:szCs w:val="24"/>
          <w:lang w:val="en-US"/>
        </w:rPr>
        <w:t>Researcher’s Compilation</w:t>
      </w:r>
      <w:r>
        <w:rPr>
          <w:rFonts w:ascii="Times New Roman" w:hAnsi="Times New Roman" w:cs="Times New Roman"/>
          <w:bCs/>
          <w:iCs/>
          <w:sz w:val="24"/>
          <w:szCs w:val="24"/>
          <w:lang w:val="en-US"/>
        </w:rPr>
        <w:t xml:space="preserve"> (2026)</w:t>
      </w:r>
    </w:p>
    <w:p w14:paraId="249853F2" w14:textId="77777777" w:rsidR="00BA696B" w:rsidRDefault="00BA696B" w:rsidP="00F4693E">
      <w:pPr>
        <w:spacing w:after="0" w:line="240" w:lineRule="auto"/>
        <w:jc w:val="both"/>
        <w:rPr>
          <w:rFonts w:ascii="Times New Roman" w:eastAsia="Times New Roman" w:hAnsi="Times New Roman" w:cs="Times New Roman"/>
          <w:b/>
          <w:bCs/>
          <w:color w:val="4F81BD"/>
          <w:sz w:val="24"/>
          <w:szCs w:val="24"/>
          <w:lang w:eastAsia="en-GB"/>
        </w:rPr>
      </w:pPr>
    </w:p>
    <w:p w14:paraId="02D92CEE"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3.4 Model Specification</w:t>
      </w:r>
    </w:p>
    <w:p w14:paraId="609D5AE9" w14:textId="77777777" w:rsidR="00F4693E" w:rsidRPr="00F4693E" w:rsidRDefault="00BA696B"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regression model was</w:t>
      </w:r>
      <w:r w:rsidR="0046721F">
        <w:rPr>
          <w:rFonts w:ascii="Times New Roman" w:eastAsia="Times New Roman" w:hAnsi="Times New Roman" w:cs="Times New Roman"/>
          <w:sz w:val="24"/>
          <w:szCs w:val="24"/>
          <w:lang w:eastAsia="en-GB"/>
        </w:rPr>
        <w:t xml:space="preserve"> specified to examine the </w:t>
      </w:r>
      <w:r w:rsidR="00F4693E" w:rsidRPr="00F4693E">
        <w:rPr>
          <w:rFonts w:ascii="Times New Roman" w:eastAsia="Times New Roman" w:hAnsi="Times New Roman" w:cs="Times New Roman"/>
          <w:sz w:val="24"/>
          <w:szCs w:val="24"/>
          <w:lang w:eastAsia="en-GB"/>
        </w:rPr>
        <w:t>marke</w:t>
      </w:r>
      <w:r w:rsidR="0046721F">
        <w:rPr>
          <w:rFonts w:ascii="Times New Roman" w:eastAsia="Times New Roman" w:hAnsi="Times New Roman" w:cs="Times New Roman"/>
          <w:sz w:val="24"/>
          <w:szCs w:val="24"/>
          <w:lang w:eastAsia="en-GB"/>
        </w:rPr>
        <w:t xml:space="preserve">t dimensions of firm value. The </w:t>
      </w:r>
      <w:r w:rsidR="00F4693E" w:rsidRPr="00F4693E">
        <w:rPr>
          <w:rFonts w:ascii="Times New Roman" w:eastAsia="Times New Roman" w:hAnsi="Times New Roman" w:cs="Times New Roman"/>
          <w:sz w:val="24"/>
          <w:szCs w:val="24"/>
          <w:lang w:eastAsia="en-GB"/>
        </w:rPr>
        <w:t xml:space="preserve">model relates the three ESG reporting dimensions to </w:t>
      </w:r>
      <w:r w:rsidR="0046721F">
        <w:rPr>
          <w:rFonts w:ascii="Times New Roman" w:eastAsia="Times New Roman" w:hAnsi="Times New Roman" w:cs="Times New Roman"/>
          <w:sz w:val="24"/>
          <w:szCs w:val="24"/>
          <w:lang w:eastAsia="en-GB"/>
        </w:rPr>
        <w:t>Tobin’s Q. In the model</w:t>
      </w:r>
      <w:r w:rsidR="00F4693E" w:rsidRPr="00F4693E">
        <w:rPr>
          <w:rFonts w:ascii="Times New Roman" w:eastAsia="Times New Roman" w:hAnsi="Times New Roman" w:cs="Times New Roman"/>
          <w:sz w:val="24"/>
          <w:szCs w:val="24"/>
          <w:lang w:eastAsia="en-GB"/>
        </w:rPr>
        <w:t>, firm size and financial leverage are included as control variables.</w:t>
      </w:r>
    </w:p>
    <w:p w14:paraId="0FB57C2F" w14:textId="77777777" w:rsidR="001C0D0D" w:rsidRDefault="001C0D0D" w:rsidP="001C0D0D">
      <w:pPr>
        <w:spacing w:after="0" w:line="240" w:lineRule="auto"/>
        <w:jc w:val="both"/>
        <w:rPr>
          <w:rFonts w:ascii="Times New Roman" w:eastAsia="Times New Roman" w:hAnsi="Times New Roman" w:cs="Times New Roman"/>
          <w:b/>
          <w:sz w:val="24"/>
          <w:szCs w:val="24"/>
        </w:rPr>
      </w:pPr>
    </w:p>
    <w:p w14:paraId="4069D1E5" w14:textId="77777777" w:rsidR="001C0D0D" w:rsidRDefault="00D459D0" w:rsidP="001C0D0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ESG Reporting and Tobin’s Q</w:t>
      </w:r>
    </w:p>
    <w:p w14:paraId="36A60839" w14:textId="77777777" w:rsidR="00D459D0" w:rsidRDefault="00000000" w:rsidP="001C0D0D">
      <w:pPr>
        <w:spacing w:after="0" w:line="240" w:lineRule="auto"/>
        <w:ind w:left="720" w:hanging="720"/>
        <w:jc w:val="both"/>
        <w:rPr>
          <w:rFonts w:ascii="Times New Roman" w:eastAsia="Times New Roman" w:hAnsi="Times New Roman" w:cs="Times New Roman"/>
          <w:bCs/>
          <w:iCs/>
          <w:sz w:val="24"/>
          <w:szCs w:val="24"/>
          <w:lang w:val="en-US"/>
        </w:rPr>
      </w:pP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TOBI</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N</m:t>
                </m:r>
              </m:e>
              <m:sup>
                <m:r>
                  <w:rPr>
                    <w:rFonts w:ascii="Cambria Math" w:eastAsiaTheme="minorEastAsia" w:hAnsi="Cambria Math" w:cs="Times New Roman"/>
                    <w:sz w:val="24"/>
                    <w:szCs w:val="24"/>
                    <w:lang w:val="en-US"/>
                  </w:rPr>
                  <m:t>'</m:t>
                </m:r>
              </m:sup>
            </m:sSup>
            <m:r>
              <w:rPr>
                <w:rFonts w:ascii="Cambria Math" w:eastAsiaTheme="minorEastAsia" w:hAnsi="Cambria Math" w:cs="Times New Roman"/>
                <w:sz w:val="24"/>
                <w:szCs w:val="24"/>
                <w:lang w:val="en-US"/>
              </w:rPr>
              <m:t>sQ</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0</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1</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ER</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2</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SR</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3</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GR</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 xml:space="preserve"> </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 β</m:t>
            </m:r>
          </m:e>
          <m:sub>
            <m:r>
              <w:rPr>
                <w:rFonts w:ascii="Cambria Math" w:eastAsiaTheme="minorEastAsia" w:hAnsi="Cambria Math" w:cs="Times New Roman"/>
                <w:sz w:val="24"/>
                <w:szCs w:val="24"/>
                <w:lang w:val="en-US"/>
              </w:rPr>
              <m:t>4</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FS</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5</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FL</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μ</m:t>
            </m:r>
          </m:e>
          <m:sub>
            <m:r>
              <w:rPr>
                <w:rFonts w:ascii="Cambria Math" w:eastAsiaTheme="minorEastAsia" w:hAnsi="Cambria Math" w:cs="Times New Roman"/>
                <w:sz w:val="24"/>
                <w:szCs w:val="24"/>
                <w:lang w:val="en-US"/>
              </w:rPr>
              <m:t xml:space="preserve">it        </m:t>
            </m:r>
          </m:sub>
        </m:sSub>
        <m:r>
          <w:rPr>
            <w:rFonts w:ascii="Cambria Math" w:eastAsiaTheme="minorEastAsia" w:hAnsi="Cambria Math" w:cs="Times New Roman"/>
            <w:sz w:val="24"/>
            <w:szCs w:val="24"/>
            <w:lang w:val="en-US"/>
          </w:rPr>
          <m:t xml:space="preserve">………………………… </m:t>
        </m:r>
      </m:oMath>
      <w:r w:rsidR="00D459D0">
        <w:rPr>
          <w:rFonts w:ascii="Times New Roman" w:eastAsia="Times New Roman" w:hAnsi="Times New Roman" w:cs="Times New Roman"/>
          <w:bCs/>
          <w:iCs/>
          <w:sz w:val="24"/>
          <w:szCs w:val="24"/>
          <w:lang w:val="en-US"/>
        </w:rPr>
        <w:t>(3)</w:t>
      </w:r>
    </w:p>
    <w:p w14:paraId="1A9637DE" w14:textId="77777777" w:rsidR="00D459D0" w:rsidRPr="00D459D0" w:rsidRDefault="00D459D0" w:rsidP="001C0D0D">
      <w:pPr>
        <w:spacing w:after="0" w:line="240" w:lineRule="auto"/>
        <w:jc w:val="both"/>
        <w:rPr>
          <w:rFonts w:ascii="Times New Roman" w:eastAsiaTheme="minorEastAsia" w:hAnsi="Times New Roman" w:cs="Times New Roman"/>
          <w:b/>
          <w:bCs/>
          <w:iCs/>
          <w:sz w:val="24"/>
          <w:szCs w:val="24"/>
          <w:lang w:val="en-US"/>
        </w:rPr>
      </w:pPr>
      <w:r w:rsidRPr="00D459D0">
        <w:rPr>
          <w:rFonts w:ascii="Times New Roman" w:eastAsiaTheme="minorEastAsia" w:hAnsi="Times New Roman" w:cs="Times New Roman"/>
          <w:b/>
          <w:bCs/>
          <w:iCs/>
          <w:sz w:val="24"/>
          <w:szCs w:val="24"/>
          <w:lang w:val="en-US"/>
        </w:rPr>
        <w:t>Where:</w:t>
      </w:r>
    </w:p>
    <w:p w14:paraId="0FEA0C3A" w14:textId="77777777" w:rsidR="00D459D0" w:rsidRPr="00D459D0" w:rsidRDefault="00D459D0" w:rsidP="001C0D0D">
      <w:pPr>
        <w:spacing w:after="0" w:line="240" w:lineRule="auto"/>
        <w:jc w:val="both"/>
        <w:rPr>
          <w:rFonts w:ascii="Times New Roman" w:eastAsiaTheme="minorEastAsia" w:hAnsi="Times New Roman" w:cs="Times New Roman"/>
          <w:b/>
          <w:bCs/>
          <w:iCs/>
          <w:sz w:val="24"/>
          <w:szCs w:val="24"/>
          <w:lang w:val="en-US"/>
        </w:rPr>
      </w:pPr>
      <w:r w:rsidRPr="00D459D0">
        <w:rPr>
          <w:rFonts w:ascii="Times New Roman" w:eastAsiaTheme="minorEastAsia" w:hAnsi="Times New Roman" w:cs="Times New Roman"/>
          <w:bCs/>
          <w:i/>
          <w:iCs/>
          <w:sz w:val="24"/>
          <w:szCs w:val="24"/>
          <w:lang w:val="en-US"/>
        </w:rPr>
        <w:t>Y</w:t>
      </w:r>
      <w:r w:rsidRPr="00D459D0">
        <w:rPr>
          <w:rFonts w:ascii="Times New Roman" w:eastAsiaTheme="minorEastAsia" w:hAnsi="Times New Roman" w:cs="Times New Roman"/>
          <w:bCs/>
          <w:iCs/>
          <w:sz w:val="24"/>
          <w:szCs w:val="24"/>
          <w:lang w:val="en-US"/>
        </w:rPr>
        <w:t xml:space="preserve"> </w:t>
      </w:r>
      <w:r w:rsidRPr="00D459D0">
        <w:rPr>
          <w:rFonts w:ascii="Times New Roman" w:eastAsiaTheme="minorEastAsia" w:hAnsi="Times New Roman" w:cs="Times New Roman"/>
          <w:bCs/>
          <w:iCs/>
          <w:sz w:val="24"/>
          <w:szCs w:val="24"/>
          <w:lang w:val="en-US"/>
        </w:rPr>
        <w:tab/>
        <w:t xml:space="preserve">  =</w:t>
      </w:r>
      <w:r w:rsidRPr="00D459D0">
        <w:rPr>
          <w:rFonts w:ascii="Times New Roman" w:eastAsiaTheme="minorEastAsia" w:hAnsi="Times New Roman" w:cs="Times New Roman"/>
          <w:bCs/>
          <w:iCs/>
          <w:sz w:val="24"/>
          <w:szCs w:val="24"/>
          <w:lang w:val="en-US"/>
        </w:rPr>
        <w:tab/>
        <w:t xml:space="preserve">Firm Value </w:t>
      </w:r>
      <m:oMath>
        <m:r>
          <w:rPr>
            <w:rFonts w:ascii="Cambria Math" w:eastAsiaTheme="minorEastAsia" w:hAnsi="Cambria Math" w:cs="Times New Roman"/>
            <w:sz w:val="24"/>
            <w:szCs w:val="24"/>
            <w:lang w:val="en-US"/>
          </w:rPr>
          <m:t>(Tobi</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n</m:t>
            </m:r>
          </m:e>
          <m:sup>
            <m:r>
              <w:rPr>
                <w:rFonts w:ascii="Cambria Math" w:eastAsiaTheme="minorEastAsia" w:hAnsi="Cambria Math" w:cs="Times New Roman"/>
                <w:sz w:val="24"/>
                <w:szCs w:val="24"/>
                <w:lang w:val="en-US"/>
              </w:rPr>
              <m:t>'</m:t>
            </m:r>
          </m:sup>
        </m:sSup>
        <m:r>
          <w:rPr>
            <w:rFonts w:ascii="Cambria Math" w:eastAsiaTheme="minorEastAsia" w:hAnsi="Cambria Math" w:cs="Times New Roman"/>
            <w:sz w:val="24"/>
            <w:szCs w:val="24"/>
            <w:lang w:val="en-US"/>
          </w:rPr>
          <m:t>s Q)</m:t>
        </m:r>
      </m:oMath>
    </w:p>
    <w:p w14:paraId="20E3D8FA"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ER</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 xml:space="preserve">Environmental Reporting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6007A25F"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SR</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Social Reporting</w:t>
      </w:r>
      <w:r w:rsidR="00D459D0" w:rsidRPr="00D459D0">
        <w:rPr>
          <w:rFonts w:ascii="Times New Roman" w:eastAsia="Times New Roman" w:hAnsi="Times New Roman" w:cs="Times New Roman"/>
          <w:sz w:val="24"/>
          <w:szCs w:val="24"/>
          <w:lang w:val="en-US"/>
        </w:rPr>
        <w:t xml:space="preserve">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1FECEF27" w14:textId="77777777" w:rsidR="00D459D0" w:rsidRPr="00D459D0" w:rsidRDefault="00000000" w:rsidP="00D459D0">
      <w:pPr>
        <w:spacing w:after="0" w:line="240" w:lineRule="auto"/>
        <w:jc w:val="both"/>
        <w:rPr>
          <w:rFonts w:ascii="Times New Roman" w:eastAsia="Times New Roman" w:hAnsi="Times New Roman" w:cs="Times New Roman"/>
          <w:sz w:val="24"/>
          <w:szCs w:val="24"/>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GR</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 xml:space="preserve">Governance Reporting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5F9F806F"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FS</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 xml:space="preserve"> </w:t>
      </w:r>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Firm size</w:t>
      </w:r>
      <w:r w:rsidR="00D459D0" w:rsidRPr="00D459D0">
        <w:rPr>
          <w:rFonts w:ascii="Times New Roman" w:eastAsia="Times New Roman" w:hAnsi="Times New Roman" w:cs="Times New Roman"/>
          <w:sz w:val="24"/>
          <w:szCs w:val="24"/>
          <w:lang w:val="en-US"/>
        </w:rPr>
        <w:t xml:space="preserve">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050F174B"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FL</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
          <w:iCs/>
          <w:sz w:val="24"/>
          <w:szCs w:val="24"/>
          <w:lang w:val="en-US"/>
        </w:rPr>
        <w:t xml:space="preserve"> </w:t>
      </w:r>
      <w:r w:rsidR="00D459D0" w:rsidRPr="00D459D0">
        <w:rPr>
          <w:rFonts w:ascii="Times New Roman" w:eastAsiaTheme="minorEastAsia" w:hAnsi="Times New Roman" w:cs="Times New Roman"/>
          <w:bCs/>
          <w:i/>
          <w:iCs/>
          <w:sz w:val="24"/>
          <w:szCs w:val="24"/>
          <w:lang w:val="en-US"/>
        </w:rPr>
        <w:tab/>
        <w:t xml:space="preserve">  </w:t>
      </w:r>
      <w:r w:rsidR="00D459D0" w:rsidRPr="00D459D0">
        <w:rPr>
          <w:rFonts w:ascii="Times New Roman" w:eastAsiaTheme="minorEastAsia" w:hAnsi="Times New Roman" w:cs="Times New Roman"/>
          <w:bCs/>
          <w:iCs/>
          <w:sz w:val="24"/>
          <w:szCs w:val="24"/>
          <w:lang w:val="en-US"/>
        </w:rPr>
        <w:t xml:space="preserve">= </w:t>
      </w:r>
      <w:r w:rsidR="00D459D0" w:rsidRPr="00D459D0">
        <w:rPr>
          <w:rFonts w:ascii="Times New Roman" w:eastAsiaTheme="minorEastAsia" w:hAnsi="Times New Roman" w:cs="Times New Roman"/>
          <w:bCs/>
          <w:iCs/>
          <w:sz w:val="24"/>
          <w:szCs w:val="24"/>
          <w:lang w:val="en-US"/>
        </w:rPr>
        <w:tab/>
        <w:t xml:space="preserve">Financial Leverage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2EFD3A1D" w14:textId="77777777" w:rsidR="00D459D0" w:rsidRPr="00D459D0" w:rsidRDefault="00D459D0" w:rsidP="00D459D0">
      <w:pPr>
        <w:spacing w:after="0" w:line="240" w:lineRule="auto"/>
        <w:jc w:val="both"/>
        <w:rPr>
          <w:rFonts w:ascii="Times New Roman" w:eastAsiaTheme="minorEastAsia" w:hAnsi="Times New Roman" w:cs="Times New Roman"/>
          <w:bCs/>
          <w:iCs/>
          <w:sz w:val="24"/>
          <w:szCs w:val="24"/>
          <w:lang w:val="en-US"/>
        </w:rPr>
      </w:pPr>
      <w:r w:rsidRPr="00D459D0">
        <w:rPr>
          <w:rFonts w:ascii="Times New Roman" w:eastAsiaTheme="minorEastAsia" w:hAnsi="Times New Roman" w:cs="Times New Roman"/>
          <w:bCs/>
          <w:i/>
          <w:iCs/>
          <w:sz w:val="24"/>
          <w:szCs w:val="24"/>
          <w:lang w:val="en-US"/>
        </w:rPr>
        <w:t>it</w:t>
      </w:r>
      <w:proofErr w:type="gramStart"/>
      <w:r w:rsidRPr="00D459D0">
        <w:rPr>
          <w:rFonts w:ascii="Times New Roman" w:eastAsiaTheme="minorEastAsia" w:hAnsi="Times New Roman" w:cs="Times New Roman"/>
          <w:bCs/>
          <w:i/>
          <w:iCs/>
          <w:sz w:val="24"/>
          <w:szCs w:val="24"/>
          <w:lang w:val="en-US"/>
        </w:rPr>
        <w:tab/>
        <w:t xml:space="preserve">  </w:t>
      </w:r>
      <w:r w:rsidRPr="00D459D0">
        <w:rPr>
          <w:rFonts w:ascii="Times New Roman" w:eastAsiaTheme="minorEastAsia" w:hAnsi="Times New Roman" w:cs="Times New Roman"/>
          <w:bCs/>
          <w:iCs/>
          <w:sz w:val="24"/>
          <w:szCs w:val="24"/>
          <w:lang w:val="en-US"/>
        </w:rPr>
        <w:t>=</w:t>
      </w:r>
      <w:proofErr w:type="gramEnd"/>
      <w:r w:rsidRPr="00D459D0">
        <w:rPr>
          <w:rFonts w:ascii="Times New Roman" w:eastAsiaTheme="minorEastAsia" w:hAnsi="Times New Roman" w:cs="Times New Roman"/>
          <w:bCs/>
          <w:iCs/>
          <w:sz w:val="24"/>
          <w:szCs w:val="24"/>
          <w:lang w:val="en-US"/>
        </w:rPr>
        <w:tab/>
        <w:t xml:space="preserve">Companies </w:t>
      </w:r>
      <m:oMath>
        <m:r>
          <w:rPr>
            <w:rFonts w:ascii="Cambria Math" w:eastAsia="Times New Roman" w:hAnsi="Cambria Math" w:cs="Times New Roman"/>
            <w:sz w:val="24"/>
            <w:szCs w:val="24"/>
          </w:rPr>
          <m:t>"i"</m:t>
        </m:r>
      </m:oMath>
      <w:r w:rsidRPr="00D459D0">
        <w:rPr>
          <w:rFonts w:ascii="Times New Roman" w:eastAsia="Times New Roman" w:hAnsi="Times New Roman" w:cs="Times New Roman"/>
          <w:sz w:val="24"/>
          <w:szCs w:val="24"/>
        </w:rPr>
        <w:t xml:space="preserve"> </w:t>
      </w:r>
      <w:r w:rsidRPr="00D459D0">
        <w:rPr>
          <w:rFonts w:ascii="Times New Roman" w:eastAsiaTheme="minorEastAsia" w:hAnsi="Times New Roman" w:cs="Times New Roman"/>
          <w:bCs/>
          <w:iCs/>
          <w:sz w:val="24"/>
          <w:szCs w:val="24"/>
          <w:lang w:val="en-US"/>
        </w:rPr>
        <w:t xml:space="preserve">in time </w:t>
      </w:r>
      <m:oMath>
        <m:r>
          <w:rPr>
            <w:rFonts w:ascii="Cambria Math" w:eastAsia="Times New Roman" w:hAnsi="Cambria Math" w:cs="Times New Roman"/>
            <w:sz w:val="24"/>
            <w:szCs w:val="24"/>
          </w:rPr>
          <m:t>"t"</m:t>
        </m:r>
      </m:oMath>
    </w:p>
    <w:p w14:paraId="43AB4845"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0</m:t>
            </m:r>
          </m:sub>
        </m:sSub>
      </m:oMath>
      <w:r w:rsidR="00D459D0" w:rsidRPr="00D459D0">
        <w:rPr>
          <w:rFonts w:ascii="Times New Roman" w:eastAsiaTheme="minorEastAsia" w:hAnsi="Times New Roman" w:cs="Times New Roman"/>
          <w:bCs/>
          <w:iCs/>
          <w:sz w:val="24"/>
          <w:szCs w:val="24"/>
          <w:vertAlign w:val="subscript"/>
          <w:lang w:val="en-US"/>
        </w:rPr>
        <w:tab/>
        <w:t xml:space="preserve"> </w:t>
      </w:r>
      <w:r w:rsidR="00D459D0" w:rsidRPr="00D459D0">
        <w:rPr>
          <w:rFonts w:ascii="Times New Roman" w:eastAsiaTheme="minorEastAsia" w:hAnsi="Times New Roman" w:cs="Times New Roman"/>
          <w:bCs/>
          <w:iCs/>
          <w:sz w:val="24"/>
          <w:szCs w:val="24"/>
          <w:lang w:val="en-US"/>
        </w:rPr>
        <w:t xml:space="preserve">  =</w:t>
      </w:r>
      <w:r w:rsidR="00D459D0" w:rsidRPr="00D459D0">
        <w:rPr>
          <w:rFonts w:ascii="Times New Roman" w:eastAsiaTheme="minorEastAsia" w:hAnsi="Times New Roman" w:cs="Times New Roman"/>
          <w:bCs/>
          <w:iCs/>
          <w:sz w:val="24"/>
          <w:szCs w:val="24"/>
          <w:lang w:val="en-US"/>
        </w:rPr>
        <w:tab/>
        <w:t>Constant terms</w:t>
      </w:r>
    </w:p>
    <w:p w14:paraId="1D0061D3"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1</m:t>
            </m:r>
          </m:sub>
        </m:sSub>
      </m:oMath>
      <w:r w:rsidR="00D459D0" w:rsidRPr="00D459D0">
        <w:rPr>
          <w:rFonts w:ascii="Times New Roman" w:eastAsiaTheme="minorEastAsia" w:hAnsi="Times New Roman" w:cs="Times New Roman"/>
          <w:bCs/>
          <w:iCs/>
          <w:sz w:val="24"/>
          <w:szCs w:val="24"/>
          <w:lang w:val="en-US"/>
        </w:rPr>
        <w:t xml:space="preserve"> – </w:t>
      </w: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10</m:t>
            </m:r>
          </m:sub>
        </m:sSub>
      </m:oMath>
      <w:r w:rsidR="00D459D0" w:rsidRPr="00D459D0">
        <w:rPr>
          <w:rFonts w:ascii="Times New Roman" w:eastAsiaTheme="minorEastAsia" w:hAnsi="Times New Roman" w:cs="Times New Roman"/>
          <w:bCs/>
          <w:iCs/>
          <w:sz w:val="24"/>
          <w:szCs w:val="24"/>
          <w:vertAlign w:val="subscript"/>
          <w:lang w:val="en-US"/>
        </w:rPr>
        <w:t xml:space="preserve"> </w:t>
      </w:r>
      <w:r w:rsidR="00D459D0" w:rsidRPr="00D459D0">
        <w:rPr>
          <w:rFonts w:ascii="Times New Roman" w:eastAsiaTheme="minorEastAsia" w:hAnsi="Times New Roman" w:cs="Times New Roman"/>
          <w:bCs/>
          <w:iCs/>
          <w:sz w:val="24"/>
          <w:szCs w:val="24"/>
          <w:lang w:val="en-US"/>
        </w:rPr>
        <w:t xml:space="preserve"> = </w:t>
      </w:r>
      <w:r w:rsidR="00D459D0" w:rsidRPr="00D459D0">
        <w:rPr>
          <w:rFonts w:ascii="Times New Roman" w:eastAsiaTheme="minorEastAsia" w:hAnsi="Times New Roman" w:cs="Times New Roman"/>
          <w:bCs/>
          <w:iCs/>
          <w:sz w:val="24"/>
          <w:szCs w:val="24"/>
          <w:lang w:val="en-US"/>
        </w:rPr>
        <w:tab/>
      </w:r>
      <w:r w:rsidR="00D459D0" w:rsidRPr="00D459D0">
        <w:rPr>
          <w:rFonts w:ascii="Times New Roman" w:eastAsia="Times New Roman" w:hAnsi="Times New Roman" w:cs="Times New Roman"/>
          <w:iCs/>
          <w:sz w:val="24"/>
          <w:szCs w:val="24"/>
        </w:rPr>
        <w:t xml:space="preserve">Explained coefficient of the independent variables    </w:t>
      </w:r>
    </w:p>
    <w:p w14:paraId="32B59E90" w14:textId="77777777" w:rsidR="0046721F" w:rsidRPr="005E306C" w:rsidRDefault="00D459D0" w:rsidP="005E306C">
      <w:pPr>
        <w:spacing w:after="120" w:line="240" w:lineRule="auto"/>
        <w:jc w:val="both"/>
        <w:rPr>
          <w:rFonts w:ascii="Times New Roman" w:eastAsia="Times New Roman" w:hAnsi="Times New Roman" w:cs="Times New Roman"/>
          <w:sz w:val="24"/>
          <w:szCs w:val="24"/>
        </w:rPr>
      </w:pPr>
      <m:oMath>
        <m:r>
          <w:rPr>
            <w:rFonts w:ascii="Cambria Math" w:eastAsiaTheme="minorEastAsia" w:hAnsi="Cambria Math" w:cs="Times New Roman"/>
            <w:sz w:val="24"/>
            <w:szCs w:val="24"/>
            <w:lang w:val="en-US"/>
          </w:rPr>
          <m:t xml:space="preserve">μ              </m:t>
        </m:r>
      </m:oMath>
      <w:r w:rsidRPr="00D459D0">
        <w:rPr>
          <w:rFonts w:ascii="Times New Roman" w:eastAsiaTheme="minorEastAsia" w:hAnsi="Times New Roman" w:cs="Times New Roman"/>
          <w:bCs/>
          <w:iCs/>
          <w:sz w:val="24"/>
          <w:szCs w:val="24"/>
          <w:lang w:val="en-US"/>
        </w:rPr>
        <w:t xml:space="preserve">= </w:t>
      </w:r>
      <w:r w:rsidRPr="00D459D0">
        <w:rPr>
          <w:rFonts w:ascii="Times New Roman" w:eastAsiaTheme="minorEastAsia" w:hAnsi="Times New Roman" w:cs="Times New Roman"/>
          <w:bCs/>
          <w:iCs/>
          <w:sz w:val="24"/>
          <w:szCs w:val="24"/>
          <w:lang w:val="en-US"/>
        </w:rPr>
        <w:tab/>
        <w:t>Error term</w:t>
      </w:r>
      <w:r w:rsidRPr="00D459D0">
        <w:rPr>
          <w:rFonts w:ascii="Times New Roman" w:eastAsia="Times New Roman" w:hAnsi="Times New Roman" w:cs="Times New Roman"/>
          <w:sz w:val="24"/>
          <w:szCs w:val="24"/>
          <w:lang w:val="en-US"/>
        </w:rPr>
        <w:t xml:space="preserve"> </w:t>
      </w:r>
      <w:r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7C90DC04"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3.5 Reliability and Validity of the Disclosure Index</w:t>
      </w:r>
    </w:p>
    <w:p w14:paraId="5C558042"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Content validity was strengthened by developing the 3</w:t>
      </w:r>
      <w:r w:rsidR="00942986">
        <w:rPr>
          <w:rFonts w:ascii="Times New Roman" w:eastAsia="Times New Roman" w:hAnsi="Times New Roman" w:cs="Times New Roman"/>
          <w:sz w:val="24"/>
          <w:szCs w:val="24"/>
          <w:lang w:eastAsia="en-GB"/>
        </w:rPr>
        <w:t>0-item checklist around recognis</w:t>
      </w:r>
      <w:r w:rsidRPr="00F4693E">
        <w:rPr>
          <w:rFonts w:ascii="Times New Roman" w:eastAsia="Times New Roman" w:hAnsi="Times New Roman" w:cs="Times New Roman"/>
          <w:sz w:val="24"/>
          <w:szCs w:val="24"/>
          <w:lang w:eastAsia="en-GB"/>
        </w:rPr>
        <w:t>ed sustainability-reporting themes and the information needs reflected in contemporary sustainability reporting practice. The checklist was deliberately balanced across the three ESG pillars, with ten indicators per dimension, preventing one dimension from mechanically dominating the index. A binary scoring system also improves reproducibility because the coding rule is explicit. Nevertheless, content analysis remains sensitive to the quality and detail of corporate disclosures; therefore, future studies may supplement binary indices with weighted or text-based measures.</w:t>
      </w:r>
    </w:p>
    <w:p w14:paraId="5726591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p w14:paraId="75349D85"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 Results and Analysis</w:t>
      </w:r>
    </w:p>
    <w:p w14:paraId="7E8BF32B"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4.1 Descriptive Statistics</w:t>
      </w:r>
    </w:p>
    <w:p w14:paraId="59FCC29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Table 2. Descriptive Statistics</w:t>
      </w:r>
    </w:p>
    <w:tbl>
      <w:tblPr>
        <w:tblW w:w="9016" w:type="dxa"/>
        <w:tblLook w:val="04A0" w:firstRow="1" w:lastRow="0" w:firstColumn="1" w:lastColumn="0" w:noHBand="0" w:noVBand="1"/>
      </w:tblPr>
      <w:tblGrid>
        <w:gridCol w:w="1527"/>
        <w:gridCol w:w="1491"/>
        <w:gridCol w:w="1504"/>
        <w:gridCol w:w="1494"/>
        <w:gridCol w:w="1500"/>
        <w:gridCol w:w="1500"/>
      </w:tblGrid>
      <w:tr w:rsidR="00F4693E" w:rsidRPr="00F4693E" w14:paraId="0641E3BF" w14:textId="77777777" w:rsidTr="00942986">
        <w:tc>
          <w:tcPr>
            <w:tcW w:w="1527" w:type="dxa"/>
            <w:tcBorders>
              <w:top w:val="single" w:sz="4" w:space="0" w:color="auto"/>
              <w:bottom w:val="single" w:sz="4" w:space="0" w:color="auto"/>
            </w:tcBorders>
            <w:hideMark/>
          </w:tcPr>
          <w:p w14:paraId="50C0F79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1491" w:type="dxa"/>
            <w:tcBorders>
              <w:top w:val="single" w:sz="4" w:space="0" w:color="auto"/>
              <w:bottom w:val="single" w:sz="4" w:space="0" w:color="auto"/>
            </w:tcBorders>
            <w:hideMark/>
          </w:tcPr>
          <w:p w14:paraId="15E7173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roofErr w:type="spellStart"/>
            <w:r w:rsidRPr="00F4693E">
              <w:rPr>
                <w:rFonts w:ascii="Times New Roman" w:eastAsia="Times New Roman" w:hAnsi="Times New Roman" w:cs="Times New Roman"/>
                <w:b/>
                <w:bCs/>
                <w:sz w:val="24"/>
                <w:szCs w:val="24"/>
                <w:lang w:eastAsia="en-GB"/>
              </w:rPr>
              <w:t>Obs</w:t>
            </w:r>
            <w:proofErr w:type="spellEnd"/>
          </w:p>
        </w:tc>
        <w:tc>
          <w:tcPr>
            <w:tcW w:w="1504" w:type="dxa"/>
            <w:tcBorders>
              <w:top w:val="single" w:sz="4" w:space="0" w:color="auto"/>
              <w:bottom w:val="single" w:sz="4" w:space="0" w:color="auto"/>
            </w:tcBorders>
            <w:hideMark/>
          </w:tcPr>
          <w:p w14:paraId="5D71D3F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Mean</w:t>
            </w:r>
          </w:p>
        </w:tc>
        <w:tc>
          <w:tcPr>
            <w:tcW w:w="1494" w:type="dxa"/>
            <w:tcBorders>
              <w:top w:val="single" w:sz="4" w:space="0" w:color="auto"/>
              <w:bottom w:val="single" w:sz="4" w:space="0" w:color="auto"/>
            </w:tcBorders>
            <w:hideMark/>
          </w:tcPr>
          <w:p w14:paraId="72DDC62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Std. Dev.</w:t>
            </w:r>
          </w:p>
        </w:tc>
        <w:tc>
          <w:tcPr>
            <w:tcW w:w="1500" w:type="dxa"/>
            <w:tcBorders>
              <w:top w:val="single" w:sz="4" w:space="0" w:color="auto"/>
              <w:bottom w:val="single" w:sz="4" w:space="0" w:color="auto"/>
            </w:tcBorders>
            <w:hideMark/>
          </w:tcPr>
          <w:p w14:paraId="4106D58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Min</w:t>
            </w:r>
          </w:p>
        </w:tc>
        <w:tc>
          <w:tcPr>
            <w:tcW w:w="1500" w:type="dxa"/>
            <w:tcBorders>
              <w:top w:val="single" w:sz="4" w:space="0" w:color="auto"/>
              <w:bottom w:val="single" w:sz="4" w:space="0" w:color="auto"/>
            </w:tcBorders>
            <w:hideMark/>
          </w:tcPr>
          <w:p w14:paraId="3E3B5BE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Max</w:t>
            </w:r>
          </w:p>
        </w:tc>
      </w:tr>
      <w:tr w:rsidR="00F4693E" w:rsidRPr="00F4693E" w14:paraId="67E35EE4" w14:textId="77777777" w:rsidTr="00942986">
        <w:tc>
          <w:tcPr>
            <w:tcW w:w="1527" w:type="dxa"/>
            <w:tcBorders>
              <w:top w:val="single" w:sz="4" w:space="0" w:color="auto"/>
            </w:tcBorders>
            <w:hideMark/>
          </w:tcPr>
          <w:p w14:paraId="28CAD1A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TOBINQ</w:t>
            </w:r>
          </w:p>
        </w:tc>
        <w:tc>
          <w:tcPr>
            <w:tcW w:w="1491" w:type="dxa"/>
            <w:tcBorders>
              <w:top w:val="single" w:sz="4" w:space="0" w:color="auto"/>
            </w:tcBorders>
            <w:hideMark/>
          </w:tcPr>
          <w:p w14:paraId="07D9E78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tcBorders>
              <w:top w:val="single" w:sz="4" w:space="0" w:color="auto"/>
            </w:tcBorders>
            <w:hideMark/>
          </w:tcPr>
          <w:p w14:paraId="4D93390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6.97</w:t>
            </w:r>
          </w:p>
        </w:tc>
        <w:tc>
          <w:tcPr>
            <w:tcW w:w="1494" w:type="dxa"/>
            <w:tcBorders>
              <w:top w:val="single" w:sz="4" w:space="0" w:color="auto"/>
            </w:tcBorders>
            <w:hideMark/>
          </w:tcPr>
          <w:p w14:paraId="23FF6A0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0.94</w:t>
            </w:r>
          </w:p>
        </w:tc>
        <w:tc>
          <w:tcPr>
            <w:tcW w:w="1500" w:type="dxa"/>
            <w:tcBorders>
              <w:top w:val="single" w:sz="4" w:space="0" w:color="auto"/>
            </w:tcBorders>
            <w:hideMark/>
          </w:tcPr>
          <w:p w14:paraId="1892858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4.26</w:t>
            </w:r>
          </w:p>
        </w:tc>
        <w:tc>
          <w:tcPr>
            <w:tcW w:w="1500" w:type="dxa"/>
            <w:tcBorders>
              <w:top w:val="single" w:sz="4" w:space="0" w:color="auto"/>
            </w:tcBorders>
            <w:hideMark/>
          </w:tcPr>
          <w:p w14:paraId="481850D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8.76</w:t>
            </w:r>
          </w:p>
        </w:tc>
      </w:tr>
      <w:tr w:rsidR="00F4693E" w:rsidRPr="00F4693E" w14:paraId="27F9ECFC" w14:textId="77777777" w:rsidTr="00942986">
        <w:tc>
          <w:tcPr>
            <w:tcW w:w="1527" w:type="dxa"/>
            <w:hideMark/>
          </w:tcPr>
          <w:p w14:paraId="18BC2F8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1491" w:type="dxa"/>
            <w:hideMark/>
          </w:tcPr>
          <w:p w14:paraId="06788B6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59882F0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0.59</w:t>
            </w:r>
          </w:p>
        </w:tc>
        <w:tc>
          <w:tcPr>
            <w:tcW w:w="1494" w:type="dxa"/>
            <w:hideMark/>
          </w:tcPr>
          <w:p w14:paraId="5881061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0.28</w:t>
            </w:r>
          </w:p>
        </w:tc>
        <w:tc>
          <w:tcPr>
            <w:tcW w:w="1500" w:type="dxa"/>
            <w:hideMark/>
          </w:tcPr>
          <w:p w14:paraId="68D4A04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0.20</w:t>
            </w:r>
          </w:p>
        </w:tc>
        <w:tc>
          <w:tcPr>
            <w:tcW w:w="1500" w:type="dxa"/>
            <w:hideMark/>
          </w:tcPr>
          <w:p w14:paraId="4016063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r w:rsidR="00F4693E" w:rsidRPr="00F4693E" w14:paraId="301D6F2C" w14:textId="77777777" w:rsidTr="00942986">
        <w:tc>
          <w:tcPr>
            <w:tcW w:w="1527" w:type="dxa"/>
            <w:hideMark/>
          </w:tcPr>
          <w:p w14:paraId="3A055A7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1491" w:type="dxa"/>
            <w:hideMark/>
          </w:tcPr>
          <w:p w14:paraId="7A6B3AD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7EBC9D1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0.69</w:t>
            </w:r>
          </w:p>
        </w:tc>
        <w:tc>
          <w:tcPr>
            <w:tcW w:w="1494" w:type="dxa"/>
            <w:hideMark/>
          </w:tcPr>
          <w:p w14:paraId="24E2B57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0.22</w:t>
            </w:r>
          </w:p>
        </w:tc>
        <w:tc>
          <w:tcPr>
            <w:tcW w:w="1500" w:type="dxa"/>
            <w:hideMark/>
          </w:tcPr>
          <w:p w14:paraId="2857C4A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0.40</w:t>
            </w:r>
          </w:p>
        </w:tc>
        <w:tc>
          <w:tcPr>
            <w:tcW w:w="1500" w:type="dxa"/>
            <w:hideMark/>
          </w:tcPr>
          <w:p w14:paraId="4A1F5C1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r w:rsidR="00F4693E" w:rsidRPr="00F4693E" w14:paraId="4E4DF50A" w14:textId="77777777" w:rsidTr="00942986">
        <w:tc>
          <w:tcPr>
            <w:tcW w:w="1527" w:type="dxa"/>
            <w:hideMark/>
          </w:tcPr>
          <w:p w14:paraId="743EAC0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1491" w:type="dxa"/>
            <w:hideMark/>
          </w:tcPr>
          <w:p w14:paraId="235A2F2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55CEF3C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0.81</w:t>
            </w:r>
          </w:p>
        </w:tc>
        <w:tc>
          <w:tcPr>
            <w:tcW w:w="1494" w:type="dxa"/>
            <w:hideMark/>
          </w:tcPr>
          <w:p w14:paraId="7F6C187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0.16</w:t>
            </w:r>
          </w:p>
        </w:tc>
        <w:tc>
          <w:tcPr>
            <w:tcW w:w="1500" w:type="dxa"/>
            <w:hideMark/>
          </w:tcPr>
          <w:p w14:paraId="70F3D6B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0.60</w:t>
            </w:r>
          </w:p>
        </w:tc>
        <w:tc>
          <w:tcPr>
            <w:tcW w:w="1500" w:type="dxa"/>
            <w:hideMark/>
          </w:tcPr>
          <w:p w14:paraId="5580EE9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r w:rsidR="00F4693E" w:rsidRPr="00F4693E" w14:paraId="3029078C" w14:textId="77777777" w:rsidTr="00942986">
        <w:tc>
          <w:tcPr>
            <w:tcW w:w="1527" w:type="dxa"/>
            <w:hideMark/>
          </w:tcPr>
          <w:p w14:paraId="1FBE66D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1491" w:type="dxa"/>
            <w:hideMark/>
          </w:tcPr>
          <w:p w14:paraId="667BF04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3BBE2AD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16.01</w:t>
            </w:r>
          </w:p>
        </w:tc>
        <w:tc>
          <w:tcPr>
            <w:tcW w:w="1494" w:type="dxa"/>
            <w:hideMark/>
          </w:tcPr>
          <w:p w14:paraId="097E396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1.05</w:t>
            </w:r>
          </w:p>
        </w:tc>
        <w:tc>
          <w:tcPr>
            <w:tcW w:w="1500" w:type="dxa"/>
            <w:hideMark/>
          </w:tcPr>
          <w:p w14:paraId="4A6DAA5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13.98</w:t>
            </w:r>
          </w:p>
        </w:tc>
        <w:tc>
          <w:tcPr>
            <w:tcW w:w="1500" w:type="dxa"/>
            <w:hideMark/>
          </w:tcPr>
          <w:p w14:paraId="6C2DB29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18.13</w:t>
            </w:r>
          </w:p>
        </w:tc>
      </w:tr>
      <w:tr w:rsidR="00F4693E" w:rsidRPr="00F4693E" w14:paraId="41FADB3B" w14:textId="77777777" w:rsidTr="00942986">
        <w:tc>
          <w:tcPr>
            <w:tcW w:w="1527" w:type="dxa"/>
            <w:tcBorders>
              <w:bottom w:val="single" w:sz="4" w:space="0" w:color="auto"/>
            </w:tcBorders>
            <w:hideMark/>
          </w:tcPr>
          <w:p w14:paraId="311364C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1491" w:type="dxa"/>
            <w:tcBorders>
              <w:bottom w:val="single" w:sz="4" w:space="0" w:color="auto"/>
            </w:tcBorders>
            <w:hideMark/>
          </w:tcPr>
          <w:p w14:paraId="500E9EE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tcBorders>
              <w:bottom w:val="single" w:sz="4" w:space="0" w:color="auto"/>
            </w:tcBorders>
            <w:hideMark/>
          </w:tcPr>
          <w:p w14:paraId="5BF2F7F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0.44</w:t>
            </w:r>
          </w:p>
        </w:tc>
        <w:tc>
          <w:tcPr>
            <w:tcW w:w="1494" w:type="dxa"/>
            <w:tcBorders>
              <w:bottom w:val="single" w:sz="4" w:space="0" w:color="auto"/>
            </w:tcBorders>
            <w:hideMark/>
          </w:tcPr>
          <w:p w14:paraId="13203FE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0.20</w:t>
            </w:r>
          </w:p>
        </w:tc>
        <w:tc>
          <w:tcPr>
            <w:tcW w:w="1500" w:type="dxa"/>
            <w:tcBorders>
              <w:bottom w:val="single" w:sz="4" w:space="0" w:color="auto"/>
            </w:tcBorders>
            <w:hideMark/>
          </w:tcPr>
          <w:p w14:paraId="573FA9E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0.10</w:t>
            </w:r>
          </w:p>
        </w:tc>
        <w:tc>
          <w:tcPr>
            <w:tcW w:w="1500" w:type="dxa"/>
            <w:tcBorders>
              <w:bottom w:val="single" w:sz="4" w:space="0" w:color="auto"/>
            </w:tcBorders>
            <w:hideMark/>
          </w:tcPr>
          <w:p w14:paraId="4066C75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0.80</w:t>
            </w:r>
          </w:p>
        </w:tc>
      </w:tr>
    </w:tbl>
    <w:p w14:paraId="4FB932DC" w14:textId="77777777" w:rsidR="00942986" w:rsidRPr="00942986" w:rsidRDefault="00942986" w:rsidP="00942986">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0EE10641"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Table 2 shows Tobin’s Q </w:t>
      </w:r>
      <w:r w:rsidR="00942986">
        <w:rPr>
          <w:rFonts w:ascii="Times New Roman" w:eastAsia="Times New Roman" w:hAnsi="Times New Roman" w:cs="Times New Roman"/>
          <w:sz w:val="24"/>
          <w:szCs w:val="24"/>
          <w:lang w:eastAsia="en-GB"/>
        </w:rPr>
        <w:t xml:space="preserve">with </w:t>
      </w:r>
      <w:r w:rsidRPr="00F4693E">
        <w:rPr>
          <w:rFonts w:ascii="Times New Roman" w:eastAsia="Times New Roman" w:hAnsi="Times New Roman" w:cs="Times New Roman"/>
          <w:sz w:val="24"/>
          <w:szCs w:val="24"/>
          <w:lang w:eastAsia="en-GB"/>
        </w:rPr>
        <w:t xml:space="preserve">a mean of 6.97 and a standard deviation of 0.94, ranging from 4.26 to 8.76. The ESG indices show relatively high disclosure levels, with mean values of 0.59 for ER, 0.69 for SR and 0.81 for GR, suggesting that governance information was disclosed more extensively than environmental and social information. Firm size averaged 16.01 while financial leverage averaged 0.44, indicating meaningful variation in corporate scale and capital </w:t>
      </w:r>
      <w:r w:rsidRPr="00942986">
        <w:rPr>
          <w:rFonts w:ascii="Times New Roman" w:eastAsia="Times New Roman" w:hAnsi="Times New Roman" w:cs="Times New Roman"/>
          <w:sz w:val="24"/>
          <w:szCs w:val="24"/>
          <w:lang w:eastAsia="en-GB"/>
        </w:rPr>
        <w:t>structure across the sample.</w:t>
      </w:r>
    </w:p>
    <w:p w14:paraId="69B9A767" w14:textId="77777777" w:rsidR="00942986" w:rsidRDefault="00942986" w:rsidP="00F4693E">
      <w:pPr>
        <w:spacing w:after="0" w:line="240" w:lineRule="auto"/>
        <w:jc w:val="both"/>
        <w:rPr>
          <w:rFonts w:ascii="Times New Roman" w:eastAsia="Times New Roman" w:hAnsi="Times New Roman" w:cs="Times New Roman"/>
          <w:b/>
          <w:bCs/>
          <w:sz w:val="24"/>
          <w:szCs w:val="24"/>
          <w:lang w:eastAsia="en-GB"/>
        </w:rPr>
      </w:pPr>
    </w:p>
    <w:p w14:paraId="125818AD"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4.2 Correlation Analysis</w:t>
      </w:r>
    </w:p>
    <w:p w14:paraId="58B75AC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 xml:space="preserve">Table 3. Pearson Correlation </w:t>
      </w:r>
      <w:r w:rsidRPr="00F4693E">
        <w:rPr>
          <w:rFonts w:ascii="Times New Roman" w:eastAsia="Times New Roman" w:hAnsi="Times New Roman" w:cs="Times New Roman"/>
          <w:b/>
          <w:bCs/>
          <w:sz w:val="24"/>
          <w:szCs w:val="24"/>
          <w:lang w:eastAsia="en-GB"/>
        </w:rPr>
        <w:t>Matrix</w:t>
      </w:r>
    </w:p>
    <w:tbl>
      <w:tblPr>
        <w:tblW w:w="7893" w:type="dxa"/>
        <w:tblLook w:val="04A0" w:firstRow="1" w:lastRow="0" w:firstColumn="1" w:lastColumn="0" w:noHBand="0" w:noVBand="1"/>
      </w:tblPr>
      <w:tblGrid>
        <w:gridCol w:w="1166"/>
        <w:gridCol w:w="1177"/>
        <w:gridCol w:w="1110"/>
        <w:gridCol w:w="1110"/>
        <w:gridCol w:w="1110"/>
        <w:gridCol w:w="1110"/>
        <w:gridCol w:w="1110"/>
      </w:tblGrid>
      <w:tr w:rsidR="00942986" w:rsidRPr="00F4693E" w14:paraId="51B3F7F3" w14:textId="77777777" w:rsidTr="00942986">
        <w:tc>
          <w:tcPr>
            <w:tcW w:w="1166" w:type="dxa"/>
            <w:tcBorders>
              <w:top w:val="single" w:sz="4" w:space="0" w:color="auto"/>
              <w:bottom w:val="single" w:sz="4" w:space="0" w:color="auto"/>
            </w:tcBorders>
            <w:hideMark/>
          </w:tcPr>
          <w:p w14:paraId="0D23158F" w14:textId="77777777" w:rsidR="00942986" w:rsidRPr="00F4693E" w:rsidRDefault="00942986" w:rsidP="00942986">
            <w:pPr>
              <w:tabs>
                <w:tab w:val="left" w:pos="735"/>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tc>
        <w:tc>
          <w:tcPr>
            <w:tcW w:w="1177" w:type="dxa"/>
            <w:tcBorders>
              <w:top w:val="single" w:sz="4" w:space="0" w:color="auto"/>
              <w:bottom w:val="single" w:sz="4" w:space="0" w:color="auto"/>
            </w:tcBorders>
            <w:hideMark/>
          </w:tcPr>
          <w:p w14:paraId="15FED370"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TOBINQ</w:t>
            </w:r>
          </w:p>
        </w:tc>
        <w:tc>
          <w:tcPr>
            <w:tcW w:w="1110" w:type="dxa"/>
            <w:tcBorders>
              <w:top w:val="single" w:sz="4" w:space="0" w:color="auto"/>
              <w:bottom w:val="single" w:sz="4" w:space="0" w:color="auto"/>
            </w:tcBorders>
            <w:hideMark/>
          </w:tcPr>
          <w:p w14:paraId="6C0223E9"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ER</w:t>
            </w:r>
          </w:p>
        </w:tc>
        <w:tc>
          <w:tcPr>
            <w:tcW w:w="1110" w:type="dxa"/>
            <w:tcBorders>
              <w:top w:val="single" w:sz="4" w:space="0" w:color="auto"/>
              <w:bottom w:val="single" w:sz="4" w:space="0" w:color="auto"/>
            </w:tcBorders>
            <w:hideMark/>
          </w:tcPr>
          <w:p w14:paraId="292892A3"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SR</w:t>
            </w:r>
          </w:p>
        </w:tc>
        <w:tc>
          <w:tcPr>
            <w:tcW w:w="1110" w:type="dxa"/>
            <w:tcBorders>
              <w:top w:val="single" w:sz="4" w:space="0" w:color="auto"/>
              <w:bottom w:val="single" w:sz="4" w:space="0" w:color="auto"/>
            </w:tcBorders>
            <w:hideMark/>
          </w:tcPr>
          <w:p w14:paraId="148E4DC3"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GR</w:t>
            </w:r>
          </w:p>
        </w:tc>
        <w:tc>
          <w:tcPr>
            <w:tcW w:w="1110" w:type="dxa"/>
            <w:tcBorders>
              <w:top w:val="single" w:sz="4" w:space="0" w:color="auto"/>
              <w:bottom w:val="single" w:sz="4" w:space="0" w:color="auto"/>
            </w:tcBorders>
            <w:hideMark/>
          </w:tcPr>
          <w:p w14:paraId="3249DD73"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FS</w:t>
            </w:r>
          </w:p>
        </w:tc>
        <w:tc>
          <w:tcPr>
            <w:tcW w:w="1110" w:type="dxa"/>
            <w:tcBorders>
              <w:top w:val="single" w:sz="4" w:space="0" w:color="auto"/>
              <w:bottom w:val="single" w:sz="4" w:space="0" w:color="auto"/>
            </w:tcBorders>
            <w:hideMark/>
          </w:tcPr>
          <w:p w14:paraId="56C153A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FL</w:t>
            </w:r>
          </w:p>
        </w:tc>
      </w:tr>
      <w:tr w:rsidR="00942986" w:rsidRPr="00F4693E" w14:paraId="15484144" w14:textId="77777777" w:rsidTr="00942986">
        <w:tc>
          <w:tcPr>
            <w:tcW w:w="1166" w:type="dxa"/>
            <w:tcBorders>
              <w:top w:val="single" w:sz="4" w:space="0" w:color="auto"/>
            </w:tcBorders>
            <w:hideMark/>
          </w:tcPr>
          <w:p w14:paraId="003C18E5"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TOBINQ</w:t>
            </w:r>
          </w:p>
        </w:tc>
        <w:tc>
          <w:tcPr>
            <w:tcW w:w="1177" w:type="dxa"/>
            <w:tcBorders>
              <w:top w:val="single" w:sz="4" w:space="0" w:color="auto"/>
            </w:tcBorders>
            <w:hideMark/>
          </w:tcPr>
          <w:p w14:paraId="1C93C716"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tcBorders>
              <w:top w:val="single" w:sz="4" w:space="0" w:color="auto"/>
            </w:tcBorders>
            <w:hideMark/>
          </w:tcPr>
          <w:p w14:paraId="6C494BD1"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52EE7B53"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21FDF64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26DE7E9A"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40ABAE3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28941A62" w14:textId="77777777" w:rsidTr="00942986">
        <w:tc>
          <w:tcPr>
            <w:tcW w:w="1166" w:type="dxa"/>
            <w:hideMark/>
          </w:tcPr>
          <w:p w14:paraId="0FFC7EC9"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1177" w:type="dxa"/>
            <w:hideMark/>
          </w:tcPr>
          <w:p w14:paraId="64989785"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0.64</w:t>
            </w:r>
          </w:p>
        </w:tc>
        <w:tc>
          <w:tcPr>
            <w:tcW w:w="1110" w:type="dxa"/>
            <w:hideMark/>
          </w:tcPr>
          <w:p w14:paraId="4CF9B37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2267AB03"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7E185B71"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0778F79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46BF00F2"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5B10EDE6" w14:textId="77777777" w:rsidTr="00942986">
        <w:tc>
          <w:tcPr>
            <w:tcW w:w="1166" w:type="dxa"/>
            <w:hideMark/>
          </w:tcPr>
          <w:p w14:paraId="54C4EC9B"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1177" w:type="dxa"/>
            <w:hideMark/>
          </w:tcPr>
          <w:p w14:paraId="21B5C955"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0.42</w:t>
            </w:r>
          </w:p>
        </w:tc>
        <w:tc>
          <w:tcPr>
            <w:tcW w:w="1110" w:type="dxa"/>
            <w:hideMark/>
          </w:tcPr>
          <w:p w14:paraId="55F97F3F"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0.02</w:t>
            </w:r>
          </w:p>
        </w:tc>
        <w:tc>
          <w:tcPr>
            <w:tcW w:w="1110" w:type="dxa"/>
            <w:hideMark/>
          </w:tcPr>
          <w:p w14:paraId="5F9364A8"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348979E4"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1915F925"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7B03C7B2"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00E3EDC8" w14:textId="77777777" w:rsidTr="00942986">
        <w:tc>
          <w:tcPr>
            <w:tcW w:w="1166" w:type="dxa"/>
            <w:hideMark/>
          </w:tcPr>
          <w:p w14:paraId="338382A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1177" w:type="dxa"/>
            <w:hideMark/>
          </w:tcPr>
          <w:p w14:paraId="5738CC76"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0.40</w:t>
            </w:r>
          </w:p>
        </w:tc>
        <w:tc>
          <w:tcPr>
            <w:tcW w:w="1110" w:type="dxa"/>
            <w:hideMark/>
          </w:tcPr>
          <w:p w14:paraId="3908ABC0"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-0.02</w:t>
            </w:r>
          </w:p>
        </w:tc>
        <w:tc>
          <w:tcPr>
            <w:tcW w:w="1110" w:type="dxa"/>
            <w:hideMark/>
          </w:tcPr>
          <w:p w14:paraId="1CB1B946"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-0.01</w:t>
            </w:r>
          </w:p>
        </w:tc>
        <w:tc>
          <w:tcPr>
            <w:tcW w:w="1110" w:type="dxa"/>
            <w:hideMark/>
          </w:tcPr>
          <w:p w14:paraId="691D61B5"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273A4E32"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02D6AE28"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218AE030" w14:textId="77777777" w:rsidTr="00942986">
        <w:tc>
          <w:tcPr>
            <w:tcW w:w="1166" w:type="dxa"/>
            <w:hideMark/>
          </w:tcPr>
          <w:p w14:paraId="4325BC71"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1177" w:type="dxa"/>
            <w:hideMark/>
          </w:tcPr>
          <w:p w14:paraId="19BB2106"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0.17</w:t>
            </w:r>
          </w:p>
        </w:tc>
        <w:tc>
          <w:tcPr>
            <w:tcW w:w="1110" w:type="dxa"/>
            <w:hideMark/>
          </w:tcPr>
          <w:p w14:paraId="3AEEB214"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-0.04</w:t>
            </w:r>
          </w:p>
        </w:tc>
        <w:tc>
          <w:tcPr>
            <w:tcW w:w="1110" w:type="dxa"/>
            <w:hideMark/>
          </w:tcPr>
          <w:p w14:paraId="72328D5E"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c>
          <w:tcPr>
            <w:tcW w:w="1110" w:type="dxa"/>
            <w:hideMark/>
          </w:tcPr>
          <w:p w14:paraId="186642C4"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0.04</w:t>
            </w:r>
          </w:p>
        </w:tc>
        <w:tc>
          <w:tcPr>
            <w:tcW w:w="1110" w:type="dxa"/>
            <w:hideMark/>
          </w:tcPr>
          <w:p w14:paraId="261C172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1EB1AEC8"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7792550F" w14:textId="77777777" w:rsidTr="00942986">
        <w:tc>
          <w:tcPr>
            <w:tcW w:w="1166" w:type="dxa"/>
            <w:tcBorders>
              <w:bottom w:val="single" w:sz="4" w:space="0" w:color="auto"/>
            </w:tcBorders>
            <w:hideMark/>
          </w:tcPr>
          <w:p w14:paraId="67C74762"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1177" w:type="dxa"/>
            <w:tcBorders>
              <w:bottom w:val="single" w:sz="4" w:space="0" w:color="auto"/>
            </w:tcBorders>
            <w:hideMark/>
          </w:tcPr>
          <w:p w14:paraId="630A7269"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-0.09</w:t>
            </w:r>
          </w:p>
        </w:tc>
        <w:tc>
          <w:tcPr>
            <w:tcW w:w="1110" w:type="dxa"/>
            <w:tcBorders>
              <w:bottom w:val="single" w:sz="4" w:space="0" w:color="auto"/>
            </w:tcBorders>
            <w:hideMark/>
          </w:tcPr>
          <w:p w14:paraId="22D410FF"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0.01</w:t>
            </w:r>
          </w:p>
        </w:tc>
        <w:tc>
          <w:tcPr>
            <w:tcW w:w="1110" w:type="dxa"/>
            <w:tcBorders>
              <w:bottom w:val="single" w:sz="4" w:space="0" w:color="auto"/>
            </w:tcBorders>
            <w:hideMark/>
          </w:tcPr>
          <w:p w14:paraId="3C9CBAD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0.03</w:t>
            </w:r>
          </w:p>
        </w:tc>
        <w:tc>
          <w:tcPr>
            <w:tcW w:w="1110" w:type="dxa"/>
            <w:tcBorders>
              <w:bottom w:val="single" w:sz="4" w:space="0" w:color="auto"/>
            </w:tcBorders>
            <w:hideMark/>
          </w:tcPr>
          <w:p w14:paraId="63B97AE9"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-0.06</w:t>
            </w:r>
          </w:p>
        </w:tc>
        <w:tc>
          <w:tcPr>
            <w:tcW w:w="1110" w:type="dxa"/>
            <w:tcBorders>
              <w:bottom w:val="single" w:sz="4" w:space="0" w:color="auto"/>
            </w:tcBorders>
            <w:hideMark/>
          </w:tcPr>
          <w:p w14:paraId="5DAD398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0.03</w:t>
            </w:r>
          </w:p>
        </w:tc>
        <w:tc>
          <w:tcPr>
            <w:tcW w:w="1110" w:type="dxa"/>
            <w:tcBorders>
              <w:bottom w:val="single" w:sz="4" w:space="0" w:color="auto"/>
            </w:tcBorders>
            <w:hideMark/>
          </w:tcPr>
          <w:p w14:paraId="5985A831"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bl>
    <w:p w14:paraId="43D62AEB" w14:textId="77777777" w:rsidR="00942986" w:rsidRPr="00942986" w:rsidRDefault="00942986" w:rsidP="00942986">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0A3946A0"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correlation results</w:t>
      </w:r>
      <w:r w:rsidR="00130FCC">
        <w:rPr>
          <w:rFonts w:ascii="Times New Roman" w:eastAsia="Times New Roman" w:hAnsi="Times New Roman" w:cs="Times New Roman"/>
          <w:sz w:val="24"/>
          <w:szCs w:val="24"/>
          <w:lang w:eastAsia="en-GB"/>
        </w:rPr>
        <w:t xml:space="preserve"> in Table 3</w:t>
      </w:r>
      <w:r w:rsidRPr="00F4693E">
        <w:rPr>
          <w:rFonts w:ascii="Times New Roman" w:eastAsia="Times New Roman" w:hAnsi="Times New Roman" w:cs="Times New Roman"/>
          <w:sz w:val="24"/>
          <w:szCs w:val="24"/>
          <w:lang w:eastAsia="en-GB"/>
        </w:rPr>
        <w:t xml:space="preserve"> indicate that </w:t>
      </w:r>
      <w:r w:rsidR="00942986">
        <w:rPr>
          <w:rFonts w:ascii="Times New Roman" w:eastAsia="Times New Roman" w:hAnsi="Times New Roman" w:cs="Times New Roman"/>
          <w:sz w:val="24"/>
          <w:szCs w:val="24"/>
          <w:lang w:eastAsia="en-GB"/>
        </w:rPr>
        <w:t>T</w:t>
      </w:r>
      <w:r w:rsidRPr="00F4693E">
        <w:rPr>
          <w:rFonts w:ascii="Times New Roman" w:eastAsia="Times New Roman" w:hAnsi="Times New Roman" w:cs="Times New Roman"/>
          <w:sz w:val="24"/>
          <w:szCs w:val="24"/>
          <w:lang w:eastAsia="en-GB"/>
        </w:rPr>
        <w:t>obin’s Q is positively related to ER (</w:t>
      </w:r>
      <w:r w:rsidR="00130FCC">
        <w:rPr>
          <w:rFonts w:ascii="Times New Roman" w:eastAsia="Times New Roman" w:hAnsi="Times New Roman" w:cs="Times New Roman"/>
          <w:sz w:val="24"/>
          <w:szCs w:val="24"/>
          <w:lang w:eastAsia="en-GB"/>
        </w:rPr>
        <w:t>0.64), SR (0.42) and GR (0.40). This indicates</w:t>
      </w:r>
      <w:r w:rsidRPr="00F4693E">
        <w:rPr>
          <w:rFonts w:ascii="Times New Roman" w:eastAsia="Times New Roman" w:hAnsi="Times New Roman" w:cs="Times New Roman"/>
          <w:sz w:val="24"/>
          <w:szCs w:val="24"/>
          <w:lang w:eastAsia="en-GB"/>
        </w:rPr>
        <w:t xml:space="preserve"> that greater ESG disclosure tends to occur alongside higher market valuation, although correlation does not establish causation. Among the explanatory and control variables, the correlations are very small, with the largest being ER and Tobin’s Q at 0.64. </w:t>
      </w:r>
      <w:r w:rsidRPr="001C0D0D">
        <w:rPr>
          <w:rFonts w:ascii="Times New Roman" w:eastAsia="Times New Roman" w:hAnsi="Times New Roman" w:cs="Times New Roman"/>
          <w:sz w:val="24"/>
          <w:szCs w:val="24"/>
          <w:lang w:eastAsia="en-GB"/>
        </w:rPr>
        <w:t>Importantly, the correlations among ER, SR, GR, FS and FL are all far below 0.70, suggesting that severe pairwise multicollinearity is unlikely.</w:t>
      </w:r>
    </w:p>
    <w:p w14:paraId="52572604" w14:textId="77777777" w:rsidR="00942986" w:rsidRPr="00942986" w:rsidRDefault="00942986" w:rsidP="00F4693E">
      <w:pPr>
        <w:spacing w:after="0" w:line="240" w:lineRule="auto"/>
        <w:jc w:val="both"/>
        <w:rPr>
          <w:rFonts w:ascii="Times New Roman" w:eastAsia="Times New Roman" w:hAnsi="Times New Roman" w:cs="Times New Roman"/>
          <w:b/>
          <w:bCs/>
          <w:sz w:val="24"/>
          <w:szCs w:val="24"/>
          <w:lang w:eastAsia="en-GB"/>
        </w:rPr>
      </w:pPr>
    </w:p>
    <w:p w14:paraId="745A42A3"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4.3 Multicollinearity Test</w:t>
      </w:r>
    </w:p>
    <w:p w14:paraId="45BB699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Table 4. Variance Inflation Factor Test</w:t>
      </w:r>
    </w:p>
    <w:tbl>
      <w:tblPr>
        <w:tblW w:w="9016" w:type="dxa"/>
        <w:tblLook w:val="04A0" w:firstRow="1" w:lastRow="0" w:firstColumn="1" w:lastColumn="0" w:noHBand="0" w:noVBand="1"/>
      </w:tblPr>
      <w:tblGrid>
        <w:gridCol w:w="3019"/>
        <w:gridCol w:w="2994"/>
        <w:gridCol w:w="3003"/>
      </w:tblGrid>
      <w:tr w:rsidR="00F4693E" w:rsidRPr="00F4693E" w14:paraId="60082FC1" w14:textId="77777777" w:rsidTr="00942986">
        <w:tc>
          <w:tcPr>
            <w:tcW w:w="3019" w:type="dxa"/>
            <w:tcBorders>
              <w:top w:val="single" w:sz="4" w:space="0" w:color="auto"/>
              <w:bottom w:val="single" w:sz="4" w:space="0" w:color="auto"/>
            </w:tcBorders>
            <w:hideMark/>
          </w:tcPr>
          <w:p w14:paraId="41CEA1C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2994" w:type="dxa"/>
            <w:tcBorders>
              <w:top w:val="single" w:sz="4" w:space="0" w:color="auto"/>
              <w:bottom w:val="single" w:sz="4" w:space="0" w:color="auto"/>
            </w:tcBorders>
            <w:hideMark/>
          </w:tcPr>
          <w:p w14:paraId="2F21BDB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VIF</w:t>
            </w:r>
          </w:p>
        </w:tc>
        <w:tc>
          <w:tcPr>
            <w:tcW w:w="3003" w:type="dxa"/>
            <w:tcBorders>
              <w:top w:val="single" w:sz="4" w:space="0" w:color="auto"/>
              <w:bottom w:val="single" w:sz="4" w:space="0" w:color="auto"/>
            </w:tcBorders>
            <w:hideMark/>
          </w:tcPr>
          <w:p w14:paraId="3C77EE9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1/VIF</w:t>
            </w:r>
          </w:p>
        </w:tc>
      </w:tr>
      <w:tr w:rsidR="00F4693E" w:rsidRPr="00F4693E" w14:paraId="13E21EDB" w14:textId="77777777" w:rsidTr="00942986">
        <w:tc>
          <w:tcPr>
            <w:tcW w:w="3019" w:type="dxa"/>
            <w:tcBorders>
              <w:top w:val="single" w:sz="4" w:space="0" w:color="auto"/>
            </w:tcBorders>
            <w:hideMark/>
          </w:tcPr>
          <w:p w14:paraId="351CDB5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2994" w:type="dxa"/>
            <w:tcBorders>
              <w:top w:val="single" w:sz="4" w:space="0" w:color="auto"/>
            </w:tcBorders>
            <w:hideMark/>
          </w:tcPr>
          <w:p w14:paraId="2F17D62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1.01</w:t>
            </w:r>
          </w:p>
        </w:tc>
        <w:tc>
          <w:tcPr>
            <w:tcW w:w="3003" w:type="dxa"/>
            <w:tcBorders>
              <w:top w:val="single" w:sz="4" w:space="0" w:color="auto"/>
            </w:tcBorders>
            <w:hideMark/>
          </w:tcPr>
          <w:p w14:paraId="408044F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0.994</w:t>
            </w:r>
          </w:p>
        </w:tc>
      </w:tr>
      <w:tr w:rsidR="00F4693E" w:rsidRPr="00F4693E" w14:paraId="0C36E2F7" w14:textId="77777777" w:rsidTr="00942986">
        <w:tc>
          <w:tcPr>
            <w:tcW w:w="3019" w:type="dxa"/>
            <w:hideMark/>
          </w:tcPr>
          <w:p w14:paraId="64C685B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2994" w:type="dxa"/>
            <w:hideMark/>
          </w:tcPr>
          <w:p w14:paraId="2F045BE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1.01</w:t>
            </w:r>
          </w:p>
        </w:tc>
        <w:tc>
          <w:tcPr>
            <w:tcW w:w="3003" w:type="dxa"/>
            <w:hideMark/>
          </w:tcPr>
          <w:p w14:paraId="55467D0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0.994</w:t>
            </w:r>
          </w:p>
        </w:tc>
      </w:tr>
      <w:tr w:rsidR="00F4693E" w:rsidRPr="00F4693E" w14:paraId="308B34C5" w14:textId="77777777" w:rsidTr="00942986">
        <w:tc>
          <w:tcPr>
            <w:tcW w:w="3019" w:type="dxa"/>
            <w:hideMark/>
          </w:tcPr>
          <w:p w14:paraId="30ADCF6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2994" w:type="dxa"/>
            <w:hideMark/>
          </w:tcPr>
          <w:p w14:paraId="16FAB30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hideMark/>
          </w:tcPr>
          <w:p w14:paraId="2AB3031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0.995</w:t>
            </w:r>
          </w:p>
        </w:tc>
      </w:tr>
      <w:tr w:rsidR="00F4693E" w:rsidRPr="00F4693E" w14:paraId="09C97BAD" w14:textId="77777777" w:rsidTr="00942986">
        <w:tc>
          <w:tcPr>
            <w:tcW w:w="3019" w:type="dxa"/>
            <w:hideMark/>
          </w:tcPr>
          <w:p w14:paraId="67743D1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2994" w:type="dxa"/>
            <w:hideMark/>
          </w:tcPr>
          <w:p w14:paraId="7159495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hideMark/>
          </w:tcPr>
          <w:p w14:paraId="095E82B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0.998</w:t>
            </w:r>
          </w:p>
        </w:tc>
      </w:tr>
      <w:tr w:rsidR="00F4693E" w:rsidRPr="00F4693E" w14:paraId="78C2E6EA" w14:textId="77777777" w:rsidTr="00942986">
        <w:tc>
          <w:tcPr>
            <w:tcW w:w="3019" w:type="dxa"/>
            <w:hideMark/>
          </w:tcPr>
          <w:p w14:paraId="119A637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2994" w:type="dxa"/>
            <w:hideMark/>
          </w:tcPr>
          <w:p w14:paraId="6AE7320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hideMark/>
          </w:tcPr>
          <w:p w14:paraId="427760A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0.998</w:t>
            </w:r>
          </w:p>
        </w:tc>
      </w:tr>
      <w:tr w:rsidR="00F4693E" w:rsidRPr="00F4693E" w14:paraId="27DA830D" w14:textId="77777777" w:rsidTr="00942986">
        <w:tc>
          <w:tcPr>
            <w:tcW w:w="3019" w:type="dxa"/>
            <w:tcBorders>
              <w:bottom w:val="single" w:sz="4" w:space="0" w:color="auto"/>
            </w:tcBorders>
            <w:hideMark/>
          </w:tcPr>
          <w:p w14:paraId="6821847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Mean VIF</w:t>
            </w:r>
          </w:p>
        </w:tc>
        <w:tc>
          <w:tcPr>
            <w:tcW w:w="2994" w:type="dxa"/>
            <w:tcBorders>
              <w:bottom w:val="single" w:sz="4" w:space="0" w:color="auto"/>
            </w:tcBorders>
            <w:hideMark/>
          </w:tcPr>
          <w:p w14:paraId="68E37A9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tcBorders>
              <w:bottom w:val="single" w:sz="4" w:space="0" w:color="auto"/>
            </w:tcBorders>
            <w:hideMark/>
          </w:tcPr>
          <w:p w14:paraId="79E3810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w:t>
            </w:r>
          </w:p>
        </w:tc>
      </w:tr>
    </w:tbl>
    <w:p w14:paraId="04E24D89" w14:textId="77777777" w:rsidR="00942986" w:rsidRPr="00942986" w:rsidRDefault="00942986" w:rsidP="00942986">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78C5430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lastRenderedPageBreak/>
        <w:t>Table 4 indicates that all variance inflation factor values are approximately 1.00, with the highest value being 1.01 for financial leverage and governance reporting. These values are substantially below the commonly applied threshold of 10, indicating that multicollinearity is not a serious problem in the estimated models. The tolerance values, represented by 1/VIF, are also very high and close to 1. This provides additional evidence that the explanatory and control variables contain sufficient independent variation for regression analysis. The result strengthens confidence that the individual coefficients can be interpreted without substantial distortion caused by linear dependence among regressors.</w:t>
      </w:r>
    </w:p>
    <w:p w14:paraId="42A86D15" w14:textId="77777777" w:rsidR="00AD23B0" w:rsidRDefault="00AD23B0" w:rsidP="00F4693E">
      <w:pPr>
        <w:spacing w:after="0" w:line="240" w:lineRule="auto"/>
        <w:jc w:val="both"/>
        <w:rPr>
          <w:rFonts w:ascii="Times New Roman" w:eastAsia="Times New Roman" w:hAnsi="Times New Roman" w:cs="Times New Roman"/>
          <w:b/>
          <w:bCs/>
          <w:sz w:val="24"/>
          <w:szCs w:val="24"/>
          <w:lang w:eastAsia="en-GB"/>
        </w:rPr>
      </w:pPr>
    </w:p>
    <w:p w14:paraId="526D91E0" w14:textId="77777777" w:rsidR="00F4693E" w:rsidRPr="00AD23B0" w:rsidRDefault="00F4693E" w:rsidP="00F4693E">
      <w:pPr>
        <w:spacing w:after="0" w:line="240" w:lineRule="auto"/>
        <w:jc w:val="both"/>
        <w:rPr>
          <w:rFonts w:ascii="Times New Roman" w:eastAsia="Times New Roman" w:hAnsi="Times New Roman" w:cs="Times New Roman"/>
          <w:sz w:val="24"/>
          <w:szCs w:val="24"/>
          <w:lang w:eastAsia="en-GB"/>
        </w:rPr>
      </w:pPr>
      <w:r w:rsidRPr="00AD23B0">
        <w:rPr>
          <w:rFonts w:ascii="Times New Roman" w:eastAsia="Times New Roman" w:hAnsi="Times New Roman" w:cs="Times New Roman"/>
          <w:b/>
          <w:bCs/>
          <w:sz w:val="24"/>
          <w:szCs w:val="24"/>
          <w:lang w:eastAsia="en-GB"/>
        </w:rPr>
        <w:t>4.4 Diagnostic and Specification Tests</w:t>
      </w:r>
    </w:p>
    <w:p w14:paraId="508210A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study assessed the normality assumption using the skewness/kurtosis test, examined heteroscedasticity using the relevant variance test, and used the Hausman specification test to select the appropriate panel estimator. The decision rule for the normality and heterosced</w:t>
      </w:r>
      <w:r w:rsidR="00AD23B0">
        <w:rPr>
          <w:rFonts w:ascii="Times New Roman" w:eastAsia="Times New Roman" w:hAnsi="Times New Roman" w:cs="Times New Roman"/>
          <w:sz w:val="24"/>
          <w:szCs w:val="24"/>
          <w:lang w:eastAsia="en-GB"/>
        </w:rPr>
        <w:t xml:space="preserve">asticity tests was based on a 5 </w:t>
      </w:r>
      <w:r w:rsidR="00130FCC">
        <w:rPr>
          <w:rFonts w:ascii="Times New Roman" w:eastAsia="Times New Roman" w:hAnsi="Times New Roman" w:cs="Times New Roman"/>
          <w:sz w:val="24"/>
          <w:szCs w:val="24"/>
          <w:lang w:eastAsia="en-GB"/>
        </w:rPr>
        <w:t>per cent</w:t>
      </w:r>
      <w:r w:rsidRPr="00F4693E">
        <w:rPr>
          <w:rFonts w:ascii="Times New Roman" w:eastAsia="Times New Roman" w:hAnsi="Times New Roman" w:cs="Times New Roman"/>
          <w:sz w:val="24"/>
          <w:szCs w:val="24"/>
          <w:lang w:eastAsia="en-GB"/>
        </w:rPr>
        <w:t xml:space="preserve"> significance level</w:t>
      </w:r>
      <w:r w:rsidR="00130FCC">
        <w:rPr>
          <w:rFonts w:ascii="Times New Roman" w:eastAsia="Times New Roman" w:hAnsi="Times New Roman" w:cs="Times New Roman"/>
          <w:sz w:val="24"/>
          <w:szCs w:val="24"/>
          <w:lang w:eastAsia="en-GB"/>
        </w:rPr>
        <w:t>. In contrast,</w:t>
      </w:r>
      <w:r w:rsidRPr="00F4693E">
        <w:rPr>
          <w:rFonts w:ascii="Times New Roman" w:eastAsia="Times New Roman" w:hAnsi="Times New Roman" w:cs="Times New Roman"/>
          <w:sz w:val="24"/>
          <w:szCs w:val="24"/>
          <w:lang w:eastAsia="en-GB"/>
        </w:rPr>
        <w:t xml:space="preserve"> the Hausman test was used to distinguish between fixed- and random-effects specifications. The supplied diagnostic results indicate that the heteroscedasticity test was not statistically significant, supporting the constant-variance assumption. The reported Hausman decision favoured the fixed-effects model, indicating that unobserved firm-specific effects should not be treated as independent of the explanatory variables. The supplied results should therefore be interpreted with the panel structure and firm-specific heterogeneity in mind.</w:t>
      </w:r>
    </w:p>
    <w:p w14:paraId="28C574B7" w14:textId="77777777" w:rsidR="001E4E7C" w:rsidRDefault="001E4E7C" w:rsidP="00F4693E">
      <w:pPr>
        <w:spacing w:after="0" w:line="240" w:lineRule="auto"/>
        <w:jc w:val="both"/>
        <w:rPr>
          <w:rFonts w:ascii="Times New Roman" w:eastAsia="Times New Roman" w:hAnsi="Times New Roman" w:cs="Times New Roman"/>
          <w:b/>
          <w:bCs/>
          <w:sz w:val="24"/>
          <w:szCs w:val="24"/>
          <w:lang w:eastAsia="en-GB"/>
        </w:rPr>
      </w:pPr>
    </w:p>
    <w:p w14:paraId="3A1B641A" w14:textId="77777777" w:rsidR="00F4693E" w:rsidRPr="001E4E7C" w:rsidRDefault="001E4E7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4.5</w:t>
      </w:r>
      <w:r w:rsidR="00F4693E" w:rsidRPr="001E4E7C">
        <w:rPr>
          <w:rFonts w:ascii="Times New Roman" w:eastAsia="Times New Roman" w:hAnsi="Times New Roman" w:cs="Times New Roman"/>
          <w:b/>
          <w:bCs/>
          <w:sz w:val="24"/>
          <w:szCs w:val="24"/>
          <w:lang w:eastAsia="en-GB"/>
        </w:rPr>
        <w:t xml:space="preserve"> Regression Results for Tobin’s Q</w:t>
      </w:r>
    </w:p>
    <w:p w14:paraId="47DC0832" w14:textId="77777777" w:rsidR="00F4693E" w:rsidRPr="00F4693E" w:rsidRDefault="001E4E7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Table 5</w:t>
      </w:r>
      <w:r w:rsidR="00F4693E" w:rsidRPr="00F4693E">
        <w:rPr>
          <w:rFonts w:ascii="Times New Roman" w:eastAsia="Times New Roman" w:hAnsi="Times New Roman" w:cs="Times New Roman"/>
          <w:b/>
          <w:bCs/>
          <w:sz w:val="24"/>
          <w:szCs w:val="24"/>
          <w:lang w:eastAsia="en-GB"/>
        </w:rPr>
        <w:t>. Regression Results: Dependent Variable Tobin’s Q</w:t>
      </w:r>
    </w:p>
    <w:tbl>
      <w:tblPr>
        <w:tblW w:w="9016" w:type="dxa"/>
        <w:tblLook w:val="04A0" w:firstRow="1" w:lastRow="0" w:firstColumn="1" w:lastColumn="0" w:noHBand="0" w:noVBand="1"/>
      </w:tblPr>
      <w:tblGrid>
        <w:gridCol w:w="2281"/>
        <w:gridCol w:w="2271"/>
        <w:gridCol w:w="2232"/>
        <w:gridCol w:w="2232"/>
      </w:tblGrid>
      <w:tr w:rsidR="00F4693E" w:rsidRPr="00F4693E" w14:paraId="4BC2BD6F" w14:textId="77777777" w:rsidTr="001E4E7C">
        <w:tc>
          <w:tcPr>
            <w:tcW w:w="2281" w:type="dxa"/>
            <w:tcBorders>
              <w:top w:val="single" w:sz="4" w:space="0" w:color="auto"/>
              <w:bottom w:val="single" w:sz="4" w:space="0" w:color="auto"/>
            </w:tcBorders>
            <w:hideMark/>
          </w:tcPr>
          <w:p w14:paraId="5F333C5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2271" w:type="dxa"/>
            <w:tcBorders>
              <w:top w:val="single" w:sz="4" w:space="0" w:color="auto"/>
              <w:bottom w:val="single" w:sz="4" w:space="0" w:color="auto"/>
            </w:tcBorders>
            <w:hideMark/>
          </w:tcPr>
          <w:p w14:paraId="4B9E5E5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Coefficient</w:t>
            </w:r>
          </w:p>
        </w:tc>
        <w:tc>
          <w:tcPr>
            <w:tcW w:w="2232" w:type="dxa"/>
            <w:tcBorders>
              <w:top w:val="single" w:sz="4" w:space="0" w:color="auto"/>
              <w:bottom w:val="single" w:sz="4" w:space="0" w:color="auto"/>
            </w:tcBorders>
            <w:hideMark/>
          </w:tcPr>
          <w:p w14:paraId="1597460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t-value</w:t>
            </w:r>
          </w:p>
        </w:tc>
        <w:tc>
          <w:tcPr>
            <w:tcW w:w="2232" w:type="dxa"/>
            <w:tcBorders>
              <w:top w:val="single" w:sz="4" w:space="0" w:color="auto"/>
              <w:bottom w:val="single" w:sz="4" w:space="0" w:color="auto"/>
            </w:tcBorders>
            <w:hideMark/>
          </w:tcPr>
          <w:p w14:paraId="6765E9A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p-value</w:t>
            </w:r>
          </w:p>
        </w:tc>
      </w:tr>
      <w:tr w:rsidR="00F4693E" w:rsidRPr="00F4693E" w14:paraId="34DE09DF" w14:textId="77777777" w:rsidTr="001E4E7C">
        <w:tc>
          <w:tcPr>
            <w:tcW w:w="2281" w:type="dxa"/>
            <w:tcBorders>
              <w:top w:val="single" w:sz="4" w:space="0" w:color="auto"/>
            </w:tcBorders>
            <w:hideMark/>
          </w:tcPr>
          <w:p w14:paraId="08EA238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2271" w:type="dxa"/>
            <w:tcBorders>
              <w:top w:val="single" w:sz="4" w:space="0" w:color="auto"/>
            </w:tcBorders>
            <w:hideMark/>
          </w:tcPr>
          <w:p w14:paraId="196150C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2.15</w:t>
            </w:r>
          </w:p>
        </w:tc>
        <w:tc>
          <w:tcPr>
            <w:tcW w:w="2232" w:type="dxa"/>
            <w:tcBorders>
              <w:top w:val="single" w:sz="4" w:space="0" w:color="auto"/>
            </w:tcBorders>
            <w:hideMark/>
          </w:tcPr>
          <w:p w14:paraId="4564A34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32.98</w:t>
            </w:r>
          </w:p>
        </w:tc>
        <w:tc>
          <w:tcPr>
            <w:tcW w:w="2232" w:type="dxa"/>
            <w:tcBorders>
              <w:top w:val="single" w:sz="4" w:space="0" w:color="auto"/>
            </w:tcBorders>
            <w:hideMark/>
          </w:tcPr>
          <w:p w14:paraId="40D7E0F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4BF39777" w14:textId="77777777" w:rsidTr="001E4E7C">
        <w:tc>
          <w:tcPr>
            <w:tcW w:w="2281" w:type="dxa"/>
            <w:hideMark/>
          </w:tcPr>
          <w:p w14:paraId="452D74F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2271" w:type="dxa"/>
            <w:hideMark/>
          </w:tcPr>
          <w:p w14:paraId="7BEC45F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1.78</w:t>
            </w:r>
          </w:p>
        </w:tc>
        <w:tc>
          <w:tcPr>
            <w:tcW w:w="2232" w:type="dxa"/>
            <w:hideMark/>
          </w:tcPr>
          <w:p w14:paraId="3244538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21.43</w:t>
            </w:r>
          </w:p>
        </w:tc>
        <w:tc>
          <w:tcPr>
            <w:tcW w:w="2232" w:type="dxa"/>
            <w:hideMark/>
          </w:tcPr>
          <w:p w14:paraId="0245D47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2F33EA0B" w14:textId="77777777" w:rsidTr="001E4E7C">
        <w:tc>
          <w:tcPr>
            <w:tcW w:w="2281" w:type="dxa"/>
            <w:hideMark/>
          </w:tcPr>
          <w:p w14:paraId="5B0694B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2271" w:type="dxa"/>
            <w:hideMark/>
          </w:tcPr>
          <w:p w14:paraId="2683EAD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2.29</w:t>
            </w:r>
          </w:p>
        </w:tc>
        <w:tc>
          <w:tcPr>
            <w:tcW w:w="2232" w:type="dxa"/>
            <w:hideMark/>
          </w:tcPr>
          <w:p w14:paraId="2DD573C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20.31</w:t>
            </w:r>
          </w:p>
        </w:tc>
        <w:tc>
          <w:tcPr>
            <w:tcW w:w="2232" w:type="dxa"/>
            <w:hideMark/>
          </w:tcPr>
          <w:p w14:paraId="70C7772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787042D6" w14:textId="77777777" w:rsidTr="001E4E7C">
        <w:tc>
          <w:tcPr>
            <w:tcW w:w="2281" w:type="dxa"/>
            <w:hideMark/>
          </w:tcPr>
          <w:p w14:paraId="75A662A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2271" w:type="dxa"/>
            <w:hideMark/>
          </w:tcPr>
          <w:p w14:paraId="0B23F63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0.16</w:t>
            </w:r>
          </w:p>
        </w:tc>
        <w:tc>
          <w:tcPr>
            <w:tcW w:w="2232" w:type="dxa"/>
            <w:hideMark/>
          </w:tcPr>
          <w:p w14:paraId="7DA9698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9.30</w:t>
            </w:r>
          </w:p>
        </w:tc>
        <w:tc>
          <w:tcPr>
            <w:tcW w:w="2232" w:type="dxa"/>
            <w:hideMark/>
          </w:tcPr>
          <w:p w14:paraId="6742602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008D0477" w14:textId="77777777" w:rsidTr="001E4E7C">
        <w:tc>
          <w:tcPr>
            <w:tcW w:w="2281" w:type="dxa"/>
            <w:hideMark/>
          </w:tcPr>
          <w:p w14:paraId="05C0F73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2271" w:type="dxa"/>
            <w:hideMark/>
          </w:tcPr>
          <w:p w14:paraId="56D7D88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-0.44</w:t>
            </w:r>
          </w:p>
        </w:tc>
        <w:tc>
          <w:tcPr>
            <w:tcW w:w="2232" w:type="dxa"/>
            <w:hideMark/>
          </w:tcPr>
          <w:p w14:paraId="319BC3E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-4.89</w:t>
            </w:r>
          </w:p>
        </w:tc>
        <w:tc>
          <w:tcPr>
            <w:tcW w:w="2232" w:type="dxa"/>
            <w:hideMark/>
          </w:tcPr>
          <w:p w14:paraId="3FB792F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4359AF05" w14:textId="77777777" w:rsidTr="001E4E7C">
        <w:tc>
          <w:tcPr>
            <w:tcW w:w="2281" w:type="dxa"/>
            <w:hideMark/>
          </w:tcPr>
          <w:p w14:paraId="3CF105B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Constant</w:t>
            </w:r>
          </w:p>
        </w:tc>
        <w:tc>
          <w:tcPr>
            <w:tcW w:w="2271" w:type="dxa"/>
            <w:hideMark/>
          </w:tcPr>
          <w:p w14:paraId="05746DE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0.25</w:t>
            </w:r>
          </w:p>
        </w:tc>
        <w:tc>
          <w:tcPr>
            <w:tcW w:w="2232" w:type="dxa"/>
            <w:hideMark/>
          </w:tcPr>
          <w:p w14:paraId="5EA9465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0.84</w:t>
            </w:r>
          </w:p>
        </w:tc>
        <w:tc>
          <w:tcPr>
            <w:tcW w:w="2232" w:type="dxa"/>
            <w:hideMark/>
          </w:tcPr>
          <w:p w14:paraId="1EFBF7A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61C26356" w14:textId="77777777" w:rsidTr="001E4E7C">
        <w:tc>
          <w:tcPr>
            <w:tcW w:w="2281" w:type="dxa"/>
            <w:hideMark/>
          </w:tcPr>
          <w:p w14:paraId="629C205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R-squared</w:t>
            </w:r>
          </w:p>
        </w:tc>
        <w:tc>
          <w:tcPr>
            <w:tcW w:w="2271" w:type="dxa"/>
            <w:hideMark/>
          </w:tcPr>
          <w:p w14:paraId="1A928FE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0.78</w:t>
            </w:r>
          </w:p>
        </w:tc>
        <w:tc>
          <w:tcPr>
            <w:tcW w:w="2232" w:type="dxa"/>
            <w:hideMark/>
          </w:tcPr>
          <w:p w14:paraId="03A7CEB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57B1F9A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55962E80" w14:textId="77777777" w:rsidTr="001E4E7C">
        <w:tc>
          <w:tcPr>
            <w:tcW w:w="2281" w:type="dxa"/>
            <w:hideMark/>
          </w:tcPr>
          <w:p w14:paraId="7969CFE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Adjusted R-squared</w:t>
            </w:r>
          </w:p>
        </w:tc>
        <w:tc>
          <w:tcPr>
            <w:tcW w:w="2271" w:type="dxa"/>
            <w:hideMark/>
          </w:tcPr>
          <w:p w14:paraId="6B58CB5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0.78</w:t>
            </w:r>
          </w:p>
        </w:tc>
        <w:tc>
          <w:tcPr>
            <w:tcW w:w="2232" w:type="dxa"/>
            <w:hideMark/>
          </w:tcPr>
          <w:p w14:paraId="487CE7D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7AD8432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4D895051" w14:textId="77777777" w:rsidTr="001E4E7C">
        <w:tc>
          <w:tcPr>
            <w:tcW w:w="2281" w:type="dxa"/>
            <w:hideMark/>
          </w:tcPr>
          <w:p w14:paraId="7D82C8D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Root MSE</w:t>
            </w:r>
          </w:p>
        </w:tc>
        <w:tc>
          <w:tcPr>
            <w:tcW w:w="2271" w:type="dxa"/>
            <w:hideMark/>
          </w:tcPr>
          <w:p w14:paraId="1D5F4F2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0.45</w:t>
            </w:r>
          </w:p>
        </w:tc>
        <w:tc>
          <w:tcPr>
            <w:tcW w:w="2232" w:type="dxa"/>
            <w:hideMark/>
          </w:tcPr>
          <w:p w14:paraId="6C6D230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31E5876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29159F60" w14:textId="77777777" w:rsidTr="001E4E7C">
        <w:tc>
          <w:tcPr>
            <w:tcW w:w="2281" w:type="dxa"/>
            <w:hideMark/>
          </w:tcPr>
          <w:p w14:paraId="27DB069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Prob &gt; F</w:t>
            </w:r>
          </w:p>
        </w:tc>
        <w:tc>
          <w:tcPr>
            <w:tcW w:w="2271" w:type="dxa"/>
            <w:hideMark/>
          </w:tcPr>
          <w:p w14:paraId="1898E6E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c>
          <w:tcPr>
            <w:tcW w:w="2232" w:type="dxa"/>
            <w:hideMark/>
          </w:tcPr>
          <w:p w14:paraId="3CDE5AF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3955BBE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65761891" w14:textId="77777777" w:rsidTr="001E4E7C">
        <w:tc>
          <w:tcPr>
            <w:tcW w:w="2281" w:type="dxa"/>
            <w:tcBorders>
              <w:bottom w:val="single" w:sz="4" w:space="0" w:color="auto"/>
            </w:tcBorders>
            <w:hideMark/>
          </w:tcPr>
          <w:p w14:paraId="3D8FEA4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Observations</w:t>
            </w:r>
          </w:p>
        </w:tc>
        <w:tc>
          <w:tcPr>
            <w:tcW w:w="2271" w:type="dxa"/>
            <w:tcBorders>
              <w:bottom w:val="single" w:sz="4" w:space="0" w:color="auto"/>
            </w:tcBorders>
            <w:hideMark/>
          </w:tcPr>
          <w:p w14:paraId="551BC62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2232" w:type="dxa"/>
            <w:tcBorders>
              <w:bottom w:val="single" w:sz="4" w:space="0" w:color="auto"/>
            </w:tcBorders>
            <w:hideMark/>
          </w:tcPr>
          <w:p w14:paraId="258D21D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tcBorders>
              <w:bottom w:val="single" w:sz="4" w:space="0" w:color="auto"/>
            </w:tcBorders>
            <w:hideMark/>
          </w:tcPr>
          <w:p w14:paraId="3257982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bl>
    <w:p w14:paraId="7E99562D" w14:textId="77777777" w:rsidR="001E4E7C" w:rsidRPr="00942986" w:rsidRDefault="001E4E7C" w:rsidP="001E4E7C">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5B8C04F1" w14:textId="77777777" w:rsidR="00FD1BB8" w:rsidRDefault="001E4E7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Table 5</w:t>
      </w:r>
      <w:r w:rsidR="00F4693E" w:rsidRPr="00F4693E">
        <w:rPr>
          <w:rFonts w:ascii="Times New Roman" w:eastAsia="Times New Roman" w:hAnsi="Times New Roman" w:cs="Times New Roman"/>
          <w:sz w:val="24"/>
          <w:szCs w:val="24"/>
          <w:lang w:eastAsia="en-GB"/>
        </w:rPr>
        <w:t xml:space="preserve"> presents a substantially stronger relationship between ESG reporting and firm value</w:t>
      </w:r>
      <w:r w:rsidR="00FD1BB8">
        <w:rPr>
          <w:rFonts w:ascii="Times New Roman" w:eastAsia="Times New Roman" w:hAnsi="Times New Roman" w:cs="Times New Roman"/>
          <w:sz w:val="24"/>
          <w:szCs w:val="24"/>
          <w:lang w:eastAsia="en-GB"/>
        </w:rPr>
        <w:t xml:space="preserve"> measured by Tobin’s Q</w:t>
      </w:r>
      <w:r w:rsidR="00F4693E" w:rsidRPr="00F4693E">
        <w:rPr>
          <w:rFonts w:ascii="Times New Roman" w:eastAsia="Times New Roman" w:hAnsi="Times New Roman" w:cs="Times New Roman"/>
          <w:sz w:val="24"/>
          <w:szCs w:val="24"/>
          <w:lang w:eastAsia="en-GB"/>
        </w:rPr>
        <w:t>. Environmental reporting has a positive coefficient of 2.15 and is highly statistically significant (t = 32.98; p &lt; 0.01). Social reporting has a coefficient of 1.78 and is also highly significant (t = 21.43; p &lt; 0.01), while governance reporting has the largest coefficient among the ESG variables at 2.29 and is highly significant (t = 20.31; p &lt; 0.01). Firm size is positively associated with Tobin’s Q (β = 0.16; p &lt; 0.01), whereas financial leverage is negative and significant (β = −0.44; p &lt; 0.01). The R-squared and adjusted R-squared are both 0.78, indicating that the model explains approximately 78% of the variation in Tobin’s Q in the supplied regression output.</w:t>
      </w:r>
      <w:r w:rsidR="00FD1BB8">
        <w:rPr>
          <w:rFonts w:ascii="Times New Roman" w:eastAsia="Times New Roman" w:hAnsi="Times New Roman" w:cs="Times New Roman"/>
          <w:sz w:val="24"/>
          <w:szCs w:val="24"/>
          <w:lang w:eastAsia="en-GB"/>
        </w:rPr>
        <w:t xml:space="preserve"> </w:t>
      </w:r>
      <w:r w:rsidR="00F4693E" w:rsidRPr="00F4693E">
        <w:rPr>
          <w:rFonts w:ascii="Times New Roman" w:eastAsia="Times New Roman" w:hAnsi="Times New Roman" w:cs="Times New Roman"/>
          <w:sz w:val="24"/>
          <w:szCs w:val="24"/>
          <w:lang w:eastAsia="en-GB"/>
        </w:rPr>
        <w:t xml:space="preserve">The </w:t>
      </w:r>
      <w:r w:rsidR="00FD1BB8">
        <w:rPr>
          <w:rFonts w:ascii="Times New Roman" w:eastAsia="Times New Roman" w:hAnsi="Times New Roman" w:cs="Times New Roman"/>
          <w:sz w:val="24"/>
          <w:szCs w:val="24"/>
          <w:lang w:eastAsia="en-GB"/>
        </w:rPr>
        <w:t xml:space="preserve">central findings of the study indicate that </w:t>
      </w:r>
      <w:r w:rsidR="00F4693E" w:rsidRPr="00F4693E">
        <w:rPr>
          <w:rFonts w:ascii="Times New Roman" w:eastAsia="Times New Roman" w:hAnsi="Times New Roman" w:cs="Times New Roman"/>
          <w:sz w:val="24"/>
          <w:szCs w:val="24"/>
          <w:lang w:eastAsia="en-GB"/>
        </w:rPr>
        <w:t xml:space="preserve">ESG reporting has </w:t>
      </w:r>
      <w:r w:rsidR="00FD1BB8">
        <w:rPr>
          <w:rFonts w:ascii="Times New Roman" w:eastAsia="Times New Roman" w:hAnsi="Times New Roman" w:cs="Times New Roman"/>
          <w:sz w:val="24"/>
          <w:szCs w:val="24"/>
          <w:lang w:eastAsia="en-GB"/>
        </w:rPr>
        <w:t xml:space="preserve">a </w:t>
      </w:r>
      <w:r w:rsidR="00F4693E" w:rsidRPr="00F4693E">
        <w:rPr>
          <w:rFonts w:ascii="Times New Roman" w:eastAsia="Times New Roman" w:hAnsi="Times New Roman" w:cs="Times New Roman"/>
          <w:sz w:val="24"/>
          <w:szCs w:val="24"/>
          <w:lang w:eastAsia="en-GB"/>
        </w:rPr>
        <w:t xml:space="preserve">strong positive </w:t>
      </w:r>
      <w:r w:rsidR="00FD1BB8">
        <w:rPr>
          <w:rFonts w:ascii="Times New Roman" w:eastAsia="Times New Roman" w:hAnsi="Times New Roman" w:cs="Times New Roman"/>
          <w:sz w:val="24"/>
          <w:szCs w:val="24"/>
          <w:lang w:eastAsia="en-GB"/>
        </w:rPr>
        <w:t>relationship</w:t>
      </w:r>
      <w:r w:rsidR="00F4693E" w:rsidRPr="00F4693E">
        <w:rPr>
          <w:rFonts w:ascii="Times New Roman" w:eastAsia="Times New Roman" w:hAnsi="Times New Roman" w:cs="Times New Roman"/>
          <w:sz w:val="24"/>
          <w:szCs w:val="24"/>
          <w:lang w:eastAsia="en-GB"/>
        </w:rPr>
        <w:t xml:space="preserve"> with Tobin’s Q.</w:t>
      </w:r>
    </w:p>
    <w:p w14:paraId="25A6707D" w14:textId="77777777" w:rsidR="00FD1BB8"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 </w:t>
      </w:r>
    </w:p>
    <w:p w14:paraId="7D362434" w14:textId="77777777" w:rsidR="00F4693E" w:rsidRPr="00FD1BB8" w:rsidRDefault="00130FC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4.6</w:t>
      </w:r>
      <w:r w:rsidR="00F4693E" w:rsidRPr="00FD1BB8">
        <w:rPr>
          <w:rFonts w:ascii="Times New Roman" w:eastAsia="Times New Roman" w:hAnsi="Times New Roman" w:cs="Times New Roman"/>
          <w:b/>
          <w:bCs/>
          <w:sz w:val="24"/>
          <w:szCs w:val="24"/>
          <w:lang w:eastAsia="en-GB"/>
        </w:rPr>
        <w:t xml:space="preserve"> Hypothesis Testing</w:t>
      </w:r>
    </w:p>
    <w:p w14:paraId="2117D2F5"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Table 6</w:t>
      </w:r>
      <w:r w:rsidR="00F4693E" w:rsidRPr="00FD1BB8">
        <w:rPr>
          <w:rFonts w:ascii="Times New Roman" w:eastAsia="Times New Roman" w:hAnsi="Times New Roman" w:cs="Times New Roman"/>
          <w:b/>
          <w:bCs/>
          <w:sz w:val="24"/>
          <w:szCs w:val="24"/>
          <w:lang w:eastAsia="en-GB"/>
        </w:rPr>
        <w:t xml:space="preserve">. Summary of Hypothesis </w:t>
      </w:r>
      <w:r w:rsidR="00F4693E" w:rsidRPr="00F4693E">
        <w:rPr>
          <w:rFonts w:ascii="Times New Roman" w:eastAsia="Times New Roman" w:hAnsi="Times New Roman" w:cs="Times New Roman"/>
          <w:b/>
          <w:bCs/>
          <w:sz w:val="24"/>
          <w:szCs w:val="24"/>
          <w:lang w:eastAsia="en-GB"/>
        </w:rPr>
        <w:t>Decisions</w:t>
      </w:r>
    </w:p>
    <w:tbl>
      <w:tblPr>
        <w:tblW w:w="9016" w:type="dxa"/>
        <w:tblLook w:val="04A0" w:firstRow="1" w:lastRow="0" w:firstColumn="1" w:lastColumn="0" w:noHBand="0" w:noVBand="1"/>
      </w:tblPr>
      <w:tblGrid>
        <w:gridCol w:w="3020"/>
        <w:gridCol w:w="2992"/>
        <w:gridCol w:w="3004"/>
      </w:tblGrid>
      <w:tr w:rsidR="00F4693E" w:rsidRPr="00F4693E" w14:paraId="40181FB8" w14:textId="77777777" w:rsidTr="00FD1BB8">
        <w:tc>
          <w:tcPr>
            <w:tcW w:w="3020" w:type="dxa"/>
            <w:tcBorders>
              <w:top w:val="single" w:sz="4" w:space="0" w:color="auto"/>
              <w:bottom w:val="single" w:sz="4" w:space="0" w:color="auto"/>
            </w:tcBorders>
            <w:hideMark/>
          </w:tcPr>
          <w:p w14:paraId="2A04C26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lastRenderedPageBreak/>
              <w:t>Hypothesis</w:t>
            </w:r>
          </w:p>
        </w:tc>
        <w:tc>
          <w:tcPr>
            <w:tcW w:w="2992" w:type="dxa"/>
            <w:tcBorders>
              <w:top w:val="single" w:sz="4" w:space="0" w:color="auto"/>
              <w:bottom w:val="single" w:sz="4" w:space="0" w:color="auto"/>
            </w:tcBorders>
            <w:hideMark/>
          </w:tcPr>
          <w:p w14:paraId="13A34C4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Result</w:t>
            </w:r>
          </w:p>
        </w:tc>
        <w:tc>
          <w:tcPr>
            <w:tcW w:w="3004" w:type="dxa"/>
            <w:tcBorders>
              <w:top w:val="single" w:sz="4" w:space="0" w:color="auto"/>
              <w:bottom w:val="single" w:sz="4" w:space="0" w:color="auto"/>
            </w:tcBorders>
            <w:hideMark/>
          </w:tcPr>
          <w:p w14:paraId="7AB3001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Decision</w:t>
            </w:r>
          </w:p>
        </w:tc>
      </w:tr>
      <w:tr w:rsidR="00F4693E" w:rsidRPr="00F4693E" w14:paraId="4086F457" w14:textId="77777777" w:rsidTr="00FD1BB8">
        <w:tc>
          <w:tcPr>
            <w:tcW w:w="3020" w:type="dxa"/>
            <w:tcBorders>
              <w:top w:val="single" w:sz="4" w:space="0" w:color="auto"/>
            </w:tcBorders>
            <w:hideMark/>
          </w:tcPr>
          <w:p w14:paraId="78859EE5"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H01</w:t>
            </w:r>
            <w:r w:rsidR="00F4693E" w:rsidRPr="00F4693E">
              <w:rPr>
                <w:rFonts w:ascii="Times New Roman" w:eastAsia="Times New Roman" w:hAnsi="Times New Roman" w:cs="Times New Roman"/>
                <w:sz w:val="24"/>
                <w:szCs w:val="24"/>
                <w:lang w:eastAsia="en-GB"/>
              </w:rPr>
              <w:t>: ER → Tobin’s Q</w:t>
            </w:r>
          </w:p>
        </w:tc>
        <w:tc>
          <w:tcPr>
            <w:tcW w:w="2992" w:type="dxa"/>
            <w:tcBorders>
              <w:top w:val="single" w:sz="4" w:space="0" w:color="auto"/>
            </w:tcBorders>
            <w:hideMark/>
          </w:tcPr>
          <w:p w14:paraId="392DBB3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β = 2.15, p = 0.00</w:t>
            </w:r>
          </w:p>
        </w:tc>
        <w:tc>
          <w:tcPr>
            <w:tcW w:w="3004" w:type="dxa"/>
            <w:tcBorders>
              <w:top w:val="single" w:sz="4" w:space="0" w:color="auto"/>
            </w:tcBorders>
            <w:hideMark/>
          </w:tcPr>
          <w:p w14:paraId="2A7408EB"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Reject H01</w:t>
            </w:r>
          </w:p>
        </w:tc>
      </w:tr>
      <w:tr w:rsidR="00F4693E" w:rsidRPr="00F4693E" w14:paraId="3FB3CECD" w14:textId="77777777" w:rsidTr="00FD1BB8">
        <w:tc>
          <w:tcPr>
            <w:tcW w:w="3020" w:type="dxa"/>
            <w:hideMark/>
          </w:tcPr>
          <w:p w14:paraId="145886B3"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H02</w:t>
            </w:r>
            <w:r w:rsidR="00F4693E" w:rsidRPr="00F4693E">
              <w:rPr>
                <w:rFonts w:ascii="Times New Roman" w:eastAsia="Times New Roman" w:hAnsi="Times New Roman" w:cs="Times New Roman"/>
                <w:sz w:val="24"/>
                <w:szCs w:val="24"/>
                <w:lang w:eastAsia="en-GB"/>
              </w:rPr>
              <w:t>: SR → Tobin’s Q</w:t>
            </w:r>
          </w:p>
        </w:tc>
        <w:tc>
          <w:tcPr>
            <w:tcW w:w="2992" w:type="dxa"/>
            <w:hideMark/>
          </w:tcPr>
          <w:p w14:paraId="2334336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β = 1.78, p = 0.00</w:t>
            </w:r>
          </w:p>
        </w:tc>
        <w:tc>
          <w:tcPr>
            <w:tcW w:w="3004" w:type="dxa"/>
            <w:hideMark/>
          </w:tcPr>
          <w:p w14:paraId="24A3EC7A"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Reject H02</w:t>
            </w:r>
          </w:p>
        </w:tc>
      </w:tr>
      <w:tr w:rsidR="00F4693E" w:rsidRPr="00F4693E" w14:paraId="6362B686" w14:textId="77777777" w:rsidTr="00FD1BB8">
        <w:tc>
          <w:tcPr>
            <w:tcW w:w="3020" w:type="dxa"/>
            <w:tcBorders>
              <w:bottom w:val="single" w:sz="4" w:space="0" w:color="auto"/>
            </w:tcBorders>
            <w:hideMark/>
          </w:tcPr>
          <w:p w14:paraId="70115713"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H03</w:t>
            </w:r>
            <w:r w:rsidR="00F4693E" w:rsidRPr="00F4693E">
              <w:rPr>
                <w:rFonts w:ascii="Times New Roman" w:eastAsia="Times New Roman" w:hAnsi="Times New Roman" w:cs="Times New Roman"/>
                <w:sz w:val="24"/>
                <w:szCs w:val="24"/>
                <w:lang w:eastAsia="en-GB"/>
              </w:rPr>
              <w:t>: GR → Tobin’s Q</w:t>
            </w:r>
          </w:p>
        </w:tc>
        <w:tc>
          <w:tcPr>
            <w:tcW w:w="2992" w:type="dxa"/>
            <w:tcBorders>
              <w:bottom w:val="single" w:sz="4" w:space="0" w:color="auto"/>
            </w:tcBorders>
            <w:hideMark/>
          </w:tcPr>
          <w:p w14:paraId="6446747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β = 2.29, p = 0.00</w:t>
            </w:r>
          </w:p>
        </w:tc>
        <w:tc>
          <w:tcPr>
            <w:tcW w:w="3004" w:type="dxa"/>
            <w:tcBorders>
              <w:bottom w:val="single" w:sz="4" w:space="0" w:color="auto"/>
            </w:tcBorders>
            <w:hideMark/>
          </w:tcPr>
          <w:p w14:paraId="7DEF60D5"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Reject H03</w:t>
            </w:r>
          </w:p>
        </w:tc>
      </w:tr>
    </w:tbl>
    <w:p w14:paraId="5D01294A" w14:textId="77777777" w:rsidR="00FD1BB8" w:rsidRPr="00942986" w:rsidRDefault="00FD1BB8" w:rsidP="00FD1BB8">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1099EA55" w14:textId="77777777" w:rsidR="00FD1BB8" w:rsidRDefault="00741B94"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Table 6 reveals that all</w:t>
      </w:r>
      <w:r w:rsidR="00F4693E" w:rsidRPr="00F4693E">
        <w:rPr>
          <w:rFonts w:ascii="Times New Roman" w:eastAsia="Times New Roman" w:hAnsi="Times New Roman" w:cs="Times New Roman"/>
          <w:sz w:val="24"/>
          <w:szCs w:val="24"/>
          <w:lang w:eastAsia="en-GB"/>
        </w:rPr>
        <w:t xml:space="preserve"> three null hypotheses relating ESG reporting to Tobin’s Q are rejected because their p-values are below 0.05. The evidence therefore indicates that the market-based measure of firm value responds positive</w:t>
      </w:r>
      <w:r w:rsidR="00FD1BB8">
        <w:rPr>
          <w:rFonts w:ascii="Times New Roman" w:eastAsia="Times New Roman" w:hAnsi="Times New Roman" w:cs="Times New Roman"/>
          <w:sz w:val="24"/>
          <w:szCs w:val="24"/>
          <w:lang w:eastAsia="en-GB"/>
        </w:rPr>
        <w:t>ly to all three ESG dimensions.</w:t>
      </w:r>
    </w:p>
    <w:p w14:paraId="7BBF6850" w14:textId="77777777" w:rsidR="00FD1BB8" w:rsidRDefault="00FD1BB8" w:rsidP="00F4693E">
      <w:pPr>
        <w:spacing w:after="0" w:line="240" w:lineRule="auto"/>
        <w:jc w:val="both"/>
        <w:rPr>
          <w:rFonts w:ascii="Times New Roman" w:eastAsia="Times New Roman" w:hAnsi="Times New Roman" w:cs="Times New Roman"/>
          <w:b/>
          <w:bCs/>
          <w:sz w:val="24"/>
          <w:szCs w:val="24"/>
          <w:lang w:eastAsia="en-GB"/>
        </w:rPr>
      </w:pPr>
    </w:p>
    <w:p w14:paraId="7911B00F" w14:textId="77777777" w:rsidR="00F4693E" w:rsidRPr="00FD1BB8" w:rsidRDefault="00774EE0"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4.</w:t>
      </w:r>
      <w:r w:rsidR="00130FCC">
        <w:rPr>
          <w:rFonts w:ascii="Times New Roman" w:eastAsia="Times New Roman" w:hAnsi="Times New Roman" w:cs="Times New Roman"/>
          <w:b/>
          <w:bCs/>
          <w:sz w:val="24"/>
          <w:szCs w:val="24"/>
          <w:lang w:eastAsia="en-GB"/>
        </w:rPr>
        <w:t>7</w:t>
      </w:r>
      <w:r w:rsidR="00F4693E" w:rsidRPr="00FD1BB8">
        <w:rPr>
          <w:rFonts w:ascii="Times New Roman" w:eastAsia="Times New Roman" w:hAnsi="Times New Roman" w:cs="Times New Roman"/>
          <w:b/>
          <w:bCs/>
          <w:sz w:val="24"/>
          <w:szCs w:val="24"/>
          <w:lang w:eastAsia="en-GB"/>
        </w:rPr>
        <w:t xml:space="preserve"> Discussion</w:t>
      </w:r>
      <w:r>
        <w:rPr>
          <w:rFonts w:ascii="Times New Roman" w:eastAsia="Times New Roman" w:hAnsi="Times New Roman" w:cs="Times New Roman"/>
          <w:b/>
          <w:bCs/>
          <w:sz w:val="24"/>
          <w:szCs w:val="24"/>
          <w:lang w:eastAsia="en-GB"/>
        </w:rPr>
        <w:t xml:space="preserve"> of Findings</w:t>
      </w:r>
    </w:p>
    <w:p w14:paraId="369C17FA" w14:textId="77777777" w:rsidR="00F4693E" w:rsidRPr="00741B94" w:rsidRDefault="00F4693E" w:rsidP="00F4693E">
      <w:pPr>
        <w:spacing w:after="0" w:line="240" w:lineRule="auto"/>
        <w:jc w:val="both"/>
        <w:rPr>
          <w:rFonts w:ascii="Times New Roman" w:eastAsia="Times New Roman" w:hAnsi="Times New Roman" w:cs="Times New Roman"/>
          <w:sz w:val="24"/>
          <w:szCs w:val="24"/>
          <w:lang w:eastAsia="en-GB"/>
        </w:rPr>
      </w:pPr>
      <w:r w:rsidRPr="00741B94">
        <w:rPr>
          <w:rFonts w:ascii="Times New Roman" w:eastAsia="Times New Roman" w:hAnsi="Times New Roman" w:cs="Times New Roman"/>
          <w:b/>
          <w:bCs/>
          <w:sz w:val="24"/>
          <w:szCs w:val="24"/>
          <w:lang w:eastAsia="en-GB"/>
        </w:rPr>
        <w:t>Environmental Reporting and Tobin’s Q</w:t>
      </w:r>
    </w:p>
    <w:p w14:paraId="1D509449"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Environmental reporting has a strong positive and significant effect on Tobin’s Q (β = 2.15; p &lt; 0.01). This indicates that th</w:t>
      </w:r>
      <w:r w:rsidR="00741B94">
        <w:rPr>
          <w:rFonts w:ascii="Times New Roman" w:eastAsia="Times New Roman" w:hAnsi="Times New Roman" w:cs="Times New Roman"/>
          <w:sz w:val="24"/>
          <w:szCs w:val="24"/>
          <w:lang w:eastAsia="en-GB"/>
        </w:rPr>
        <w:t>e market appears to reward companies</w:t>
      </w:r>
      <w:r w:rsidRPr="00F4693E">
        <w:rPr>
          <w:rFonts w:ascii="Times New Roman" w:eastAsia="Times New Roman" w:hAnsi="Times New Roman" w:cs="Times New Roman"/>
          <w:sz w:val="24"/>
          <w:szCs w:val="24"/>
          <w:lang w:eastAsia="en-GB"/>
        </w:rPr>
        <w:t xml:space="preserve"> that disclose environmental policies, climate risks, emissions, resource efficiency, waste management, pollution control, biodiversity and enviro</w:t>
      </w:r>
      <w:r w:rsidR="00741B94">
        <w:rPr>
          <w:rFonts w:ascii="Times New Roman" w:eastAsia="Times New Roman" w:hAnsi="Times New Roman" w:cs="Times New Roman"/>
          <w:sz w:val="24"/>
          <w:szCs w:val="24"/>
          <w:lang w:eastAsia="en-GB"/>
        </w:rPr>
        <w:t>nmental investment. Signalling t</w:t>
      </w:r>
      <w:r w:rsidRPr="00F4693E">
        <w:rPr>
          <w:rFonts w:ascii="Times New Roman" w:eastAsia="Times New Roman" w:hAnsi="Times New Roman" w:cs="Times New Roman"/>
          <w:sz w:val="24"/>
          <w:szCs w:val="24"/>
          <w:lang w:eastAsia="en-GB"/>
        </w:rPr>
        <w:t>heory provides a strong explanation because c</w:t>
      </w:r>
      <w:r w:rsidR="00741B94">
        <w:rPr>
          <w:rFonts w:ascii="Times New Roman" w:eastAsia="Times New Roman" w:hAnsi="Times New Roman" w:cs="Times New Roman"/>
          <w:sz w:val="24"/>
          <w:szCs w:val="24"/>
          <w:lang w:eastAsia="en-GB"/>
        </w:rPr>
        <w:t>redible environmental reporting</w:t>
      </w:r>
      <w:r w:rsidRPr="00F4693E">
        <w:rPr>
          <w:rFonts w:ascii="Times New Roman" w:eastAsia="Times New Roman" w:hAnsi="Times New Roman" w:cs="Times New Roman"/>
          <w:sz w:val="24"/>
          <w:szCs w:val="24"/>
          <w:lang w:eastAsia="en-GB"/>
        </w:rPr>
        <w:t xml:space="preserve"> can communicate preparedness for environmental regulation, climate risks and re</w:t>
      </w:r>
      <w:r w:rsidR="00741B94">
        <w:rPr>
          <w:rFonts w:ascii="Times New Roman" w:eastAsia="Times New Roman" w:hAnsi="Times New Roman" w:cs="Times New Roman"/>
          <w:sz w:val="24"/>
          <w:szCs w:val="24"/>
          <w:lang w:eastAsia="en-GB"/>
        </w:rPr>
        <w:t>source constraints. Legitimacy t</w:t>
      </w:r>
      <w:r w:rsidRPr="00F4693E">
        <w:rPr>
          <w:rFonts w:ascii="Times New Roman" w:eastAsia="Times New Roman" w:hAnsi="Times New Roman" w:cs="Times New Roman"/>
          <w:sz w:val="24"/>
          <w:szCs w:val="24"/>
          <w:lang w:eastAsia="en-GB"/>
        </w:rPr>
        <w:t xml:space="preserve">heory also suggests that environmental </w:t>
      </w:r>
      <w:r w:rsidR="00741B94">
        <w:rPr>
          <w:rFonts w:ascii="Times New Roman" w:eastAsia="Times New Roman" w:hAnsi="Times New Roman" w:cs="Times New Roman"/>
          <w:sz w:val="24"/>
          <w:szCs w:val="24"/>
          <w:lang w:eastAsia="en-GB"/>
        </w:rPr>
        <w:t>reporting</w:t>
      </w:r>
      <w:r w:rsidRPr="00F4693E">
        <w:rPr>
          <w:rFonts w:ascii="Times New Roman" w:eastAsia="Times New Roman" w:hAnsi="Times New Roman" w:cs="Times New Roman"/>
          <w:sz w:val="24"/>
          <w:szCs w:val="24"/>
          <w:lang w:eastAsia="en-GB"/>
        </w:rPr>
        <w:t xml:space="preserve"> can strengthen social acceptance and reduce reputational risk. The result indicates that environmental information may be value relevant even when its short-term impact is not statistically detectable.</w:t>
      </w:r>
    </w:p>
    <w:p w14:paraId="37556C6B"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finding is consistent with </w:t>
      </w:r>
      <w:proofErr w:type="spellStart"/>
      <w:r w:rsidRPr="00E03E19">
        <w:rPr>
          <w:rFonts w:ascii="Times New Roman" w:eastAsia="Times New Roman" w:hAnsi="Times New Roman" w:cs="Times New Roman"/>
          <w:sz w:val="24"/>
          <w:szCs w:val="24"/>
          <w:lang w:eastAsia="en-GB"/>
        </w:rPr>
        <w:t>Alareeni</w:t>
      </w:r>
      <w:proofErr w:type="spellEnd"/>
      <w:r w:rsidRPr="00E03E19">
        <w:rPr>
          <w:rFonts w:ascii="Times New Roman" w:eastAsia="Times New Roman" w:hAnsi="Times New Roman" w:cs="Times New Roman"/>
          <w:sz w:val="24"/>
          <w:szCs w:val="24"/>
          <w:lang w:eastAsia="en-GB"/>
        </w:rPr>
        <w:t xml:space="preserve"> and Hamdan (2020),</w:t>
      </w:r>
      <w:r w:rsidRPr="00F4693E">
        <w:rPr>
          <w:rFonts w:ascii="Times New Roman" w:eastAsia="Times New Roman" w:hAnsi="Times New Roman" w:cs="Times New Roman"/>
          <w:sz w:val="24"/>
          <w:szCs w:val="24"/>
          <w:lang w:eastAsia="en-GB"/>
        </w:rPr>
        <w:t xml:space="preserve"> who found environmental disclosure to be positively related </w:t>
      </w:r>
      <w:r w:rsidR="00741B94">
        <w:rPr>
          <w:rFonts w:ascii="Times New Roman" w:eastAsia="Times New Roman" w:hAnsi="Times New Roman" w:cs="Times New Roman"/>
          <w:sz w:val="24"/>
          <w:szCs w:val="24"/>
          <w:lang w:eastAsia="en-GB"/>
        </w:rPr>
        <w:t xml:space="preserve">to Tobin’s Q among S&amp;P 500 companies. </w:t>
      </w:r>
      <w:r w:rsidRPr="00F4693E">
        <w:rPr>
          <w:rFonts w:ascii="Times New Roman" w:eastAsia="Times New Roman" w:hAnsi="Times New Roman" w:cs="Times New Roman"/>
          <w:sz w:val="24"/>
          <w:szCs w:val="24"/>
          <w:lang w:eastAsia="en-GB"/>
        </w:rPr>
        <w:t xml:space="preserve">It also accords with recent emerging-market evidence from Rahat and Nguyen (2024), who found a positive relationship between ESG profiles and firm valuation using Tobin’s </w:t>
      </w:r>
      <w:r w:rsidR="00741B94">
        <w:rPr>
          <w:rFonts w:ascii="Times New Roman" w:eastAsia="Times New Roman" w:hAnsi="Times New Roman" w:cs="Times New Roman"/>
          <w:sz w:val="24"/>
          <w:szCs w:val="24"/>
          <w:lang w:eastAsia="en-GB"/>
        </w:rPr>
        <w:t xml:space="preserve">Q and other valuation measures. </w:t>
      </w:r>
      <w:r w:rsidRPr="00F4693E">
        <w:rPr>
          <w:rFonts w:ascii="Times New Roman" w:eastAsia="Times New Roman" w:hAnsi="Times New Roman" w:cs="Times New Roman"/>
          <w:sz w:val="24"/>
          <w:szCs w:val="24"/>
          <w:lang w:eastAsia="en-GB"/>
        </w:rPr>
        <w:t>The result</w:t>
      </w:r>
      <w:r w:rsidR="00741B94">
        <w:rPr>
          <w:rFonts w:ascii="Times New Roman" w:eastAsia="Times New Roman" w:hAnsi="Times New Roman" w:cs="Times New Roman"/>
          <w:sz w:val="24"/>
          <w:szCs w:val="24"/>
          <w:lang w:eastAsia="en-GB"/>
        </w:rPr>
        <w:t xml:space="preserve"> nevertheless differs from </w:t>
      </w:r>
      <w:proofErr w:type="spellStart"/>
      <w:r w:rsidR="00741B94">
        <w:rPr>
          <w:rFonts w:ascii="Times New Roman" w:eastAsia="Times New Roman" w:hAnsi="Times New Roman" w:cs="Times New Roman"/>
          <w:sz w:val="24"/>
          <w:szCs w:val="24"/>
          <w:lang w:eastAsia="en-GB"/>
        </w:rPr>
        <w:t>Aydog</w:t>
      </w:r>
      <w:r w:rsidRPr="00F4693E">
        <w:rPr>
          <w:rFonts w:ascii="Times New Roman" w:eastAsia="Times New Roman" w:hAnsi="Times New Roman" w:cs="Times New Roman"/>
          <w:sz w:val="24"/>
          <w:szCs w:val="24"/>
          <w:lang w:eastAsia="en-GB"/>
        </w:rPr>
        <w:t>muş</w:t>
      </w:r>
      <w:proofErr w:type="spellEnd"/>
      <w:r w:rsidRPr="00F4693E">
        <w:rPr>
          <w:rFonts w:ascii="Times New Roman" w:eastAsia="Times New Roman" w:hAnsi="Times New Roman" w:cs="Times New Roman"/>
          <w:sz w:val="24"/>
          <w:szCs w:val="24"/>
          <w:lang w:eastAsia="en-GB"/>
        </w:rPr>
        <w:t xml:space="preserve"> et al. (2022), where the environmental </w:t>
      </w:r>
      <w:r w:rsidR="00741B94">
        <w:rPr>
          <w:rFonts w:ascii="Times New Roman" w:eastAsia="Times New Roman" w:hAnsi="Times New Roman" w:cs="Times New Roman"/>
          <w:sz w:val="24"/>
          <w:szCs w:val="24"/>
          <w:lang w:eastAsia="en-GB"/>
        </w:rPr>
        <w:t>reporting</w:t>
      </w:r>
      <w:r w:rsidRPr="00F4693E">
        <w:rPr>
          <w:rFonts w:ascii="Times New Roman" w:eastAsia="Times New Roman" w:hAnsi="Times New Roman" w:cs="Times New Roman"/>
          <w:sz w:val="24"/>
          <w:szCs w:val="24"/>
          <w:lang w:eastAsia="en-GB"/>
        </w:rPr>
        <w:t xml:space="preserve"> did not significan</w:t>
      </w:r>
      <w:r w:rsidR="00741B94">
        <w:rPr>
          <w:rFonts w:ascii="Times New Roman" w:eastAsia="Times New Roman" w:hAnsi="Times New Roman" w:cs="Times New Roman"/>
          <w:sz w:val="24"/>
          <w:szCs w:val="24"/>
          <w:lang w:eastAsia="en-GB"/>
        </w:rPr>
        <w:t xml:space="preserve">tly affect firm value. </w:t>
      </w:r>
      <w:r w:rsidRPr="00F4693E">
        <w:rPr>
          <w:rFonts w:ascii="Times New Roman" w:eastAsia="Times New Roman" w:hAnsi="Times New Roman" w:cs="Times New Roman"/>
          <w:sz w:val="24"/>
          <w:szCs w:val="24"/>
          <w:lang w:eastAsia="en-GB"/>
        </w:rPr>
        <w:t>The difference may reflect Nigeria’s greater sensitivity to environmental risks in sectors such as oil, manufacturing, industrial production and consumer goods, making environmental information particularly relevant to investors.</w:t>
      </w:r>
    </w:p>
    <w:p w14:paraId="632D0BAD" w14:textId="77777777" w:rsidR="00F4693E" w:rsidRPr="00741B94" w:rsidRDefault="00F4693E" w:rsidP="00F4693E">
      <w:pPr>
        <w:spacing w:after="0" w:line="240" w:lineRule="auto"/>
        <w:jc w:val="both"/>
        <w:rPr>
          <w:rFonts w:ascii="Times New Roman" w:eastAsia="Times New Roman" w:hAnsi="Times New Roman" w:cs="Times New Roman"/>
          <w:sz w:val="24"/>
          <w:szCs w:val="24"/>
          <w:lang w:eastAsia="en-GB"/>
        </w:rPr>
      </w:pPr>
      <w:r w:rsidRPr="00741B94">
        <w:rPr>
          <w:rFonts w:ascii="Times New Roman" w:eastAsia="Times New Roman" w:hAnsi="Times New Roman" w:cs="Times New Roman"/>
          <w:b/>
          <w:bCs/>
          <w:sz w:val="24"/>
          <w:szCs w:val="24"/>
          <w:lang w:eastAsia="en-GB"/>
        </w:rPr>
        <w:t>Social Reporting and Tobin’s Q</w:t>
      </w:r>
    </w:p>
    <w:p w14:paraId="5225DEA3" w14:textId="77777777" w:rsidR="00130FCC"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Social reporting has a positive and statistically significant coefficient of 1.78 (p &lt; 0.01), indicating that greater social </w:t>
      </w:r>
      <w:r w:rsidR="00741B94">
        <w:rPr>
          <w:rFonts w:ascii="Times New Roman" w:eastAsia="Times New Roman" w:hAnsi="Times New Roman" w:cs="Times New Roman"/>
          <w:sz w:val="24"/>
          <w:szCs w:val="24"/>
          <w:lang w:eastAsia="en-GB"/>
        </w:rPr>
        <w:t>reporting</w:t>
      </w:r>
      <w:r w:rsidRPr="00F4693E">
        <w:rPr>
          <w:rFonts w:ascii="Times New Roman" w:eastAsia="Times New Roman" w:hAnsi="Times New Roman" w:cs="Times New Roman"/>
          <w:sz w:val="24"/>
          <w:szCs w:val="24"/>
          <w:lang w:eastAsia="en-GB"/>
        </w:rPr>
        <w:t xml:space="preserve"> is associated with higher market valuation. The finding suggests that investors may interpret information about employee welfare, diversity, human rights, community engagement and customer responsibility as evidence of stronger stakeholder relationships and lower n</w:t>
      </w:r>
      <w:r w:rsidR="00741B94">
        <w:rPr>
          <w:rFonts w:ascii="Times New Roman" w:eastAsia="Times New Roman" w:hAnsi="Times New Roman" w:cs="Times New Roman"/>
          <w:sz w:val="24"/>
          <w:szCs w:val="24"/>
          <w:lang w:eastAsia="en-GB"/>
        </w:rPr>
        <w:t>on-financial risk. Stakeholder t</w:t>
      </w:r>
      <w:r w:rsidRPr="00F4693E">
        <w:rPr>
          <w:rFonts w:ascii="Times New Roman" w:eastAsia="Times New Roman" w:hAnsi="Times New Roman" w:cs="Times New Roman"/>
          <w:sz w:val="24"/>
          <w:szCs w:val="24"/>
          <w:lang w:eastAsia="en-GB"/>
        </w:rPr>
        <w:t>heory is particularly relev</w:t>
      </w:r>
      <w:r w:rsidR="00741B94">
        <w:rPr>
          <w:rFonts w:ascii="Times New Roman" w:eastAsia="Times New Roman" w:hAnsi="Times New Roman" w:cs="Times New Roman"/>
          <w:sz w:val="24"/>
          <w:szCs w:val="24"/>
          <w:lang w:eastAsia="en-GB"/>
        </w:rPr>
        <w:t>ant because companies</w:t>
      </w:r>
      <w:r w:rsidRPr="00F4693E">
        <w:rPr>
          <w:rFonts w:ascii="Times New Roman" w:eastAsia="Times New Roman" w:hAnsi="Times New Roman" w:cs="Times New Roman"/>
          <w:sz w:val="24"/>
          <w:szCs w:val="24"/>
          <w:lang w:eastAsia="en-GB"/>
        </w:rPr>
        <w:t xml:space="preserve"> that maintain productive relationships with stakeholders can secure valuable resources, protect reputation a</w:t>
      </w:r>
      <w:r w:rsidR="00741B94">
        <w:rPr>
          <w:rFonts w:ascii="Times New Roman" w:eastAsia="Times New Roman" w:hAnsi="Times New Roman" w:cs="Times New Roman"/>
          <w:sz w:val="24"/>
          <w:szCs w:val="24"/>
          <w:lang w:eastAsia="en-GB"/>
        </w:rPr>
        <w:t>nd reduce conflict. Signalling t</w:t>
      </w:r>
      <w:r w:rsidRPr="00F4693E">
        <w:rPr>
          <w:rFonts w:ascii="Times New Roman" w:eastAsia="Times New Roman" w:hAnsi="Times New Roman" w:cs="Times New Roman"/>
          <w:sz w:val="24"/>
          <w:szCs w:val="24"/>
          <w:lang w:eastAsia="en-GB"/>
        </w:rPr>
        <w:t>heory also suggests that credible social di</w:t>
      </w:r>
      <w:r w:rsidR="00741B94">
        <w:rPr>
          <w:rFonts w:ascii="Times New Roman" w:eastAsia="Times New Roman" w:hAnsi="Times New Roman" w:cs="Times New Roman"/>
          <w:sz w:val="24"/>
          <w:szCs w:val="24"/>
          <w:lang w:eastAsia="en-GB"/>
        </w:rPr>
        <w:t>sclosure can differentiate companies</w:t>
      </w:r>
      <w:r w:rsidRPr="00F4693E">
        <w:rPr>
          <w:rFonts w:ascii="Times New Roman" w:eastAsia="Times New Roman" w:hAnsi="Times New Roman" w:cs="Times New Roman"/>
          <w:sz w:val="24"/>
          <w:szCs w:val="24"/>
          <w:lang w:eastAsia="en-GB"/>
        </w:rPr>
        <w:t xml:space="preserve"> with stronger long-term management practices. </w:t>
      </w:r>
    </w:p>
    <w:p w14:paraId="11DAF78C"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w:t>
      </w:r>
      <w:r w:rsidR="00741B94">
        <w:rPr>
          <w:rFonts w:ascii="Times New Roman" w:eastAsia="Times New Roman" w:hAnsi="Times New Roman" w:cs="Times New Roman"/>
          <w:sz w:val="24"/>
          <w:szCs w:val="24"/>
          <w:lang w:eastAsia="en-GB"/>
        </w:rPr>
        <w:t xml:space="preserve"> result is consistent with </w:t>
      </w:r>
      <w:proofErr w:type="spellStart"/>
      <w:r w:rsidR="00741B94">
        <w:rPr>
          <w:rFonts w:ascii="Times New Roman" w:eastAsia="Times New Roman" w:hAnsi="Times New Roman" w:cs="Times New Roman"/>
          <w:sz w:val="24"/>
          <w:szCs w:val="24"/>
          <w:lang w:eastAsia="en-GB"/>
        </w:rPr>
        <w:t>Aydog</w:t>
      </w:r>
      <w:r w:rsidRPr="00F4693E">
        <w:rPr>
          <w:rFonts w:ascii="Times New Roman" w:eastAsia="Times New Roman" w:hAnsi="Times New Roman" w:cs="Times New Roman"/>
          <w:sz w:val="24"/>
          <w:szCs w:val="24"/>
          <w:lang w:eastAsia="en-GB"/>
        </w:rPr>
        <w:t>muş</w:t>
      </w:r>
      <w:proofErr w:type="spellEnd"/>
      <w:r w:rsidRPr="00F4693E">
        <w:rPr>
          <w:rFonts w:ascii="Times New Roman" w:eastAsia="Times New Roman" w:hAnsi="Times New Roman" w:cs="Times New Roman"/>
          <w:sz w:val="24"/>
          <w:szCs w:val="24"/>
          <w:lang w:eastAsia="en-GB"/>
        </w:rPr>
        <w:t xml:space="preserve"> et al. (2022), who found a positive and significant relationship between soc</w:t>
      </w:r>
      <w:r w:rsidR="00741B94">
        <w:rPr>
          <w:rFonts w:ascii="Times New Roman" w:eastAsia="Times New Roman" w:hAnsi="Times New Roman" w:cs="Times New Roman"/>
          <w:sz w:val="24"/>
          <w:szCs w:val="24"/>
          <w:lang w:eastAsia="en-GB"/>
        </w:rPr>
        <w:t xml:space="preserve">ial performance and firm value. </w:t>
      </w:r>
      <w:r w:rsidRPr="00F4693E">
        <w:rPr>
          <w:rFonts w:ascii="Times New Roman" w:eastAsia="Times New Roman" w:hAnsi="Times New Roman" w:cs="Times New Roman"/>
          <w:sz w:val="24"/>
          <w:szCs w:val="24"/>
          <w:lang w:eastAsia="en-GB"/>
        </w:rPr>
        <w:t xml:space="preserve">It is also compatible with the broader positive ESG valuation evidence reported by Rahat and Nguyen (2024) across emerging markets. </w:t>
      </w:r>
      <w:r w:rsidR="00741B94">
        <w:rPr>
          <w:rFonts w:ascii="Times New Roman" w:eastAsia="Times New Roman" w:hAnsi="Times New Roman" w:cs="Times New Roman"/>
          <w:sz w:val="24"/>
          <w:szCs w:val="24"/>
          <w:lang w:eastAsia="en-GB"/>
        </w:rPr>
        <w:t>However, Dinca</w:t>
      </w:r>
      <w:r w:rsidRPr="00F4693E">
        <w:rPr>
          <w:rFonts w:ascii="Times New Roman" w:eastAsia="Times New Roman" w:hAnsi="Times New Roman" w:cs="Times New Roman"/>
          <w:sz w:val="24"/>
          <w:szCs w:val="24"/>
          <w:lang w:eastAsia="en-GB"/>
        </w:rPr>
        <w:t xml:space="preserve"> et al. (2022) reported mixed ESG effects, particularly inconclusive results for the social dimension, showing that social reporting does not have a uniform valuation effect acros</w:t>
      </w:r>
      <w:r w:rsidR="00741B94">
        <w:rPr>
          <w:rFonts w:ascii="Times New Roman" w:eastAsia="Times New Roman" w:hAnsi="Times New Roman" w:cs="Times New Roman"/>
          <w:sz w:val="24"/>
          <w:szCs w:val="24"/>
          <w:lang w:eastAsia="en-GB"/>
        </w:rPr>
        <w:t xml:space="preserve">s settings. </w:t>
      </w:r>
      <w:r w:rsidRPr="00F4693E">
        <w:rPr>
          <w:rFonts w:ascii="Times New Roman" w:eastAsia="Times New Roman" w:hAnsi="Times New Roman" w:cs="Times New Roman"/>
          <w:sz w:val="24"/>
          <w:szCs w:val="24"/>
          <w:lang w:eastAsia="en-GB"/>
        </w:rPr>
        <w:t>The present finding may therefore reflect increasing Nigerian investor attention to corporate reputation, employee relations and community legitimacy.</w:t>
      </w:r>
    </w:p>
    <w:p w14:paraId="185771A8" w14:textId="77777777" w:rsidR="00F4693E" w:rsidRPr="00741B94" w:rsidRDefault="00F4693E" w:rsidP="00F4693E">
      <w:pPr>
        <w:spacing w:after="0" w:line="240" w:lineRule="auto"/>
        <w:jc w:val="both"/>
        <w:rPr>
          <w:rFonts w:ascii="Times New Roman" w:eastAsia="Times New Roman" w:hAnsi="Times New Roman" w:cs="Times New Roman"/>
          <w:sz w:val="24"/>
          <w:szCs w:val="24"/>
          <w:lang w:eastAsia="en-GB"/>
        </w:rPr>
      </w:pPr>
      <w:r w:rsidRPr="00741B94">
        <w:rPr>
          <w:rFonts w:ascii="Times New Roman" w:eastAsia="Times New Roman" w:hAnsi="Times New Roman" w:cs="Times New Roman"/>
          <w:b/>
          <w:bCs/>
          <w:sz w:val="24"/>
          <w:szCs w:val="24"/>
          <w:lang w:eastAsia="en-GB"/>
        </w:rPr>
        <w:t>Governance Reporting and Tobin’s Q</w:t>
      </w:r>
    </w:p>
    <w:p w14:paraId="6DAFEB8E"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lastRenderedPageBreak/>
        <w:t xml:space="preserve">Governance reporting records the strongest ESG coefficient in the Tobin’s Q model (β = 2.29; p &lt; 0.01), indicating a substantial positive association with market valuation. Investors appear to value information about board structure, independence, risk management, internal controls, ethics, shareholder rights and </w:t>
      </w:r>
      <w:r w:rsidR="00741B94">
        <w:rPr>
          <w:rFonts w:ascii="Times New Roman" w:eastAsia="Times New Roman" w:hAnsi="Times New Roman" w:cs="Times New Roman"/>
          <w:sz w:val="24"/>
          <w:szCs w:val="24"/>
          <w:lang w:eastAsia="en-GB"/>
        </w:rPr>
        <w:t>executive remuneration. Agency t</w:t>
      </w:r>
      <w:r w:rsidRPr="00F4693E">
        <w:rPr>
          <w:rFonts w:ascii="Times New Roman" w:eastAsia="Times New Roman" w:hAnsi="Times New Roman" w:cs="Times New Roman"/>
          <w:sz w:val="24"/>
          <w:szCs w:val="24"/>
          <w:lang w:eastAsia="en-GB"/>
        </w:rPr>
        <w:t>heory explains this result through reduced monitoring costs and lower managerial</w:t>
      </w:r>
      <w:r w:rsidR="00741B94">
        <w:rPr>
          <w:rFonts w:ascii="Times New Roman" w:eastAsia="Times New Roman" w:hAnsi="Times New Roman" w:cs="Times New Roman"/>
          <w:sz w:val="24"/>
          <w:szCs w:val="24"/>
          <w:lang w:eastAsia="en-GB"/>
        </w:rPr>
        <w:t xml:space="preserve"> opportunism, while Signalling t</w:t>
      </w:r>
      <w:r w:rsidRPr="00F4693E">
        <w:rPr>
          <w:rFonts w:ascii="Times New Roman" w:eastAsia="Times New Roman" w:hAnsi="Times New Roman" w:cs="Times New Roman"/>
          <w:sz w:val="24"/>
          <w:szCs w:val="24"/>
          <w:lang w:eastAsia="en-GB"/>
        </w:rPr>
        <w:t>heory suggests that detailed governance reporting signals higher-quality management and lower information risk. Governance information may also be especially important in emerging markets where investors place a premium on transparency and protection against agency problems. The finding therefore identifies governance reporting as a particularly important component of value-relevant ESG disclosure in Nigeria.</w:t>
      </w:r>
    </w:p>
    <w:p w14:paraId="10ECA944" w14:textId="77777777" w:rsidR="00130FCC"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w:t>
      </w:r>
      <w:r w:rsidR="00D83ED6">
        <w:rPr>
          <w:rFonts w:ascii="Times New Roman" w:eastAsia="Times New Roman" w:hAnsi="Times New Roman" w:cs="Times New Roman"/>
          <w:sz w:val="24"/>
          <w:szCs w:val="24"/>
          <w:lang w:eastAsia="en-GB"/>
        </w:rPr>
        <w:t xml:space="preserve"> result is consistent with </w:t>
      </w:r>
      <w:proofErr w:type="spellStart"/>
      <w:r w:rsidR="00D83ED6">
        <w:rPr>
          <w:rFonts w:ascii="Times New Roman" w:eastAsia="Times New Roman" w:hAnsi="Times New Roman" w:cs="Times New Roman"/>
          <w:sz w:val="24"/>
          <w:szCs w:val="24"/>
          <w:lang w:eastAsia="en-GB"/>
        </w:rPr>
        <w:t>Aydog</w:t>
      </w:r>
      <w:r w:rsidRPr="00F4693E">
        <w:rPr>
          <w:rFonts w:ascii="Times New Roman" w:eastAsia="Times New Roman" w:hAnsi="Times New Roman" w:cs="Times New Roman"/>
          <w:sz w:val="24"/>
          <w:szCs w:val="24"/>
          <w:lang w:eastAsia="en-GB"/>
        </w:rPr>
        <w:t>muş</w:t>
      </w:r>
      <w:proofErr w:type="spellEnd"/>
      <w:r w:rsidRPr="00F4693E">
        <w:rPr>
          <w:rFonts w:ascii="Times New Roman" w:eastAsia="Times New Roman" w:hAnsi="Times New Roman" w:cs="Times New Roman"/>
          <w:sz w:val="24"/>
          <w:szCs w:val="24"/>
          <w:lang w:eastAsia="en-GB"/>
        </w:rPr>
        <w:t xml:space="preserve"> et al. (2022), who found a positive and significant relationship between govern</w:t>
      </w:r>
      <w:r w:rsidR="00D83ED6">
        <w:rPr>
          <w:rFonts w:ascii="Times New Roman" w:eastAsia="Times New Roman" w:hAnsi="Times New Roman" w:cs="Times New Roman"/>
          <w:sz w:val="24"/>
          <w:szCs w:val="24"/>
          <w:lang w:eastAsia="en-GB"/>
        </w:rPr>
        <w:t xml:space="preserve">ance performance and firm value. In addition, </w:t>
      </w:r>
      <w:r w:rsidRPr="00F4693E">
        <w:rPr>
          <w:rFonts w:ascii="Times New Roman" w:eastAsia="Times New Roman" w:hAnsi="Times New Roman" w:cs="Times New Roman"/>
          <w:sz w:val="24"/>
          <w:szCs w:val="24"/>
          <w:lang w:eastAsia="en-GB"/>
        </w:rPr>
        <w:t xml:space="preserve">with Nigerian evidence reported by </w:t>
      </w:r>
      <w:proofErr w:type="spellStart"/>
      <w:r w:rsidRPr="00F4693E">
        <w:rPr>
          <w:rFonts w:ascii="Times New Roman" w:eastAsia="Times New Roman" w:hAnsi="Times New Roman" w:cs="Times New Roman"/>
          <w:sz w:val="24"/>
          <w:szCs w:val="24"/>
          <w:lang w:eastAsia="en-GB"/>
        </w:rPr>
        <w:t>Ibiang</w:t>
      </w:r>
      <w:proofErr w:type="spellEnd"/>
      <w:r w:rsidRPr="00F4693E">
        <w:rPr>
          <w:rFonts w:ascii="Times New Roman" w:eastAsia="Times New Roman" w:hAnsi="Times New Roman" w:cs="Times New Roman"/>
          <w:sz w:val="24"/>
          <w:szCs w:val="24"/>
          <w:lang w:eastAsia="en-GB"/>
        </w:rPr>
        <w:t xml:space="preserve"> et al. (2025), which identified governance as a particularly influential compone</w:t>
      </w:r>
      <w:r w:rsidR="00050634">
        <w:rPr>
          <w:rFonts w:ascii="Times New Roman" w:eastAsia="Times New Roman" w:hAnsi="Times New Roman" w:cs="Times New Roman"/>
          <w:sz w:val="24"/>
          <w:szCs w:val="24"/>
          <w:lang w:eastAsia="en-GB"/>
        </w:rPr>
        <w:t xml:space="preserve">nt of sustainability reporting. </w:t>
      </w:r>
      <w:r w:rsidRPr="00F4693E">
        <w:rPr>
          <w:rFonts w:ascii="Times New Roman" w:eastAsia="Times New Roman" w:hAnsi="Times New Roman" w:cs="Times New Roman"/>
          <w:sz w:val="24"/>
          <w:szCs w:val="24"/>
          <w:lang w:eastAsia="en-GB"/>
        </w:rPr>
        <w:t xml:space="preserve">However, </w:t>
      </w:r>
      <w:r w:rsidR="00050634" w:rsidRPr="00050634">
        <w:rPr>
          <w:rFonts w:ascii="Times New Roman" w:eastAsia="Times New Roman" w:hAnsi="Times New Roman" w:cs="Times New Roman"/>
          <w:sz w:val="24"/>
          <w:szCs w:val="24"/>
          <w:lang w:eastAsia="en-GB"/>
        </w:rPr>
        <w:t>Al-</w:t>
      </w:r>
      <w:proofErr w:type="spellStart"/>
      <w:r w:rsidR="00050634" w:rsidRPr="00050634">
        <w:rPr>
          <w:rFonts w:ascii="Times New Roman" w:eastAsia="Times New Roman" w:hAnsi="Times New Roman" w:cs="Times New Roman"/>
          <w:sz w:val="24"/>
          <w:szCs w:val="24"/>
          <w:lang w:eastAsia="en-GB"/>
        </w:rPr>
        <w:t>Tarawneh</w:t>
      </w:r>
      <w:proofErr w:type="spellEnd"/>
      <w:r w:rsidR="00050634" w:rsidRPr="00050634">
        <w:rPr>
          <w:rFonts w:ascii="Times New Roman" w:eastAsia="Times New Roman" w:hAnsi="Times New Roman" w:cs="Times New Roman"/>
          <w:sz w:val="24"/>
          <w:szCs w:val="24"/>
          <w:lang w:eastAsia="en-GB"/>
        </w:rPr>
        <w:t xml:space="preserve"> et al. (2024), who reported a negative and statistically significant relationship between governance performance and Tobin’s Q among non-financial firms listed in the UK.</w:t>
      </w:r>
      <w:r w:rsidR="00050634">
        <w:rPr>
          <w:rFonts w:ascii="Times New Roman" w:eastAsia="Times New Roman" w:hAnsi="Times New Roman" w:cs="Times New Roman"/>
          <w:sz w:val="24"/>
          <w:szCs w:val="24"/>
          <w:lang w:eastAsia="en-GB"/>
        </w:rPr>
        <w:t xml:space="preserve"> Also, </w:t>
      </w:r>
      <w:proofErr w:type="spellStart"/>
      <w:r w:rsidR="00050634">
        <w:rPr>
          <w:rFonts w:ascii="Times New Roman" w:eastAsia="Times New Roman" w:hAnsi="Times New Roman" w:cs="Times New Roman"/>
          <w:sz w:val="24"/>
          <w:szCs w:val="24"/>
          <w:lang w:eastAsia="en-GB"/>
        </w:rPr>
        <w:t>Rahmithasari</w:t>
      </w:r>
      <w:proofErr w:type="spellEnd"/>
      <w:r w:rsidR="00050634">
        <w:rPr>
          <w:rFonts w:ascii="Times New Roman" w:eastAsia="Times New Roman" w:hAnsi="Times New Roman" w:cs="Times New Roman"/>
          <w:sz w:val="24"/>
          <w:szCs w:val="24"/>
          <w:lang w:eastAsia="en-GB"/>
        </w:rPr>
        <w:t xml:space="preserve"> and Qadri (2024)</w:t>
      </w:r>
      <w:r w:rsidR="00050634" w:rsidRPr="00050634">
        <w:rPr>
          <w:rFonts w:ascii="Times New Roman" w:eastAsia="Times New Roman" w:hAnsi="Times New Roman" w:cs="Times New Roman"/>
          <w:sz w:val="24"/>
          <w:szCs w:val="24"/>
          <w:lang w:eastAsia="en-GB"/>
        </w:rPr>
        <w:t xml:space="preserve"> found that governance disclosure had an adverse effect on firm value among non-bank companies listed in Indonesia</w:t>
      </w:r>
      <w:r w:rsidR="00050634">
        <w:rPr>
          <w:rFonts w:ascii="Times New Roman" w:eastAsia="Times New Roman" w:hAnsi="Times New Roman" w:cs="Times New Roman"/>
          <w:sz w:val="24"/>
          <w:szCs w:val="24"/>
          <w:lang w:eastAsia="en-GB"/>
        </w:rPr>
        <w:t>.</w:t>
      </w:r>
    </w:p>
    <w:p w14:paraId="622640C9" w14:textId="77777777" w:rsidR="00774EE0" w:rsidRPr="00774EE0" w:rsidRDefault="00774EE0" w:rsidP="00774EE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5</w:t>
      </w:r>
      <w:r w:rsidRPr="00774EE0">
        <w:rPr>
          <w:rFonts w:ascii="Times New Roman" w:eastAsia="Times New Roman" w:hAnsi="Times New Roman" w:cs="Times New Roman"/>
          <w:b/>
          <w:bCs/>
          <w:sz w:val="24"/>
          <w:szCs w:val="24"/>
          <w:lang w:eastAsia="en-GB"/>
        </w:rPr>
        <w:t>. Conclusion</w:t>
      </w:r>
    </w:p>
    <w:p w14:paraId="709049DD" w14:textId="77777777" w:rsidR="00774EE0" w:rsidRPr="00F4693E" w:rsidRDefault="00774EE0"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This study examined the effect of environmental, social and governance reporting on the firm value of listed non-financial companies in Nigeria using Tobin’s Q. The evidence shows </w:t>
      </w:r>
      <w:r>
        <w:rPr>
          <w:rFonts w:ascii="Times New Roman" w:eastAsia="Times New Roman" w:hAnsi="Times New Roman" w:cs="Times New Roman"/>
          <w:sz w:val="24"/>
          <w:szCs w:val="24"/>
          <w:lang w:eastAsia="en-GB"/>
        </w:rPr>
        <w:t xml:space="preserve">that </w:t>
      </w:r>
      <w:r w:rsidRPr="00F4693E">
        <w:rPr>
          <w:rFonts w:ascii="Times New Roman" w:eastAsia="Times New Roman" w:hAnsi="Times New Roman" w:cs="Times New Roman"/>
          <w:sz w:val="24"/>
          <w:szCs w:val="24"/>
          <w:lang w:eastAsia="en-GB"/>
        </w:rPr>
        <w:t xml:space="preserve">all three ESG dimensions have positive and statistically significant relationships with Tobin’s Q. The results indicate that the Nigerian capital market appears to attach </w:t>
      </w:r>
      <w:r w:rsidR="006C0AEB">
        <w:rPr>
          <w:rFonts w:ascii="Times New Roman" w:eastAsia="Times New Roman" w:hAnsi="Times New Roman" w:cs="Times New Roman"/>
          <w:sz w:val="24"/>
          <w:szCs w:val="24"/>
          <w:lang w:eastAsia="en-GB"/>
        </w:rPr>
        <w:t>greater value to ESG r</w:t>
      </w:r>
      <w:r w:rsidR="00E52910">
        <w:rPr>
          <w:rFonts w:ascii="Times New Roman" w:eastAsia="Times New Roman" w:hAnsi="Times New Roman" w:cs="Times New Roman"/>
          <w:sz w:val="24"/>
          <w:szCs w:val="24"/>
          <w:lang w:eastAsia="en-GB"/>
        </w:rPr>
        <w:t>e</w:t>
      </w:r>
      <w:r w:rsidR="006C0AEB">
        <w:rPr>
          <w:rFonts w:ascii="Times New Roman" w:eastAsia="Times New Roman" w:hAnsi="Times New Roman" w:cs="Times New Roman"/>
          <w:sz w:val="24"/>
          <w:szCs w:val="24"/>
          <w:lang w:eastAsia="en-GB"/>
        </w:rPr>
        <w:t>porting</w:t>
      </w:r>
      <w:r w:rsidRPr="00F4693E">
        <w:rPr>
          <w:rFonts w:ascii="Times New Roman" w:eastAsia="Times New Roman" w:hAnsi="Times New Roman" w:cs="Times New Roman"/>
          <w:sz w:val="24"/>
          <w:szCs w:val="24"/>
          <w:lang w:eastAsia="en-GB"/>
        </w:rPr>
        <w:t>. Overall, the study concludes that ESG reporting, particularly governance reporting, represents an increasingly important mechanism through which listed non-financial companies can communicate risk management, accountability, sustainability and long-term value-creation capacity to investors. The findings support continued regulatory development and stronger corporate implementation of sustainability reporting standards in Nigeria.</w:t>
      </w:r>
    </w:p>
    <w:p w14:paraId="6A6EA43C" w14:textId="77777777" w:rsidR="00774EE0" w:rsidRDefault="00774EE0" w:rsidP="00774EE0">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study’s principal contribution is its disaggregated treatment of ESG reporting </w:t>
      </w:r>
      <w:r w:rsidR="006C0AEB">
        <w:rPr>
          <w:rFonts w:ascii="Times New Roman" w:eastAsia="Times New Roman" w:hAnsi="Times New Roman" w:cs="Times New Roman"/>
          <w:sz w:val="24"/>
          <w:szCs w:val="24"/>
          <w:lang w:eastAsia="en-GB"/>
        </w:rPr>
        <w:t xml:space="preserve">on </w:t>
      </w:r>
      <w:r w:rsidRPr="00F4693E">
        <w:rPr>
          <w:rFonts w:ascii="Times New Roman" w:eastAsia="Times New Roman" w:hAnsi="Times New Roman" w:cs="Times New Roman"/>
          <w:sz w:val="24"/>
          <w:szCs w:val="24"/>
          <w:lang w:eastAsia="en-GB"/>
        </w:rPr>
        <w:t>Tobin’s Q. Rather than assuming that a single aggregate ESG score captures all value effects, the study shows that the dimensions behave differently across market measures. This provides a more nuanced explanation of the ESG–firm-value relationship in an emerging-market setting. It also offers evidence that can inform the ongoing Niger</w:t>
      </w:r>
      <w:r w:rsidR="006C0AEB">
        <w:rPr>
          <w:rFonts w:ascii="Times New Roman" w:eastAsia="Times New Roman" w:hAnsi="Times New Roman" w:cs="Times New Roman"/>
          <w:sz w:val="24"/>
          <w:szCs w:val="24"/>
          <w:lang w:eastAsia="en-GB"/>
        </w:rPr>
        <w:t>ian transition toward standardis</w:t>
      </w:r>
      <w:r w:rsidRPr="00F4693E">
        <w:rPr>
          <w:rFonts w:ascii="Times New Roman" w:eastAsia="Times New Roman" w:hAnsi="Times New Roman" w:cs="Times New Roman"/>
          <w:sz w:val="24"/>
          <w:szCs w:val="24"/>
          <w:lang w:eastAsia="en-GB"/>
        </w:rPr>
        <w:t>ed sustainability-related financial disclosures</w:t>
      </w:r>
    </w:p>
    <w:p w14:paraId="319F82DD" w14:textId="77777777" w:rsidR="00050634" w:rsidRPr="00F4693E" w:rsidRDefault="00050634" w:rsidP="00F4693E">
      <w:pPr>
        <w:spacing w:after="0" w:line="240" w:lineRule="auto"/>
        <w:jc w:val="both"/>
        <w:rPr>
          <w:rFonts w:ascii="Times New Roman" w:eastAsia="Times New Roman" w:hAnsi="Times New Roman" w:cs="Times New Roman"/>
          <w:sz w:val="24"/>
          <w:szCs w:val="24"/>
          <w:lang w:eastAsia="en-GB"/>
        </w:rPr>
      </w:pPr>
    </w:p>
    <w:p w14:paraId="4F6C35CC" w14:textId="77777777" w:rsidR="00F4693E" w:rsidRPr="00774EE0" w:rsidRDefault="00F4693E" w:rsidP="00F4693E">
      <w:pPr>
        <w:spacing w:after="0" w:line="240" w:lineRule="auto"/>
        <w:jc w:val="both"/>
        <w:rPr>
          <w:rFonts w:ascii="Times New Roman" w:eastAsia="Times New Roman" w:hAnsi="Times New Roman" w:cs="Times New Roman"/>
          <w:sz w:val="24"/>
          <w:szCs w:val="24"/>
          <w:lang w:eastAsia="en-GB"/>
        </w:rPr>
      </w:pPr>
      <w:r w:rsidRPr="00774EE0">
        <w:rPr>
          <w:rFonts w:ascii="Times New Roman" w:eastAsia="Times New Roman" w:hAnsi="Times New Roman" w:cs="Times New Roman"/>
          <w:b/>
          <w:bCs/>
          <w:sz w:val="24"/>
          <w:szCs w:val="24"/>
          <w:lang w:eastAsia="en-GB"/>
        </w:rPr>
        <w:t>6. Theoretical, Practical and Policy Implications</w:t>
      </w:r>
    </w:p>
    <w:p w14:paraId="0558A0F7"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findings contribute to theory by demonstrating that no single theoretical mechanism completely explains the ESG–firm-value relationship. Stakeholder and legitimacy theories help explain why ESG disclosure may strengthen stakeholder confidence and corporate acceptance, while signalling theory explains why market valuation responds strongly to ESG information. Agency theory is particularly useful for interpreting the positive governance effects on Tobin’s Q. The stronger results for Tobin’s Q indicate that market expectations may respond to ESG information </w:t>
      </w:r>
      <w:r w:rsidR="00774EE0">
        <w:rPr>
          <w:rFonts w:ascii="Times New Roman" w:eastAsia="Times New Roman" w:hAnsi="Times New Roman" w:cs="Times New Roman"/>
          <w:sz w:val="24"/>
          <w:szCs w:val="24"/>
          <w:lang w:eastAsia="en-GB"/>
        </w:rPr>
        <w:t>by</w:t>
      </w:r>
      <w:r w:rsidRPr="00F4693E">
        <w:rPr>
          <w:rFonts w:ascii="Times New Roman" w:eastAsia="Times New Roman" w:hAnsi="Times New Roman" w:cs="Times New Roman"/>
          <w:sz w:val="24"/>
          <w:szCs w:val="24"/>
          <w:lang w:eastAsia="en-GB"/>
        </w:rPr>
        <w:t xml:space="preserve"> providing evidence for an information-based interpretation of ESG reporting.</w:t>
      </w:r>
    </w:p>
    <w:p w14:paraId="3423CCA4" w14:textId="77777777" w:rsidR="006C0AEB" w:rsidRPr="00F4693E" w:rsidRDefault="006C0AEB" w:rsidP="00F4693E">
      <w:pPr>
        <w:spacing w:after="0" w:line="240" w:lineRule="auto"/>
        <w:jc w:val="both"/>
        <w:rPr>
          <w:rFonts w:ascii="Times New Roman" w:eastAsia="Times New Roman" w:hAnsi="Times New Roman" w:cs="Times New Roman"/>
          <w:sz w:val="24"/>
          <w:szCs w:val="24"/>
          <w:lang w:eastAsia="en-GB"/>
        </w:rPr>
      </w:pPr>
    </w:p>
    <w:p w14:paraId="5C6E9029"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For managers, the findings suggest that ESG reporting should be integrated into corporate strategy rather than treated as a stand-alone reporting exercise. Environmental and social initiatives should be connected to measurable operational and reputational outcomes, while governance systems should be strengthened to sustain both profitability and investor confidence. Managers should also improve the specificity, comparability and credibility of </w:t>
      </w:r>
      <w:r w:rsidRPr="00F4693E">
        <w:rPr>
          <w:rFonts w:ascii="Times New Roman" w:eastAsia="Times New Roman" w:hAnsi="Times New Roman" w:cs="Times New Roman"/>
          <w:sz w:val="24"/>
          <w:szCs w:val="24"/>
          <w:lang w:eastAsia="en-GB"/>
        </w:rPr>
        <w:lastRenderedPageBreak/>
        <w:t>disclosures by providing quantitative indicators, targets, performance trends and explanations of material ESG risks. This approach can make ESG information more useful to investors and other providers of capital.</w:t>
      </w:r>
    </w:p>
    <w:p w14:paraId="189D53E8" w14:textId="77777777" w:rsidR="006C0AEB" w:rsidRPr="00F4693E" w:rsidRDefault="006C0AEB" w:rsidP="00F4693E">
      <w:pPr>
        <w:spacing w:after="0" w:line="240" w:lineRule="auto"/>
        <w:jc w:val="both"/>
        <w:rPr>
          <w:rFonts w:ascii="Times New Roman" w:eastAsia="Times New Roman" w:hAnsi="Times New Roman" w:cs="Times New Roman"/>
          <w:sz w:val="24"/>
          <w:szCs w:val="24"/>
          <w:lang w:eastAsia="en-GB"/>
        </w:rPr>
      </w:pPr>
    </w:p>
    <w:p w14:paraId="66A8AB0B"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For investors, the results suggest that ESG information contains potentially value-relevant signals, particularly for market valuation. Investors should therefore examine individual ESG dimensions rather than relying only on a single aggregate score. Governance disclosure may deserve particular attention because it is positively associated with Tobin’s Q in the supplied results. Environmental and social disclosures should also be assessed in terms of their potential long-term effects on risk, reputation, stakeholder relationships and future cash flows.</w:t>
      </w:r>
    </w:p>
    <w:p w14:paraId="6FB6B4F0" w14:textId="77777777" w:rsidR="006C0AEB" w:rsidRPr="00F4693E" w:rsidRDefault="006C0AEB" w:rsidP="00F4693E">
      <w:pPr>
        <w:spacing w:after="0" w:line="240" w:lineRule="auto"/>
        <w:jc w:val="both"/>
        <w:rPr>
          <w:rFonts w:ascii="Times New Roman" w:eastAsia="Times New Roman" w:hAnsi="Times New Roman" w:cs="Times New Roman"/>
          <w:sz w:val="24"/>
          <w:szCs w:val="24"/>
          <w:lang w:eastAsia="en-GB"/>
        </w:rPr>
      </w:pPr>
    </w:p>
    <w:p w14:paraId="4F484343"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For regulators, the results support the continued strengthening of sustainability reporting requirements in Nigeria. The FRCN’s 2026 amended roadmap and Sustainability Reporting Guideline 1 provide an important regulatory foundation for improving consistency and implementation of IFRS susta</w:t>
      </w:r>
      <w:r w:rsidR="00774EE0">
        <w:rPr>
          <w:rFonts w:ascii="Times New Roman" w:eastAsia="Times New Roman" w:hAnsi="Times New Roman" w:cs="Times New Roman"/>
          <w:sz w:val="24"/>
          <w:szCs w:val="24"/>
          <w:lang w:eastAsia="en-GB"/>
        </w:rPr>
        <w:t>inability disclosure standards.</w:t>
      </w:r>
      <w:r w:rsidRPr="00F4693E">
        <w:rPr>
          <w:rFonts w:ascii="Times New Roman" w:eastAsia="Times New Roman" w:hAnsi="Times New Roman" w:cs="Times New Roman"/>
          <w:sz w:val="24"/>
          <w:szCs w:val="24"/>
          <w:lang w:eastAsia="en-GB"/>
        </w:rPr>
        <w:t xml:space="preserve"> The NGX and other relevant institutions should promote comparable disclosure templates, sector guidance, monitoring and assurance mechanisms. Stronger enforcement would reduce selective disclosure and improve the usefulness of ESG information for capital-market participants.</w:t>
      </w:r>
    </w:p>
    <w:p w14:paraId="224946B8" w14:textId="77777777" w:rsidR="00774EE0" w:rsidRPr="00F4693E" w:rsidRDefault="00774EE0" w:rsidP="00F4693E">
      <w:pPr>
        <w:spacing w:after="0" w:line="240" w:lineRule="auto"/>
        <w:jc w:val="both"/>
        <w:rPr>
          <w:rFonts w:ascii="Times New Roman" w:eastAsia="Times New Roman" w:hAnsi="Times New Roman" w:cs="Times New Roman"/>
          <w:sz w:val="24"/>
          <w:szCs w:val="24"/>
          <w:lang w:eastAsia="en-GB"/>
        </w:rPr>
      </w:pPr>
    </w:p>
    <w:p w14:paraId="702AD177" w14:textId="77777777" w:rsidR="00F4693E" w:rsidRPr="00774EE0" w:rsidRDefault="00F4693E" w:rsidP="00F4693E">
      <w:pPr>
        <w:spacing w:after="0" w:line="240" w:lineRule="auto"/>
        <w:jc w:val="both"/>
        <w:rPr>
          <w:rFonts w:ascii="Times New Roman" w:eastAsia="Times New Roman" w:hAnsi="Times New Roman" w:cs="Times New Roman"/>
          <w:sz w:val="24"/>
          <w:szCs w:val="24"/>
          <w:lang w:eastAsia="en-GB"/>
        </w:rPr>
      </w:pPr>
      <w:r w:rsidRPr="00774EE0">
        <w:rPr>
          <w:rFonts w:ascii="Times New Roman" w:eastAsia="Times New Roman" w:hAnsi="Times New Roman" w:cs="Times New Roman"/>
          <w:b/>
          <w:bCs/>
          <w:sz w:val="24"/>
          <w:szCs w:val="24"/>
          <w:lang w:eastAsia="en-GB"/>
        </w:rPr>
        <w:t>7. Limitations and Suggestions for Future Research</w:t>
      </w:r>
    </w:p>
    <w:p w14:paraId="35B2AD27"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study has several limitations. First, the sample is restricted to listed non-financial companies, so the findings may not apply directly to banks, insurance companies and other regulated financial institutions. Second, the binary content-analysis approach records whether an item is disclosed but does not fully capture the depth, quality or credibility of the information. Third, the study period ends in 2025, while Nigeria’s 2026 sustainability-reporting reforms are still evolving; therefore, the results largely reflect the pre-mandatory transition period. Future research should extend the sample to financial institutions and compare ESG value relevance across industries. Researchers should also consider weighted disclosure indices, automated textual analysis, ESG ratings and externally assured sustainability information to capture disclosure quality rather than simple presence or absence. Finally, future research should examine whether the implementation of IFRS S1 and S2 changes the strength of the relationship between ESG reporting and firm value after the regulatory transition becomes more mature.</w:t>
      </w:r>
    </w:p>
    <w:p w14:paraId="23C02952" w14:textId="77777777" w:rsidR="004A1AA9" w:rsidRDefault="004A1AA9" w:rsidP="004A1AA9"/>
    <w:p w14:paraId="1DFDE544" w14:textId="77777777" w:rsidR="004A1AA9" w:rsidRDefault="004A1AA9" w:rsidP="004A1AA9">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0511734" w14:textId="77777777" w:rsidR="004A1AA9" w:rsidRDefault="004A1AA9" w:rsidP="004A1AA9">
      <w:pPr>
        <w:spacing w:after="0" w:line="240" w:lineRule="auto"/>
        <w:rPr>
          <w:rFonts w:ascii="Times New Roman" w:hAnsi="Times New Roman" w:cs="Times New Roman"/>
          <w:b/>
        </w:rPr>
      </w:pPr>
    </w:p>
    <w:p w14:paraId="31F3F3E4" w14:textId="77777777" w:rsidR="004A1AA9" w:rsidRDefault="004A1AA9" w:rsidP="004A1AA9">
      <w:pPr>
        <w:spacing w:after="0" w:line="240" w:lineRule="auto"/>
        <w:rPr>
          <w:rFonts w:ascii="Times New Roman" w:hAnsi="Times New Roman" w:cs="Times New Roman"/>
          <w:b/>
        </w:rPr>
      </w:pPr>
    </w:p>
    <w:p w14:paraId="76E04F09" w14:textId="77777777" w:rsidR="004A1AA9" w:rsidRDefault="004A1AA9" w:rsidP="004A1AA9">
      <w:pPr>
        <w:spacing w:after="0" w:line="240" w:lineRule="auto"/>
        <w:rPr>
          <w:rFonts w:ascii="Times New Roman" w:hAnsi="Times New Roman" w:cs="Times New Roman"/>
          <w:b/>
        </w:rPr>
      </w:pPr>
    </w:p>
    <w:p w14:paraId="16450AFA" w14:textId="77777777" w:rsidR="004A1AA9" w:rsidRPr="002D08AC" w:rsidRDefault="004A1AA9" w:rsidP="004A1AA9">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EDA9CD9" w14:textId="77777777" w:rsidR="004A1AA9" w:rsidRDefault="004A1AA9" w:rsidP="00F4693E">
      <w:pPr>
        <w:spacing w:after="0" w:line="240" w:lineRule="auto"/>
        <w:jc w:val="both"/>
        <w:rPr>
          <w:rFonts w:ascii="Times New Roman" w:eastAsia="Times New Roman" w:hAnsi="Times New Roman" w:cs="Times New Roman"/>
          <w:sz w:val="24"/>
          <w:szCs w:val="24"/>
          <w:lang w:eastAsia="en-GB"/>
        </w:rPr>
      </w:pPr>
    </w:p>
    <w:p w14:paraId="22A992CD" w14:textId="77777777" w:rsidR="00774EE0" w:rsidRDefault="00774EE0" w:rsidP="00F4693E">
      <w:pPr>
        <w:spacing w:after="0" w:line="240" w:lineRule="auto"/>
        <w:jc w:val="both"/>
        <w:rPr>
          <w:rFonts w:ascii="Times New Roman" w:eastAsia="Times New Roman" w:hAnsi="Times New Roman" w:cs="Times New Roman"/>
          <w:sz w:val="24"/>
          <w:szCs w:val="24"/>
          <w:lang w:eastAsia="en-GB"/>
        </w:rPr>
      </w:pPr>
    </w:p>
    <w:p w14:paraId="5E718FF2" w14:textId="77777777" w:rsidR="00130FCC" w:rsidRDefault="00130FCC" w:rsidP="00F4693E">
      <w:pPr>
        <w:spacing w:after="0" w:line="240" w:lineRule="auto"/>
        <w:jc w:val="both"/>
        <w:rPr>
          <w:rFonts w:ascii="Times New Roman" w:eastAsia="Times New Roman" w:hAnsi="Times New Roman" w:cs="Times New Roman"/>
          <w:sz w:val="24"/>
          <w:szCs w:val="24"/>
          <w:lang w:eastAsia="en-GB"/>
        </w:rPr>
      </w:pPr>
    </w:p>
    <w:p w14:paraId="45AC3013" w14:textId="77777777" w:rsidR="00130FCC" w:rsidRDefault="00130FCC" w:rsidP="00F4693E">
      <w:pPr>
        <w:spacing w:after="0" w:line="240" w:lineRule="auto"/>
        <w:jc w:val="both"/>
        <w:rPr>
          <w:rFonts w:ascii="Times New Roman" w:eastAsia="Times New Roman" w:hAnsi="Times New Roman" w:cs="Times New Roman"/>
          <w:sz w:val="24"/>
          <w:szCs w:val="24"/>
          <w:lang w:eastAsia="en-GB"/>
        </w:rPr>
      </w:pPr>
    </w:p>
    <w:p w14:paraId="79BD17B9" w14:textId="77777777" w:rsidR="00ED1668" w:rsidRDefault="00ED1668" w:rsidP="00F4693E">
      <w:pPr>
        <w:spacing w:after="0" w:line="240" w:lineRule="auto"/>
        <w:jc w:val="both"/>
        <w:rPr>
          <w:rFonts w:ascii="Times New Roman" w:eastAsia="Times New Roman" w:hAnsi="Times New Roman" w:cs="Times New Roman"/>
          <w:sz w:val="24"/>
          <w:szCs w:val="24"/>
          <w:lang w:eastAsia="en-GB"/>
        </w:rPr>
      </w:pPr>
    </w:p>
    <w:p w14:paraId="664417B4" w14:textId="77777777" w:rsidR="00ED1668" w:rsidRDefault="00ED1668" w:rsidP="00F4693E">
      <w:pPr>
        <w:spacing w:after="0" w:line="240" w:lineRule="auto"/>
        <w:jc w:val="both"/>
        <w:rPr>
          <w:rFonts w:ascii="Times New Roman" w:eastAsia="Times New Roman" w:hAnsi="Times New Roman" w:cs="Times New Roman"/>
          <w:sz w:val="24"/>
          <w:szCs w:val="24"/>
          <w:lang w:eastAsia="en-GB"/>
        </w:rPr>
      </w:pPr>
    </w:p>
    <w:p w14:paraId="5D4E4C33" w14:textId="77777777" w:rsidR="00ED1668" w:rsidRDefault="00ED1668" w:rsidP="00F4693E">
      <w:pPr>
        <w:spacing w:after="0" w:line="240" w:lineRule="auto"/>
        <w:jc w:val="both"/>
        <w:rPr>
          <w:rFonts w:ascii="Times New Roman" w:eastAsia="Times New Roman" w:hAnsi="Times New Roman" w:cs="Times New Roman"/>
          <w:sz w:val="24"/>
          <w:szCs w:val="24"/>
          <w:lang w:eastAsia="en-GB"/>
        </w:rPr>
      </w:pPr>
    </w:p>
    <w:p w14:paraId="1FCE2B61"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4362DC77"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42B08BDC"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09F24D78"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2F92A034"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2718B9CB" w14:textId="77777777" w:rsidR="005E306C" w:rsidRPr="006C0AEB" w:rsidRDefault="005E306C" w:rsidP="00F4693E">
      <w:pPr>
        <w:spacing w:after="0" w:line="240" w:lineRule="auto"/>
        <w:jc w:val="both"/>
        <w:rPr>
          <w:rFonts w:ascii="Times New Roman" w:eastAsia="Times New Roman" w:hAnsi="Times New Roman" w:cs="Times New Roman"/>
          <w:sz w:val="24"/>
          <w:szCs w:val="24"/>
          <w:lang w:eastAsia="en-GB"/>
        </w:rPr>
      </w:pPr>
    </w:p>
    <w:p w14:paraId="7A9C5E7C" w14:textId="77777777" w:rsidR="006C0AEB" w:rsidRPr="006C0AEB" w:rsidRDefault="00F4693E" w:rsidP="00ED5CF7">
      <w:pPr>
        <w:spacing w:after="0" w:line="240" w:lineRule="auto"/>
        <w:ind w:left="2880" w:firstLine="720"/>
        <w:jc w:val="both"/>
        <w:rPr>
          <w:rFonts w:ascii="Times New Roman" w:eastAsia="Times New Roman" w:hAnsi="Times New Roman" w:cs="Times New Roman"/>
          <w:b/>
          <w:bCs/>
          <w:sz w:val="24"/>
          <w:szCs w:val="24"/>
          <w:lang w:eastAsia="en-GB"/>
        </w:rPr>
      </w:pPr>
      <w:r w:rsidRPr="00774EE0">
        <w:rPr>
          <w:rFonts w:ascii="Times New Roman" w:eastAsia="Times New Roman" w:hAnsi="Times New Roman" w:cs="Times New Roman"/>
          <w:b/>
          <w:bCs/>
          <w:sz w:val="24"/>
          <w:szCs w:val="24"/>
          <w:lang w:eastAsia="en-GB"/>
        </w:rPr>
        <w:t>References</w:t>
      </w:r>
    </w:p>
    <w:p w14:paraId="5BE1AEA9"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E03E19">
        <w:rPr>
          <w:rFonts w:ascii="Times New Roman" w:eastAsia="Times New Roman" w:hAnsi="Times New Roman" w:cs="Times New Roman"/>
          <w:sz w:val="24"/>
          <w:szCs w:val="24"/>
          <w:lang w:eastAsia="en-GB"/>
        </w:rPr>
        <w:t>Alareeni</w:t>
      </w:r>
      <w:proofErr w:type="spellEnd"/>
      <w:r w:rsidRPr="00E03E19">
        <w:rPr>
          <w:rFonts w:ascii="Times New Roman" w:eastAsia="Times New Roman" w:hAnsi="Times New Roman" w:cs="Times New Roman"/>
          <w:sz w:val="24"/>
          <w:szCs w:val="24"/>
          <w:lang w:eastAsia="en-GB"/>
        </w:rPr>
        <w:t xml:space="preserve">, B. A., &amp; Hamdan, A. (2020). ESG impact on performance of US S&amp;P 500-listed firms. </w:t>
      </w:r>
      <w:r w:rsidRPr="00E03E19">
        <w:rPr>
          <w:rFonts w:ascii="Times New Roman" w:eastAsia="Times New Roman" w:hAnsi="Times New Roman" w:cs="Times New Roman"/>
          <w:i/>
          <w:sz w:val="24"/>
          <w:szCs w:val="24"/>
          <w:lang w:eastAsia="en-GB"/>
        </w:rPr>
        <w:t>Corporate Governance: The International Journal of Business in Society</w:t>
      </w:r>
      <w:r w:rsidRPr="00E03E19">
        <w:rPr>
          <w:rFonts w:ascii="Times New Roman" w:eastAsia="Times New Roman" w:hAnsi="Times New Roman" w:cs="Times New Roman"/>
          <w:sz w:val="24"/>
          <w:szCs w:val="24"/>
          <w:lang w:eastAsia="en-GB"/>
        </w:rPr>
        <w:t>, 20(7), 1409–1428.</w:t>
      </w:r>
    </w:p>
    <w:p w14:paraId="7BF66DB8"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050634">
        <w:rPr>
          <w:rFonts w:ascii="Times New Roman" w:eastAsia="Times New Roman" w:hAnsi="Times New Roman" w:cs="Times New Roman"/>
          <w:sz w:val="24"/>
          <w:szCs w:val="24"/>
          <w:lang w:eastAsia="en-GB"/>
        </w:rPr>
        <w:t>Al-</w:t>
      </w:r>
      <w:proofErr w:type="spellStart"/>
      <w:r w:rsidRPr="00050634">
        <w:rPr>
          <w:rFonts w:ascii="Times New Roman" w:eastAsia="Times New Roman" w:hAnsi="Times New Roman" w:cs="Times New Roman"/>
          <w:sz w:val="24"/>
          <w:szCs w:val="24"/>
          <w:lang w:eastAsia="en-GB"/>
        </w:rPr>
        <w:t>Tarawneh</w:t>
      </w:r>
      <w:proofErr w:type="spellEnd"/>
      <w:r w:rsidRPr="00050634">
        <w:rPr>
          <w:rFonts w:ascii="Times New Roman" w:eastAsia="Times New Roman" w:hAnsi="Times New Roman" w:cs="Times New Roman"/>
          <w:sz w:val="24"/>
          <w:szCs w:val="24"/>
          <w:lang w:eastAsia="en-GB"/>
        </w:rPr>
        <w:t xml:space="preserve">, A., Tayeh, M., </w:t>
      </w:r>
      <w:proofErr w:type="spellStart"/>
      <w:r w:rsidRPr="00050634">
        <w:rPr>
          <w:rFonts w:ascii="Times New Roman" w:eastAsia="Times New Roman" w:hAnsi="Times New Roman" w:cs="Times New Roman"/>
          <w:sz w:val="24"/>
          <w:szCs w:val="24"/>
          <w:lang w:eastAsia="en-GB"/>
        </w:rPr>
        <w:t>Iskandrani</w:t>
      </w:r>
      <w:proofErr w:type="spellEnd"/>
      <w:r w:rsidRPr="00050634">
        <w:rPr>
          <w:rFonts w:ascii="Times New Roman" w:eastAsia="Times New Roman" w:hAnsi="Times New Roman" w:cs="Times New Roman"/>
          <w:sz w:val="24"/>
          <w:szCs w:val="24"/>
          <w:lang w:eastAsia="en-GB"/>
        </w:rPr>
        <w:t xml:space="preserve">, M., &amp; Obeidat, M. (2024). The impact of ESG scores on corporate financial performance: A study of non-financial firms listed in the UK. </w:t>
      </w:r>
      <w:r w:rsidRPr="00ED5CF7">
        <w:rPr>
          <w:rFonts w:ascii="Times New Roman" w:eastAsia="Times New Roman" w:hAnsi="Times New Roman" w:cs="Times New Roman"/>
          <w:i/>
          <w:sz w:val="24"/>
          <w:szCs w:val="24"/>
          <w:lang w:eastAsia="en-GB"/>
        </w:rPr>
        <w:t>Asian Economic and Financial Review,</w:t>
      </w:r>
      <w:r w:rsidRPr="00050634">
        <w:rPr>
          <w:rFonts w:ascii="Times New Roman" w:eastAsia="Times New Roman" w:hAnsi="Times New Roman" w:cs="Times New Roman"/>
          <w:sz w:val="24"/>
          <w:szCs w:val="24"/>
          <w:lang w:eastAsia="en-GB"/>
        </w:rPr>
        <w:t xml:space="preserve"> 14(11), 852–867. </w:t>
      </w:r>
    </w:p>
    <w:p w14:paraId="37DC345D"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Aydog</w:t>
      </w:r>
      <w:r w:rsidRPr="00F4693E">
        <w:rPr>
          <w:rFonts w:ascii="Times New Roman" w:eastAsia="Times New Roman" w:hAnsi="Times New Roman" w:cs="Times New Roman"/>
          <w:sz w:val="24"/>
          <w:szCs w:val="24"/>
          <w:lang w:eastAsia="en-GB"/>
        </w:rPr>
        <w:t>muş</w:t>
      </w:r>
      <w:proofErr w:type="spellEnd"/>
      <w:r w:rsidRPr="00F4693E">
        <w:rPr>
          <w:rFonts w:ascii="Times New Roman" w:eastAsia="Times New Roman" w:hAnsi="Times New Roman" w:cs="Times New Roman"/>
          <w:sz w:val="24"/>
          <w:szCs w:val="24"/>
          <w:lang w:eastAsia="en-GB"/>
        </w:rPr>
        <w:t xml:space="preserve">, M., Gülay, G., &amp; Ergun, K. (2022). Impact of ESG performance on firm value and profitability. </w:t>
      </w:r>
      <w:r w:rsidRPr="00ED5CF7">
        <w:rPr>
          <w:rFonts w:ascii="Times New Roman" w:eastAsia="Times New Roman" w:hAnsi="Times New Roman" w:cs="Times New Roman"/>
          <w:i/>
          <w:sz w:val="24"/>
          <w:szCs w:val="24"/>
          <w:lang w:eastAsia="en-GB"/>
        </w:rPr>
        <w:t>Borsa Istanbul Review</w:t>
      </w:r>
      <w:r w:rsidRPr="00F4693E">
        <w:rPr>
          <w:rFonts w:ascii="Times New Roman" w:eastAsia="Times New Roman" w:hAnsi="Times New Roman" w:cs="Times New Roman"/>
          <w:sz w:val="24"/>
          <w:szCs w:val="24"/>
          <w:lang w:eastAsia="en-GB"/>
        </w:rPr>
        <w:t xml:space="preserve">, 22, S119–S127. </w:t>
      </w:r>
    </w:p>
    <w:p w14:paraId="15D1ABD4"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947194">
        <w:rPr>
          <w:rFonts w:ascii="Times New Roman" w:eastAsia="Times New Roman" w:hAnsi="Times New Roman" w:cs="Times New Roman"/>
          <w:sz w:val="24"/>
          <w:szCs w:val="24"/>
          <w:lang w:eastAsia="en-GB"/>
        </w:rPr>
        <w:t>Boulhaga</w:t>
      </w:r>
      <w:proofErr w:type="spellEnd"/>
      <w:r w:rsidRPr="00947194">
        <w:rPr>
          <w:rFonts w:ascii="Times New Roman" w:eastAsia="Times New Roman" w:hAnsi="Times New Roman" w:cs="Times New Roman"/>
          <w:sz w:val="24"/>
          <w:szCs w:val="24"/>
          <w:lang w:eastAsia="en-GB"/>
        </w:rPr>
        <w:t xml:space="preserve">, M., Bouri, A., </w:t>
      </w:r>
      <w:proofErr w:type="spellStart"/>
      <w:r w:rsidRPr="00947194">
        <w:rPr>
          <w:rFonts w:ascii="Times New Roman" w:eastAsia="Times New Roman" w:hAnsi="Times New Roman" w:cs="Times New Roman"/>
          <w:sz w:val="24"/>
          <w:szCs w:val="24"/>
          <w:lang w:eastAsia="en-GB"/>
        </w:rPr>
        <w:t>Elamer</w:t>
      </w:r>
      <w:proofErr w:type="spellEnd"/>
      <w:r w:rsidRPr="00947194">
        <w:rPr>
          <w:rFonts w:ascii="Times New Roman" w:eastAsia="Times New Roman" w:hAnsi="Times New Roman" w:cs="Times New Roman"/>
          <w:sz w:val="24"/>
          <w:szCs w:val="24"/>
          <w:lang w:eastAsia="en-GB"/>
        </w:rPr>
        <w:t xml:space="preserve">, A. A., &amp; Ibrahim, B. A. (2023). Environmental, social and governance ratings and firm performance: The moderating role of internal control quality. </w:t>
      </w:r>
      <w:r w:rsidRPr="00ED5CF7">
        <w:rPr>
          <w:rFonts w:ascii="Times New Roman" w:eastAsia="Times New Roman" w:hAnsi="Times New Roman" w:cs="Times New Roman"/>
          <w:i/>
          <w:sz w:val="24"/>
          <w:szCs w:val="24"/>
          <w:lang w:eastAsia="en-GB"/>
        </w:rPr>
        <w:t>Corporate Social Responsibility and Environmental Management</w:t>
      </w:r>
      <w:r w:rsidRPr="00947194">
        <w:rPr>
          <w:rFonts w:ascii="Times New Roman" w:eastAsia="Times New Roman" w:hAnsi="Times New Roman" w:cs="Times New Roman"/>
          <w:sz w:val="24"/>
          <w:szCs w:val="24"/>
          <w:lang w:eastAsia="en-GB"/>
        </w:rPr>
        <w:t xml:space="preserve">, 30(1), 134–145. </w:t>
      </w:r>
    </w:p>
    <w:p w14:paraId="27B9A7E7"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C13690">
        <w:rPr>
          <w:rFonts w:ascii="Times New Roman" w:eastAsia="Times New Roman" w:hAnsi="Times New Roman" w:cs="Times New Roman"/>
          <w:sz w:val="24"/>
          <w:szCs w:val="24"/>
          <w:lang w:eastAsia="en-GB"/>
        </w:rPr>
        <w:t xml:space="preserve">Desai, R. (2024). Analysing the firm value effects of environmental, social and governance disclosure: Empirical study of Indian firms. </w:t>
      </w:r>
      <w:r w:rsidRPr="00C13690">
        <w:rPr>
          <w:rFonts w:ascii="Times New Roman" w:eastAsia="Times New Roman" w:hAnsi="Times New Roman" w:cs="Times New Roman"/>
          <w:i/>
          <w:iCs/>
          <w:sz w:val="24"/>
          <w:szCs w:val="24"/>
          <w:lang w:eastAsia="en-GB"/>
        </w:rPr>
        <w:t>Vision: The Journal of Business Perspective, 32</w:t>
      </w:r>
      <w:r w:rsidRPr="00C13690">
        <w:rPr>
          <w:rFonts w:ascii="Times New Roman" w:eastAsia="Times New Roman" w:hAnsi="Times New Roman" w:cs="Times New Roman"/>
          <w:sz w:val="24"/>
          <w:szCs w:val="24"/>
          <w:lang w:eastAsia="en-GB"/>
        </w:rPr>
        <w:t xml:space="preserve">(1). </w:t>
      </w:r>
    </w:p>
    <w:p w14:paraId="186B1220"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Dincă, M. S., </w:t>
      </w:r>
      <w:proofErr w:type="spellStart"/>
      <w:r w:rsidRPr="00F4693E">
        <w:rPr>
          <w:rFonts w:ascii="Times New Roman" w:eastAsia="Times New Roman" w:hAnsi="Times New Roman" w:cs="Times New Roman"/>
          <w:sz w:val="24"/>
          <w:szCs w:val="24"/>
          <w:lang w:eastAsia="en-GB"/>
        </w:rPr>
        <w:t>Vezeteu</w:t>
      </w:r>
      <w:proofErr w:type="spellEnd"/>
      <w:r w:rsidRPr="00F4693E">
        <w:rPr>
          <w:rFonts w:ascii="Times New Roman" w:eastAsia="Times New Roman" w:hAnsi="Times New Roman" w:cs="Times New Roman"/>
          <w:sz w:val="24"/>
          <w:szCs w:val="24"/>
          <w:lang w:eastAsia="en-GB"/>
        </w:rPr>
        <w:t xml:space="preserve">, C.-D., &amp; Dincă, D. (2022). The relationship between ESG and firm value: Case study of the automotive industry. </w:t>
      </w:r>
      <w:r w:rsidRPr="00ED5CF7">
        <w:rPr>
          <w:rFonts w:ascii="Times New Roman" w:eastAsia="Times New Roman" w:hAnsi="Times New Roman" w:cs="Times New Roman"/>
          <w:i/>
          <w:sz w:val="24"/>
          <w:szCs w:val="24"/>
          <w:lang w:eastAsia="en-GB"/>
        </w:rPr>
        <w:t>Frontiers in Environmental Science</w:t>
      </w:r>
      <w:r w:rsidRPr="00F4693E">
        <w:rPr>
          <w:rFonts w:ascii="Times New Roman" w:eastAsia="Times New Roman" w:hAnsi="Times New Roman" w:cs="Times New Roman"/>
          <w:sz w:val="24"/>
          <w:szCs w:val="24"/>
          <w:lang w:eastAsia="en-GB"/>
        </w:rPr>
        <w:t xml:space="preserve">, 10, 1059906. </w:t>
      </w:r>
    </w:p>
    <w:p w14:paraId="5EA31ADB"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F4693E">
        <w:rPr>
          <w:rFonts w:ascii="Times New Roman" w:eastAsia="Times New Roman" w:hAnsi="Times New Roman" w:cs="Times New Roman"/>
          <w:sz w:val="24"/>
          <w:szCs w:val="24"/>
          <w:lang w:eastAsia="en-GB"/>
        </w:rPr>
        <w:t>Ezejiofor</w:t>
      </w:r>
      <w:proofErr w:type="spellEnd"/>
      <w:r w:rsidRPr="00F4693E">
        <w:rPr>
          <w:rFonts w:ascii="Times New Roman" w:eastAsia="Times New Roman" w:hAnsi="Times New Roman" w:cs="Times New Roman"/>
          <w:sz w:val="24"/>
          <w:szCs w:val="24"/>
          <w:lang w:eastAsia="en-GB"/>
        </w:rPr>
        <w:t xml:space="preserve">, R. A., &amp; Ufot, M. S. (2025). ESG disclosure and firms value of listed consumer goods in Nigeria. </w:t>
      </w:r>
      <w:r w:rsidRPr="00ED5CF7">
        <w:rPr>
          <w:rFonts w:ascii="Times New Roman" w:eastAsia="Times New Roman" w:hAnsi="Times New Roman" w:cs="Times New Roman"/>
          <w:i/>
          <w:sz w:val="24"/>
          <w:szCs w:val="24"/>
          <w:lang w:eastAsia="en-GB"/>
        </w:rPr>
        <w:t>International Review of Financial Studies</w:t>
      </w:r>
      <w:r>
        <w:rPr>
          <w:rFonts w:ascii="Times New Roman" w:eastAsia="Times New Roman" w:hAnsi="Times New Roman" w:cs="Times New Roman"/>
          <w:sz w:val="24"/>
          <w:szCs w:val="24"/>
          <w:lang w:eastAsia="en-GB"/>
        </w:rPr>
        <w:t>, 2(2), 71–96.</w:t>
      </w:r>
    </w:p>
    <w:p w14:paraId="324A3D78" w14:textId="77777777" w:rsidR="00E03E19" w:rsidRPr="00ED1668" w:rsidRDefault="00E03E19" w:rsidP="00ED5CF7">
      <w:pPr>
        <w:spacing w:before="240" w:line="240" w:lineRule="auto"/>
        <w:ind w:left="709" w:hanging="709"/>
        <w:jc w:val="both"/>
        <w:rPr>
          <w:rFonts w:ascii="Times New Roman" w:eastAsia="Times New Roman" w:hAnsi="Times New Roman" w:cs="Times New Roman"/>
          <w:i/>
          <w:sz w:val="24"/>
          <w:szCs w:val="24"/>
          <w:lang w:eastAsia="en-GB"/>
        </w:rPr>
      </w:pPr>
      <w:r w:rsidRPr="00F4693E">
        <w:rPr>
          <w:rFonts w:ascii="Times New Roman" w:eastAsia="Times New Roman" w:hAnsi="Times New Roman" w:cs="Times New Roman"/>
          <w:sz w:val="24"/>
          <w:szCs w:val="24"/>
          <w:lang w:eastAsia="en-GB"/>
        </w:rPr>
        <w:t xml:space="preserve">Financial Reporting Council of Nigeria. (2026). </w:t>
      </w:r>
      <w:r w:rsidRPr="00ED1668">
        <w:rPr>
          <w:rFonts w:ascii="Times New Roman" w:eastAsia="Times New Roman" w:hAnsi="Times New Roman" w:cs="Times New Roman"/>
          <w:i/>
          <w:sz w:val="24"/>
          <w:szCs w:val="24"/>
          <w:lang w:eastAsia="en-GB"/>
        </w:rPr>
        <w:t xml:space="preserve">FRC unveils amended roadmap and sustainability reporting guideline to strengthen adoption of IFRS sustainability disclosure standards in Nigeria. </w:t>
      </w:r>
    </w:p>
    <w:p w14:paraId="6524EC60"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A80BBF">
        <w:rPr>
          <w:rFonts w:ascii="Times New Roman" w:eastAsia="Times New Roman" w:hAnsi="Times New Roman" w:cs="Times New Roman"/>
          <w:sz w:val="24"/>
          <w:szCs w:val="24"/>
          <w:lang w:eastAsia="en-GB"/>
        </w:rPr>
        <w:t>Gerged</w:t>
      </w:r>
      <w:proofErr w:type="spellEnd"/>
      <w:r w:rsidRPr="00A80BBF">
        <w:rPr>
          <w:rFonts w:ascii="Times New Roman" w:eastAsia="Times New Roman" w:hAnsi="Times New Roman" w:cs="Times New Roman"/>
          <w:sz w:val="24"/>
          <w:szCs w:val="24"/>
          <w:lang w:eastAsia="en-GB"/>
        </w:rPr>
        <w:t xml:space="preserve">, A. M., Salem, R., &amp; </w:t>
      </w:r>
      <w:proofErr w:type="spellStart"/>
      <w:r w:rsidRPr="00A80BBF">
        <w:rPr>
          <w:rFonts w:ascii="Times New Roman" w:eastAsia="Times New Roman" w:hAnsi="Times New Roman" w:cs="Times New Roman"/>
          <w:sz w:val="24"/>
          <w:szCs w:val="24"/>
          <w:lang w:eastAsia="en-GB"/>
        </w:rPr>
        <w:t>Beddewela</w:t>
      </w:r>
      <w:proofErr w:type="spellEnd"/>
      <w:r w:rsidRPr="00A80BBF">
        <w:rPr>
          <w:rFonts w:ascii="Times New Roman" w:eastAsia="Times New Roman" w:hAnsi="Times New Roman" w:cs="Times New Roman"/>
          <w:sz w:val="24"/>
          <w:szCs w:val="24"/>
          <w:lang w:eastAsia="en-GB"/>
        </w:rPr>
        <w:t xml:space="preserve">, E. (2023). How does transparency into global sustainability initiatives influence firm value? Insights from Anglo-American countries. </w:t>
      </w:r>
      <w:r w:rsidRPr="00ED5CF7">
        <w:rPr>
          <w:rFonts w:ascii="Times New Roman" w:eastAsia="Times New Roman" w:hAnsi="Times New Roman" w:cs="Times New Roman"/>
          <w:i/>
          <w:sz w:val="24"/>
          <w:szCs w:val="24"/>
          <w:lang w:eastAsia="en-GB"/>
        </w:rPr>
        <w:t>Business Strategy and the Environment</w:t>
      </w:r>
      <w:r w:rsidRPr="00A80BBF">
        <w:rPr>
          <w:rFonts w:ascii="Times New Roman" w:eastAsia="Times New Roman" w:hAnsi="Times New Roman" w:cs="Times New Roman"/>
          <w:sz w:val="24"/>
          <w:szCs w:val="24"/>
          <w:lang w:eastAsia="en-GB"/>
        </w:rPr>
        <w:t xml:space="preserve">, 32(7), 4519–4547. </w:t>
      </w:r>
    </w:p>
    <w:p w14:paraId="548CF92A"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Global Reporting Initiative. (2021). </w:t>
      </w:r>
      <w:r w:rsidRPr="00ED1668">
        <w:rPr>
          <w:rFonts w:ascii="Times New Roman" w:eastAsia="Times New Roman" w:hAnsi="Times New Roman" w:cs="Times New Roman"/>
          <w:i/>
          <w:sz w:val="24"/>
          <w:szCs w:val="24"/>
          <w:lang w:eastAsia="en-GB"/>
        </w:rPr>
        <w:t>GRI Standards 2021: GRI 2—General disclosures</w:t>
      </w:r>
      <w:r w:rsidRPr="00F4693E">
        <w:rPr>
          <w:rFonts w:ascii="Times New Roman" w:eastAsia="Times New Roman" w:hAnsi="Times New Roman" w:cs="Times New Roman"/>
          <w:sz w:val="24"/>
          <w:szCs w:val="24"/>
          <w:lang w:eastAsia="en-GB"/>
        </w:rPr>
        <w:t xml:space="preserve">. </w:t>
      </w:r>
    </w:p>
    <w:p w14:paraId="3F3F9560"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A80BBF">
        <w:rPr>
          <w:rFonts w:ascii="Times New Roman" w:eastAsia="Times New Roman" w:hAnsi="Times New Roman" w:cs="Times New Roman"/>
          <w:sz w:val="24"/>
          <w:szCs w:val="24"/>
          <w:lang w:eastAsia="en-GB"/>
        </w:rPr>
        <w:t xml:space="preserve">Gonçalves, T. C., Barros, V., &amp; Avelar, J. V. (2023). Environmental, social and governance scores in Europe: What drives financial performance for larger firms? </w:t>
      </w:r>
      <w:r w:rsidRPr="00ED5CF7">
        <w:rPr>
          <w:rFonts w:ascii="Times New Roman" w:eastAsia="Times New Roman" w:hAnsi="Times New Roman" w:cs="Times New Roman"/>
          <w:i/>
          <w:sz w:val="24"/>
          <w:szCs w:val="24"/>
          <w:lang w:eastAsia="en-GB"/>
        </w:rPr>
        <w:t>Economics and Business Letters</w:t>
      </w:r>
      <w:r w:rsidRPr="00A80BBF">
        <w:rPr>
          <w:rFonts w:ascii="Times New Roman" w:eastAsia="Times New Roman" w:hAnsi="Times New Roman" w:cs="Times New Roman"/>
          <w:sz w:val="24"/>
          <w:szCs w:val="24"/>
          <w:lang w:eastAsia="en-GB"/>
        </w:rPr>
        <w:t xml:space="preserve">, 12(2), 121–131. </w:t>
      </w:r>
    </w:p>
    <w:p w14:paraId="05526AE8"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F4693E">
        <w:rPr>
          <w:rFonts w:ascii="Times New Roman" w:eastAsia="Times New Roman" w:hAnsi="Times New Roman" w:cs="Times New Roman"/>
          <w:sz w:val="24"/>
          <w:szCs w:val="24"/>
          <w:lang w:eastAsia="en-GB"/>
        </w:rPr>
        <w:t>Ibiang</w:t>
      </w:r>
      <w:proofErr w:type="spellEnd"/>
      <w:r w:rsidRPr="00F4693E">
        <w:rPr>
          <w:rFonts w:ascii="Times New Roman" w:eastAsia="Times New Roman" w:hAnsi="Times New Roman" w:cs="Times New Roman"/>
          <w:sz w:val="24"/>
          <w:szCs w:val="24"/>
          <w:lang w:eastAsia="en-GB"/>
        </w:rPr>
        <w:t xml:space="preserve">, F. I., Musa, A. F., </w:t>
      </w:r>
      <w:proofErr w:type="spellStart"/>
      <w:r w:rsidRPr="00F4693E">
        <w:rPr>
          <w:rFonts w:ascii="Times New Roman" w:eastAsia="Times New Roman" w:hAnsi="Times New Roman" w:cs="Times New Roman"/>
          <w:sz w:val="24"/>
          <w:szCs w:val="24"/>
          <w:lang w:eastAsia="en-GB"/>
        </w:rPr>
        <w:t>Kwaghe</w:t>
      </w:r>
      <w:proofErr w:type="spellEnd"/>
      <w:r w:rsidRPr="00F4693E">
        <w:rPr>
          <w:rFonts w:ascii="Times New Roman" w:eastAsia="Times New Roman" w:hAnsi="Times New Roman" w:cs="Times New Roman"/>
          <w:sz w:val="24"/>
          <w:szCs w:val="24"/>
          <w:lang w:eastAsia="en-GB"/>
        </w:rPr>
        <w:t xml:space="preserve">, B. J., &amp; </w:t>
      </w:r>
      <w:proofErr w:type="spellStart"/>
      <w:r w:rsidRPr="00F4693E">
        <w:rPr>
          <w:rFonts w:ascii="Times New Roman" w:eastAsia="Times New Roman" w:hAnsi="Times New Roman" w:cs="Times New Roman"/>
          <w:sz w:val="24"/>
          <w:szCs w:val="24"/>
          <w:lang w:eastAsia="en-GB"/>
        </w:rPr>
        <w:t>Dagwom</w:t>
      </w:r>
      <w:proofErr w:type="spellEnd"/>
      <w:r w:rsidRPr="00F4693E">
        <w:rPr>
          <w:rFonts w:ascii="Times New Roman" w:eastAsia="Times New Roman" w:hAnsi="Times New Roman" w:cs="Times New Roman"/>
          <w:sz w:val="24"/>
          <w:szCs w:val="24"/>
          <w:lang w:eastAsia="en-GB"/>
        </w:rPr>
        <w:t xml:space="preserve">, Y. D. (2025). Sustainability reporting and market value of listed non-financial firms in Nigeria. </w:t>
      </w:r>
      <w:r w:rsidRPr="00ED5CF7">
        <w:rPr>
          <w:rFonts w:ascii="Times New Roman" w:eastAsia="Times New Roman" w:hAnsi="Times New Roman" w:cs="Times New Roman"/>
          <w:i/>
          <w:sz w:val="24"/>
          <w:szCs w:val="24"/>
          <w:lang w:eastAsia="en-GB"/>
        </w:rPr>
        <w:t>ANUK College of Private Sector Accounting Journal</w:t>
      </w:r>
      <w:r w:rsidRPr="00F4693E">
        <w:rPr>
          <w:rFonts w:ascii="Times New Roman" w:eastAsia="Times New Roman" w:hAnsi="Times New Roman" w:cs="Times New Roman"/>
          <w:sz w:val="24"/>
          <w:szCs w:val="24"/>
          <w:lang w:eastAsia="en-GB"/>
        </w:rPr>
        <w:t xml:space="preserve">, 2(2), 77–88. </w:t>
      </w:r>
    </w:p>
    <w:p w14:paraId="45DBF064"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lastRenderedPageBreak/>
        <w:t xml:space="preserve">IFRS Foundation. (2024). </w:t>
      </w:r>
      <w:r w:rsidRPr="00ED1668">
        <w:rPr>
          <w:rFonts w:ascii="Times New Roman" w:eastAsia="Times New Roman" w:hAnsi="Times New Roman" w:cs="Times New Roman"/>
          <w:i/>
          <w:sz w:val="24"/>
          <w:szCs w:val="24"/>
          <w:lang w:eastAsia="en-GB"/>
        </w:rPr>
        <w:t>IFRS S1 general requirements for disclosure of sustainability-related financial information.</w:t>
      </w:r>
      <w:r w:rsidRPr="00F4693E">
        <w:rPr>
          <w:rFonts w:ascii="Times New Roman" w:eastAsia="Times New Roman" w:hAnsi="Times New Roman" w:cs="Times New Roman"/>
          <w:sz w:val="24"/>
          <w:szCs w:val="24"/>
          <w:lang w:eastAsia="en-GB"/>
        </w:rPr>
        <w:t xml:space="preserve"> </w:t>
      </w:r>
    </w:p>
    <w:p w14:paraId="21A20951" w14:textId="77777777" w:rsidR="00E03E19" w:rsidRDefault="00E03E19" w:rsidP="00ED5CF7">
      <w:pPr>
        <w:spacing w:before="240" w:line="240" w:lineRule="auto"/>
        <w:ind w:left="709" w:hanging="709"/>
        <w:jc w:val="both"/>
        <w:rPr>
          <w:rStyle w:val="Hyperlink"/>
          <w:rFonts w:ascii="Times New Roman" w:eastAsia="Times New Roman" w:hAnsi="Times New Roman" w:cs="Times New Roman"/>
          <w:sz w:val="24"/>
          <w:szCs w:val="24"/>
          <w:lang w:eastAsia="en-GB"/>
        </w:rPr>
      </w:pPr>
      <w:proofErr w:type="spellStart"/>
      <w:r w:rsidRPr="00EA4412">
        <w:rPr>
          <w:rFonts w:ascii="Times New Roman" w:eastAsia="Times New Roman" w:hAnsi="Times New Roman" w:cs="Times New Roman"/>
          <w:sz w:val="24"/>
          <w:szCs w:val="24"/>
          <w:lang w:eastAsia="en-GB"/>
        </w:rPr>
        <w:t>Kallisia</w:t>
      </w:r>
      <w:proofErr w:type="spellEnd"/>
      <w:r w:rsidRPr="00EA4412">
        <w:rPr>
          <w:rFonts w:ascii="Times New Roman" w:eastAsia="Times New Roman" w:hAnsi="Times New Roman" w:cs="Times New Roman"/>
          <w:sz w:val="24"/>
          <w:szCs w:val="24"/>
          <w:lang w:eastAsia="en-GB"/>
        </w:rPr>
        <w:t xml:space="preserve">, M. P., </w:t>
      </w:r>
      <w:proofErr w:type="spellStart"/>
      <w:r w:rsidRPr="00EA4412">
        <w:rPr>
          <w:rFonts w:ascii="Times New Roman" w:eastAsia="Times New Roman" w:hAnsi="Times New Roman" w:cs="Times New Roman"/>
          <w:sz w:val="24"/>
          <w:szCs w:val="24"/>
          <w:lang w:eastAsia="en-GB"/>
        </w:rPr>
        <w:t>Mukhibad</w:t>
      </w:r>
      <w:proofErr w:type="spellEnd"/>
      <w:r w:rsidRPr="00EA4412">
        <w:rPr>
          <w:rFonts w:ascii="Times New Roman" w:eastAsia="Times New Roman" w:hAnsi="Times New Roman" w:cs="Times New Roman"/>
          <w:sz w:val="24"/>
          <w:szCs w:val="24"/>
          <w:lang w:eastAsia="en-GB"/>
        </w:rPr>
        <w:t xml:space="preserve">, H., &amp; Ali, W. B. (2025). Determinants of ESG disclosure in ASEAN-5 countries: A legitimacy and institutional theory approach. </w:t>
      </w:r>
      <w:proofErr w:type="spellStart"/>
      <w:r w:rsidRPr="00ED5CF7">
        <w:rPr>
          <w:rFonts w:ascii="Times New Roman" w:eastAsia="Times New Roman" w:hAnsi="Times New Roman" w:cs="Times New Roman"/>
          <w:i/>
          <w:sz w:val="24"/>
          <w:szCs w:val="24"/>
          <w:lang w:eastAsia="en-GB"/>
        </w:rPr>
        <w:t>Keunis</w:t>
      </w:r>
      <w:proofErr w:type="spellEnd"/>
      <w:r w:rsidRPr="00ED5CF7">
        <w:rPr>
          <w:rFonts w:ascii="Times New Roman" w:eastAsia="Times New Roman" w:hAnsi="Times New Roman" w:cs="Times New Roman"/>
          <w:i/>
          <w:sz w:val="24"/>
          <w:szCs w:val="24"/>
          <w:lang w:eastAsia="en-GB"/>
        </w:rPr>
        <w:t>,</w:t>
      </w:r>
      <w:r w:rsidRPr="00EA4412">
        <w:rPr>
          <w:rFonts w:ascii="Times New Roman" w:eastAsia="Times New Roman" w:hAnsi="Times New Roman" w:cs="Times New Roman"/>
          <w:sz w:val="24"/>
          <w:szCs w:val="24"/>
          <w:lang w:eastAsia="en-GB"/>
        </w:rPr>
        <w:t xml:space="preserve"> 13(2), 146–160. </w:t>
      </w:r>
    </w:p>
    <w:p w14:paraId="604C2BDC"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Li, L., Saat, M. M., &amp; Jiayi, W. (2024). The effect of ESG disclosure on firm value: An empirical evidence from Chinese listed companies. </w:t>
      </w:r>
      <w:r w:rsidRPr="00ED5CF7">
        <w:rPr>
          <w:rFonts w:ascii="Times New Roman" w:eastAsia="Times New Roman" w:hAnsi="Times New Roman" w:cs="Times New Roman"/>
          <w:i/>
          <w:sz w:val="24"/>
          <w:szCs w:val="24"/>
          <w:lang w:eastAsia="en-GB"/>
        </w:rPr>
        <w:t>International Journal of Academic Research in Business and Social Sciences</w:t>
      </w:r>
      <w:r w:rsidRPr="00F4693E">
        <w:rPr>
          <w:rFonts w:ascii="Times New Roman" w:eastAsia="Times New Roman" w:hAnsi="Times New Roman" w:cs="Times New Roman"/>
          <w:sz w:val="24"/>
          <w:szCs w:val="24"/>
          <w:lang w:eastAsia="en-GB"/>
        </w:rPr>
        <w:t xml:space="preserve">, 14(1), 1091–1101. </w:t>
      </w:r>
    </w:p>
    <w:p w14:paraId="653B830B"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3D258E">
        <w:rPr>
          <w:rFonts w:ascii="Times New Roman" w:eastAsia="Times New Roman" w:hAnsi="Times New Roman" w:cs="Times New Roman"/>
          <w:sz w:val="24"/>
          <w:szCs w:val="24"/>
          <w:lang w:eastAsia="en-GB"/>
        </w:rPr>
        <w:t xml:space="preserve">Msomi, T. S., </w:t>
      </w:r>
      <w:proofErr w:type="spellStart"/>
      <w:r w:rsidRPr="003D258E">
        <w:rPr>
          <w:rFonts w:ascii="Times New Roman" w:eastAsia="Times New Roman" w:hAnsi="Times New Roman" w:cs="Times New Roman"/>
          <w:sz w:val="24"/>
          <w:szCs w:val="24"/>
          <w:lang w:eastAsia="en-GB"/>
        </w:rPr>
        <w:t>Aruwaji</w:t>
      </w:r>
      <w:proofErr w:type="spellEnd"/>
      <w:r w:rsidRPr="003D258E">
        <w:rPr>
          <w:rFonts w:ascii="Times New Roman" w:eastAsia="Times New Roman" w:hAnsi="Times New Roman" w:cs="Times New Roman"/>
          <w:sz w:val="24"/>
          <w:szCs w:val="24"/>
          <w:lang w:eastAsia="en-GB"/>
        </w:rPr>
        <w:t xml:space="preserve">, M. A., &amp; Msiza, D. C. (2025). The impact of environmental, social, and governance disclosure on the firm value of non-financial firms listed in South Africa. </w:t>
      </w:r>
      <w:r w:rsidRPr="00ED5CF7">
        <w:rPr>
          <w:rFonts w:ascii="Times New Roman" w:eastAsia="Times New Roman" w:hAnsi="Times New Roman" w:cs="Times New Roman"/>
          <w:i/>
          <w:sz w:val="24"/>
          <w:szCs w:val="24"/>
          <w:lang w:eastAsia="en-GB"/>
        </w:rPr>
        <w:t>Risks,</w:t>
      </w:r>
      <w:r w:rsidRPr="003D258E">
        <w:rPr>
          <w:rFonts w:ascii="Times New Roman" w:eastAsia="Times New Roman" w:hAnsi="Times New Roman" w:cs="Times New Roman"/>
          <w:sz w:val="24"/>
          <w:szCs w:val="24"/>
          <w:lang w:eastAsia="en-GB"/>
        </w:rPr>
        <w:t xml:space="preserve"> 13(12), 242. </w:t>
      </w:r>
    </w:p>
    <w:p w14:paraId="371F1AF5"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C13690">
        <w:rPr>
          <w:rFonts w:ascii="Times New Roman" w:eastAsia="Times New Roman" w:hAnsi="Times New Roman" w:cs="Times New Roman"/>
          <w:sz w:val="24"/>
          <w:szCs w:val="24"/>
          <w:lang w:eastAsia="en-GB"/>
        </w:rPr>
        <w:t xml:space="preserve">Mutiah, S., &amp; </w:t>
      </w:r>
      <w:proofErr w:type="spellStart"/>
      <w:r w:rsidRPr="00C13690">
        <w:rPr>
          <w:rFonts w:ascii="Times New Roman" w:eastAsia="Times New Roman" w:hAnsi="Times New Roman" w:cs="Times New Roman"/>
          <w:sz w:val="24"/>
          <w:szCs w:val="24"/>
          <w:lang w:eastAsia="en-GB"/>
        </w:rPr>
        <w:t>Rusmanto</w:t>
      </w:r>
      <w:proofErr w:type="spellEnd"/>
      <w:r w:rsidRPr="00C13690">
        <w:rPr>
          <w:rFonts w:ascii="Times New Roman" w:eastAsia="Times New Roman" w:hAnsi="Times New Roman" w:cs="Times New Roman"/>
          <w:sz w:val="24"/>
          <w:szCs w:val="24"/>
          <w:lang w:eastAsia="en-GB"/>
        </w:rPr>
        <w:t xml:space="preserve">, T. (2024). Impact of environmental, social, and governance (ESG) disclosures on firm value: Study of 5 ASEAN countries. </w:t>
      </w:r>
      <w:r w:rsidRPr="00C13690">
        <w:rPr>
          <w:rFonts w:ascii="Times New Roman" w:eastAsia="Times New Roman" w:hAnsi="Times New Roman" w:cs="Times New Roman"/>
          <w:i/>
          <w:iCs/>
          <w:sz w:val="24"/>
          <w:szCs w:val="24"/>
          <w:lang w:eastAsia="en-GB"/>
        </w:rPr>
        <w:t>Economic Affairs, 68</w:t>
      </w:r>
      <w:r w:rsidRPr="00C13690">
        <w:rPr>
          <w:rFonts w:ascii="Times New Roman" w:eastAsia="Times New Roman" w:hAnsi="Times New Roman" w:cs="Times New Roman"/>
          <w:sz w:val="24"/>
          <w:szCs w:val="24"/>
          <w:lang w:eastAsia="en-GB"/>
        </w:rPr>
        <w:t xml:space="preserve">(3), 1433–1439. </w:t>
      </w:r>
    </w:p>
    <w:p w14:paraId="3F59FA4D"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A80BBF">
        <w:rPr>
          <w:rFonts w:ascii="Times New Roman" w:eastAsia="Times New Roman" w:hAnsi="Times New Roman" w:cs="Times New Roman"/>
          <w:sz w:val="24"/>
          <w:szCs w:val="24"/>
          <w:lang w:eastAsia="en-GB"/>
        </w:rPr>
        <w:t>Nampoothiri</w:t>
      </w:r>
      <w:proofErr w:type="spellEnd"/>
      <w:r w:rsidRPr="00A80BBF">
        <w:rPr>
          <w:rFonts w:ascii="Times New Roman" w:eastAsia="Times New Roman" w:hAnsi="Times New Roman" w:cs="Times New Roman"/>
          <w:sz w:val="24"/>
          <w:szCs w:val="24"/>
          <w:lang w:eastAsia="en-GB"/>
        </w:rPr>
        <w:t>, M. V., Entrop, O., &amp; Annamalai, T. R. (2024). Effect of mandatory sustainability performance disclosures on firm value: Evidence from listed European firms</w:t>
      </w:r>
      <w:r w:rsidRPr="00ED5CF7">
        <w:rPr>
          <w:rFonts w:ascii="Times New Roman" w:eastAsia="Times New Roman" w:hAnsi="Times New Roman" w:cs="Times New Roman"/>
          <w:i/>
          <w:sz w:val="24"/>
          <w:szCs w:val="24"/>
          <w:lang w:eastAsia="en-GB"/>
        </w:rPr>
        <w:t>. Corporate Social Responsibility and Environmental Management,</w:t>
      </w:r>
      <w:r w:rsidRPr="00A80BBF">
        <w:rPr>
          <w:rFonts w:ascii="Times New Roman" w:eastAsia="Times New Roman" w:hAnsi="Times New Roman" w:cs="Times New Roman"/>
          <w:sz w:val="24"/>
          <w:szCs w:val="24"/>
          <w:lang w:eastAsia="en-GB"/>
        </w:rPr>
        <w:t xml:space="preserve"> 31(6), 5220–5235. </w:t>
      </w:r>
    </w:p>
    <w:p w14:paraId="79E438E1"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E03E19">
        <w:rPr>
          <w:rFonts w:ascii="Times New Roman" w:eastAsia="Times New Roman" w:hAnsi="Times New Roman" w:cs="Times New Roman"/>
          <w:sz w:val="24"/>
          <w:szCs w:val="24"/>
          <w:lang w:eastAsia="en-GB"/>
        </w:rPr>
        <w:t xml:space="preserve">Nguyen, V. H. (2025). Corporate social responsibility disclosure and firm value: A </w:t>
      </w:r>
      <w:proofErr w:type="spellStart"/>
      <w:r w:rsidRPr="00E03E19">
        <w:rPr>
          <w:rFonts w:ascii="Times New Roman" w:eastAsia="Times New Roman" w:hAnsi="Times New Roman" w:cs="Times New Roman"/>
          <w:sz w:val="24"/>
          <w:szCs w:val="24"/>
          <w:lang w:eastAsia="en-GB"/>
        </w:rPr>
        <w:t>signaling</w:t>
      </w:r>
      <w:proofErr w:type="spellEnd"/>
      <w:r w:rsidRPr="00E03E19">
        <w:rPr>
          <w:rFonts w:ascii="Times New Roman" w:eastAsia="Times New Roman" w:hAnsi="Times New Roman" w:cs="Times New Roman"/>
          <w:sz w:val="24"/>
          <w:szCs w:val="24"/>
          <w:lang w:eastAsia="en-GB"/>
        </w:rPr>
        <w:t xml:space="preserve"> theory perspective. </w:t>
      </w:r>
      <w:r w:rsidRPr="00E03E19">
        <w:rPr>
          <w:rFonts w:ascii="Times New Roman" w:eastAsia="Times New Roman" w:hAnsi="Times New Roman" w:cs="Times New Roman"/>
          <w:i/>
          <w:sz w:val="24"/>
          <w:szCs w:val="24"/>
          <w:lang w:eastAsia="en-GB"/>
        </w:rPr>
        <w:t>Journal of Economics and Development</w:t>
      </w:r>
      <w:r w:rsidRPr="00E03E19">
        <w:rPr>
          <w:rFonts w:ascii="Times New Roman" w:eastAsia="Times New Roman" w:hAnsi="Times New Roman" w:cs="Times New Roman"/>
          <w:sz w:val="24"/>
          <w:szCs w:val="24"/>
          <w:lang w:eastAsia="en-GB"/>
        </w:rPr>
        <w:t>, 27(2), 114–128.</w:t>
      </w:r>
    </w:p>
    <w:p w14:paraId="436718EF"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4E09BB">
        <w:rPr>
          <w:rFonts w:ascii="Times New Roman" w:eastAsia="Times New Roman" w:hAnsi="Times New Roman" w:cs="Times New Roman"/>
          <w:sz w:val="24"/>
          <w:szCs w:val="24"/>
          <w:lang w:eastAsia="en-GB"/>
        </w:rPr>
        <w:t xml:space="preserve">Nishitani, K., et al. (2026). Asymmetric relationships between sustainability performance, disclosure, and market value under isomorphic disclosure pressures: Evidence from Japan. </w:t>
      </w:r>
      <w:r w:rsidRPr="00ED5CF7">
        <w:rPr>
          <w:rFonts w:ascii="Times New Roman" w:eastAsia="Times New Roman" w:hAnsi="Times New Roman" w:cs="Times New Roman"/>
          <w:i/>
          <w:sz w:val="24"/>
          <w:szCs w:val="24"/>
          <w:lang w:eastAsia="en-GB"/>
        </w:rPr>
        <w:t>Business Strategy and the Environment.</w:t>
      </w:r>
    </w:p>
    <w:p w14:paraId="653452C7"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Otori, A. O. (2025). Effect of economic, social and governance disclosures on firm value and the moderating effect of leverage: A study of listed non-financial firms in Nigeria. </w:t>
      </w:r>
      <w:r w:rsidRPr="00ED5CF7">
        <w:rPr>
          <w:rFonts w:ascii="Times New Roman" w:eastAsia="Times New Roman" w:hAnsi="Times New Roman" w:cs="Times New Roman"/>
          <w:i/>
          <w:sz w:val="24"/>
          <w:szCs w:val="24"/>
          <w:lang w:eastAsia="en-GB"/>
        </w:rPr>
        <w:t>ANUK College of Private Sector Accounting Journal</w:t>
      </w:r>
      <w:r w:rsidRPr="00F4693E">
        <w:rPr>
          <w:rFonts w:ascii="Times New Roman" w:eastAsia="Times New Roman" w:hAnsi="Times New Roman" w:cs="Times New Roman"/>
          <w:sz w:val="24"/>
          <w:szCs w:val="24"/>
          <w:lang w:eastAsia="en-GB"/>
        </w:rPr>
        <w:t xml:space="preserve">, 2(4), 293–300. </w:t>
      </w:r>
    </w:p>
    <w:p w14:paraId="235880D9"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C209AF">
        <w:rPr>
          <w:rFonts w:ascii="Times New Roman" w:eastAsia="Times New Roman" w:hAnsi="Times New Roman" w:cs="Times New Roman"/>
          <w:sz w:val="24"/>
          <w:szCs w:val="24"/>
          <w:lang w:eastAsia="en-GB"/>
        </w:rPr>
        <w:t>Pinto, I., &amp; Gaio, C. (2025). ESG performance and information asymmetry: The moderating role of ownership concentration. Corporate Social Responsibility and Environmental Management, 32(5), 5747–5759</w:t>
      </w:r>
    </w:p>
    <w:p w14:paraId="1553D588"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Rahat, B., &amp; Nguyen, P. (2024). The impact of ESG profile on firm’s valuation in emerging markets. </w:t>
      </w:r>
      <w:r w:rsidRPr="00ED5CF7">
        <w:rPr>
          <w:rFonts w:ascii="Times New Roman" w:eastAsia="Times New Roman" w:hAnsi="Times New Roman" w:cs="Times New Roman"/>
          <w:i/>
          <w:sz w:val="24"/>
          <w:szCs w:val="24"/>
          <w:lang w:eastAsia="en-GB"/>
        </w:rPr>
        <w:t>International Review of Financial Analysis</w:t>
      </w:r>
      <w:r w:rsidRPr="00F4693E">
        <w:rPr>
          <w:rFonts w:ascii="Times New Roman" w:eastAsia="Times New Roman" w:hAnsi="Times New Roman" w:cs="Times New Roman"/>
          <w:sz w:val="24"/>
          <w:szCs w:val="24"/>
          <w:lang w:eastAsia="en-GB"/>
        </w:rPr>
        <w:t xml:space="preserve">, 95, 103361. </w:t>
      </w:r>
    </w:p>
    <w:p w14:paraId="4C338DEF"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C209AF">
        <w:rPr>
          <w:rFonts w:ascii="Times New Roman" w:hAnsi="Times New Roman" w:cs="Times New Roman"/>
          <w:sz w:val="24"/>
          <w:szCs w:val="24"/>
        </w:rPr>
        <w:t>Rahmithasari</w:t>
      </w:r>
      <w:proofErr w:type="spellEnd"/>
      <w:r w:rsidRPr="00C209AF">
        <w:rPr>
          <w:rFonts w:ascii="Times New Roman" w:hAnsi="Times New Roman" w:cs="Times New Roman"/>
          <w:sz w:val="24"/>
          <w:szCs w:val="24"/>
        </w:rPr>
        <w:t xml:space="preserve">, W. M., &amp; Qadri, R. A. (2024). Do ESG-related governance disclosures improve firm’s financial performance in Indonesia? </w:t>
      </w:r>
      <w:r w:rsidRPr="00C209AF">
        <w:rPr>
          <w:rStyle w:val="Emphasis"/>
          <w:rFonts w:ascii="Times New Roman" w:hAnsi="Times New Roman" w:cs="Times New Roman"/>
          <w:sz w:val="24"/>
          <w:szCs w:val="24"/>
        </w:rPr>
        <w:t>Bina Ekonomi, 28</w:t>
      </w:r>
      <w:r w:rsidRPr="00C209AF">
        <w:rPr>
          <w:rFonts w:ascii="Times New Roman" w:hAnsi="Times New Roman" w:cs="Times New Roman"/>
          <w:sz w:val="24"/>
          <w:szCs w:val="24"/>
        </w:rPr>
        <w:t xml:space="preserve">(1), 79–95. </w:t>
      </w:r>
    </w:p>
    <w:p w14:paraId="70D8E742"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C209AF">
        <w:rPr>
          <w:rFonts w:ascii="Times New Roman" w:eastAsia="Times New Roman" w:hAnsi="Times New Roman" w:cs="Times New Roman"/>
          <w:sz w:val="24"/>
          <w:szCs w:val="24"/>
          <w:lang w:eastAsia="en-GB"/>
        </w:rPr>
        <w:t xml:space="preserve">Singhania, M., &amp; Bhan, I. (2025). </w:t>
      </w:r>
      <w:r w:rsidRPr="00ED5CF7">
        <w:rPr>
          <w:rFonts w:ascii="Times New Roman" w:eastAsia="Times New Roman" w:hAnsi="Times New Roman" w:cs="Times New Roman"/>
          <w:i/>
          <w:sz w:val="24"/>
          <w:szCs w:val="24"/>
          <w:lang w:eastAsia="en-GB"/>
        </w:rPr>
        <w:t>Stakeholder pressure and ESG disclosure: An international comparison.</w:t>
      </w:r>
      <w:r w:rsidRPr="00C209AF">
        <w:rPr>
          <w:rFonts w:ascii="Times New Roman" w:eastAsia="Times New Roman" w:hAnsi="Times New Roman" w:cs="Times New Roman"/>
          <w:sz w:val="24"/>
          <w:szCs w:val="24"/>
          <w:lang w:eastAsia="en-GB"/>
        </w:rPr>
        <w:t xml:space="preserve"> Academy of Management Proceedings, 2025(1). </w:t>
      </w:r>
    </w:p>
    <w:p w14:paraId="4C2CBC39" w14:textId="77777777" w:rsidR="00E03E19" w:rsidRP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r w:rsidRPr="00E03E19">
        <w:rPr>
          <w:rFonts w:ascii="Times New Roman" w:eastAsia="Times New Roman" w:hAnsi="Times New Roman" w:cs="Times New Roman"/>
          <w:sz w:val="24"/>
          <w:szCs w:val="24"/>
          <w:lang w:eastAsia="en-GB"/>
        </w:rPr>
        <w:t xml:space="preserve">Yahaya, O. A. (2026). Sustainability reporting and firm value: Evidence from listed firms in Nigeria, an empirical investigation using Tobin's Q (2010–2024). </w:t>
      </w:r>
      <w:r w:rsidRPr="00E03E19">
        <w:rPr>
          <w:rFonts w:ascii="Times New Roman" w:eastAsia="Times New Roman" w:hAnsi="Times New Roman" w:cs="Times New Roman"/>
          <w:i/>
          <w:sz w:val="24"/>
          <w:szCs w:val="24"/>
          <w:lang w:eastAsia="en-GB"/>
        </w:rPr>
        <w:t>International Journal of Sustainability in Business and Economics</w:t>
      </w:r>
      <w:r>
        <w:rPr>
          <w:rFonts w:ascii="Times New Roman" w:eastAsia="Times New Roman" w:hAnsi="Times New Roman" w:cs="Times New Roman"/>
          <w:i/>
          <w:sz w:val="24"/>
          <w:szCs w:val="24"/>
          <w:lang w:eastAsia="en-GB"/>
        </w:rPr>
        <w:t>,</w:t>
      </w:r>
      <w:r>
        <w:rPr>
          <w:rFonts w:ascii="Times New Roman" w:eastAsia="Times New Roman" w:hAnsi="Times New Roman" w:cs="Times New Roman"/>
          <w:sz w:val="24"/>
          <w:szCs w:val="24"/>
          <w:lang w:eastAsia="en-GB"/>
        </w:rPr>
        <w:t xml:space="preserve"> 21(02), </w:t>
      </w:r>
      <w:r w:rsidRPr="00E03E19">
        <w:rPr>
          <w:rFonts w:ascii="Times New Roman" w:eastAsia="Times New Roman" w:hAnsi="Times New Roman" w:cs="Times New Roman"/>
          <w:sz w:val="24"/>
          <w:szCs w:val="24"/>
          <w:lang w:eastAsia="en-GB"/>
        </w:rPr>
        <w:t>171-204</w:t>
      </w:r>
      <w:r>
        <w:rPr>
          <w:rFonts w:ascii="Times New Roman" w:eastAsia="Times New Roman" w:hAnsi="Times New Roman" w:cs="Times New Roman"/>
          <w:sz w:val="24"/>
          <w:szCs w:val="24"/>
          <w:lang w:eastAsia="en-GB"/>
        </w:rPr>
        <w:t>.</w:t>
      </w:r>
    </w:p>
    <w:p w14:paraId="6B3DAA40" w14:textId="77777777" w:rsidR="00E03E19" w:rsidRDefault="00E03E19" w:rsidP="00ED5CF7">
      <w:pPr>
        <w:spacing w:before="240" w:line="240" w:lineRule="auto"/>
        <w:ind w:left="709" w:hanging="709"/>
        <w:jc w:val="both"/>
        <w:rPr>
          <w:rFonts w:ascii="Times New Roman" w:eastAsia="Times New Roman" w:hAnsi="Times New Roman" w:cs="Times New Roman"/>
          <w:sz w:val="24"/>
          <w:szCs w:val="24"/>
          <w:lang w:eastAsia="en-GB"/>
        </w:rPr>
      </w:pPr>
      <w:proofErr w:type="spellStart"/>
      <w:r w:rsidRPr="00A80BBF">
        <w:rPr>
          <w:rFonts w:ascii="Times New Roman" w:eastAsia="Times New Roman" w:hAnsi="Times New Roman" w:cs="Times New Roman"/>
          <w:sz w:val="24"/>
          <w:szCs w:val="24"/>
          <w:lang w:eastAsia="en-GB"/>
        </w:rPr>
        <w:lastRenderedPageBreak/>
        <w:t>Zureck</w:t>
      </w:r>
      <w:proofErr w:type="spellEnd"/>
      <w:r w:rsidRPr="00A80BBF">
        <w:rPr>
          <w:rFonts w:ascii="Times New Roman" w:eastAsia="Times New Roman" w:hAnsi="Times New Roman" w:cs="Times New Roman"/>
          <w:sz w:val="24"/>
          <w:szCs w:val="24"/>
          <w:lang w:eastAsia="en-GB"/>
        </w:rPr>
        <w:t xml:space="preserve">, A., &amp; </w:t>
      </w:r>
      <w:proofErr w:type="spellStart"/>
      <w:r w:rsidRPr="00A80BBF">
        <w:rPr>
          <w:rFonts w:ascii="Times New Roman" w:eastAsia="Times New Roman" w:hAnsi="Times New Roman" w:cs="Times New Roman"/>
          <w:sz w:val="24"/>
          <w:szCs w:val="24"/>
          <w:lang w:eastAsia="en-GB"/>
        </w:rPr>
        <w:t>Tselekis</w:t>
      </w:r>
      <w:proofErr w:type="spellEnd"/>
      <w:r w:rsidRPr="00A80BBF">
        <w:rPr>
          <w:rFonts w:ascii="Times New Roman" w:eastAsia="Times New Roman" w:hAnsi="Times New Roman" w:cs="Times New Roman"/>
          <w:sz w:val="24"/>
          <w:szCs w:val="24"/>
          <w:lang w:eastAsia="en-GB"/>
        </w:rPr>
        <w:t>, P. (2026). Digitalization as an enabler of ESG transparency value relevance: Evidence from European firms. SSRN.</w:t>
      </w:r>
    </w:p>
    <w:p w14:paraId="37B94765" w14:textId="77777777" w:rsidR="00A80BBF" w:rsidRPr="00F4693E" w:rsidRDefault="00A80BBF" w:rsidP="00F4693E">
      <w:pPr>
        <w:spacing w:after="0" w:line="240" w:lineRule="auto"/>
        <w:jc w:val="both"/>
        <w:rPr>
          <w:rFonts w:ascii="Times New Roman" w:eastAsia="Times New Roman" w:hAnsi="Times New Roman" w:cs="Times New Roman"/>
          <w:sz w:val="24"/>
          <w:szCs w:val="24"/>
          <w:lang w:eastAsia="en-GB"/>
        </w:rPr>
      </w:pPr>
    </w:p>
    <w:sectPr w:rsidR="00A80BBF" w:rsidRPr="00F4693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10E5" w14:textId="77777777" w:rsidR="00A2133F" w:rsidRDefault="00A2133F" w:rsidP="00FA05C1">
      <w:pPr>
        <w:spacing w:after="0" w:line="240" w:lineRule="auto"/>
      </w:pPr>
      <w:r>
        <w:separator/>
      </w:r>
    </w:p>
  </w:endnote>
  <w:endnote w:type="continuationSeparator" w:id="0">
    <w:p w14:paraId="21C6EC14" w14:textId="77777777" w:rsidR="00A2133F" w:rsidRDefault="00A2133F" w:rsidP="00FA0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99CE" w14:textId="77777777" w:rsidR="008304FC" w:rsidRDefault="008304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805703"/>
      <w:docPartObj>
        <w:docPartGallery w:val="Page Numbers (Bottom of Page)"/>
        <w:docPartUnique/>
      </w:docPartObj>
    </w:sdtPr>
    <w:sdtEndPr>
      <w:rPr>
        <w:noProof/>
      </w:rPr>
    </w:sdtEndPr>
    <w:sdtContent>
      <w:p w14:paraId="10D2E5E3" w14:textId="77777777" w:rsidR="00033846" w:rsidRDefault="00033846">
        <w:pPr>
          <w:pStyle w:val="Footer"/>
          <w:jc w:val="center"/>
        </w:pPr>
        <w:r>
          <w:fldChar w:fldCharType="begin"/>
        </w:r>
        <w:r>
          <w:instrText xml:space="preserve"> PAGE   \* MERGEFORMAT </w:instrText>
        </w:r>
        <w:r>
          <w:fldChar w:fldCharType="separate"/>
        </w:r>
        <w:r w:rsidR="005E306C">
          <w:rPr>
            <w:noProof/>
          </w:rPr>
          <w:t>15</w:t>
        </w:r>
        <w:r>
          <w:rPr>
            <w:noProof/>
          </w:rPr>
          <w:fldChar w:fldCharType="end"/>
        </w:r>
      </w:p>
    </w:sdtContent>
  </w:sdt>
  <w:p w14:paraId="05CA01AC" w14:textId="77777777" w:rsidR="00FD1BB8" w:rsidRDefault="00FD1B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EBDC" w14:textId="77777777" w:rsidR="008304FC" w:rsidRDefault="00830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109B" w14:textId="77777777" w:rsidR="00A2133F" w:rsidRDefault="00A2133F" w:rsidP="00FA05C1">
      <w:pPr>
        <w:spacing w:after="0" w:line="240" w:lineRule="auto"/>
      </w:pPr>
      <w:r>
        <w:separator/>
      </w:r>
    </w:p>
  </w:footnote>
  <w:footnote w:type="continuationSeparator" w:id="0">
    <w:p w14:paraId="1E7DB5BE" w14:textId="77777777" w:rsidR="00A2133F" w:rsidRDefault="00A2133F" w:rsidP="00FA0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F6B2" w14:textId="633CFF1D" w:rsidR="008304FC" w:rsidRDefault="008304FC">
    <w:pPr>
      <w:pStyle w:val="Header"/>
    </w:pPr>
    <w:r>
      <w:rPr>
        <w:noProof/>
      </w:rPr>
      <w:pict w14:anchorId="215F61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7177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A7B5" w14:textId="656A3B40" w:rsidR="008304FC" w:rsidRDefault="008304FC">
    <w:pPr>
      <w:pStyle w:val="Header"/>
    </w:pPr>
    <w:r>
      <w:rPr>
        <w:noProof/>
      </w:rPr>
      <w:pict w14:anchorId="2A0D90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7177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D29C" w14:textId="688979D7" w:rsidR="008304FC" w:rsidRDefault="008304FC">
    <w:pPr>
      <w:pStyle w:val="Header"/>
    </w:pPr>
    <w:r>
      <w:rPr>
        <w:noProof/>
      </w:rPr>
      <w:pict w14:anchorId="1BC4D0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7177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45673"/>
    <w:multiLevelType w:val="multilevel"/>
    <w:tmpl w:val="80165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0268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93E"/>
    <w:rsid w:val="00033846"/>
    <w:rsid w:val="00050634"/>
    <w:rsid w:val="00071952"/>
    <w:rsid w:val="00087545"/>
    <w:rsid w:val="00130FCC"/>
    <w:rsid w:val="001B1996"/>
    <w:rsid w:val="001C0D0D"/>
    <w:rsid w:val="001E4E7C"/>
    <w:rsid w:val="001F4A65"/>
    <w:rsid w:val="002A06F5"/>
    <w:rsid w:val="00321D2C"/>
    <w:rsid w:val="003A0DAF"/>
    <w:rsid w:val="003D258E"/>
    <w:rsid w:val="0046721F"/>
    <w:rsid w:val="004A1AA9"/>
    <w:rsid w:val="004B3B5A"/>
    <w:rsid w:val="004D63C7"/>
    <w:rsid w:val="004E09BB"/>
    <w:rsid w:val="00510D63"/>
    <w:rsid w:val="00554586"/>
    <w:rsid w:val="0056600F"/>
    <w:rsid w:val="005E306C"/>
    <w:rsid w:val="00661017"/>
    <w:rsid w:val="006C0AEB"/>
    <w:rsid w:val="00715B84"/>
    <w:rsid w:val="00741B94"/>
    <w:rsid w:val="00774EE0"/>
    <w:rsid w:val="008260A0"/>
    <w:rsid w:val="008304FC"/>
    <w:rsid w:val="00854AD9"/>
    <w:rsid w:val="008707C9"/>
    <w:rsid w:val="008C3C8E"/>
    <w:rsid w:val="00942986"/>
    <w:rsid w:val="00947194"/>
    <w:rsid w:val="009C62E1"/>
    <w:rsid w:val="009F633E"/>
    <w:rsid w:val="00A1729F"/>
    <w:rsid w:val="00A2133F"/>
    <w:rsid w:val="00A80BBF"/>
    <w:rsid w:val="00AD23B0"/>
    <w:rsid w:val="00AE455E"/>
    <w:rsid w:val="00B039CB"/>
    <w:rsid w:val="00B22625"/>
    <w:rsid w:val="00B901BA"/>
    <w:rsid w:val="00BA696B"/>
    <w:rsid w:val="00BB412A"/>
    <w:rsid w:val="00C13690"/>
    <w:rsid w:val="00C209AF"/>
    <w:rsid w:val="00C463AA"/>
    <w:rsid w:val="00C94C45"/>
    <w:rsid w:val="00CC27C7"/>
    <w:rsid w:val="00D151BE"/>
    <w:rsid w:val="00D459D0"/>
    <w:rsid w:val="00D83ED6"/>
    <w:rsid w:val="00D9191B"/>
    <w:rsid w:val="00E03E19"/>
    <w:rsid w:val="00E12AFF"/>
    <w:rsid w:val="00E45E5D"/>
    <w:rsid w:val="00E52910"/>
    <w:rsid w:val="00E9585B"/>
    <w:rsid w:val="00EA4412"/>
    <w:rsid w:val="00ED1668"/>
    <w:rsid w:val="00ED5CF7"/>
    <w:rsid w:val="00F1107E"/>
    <w:rsid w:val="00F4693E"/>
    <w:rsid w:val="00FA05C1"/>
    <w:rsid w:val="00FC0819"/>
    <w:rsid w:val="00FD1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34AC1"/>
  <w15:chartTrackingRefBased/>
  <w15:docId w15:val="{7B3C97DE-F4BB-4DB0-AE2A-5F0098D7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9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5C1"/>
  </w:style>
  <w:style w:type="paragraph" w:styleId="Footer">
    <w:name w:val="footer"/>
    <w:basedOn w:val="Normal"/>
    <w:link w:val="FooterChar"/>
    <w:uiPriority w:val="99"/>
    <w:unhideWhenUsed/>
    <w:rsid w:val="00FA0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5C1"/>
  </w:style>
  <w:style w:type="paragraph" w:customStyle="1" w:styleId="pdq2pgselectionanchorcontainer">
    <w:name w:val="pdq2pg_selectionanchorcontainer"/>
    <w:basedOn w:val="Normal"/>
    <w:rsid w:val="000719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71952"/>
    <w:pPr>
      <w:ind w:left="720"/>
      <w:contextualSpacing/>
    </w:pPr>
  </w:style>
  <w:style w:type="character" w:styleId="Hyperlink">
    <w:name w:val="Hyperlink"/>
    <w:basedOn w:val="DefaultParagraphFont"/>
    <w:uiPriority w:val="99"/>
    <w:unhideWhenUsed/>
    <w:rsid w:val="00A80BBF"/>
    <w:rPr>
      <w:color w:val="0563C1" w:themeColor="hyperlink"/>
      <w:u w:val="single"/>
    </w:rPr>
  </w:style>
  <w:style w:type="character" w:styleId="Strong">
    <w:name w:val="Strong"/>
    <w:basedOn w:val="DefaultParagraphFont"/>
    <w:uiPriority w:val="22"/>
    <w:qFormat/>
    <w:rsid w:val="00A80BBF"/>
    <w:rPr>
      <w:b/>
      <w:bCs/>
    </w:rPr>
  </w:style>
  <w:style w:type="character" w:styleId="Emphasis">
    <w:name w:val="Emphasis"/>
    <w:basedOn w:val="DefaultParagraphFont"/>
    <w:uiPriority w:val="20"/>
    <w:qFormat/>
    <w:rsid w:val="00C209AF"/>
    <w:rPr>
      <w:i/>
      <w:iCs/>
    </w:rPr>
  </w:style>
  <w:style w:type="character" w:customStyle="1" w:styleId="FontStyle11">
    <w:name w:val="Font Style11"/>
    <w:basedOn w:val="DefaultParagraphFont"/>
    <w:uiPriority w:val="99"/>
    <w:rsid w:val="00942986"/>
    <w:rPr>
      <w:rFonts w:ascii="Times New Roman" w:hAnsi="Times New Roman" w:cs="Times New Roman" w:hint="default"/>
      <w:sz w:val="22"/>
      <w:szCs w:val="22"/>
    </w:rPr>
  </w:style>
  <w:style w:type="paragraph" w:styleId="BalloonText">
    <w:name w:val="Balloon Text"/>
    <w:basedOn w:val="Normal"/>
    <w:link w:val="BalloonTextChar"/>
    <w:uiPriority w:val="99"/>
    <w:semiHidden/>
    <w:unhideWhenUsed/>
    <w:rsid w:val="00ED16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668"/>
    <w:rPr>
      <w:rFonts w:ascii="Segoe UI" w:hAnsi="Segoe UI" w:cs="Segoe UI"/>
      <w:sz w:val="18"/>
      <w:szCs w:val="18"/>
    </w:rPr>
  </w:style>
  <w:style w:type="character" w:styleId="UnresolvedMention">
    <w:name w:val="Unresolved Mention"/>
    <w:basedOn w:val="DefaultParagraphFont"/>
    <w:uiPriority w:val="99"/>
    <w:semiHidden/>
    <w:unhideWhenUsed/>
    <w:rsid w:val="00BB4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95383">
      <w:bodyDiv w:val="1"/>
      <w:marLeft w:val="0"/>
      <w:marRight w:val="0"/>
      <w:marTop w:val="0"/>
      <w:marBottom w:val="0"/>
      <w:divBdr>
        <w:top w:val="none" w:sz="0" w:space="0" w:color="auto"/>
        <w:left w:val="none" w:sz="0" w:space="0" w:color="auto"/>
        <w:bottom w:val="none" w:sz="0" w:space="0" w:color="auto"/>
        <w:right w:val="none" w:sz="0" w:space="0" w:color="auto"/>
      </w:divBdr>
    </w:div>
    <w:div w:id="469903747">
      <w:bodyDiv w:val="1"/>
      <w:marLeft w:val="0"/>
      <w:marRight w:val="0"/>
      <w:marTop w:val="0"/>
      <w:marBottom w:val="0"/>
      <w:divBdr>
        <w:top w:val="none" w:sz="0" w:space="0" w:color="auto"/>
        <w:left w:val="none" w:sz="0" w:space="0" w:color="auto"/>
        <w:bottom w:val="none" w:sz="0" w:space="0" w:color="auto"/>
        <w:right w:val="none" w:sz="0" w:space="0" w:color="auto"/>
      </w:divBdr>
    </w:div>
    <w:div w:id="530264567">
      <w:bodyDiv w:val="1"/>
      <w:marLeft w:val="0"/>
      <w:marRight w:val="0"/>
      <w:marTop w:val="0"/>
      <w:marBottom w:val="0"/>
      <w:divBdr>
        <w:top w:val="none" w:sz="0" w:space="0" w:color="auto"/>
        <w:left w:val="none" w:sz="0" w:space="0" w:color="auto"/>
        <w:bottom w:val="none" w:sz="0" w:space="0" w:color="auto"/>
        <w:right w:val="none" w:sz="0" w:space="0" w:color="auto"/>
      </w:divBdr>
    </w:div>
    <w:div w:id="709376096">
      <w:bodyDiv w:val="1"/>
      <w:marLeft w:val="0"/>
      <w:marRight w:val="0"/>
      <w:marTop w:val="0"/>
      <w:marBottom w:val="0"/>
      <w:divBdr>
        <w:top w:val="none" w:sz="0" w:space="0" w:color="auto"/>
        <w:left w:val="none" w:sz="0" w:space="0" w:color="auto"/>
        <w:bottom w:val="none" w:sz="0" w:space="0" w:color="auto"/>
        <w:right w:val="none" w:sz="0" w:space="0" w:color="auto"/>
      </w:divBdr>
      <w:divsChild>
        <w:div w:id="1985352560">
          <w:marLeft w:val="0"/>
          <w:marRight w:val="0"/>
          <w:marTop w:val="0"/>
          <w:marBottom w:val="0"/>
          <w:divBdr>
            <w:top w:val="none" w:sz="0" w:space="0" w:color="auto"/>
            <w:left w:val="none" w:sz="0" w:space="0" w:color="auto"/>
            <w:bottom w:val="none" w:sz="0" w:space="0" w:color="auto"/>
            <w:right w:val="none" w:sz="0" w:space="0" w:color="auto"/>
          </w:divBdr>
          <w:divsChild>
            <w:div w:id="492915450">
              <w:marLeft w:val="0"/>
              <w:marRight w:val="0"/>
              <w:marTop w:val="0"/>
              <w:marBottom w:val="0"/>
              <w:divBdr>
                <w:top w:val="none" w:sz="0" w:space="0" w:color="auto"/>
                <w:left w:val="none" w:sz="0" w:space="0" w:color="auto"/>
                <w:bottom w:val="none" w:sz="0" w:space="0" w:color="auto"/>
                <w:right w:val="none" w:sz="0" w:space="0" w:color="auto"/>
              </w:divBdr>
              <w:divsChild>
                <w:div w:id="1334526181">
                  <w:marLeft w:val="0"/>
                  <w:marRight w:val="0"/>
                  <w:marTop w:val="0"/>
                  <w:marBottom w:val="0"/>
                  <w:divBdr>
                    <w:top w:val="none" w:sz="0" w:space="0" w:color="auto"/>
                    <w:left w:val="none" w:sz="0" w:space="0" w:color="auto"/>
                    <w:bottom w:val="none" w:sz="0" w:space="0" w:color="auto"/>
                    <w:right w:val="none" w:sz="0" w:space="0" w:color="auto"/>
                  </w:divBdr>
                  <w:divsChild>
                    <w:div w:id="286011407">
                      <w:marLeft w:val="0"/>
                      <w:marRight w:val="0"/>
                      <w:marTop w:val="0"/>
                      <w:marBottom w:val="0"/>
                      <w:divBdr>
                        <w:top w:val="none" w:sz="0" w:space="0" w:color="auto"/>
                        <w:left w:val="none" w:sz="0" w:space="0" w:color="auto"/>
                        <w:bottom w:val="none" w:sz="0" w:space="0" w:color="auto"/>
                        <w:right w:val="none" w:sz="0" w:space="0" w:color="auto"/>
                      </w:divBdr>
                      <w:divsChild>
                        <w:div w:id="1392536367">
                          <w:marLeft w:val="0"/>
                          <w:marRight w:val="0"/>
                          <w:marTop w:val="0"/>
                          <w:marBottom w:val="0"/>
                          <w:divBdr>
                            <w:top w:val="none" w:sz="0" w:space="0" w:color="auto"/>
                            <w:left w:val="none" w:sz="0" w:space="0" w:color="auto"/>
                            <w:bottom w:val="none" w:sz="0" w:space="0" w:color="auto"/>
                            <w:right w:val="none" w:sz="0" w:space="0" w:color="auto"/>
                          </w:divBdr>
                          <w:divsChild>
                            <w:div w:id="155389712">
                              <w:marLeft w:val="0"/>
                              <w:marRight w:val="0"/>
                              <w:marTop w:val="0"/>
                              <w:marBottom w:val="0"/>
                              <w:divBdr>
                                <w:top w:val="none" w:sz="0" w:space="0" w:color="auto"/>
                                <w:left w:val="none" w:sz="0" w:space="0" w:color="auto"/>
                                <w:bottom w:val="none" w:sz="0" w:space="0" w:color="auto"/>
                                <w:right w:val="none" w:sz="0" w:space="0" w:color="auto"/>
                              </w:divBdr>
                              <w:divsChild>
                                <w:div w:id="1957760421">
                                  <w:marLeft w:val="0"/>
                                  <w:marRight w:val="0"/>
                                  <w:marTop w:val="0"/>
                                  <w:marBottom w:val="0"/>
                                  <w:divBdr>
                                    <w:top w:val="none" w:sz="0" w:space="0" w:color="auto"/>
                                    <w:left w:val="none" w:sz="0" w:space="0" w:color="auto"/>
                                    <w:bottom w:val="none" w:sz="0" w:space="0" w:color="auto"/>
                                    <w:right w:val="none" w:sz="0" w:space="0" w:color="auto"/>
                                  </w:divBdr>
                                  <w:divsChild>
                                    <w:div w:id="61625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042693">
      <w:bodyDiv w:val="1"/>
      <w:marLeft w:val="0"/>
      <w:marRight w:val="0"/>
      <w:marTop w:val="0"/>
      <w:marBottom w:val="0"/>
      <w:divBdr>
        <w:top w:val="none" w:sz="0" w:space="0" w:color="auto"/>
        <w:left w:val="none" w:sz="0" w:space="0" w:color="auto"/>
        <w:bottom w:val="none" w:sz="0" w:space="0" w:color="auto"/>
        <w:right w:val="none" w:sz="0" w:space="0" w:color="auto"/>
      </w:divBdr>
    </w:div>
    <w:div w:id="1066535908">
      <w:bodyDiv w:val="1"/>
      <w:marLeft w:val="0"/>
      <w:marRight w:val="0"/>
      <w:marTop w:val="0"/>
      <w:marBottom w:val="0"/>
      <w:divBdr>
        <w:top w:val="none" w:sz="0" w:space="0" w:color="auto"/>
        <w:left w:val="none" w:sz="0" w:space="0" w:color="auto"/>
        <w:bottom w:val="none" w:sz="0" w:space="0" w:color="auto"/>
        <w:right w:val="none" w:sz="0" w:space="0" w:color="auto"/>
      </w:divBdr>
    </w:div>
    <w:div w:id="1449160225">
      <w:bodyDiv w:val="1"/>
      <w:marLeft w:val="0"/>
      <w:marRight w:val="0"/>
      <w:marTop w:val="0"/>
      <w:marBottom w:val="0"/>
      <w:divBdr>
        <w:top w:val="none" w:sz="0" w:space="0" w:color="auto"/>
        <w:left w:val="none" w:sz="0" w:space="0" w:color="auto"/>
        <w:bottom w:val="none" w:sz="0" w:space="0" w:color="auto"/>
        <w:right w:val="none" w:sz="0" w:space="0" w:color="auto"/>
      </w:divBdr>
    </w:div>
    <w:div w:id="1529290462">
      <w:bodyDiv w:val="1"/>
      <w:marLeft w:val="0"/>
      <w:marRight w:val="0"/>
      <w:marTop w:val="0"/>
      <w:marBottom w:val="0"/>
      <w:divBdr>
        <w:top w:val="none" w:sz="0" w:space="0" w:color="auto"/>
        <w:left w:val="none" w:sz="0" w:space="0" w:color="auto"/>
        <w:bottom w:val="none" w:sz="0" w:space="0" w:color="auto"/>
        <w:right w:val="none" w:sz="0" w:space="0" w:color="auto"/>
      </w:divBdr>
    </w:div>
    <w:div w:id="187992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16</Pages>
  <Words>7471</Words>
  <Characters>42588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E-TECH</dc:creator>
  <cp:keywords/>
  <dc:description/>
  <cp:lastModifiedBy>SDI 1166</cp:lastModifiedBy>
  <cp:revision>5</cp:revision>
  <cp:lastPrinted>2026-08-12T18:56:00Z</cp:lastPrinted>
  <dcterms:created xsi:type="dcterms:W3CDTF">2026-10-12T17:57:00Z</dcterms:created>
  <dcterms:modified xsi:type="dcterms:W3CDTF">2026-10-13T12:28:00Z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81701982-bd3c-4f5e-bd42-71604f1d6cf9</vt:lpwstr>
  </property>
</Properties>
</file>