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B100B" w14:textId="636A8976" w:rsidR="0072696F" w:rsidRPr="002E68D5" w:rsidRDefault="0072696F" w:rsidP="0072696F">
      <w:pPr>
        <w:spacing w:line="240" w:lineRule="auto"/>
        <w:jc w:val="center"/>
        <w:rPr>
          <w:rFonts w:ascii="Times New Roman" w:eastAsia="Times New Roman" w:hAnsi="Times New Roman" w:cs="Times New Roman"/>
          <w:b/>
          <w:sz w:val="26"/>
          <w:szCs w:val="26"/>
          <w:lang w:val="en-US"/>
        </w:rPr>
      </w:pPr>
      <w:bookmarkStart w:id="0" w:name="_Hlk239357140"/>
      <w:r w:rsidRPr="002E68D5">
        <w:rPr>
          <w:rFonts w:ascii="Times New Roman" w:eastAsia="Times New Roman" w:hAnsi="Times New Roman" w:cs="Times New Roman"/>
          <w:b/>
          <w:sz w:val="26"/>
          <w:szCs w:val="26"/>
          <w:lang w:val="en-US"/>
        </w:rPr>
        <w:t>FIRM ATTRIBUTES AND FINANCIAL REPORTING QUALITY OF LISTED NONFINANCIAL COMPANIES IN NIGERIA</w:t>
      </w:r>
    </w:p>
    <w:p w14:paraId="15BA3713" w14:textId="4D9D0E56" w:rsidR="0072696F" w:rsidRDefault="0072696F" w:rsidP="002E68D5">
      <w:pPr>
        <w:tabs>
          <w:tab w:val="num" w:pos="720"/>
        </w:tabs>
        <w:spacing w:after="0" w:line="240" w:lineRule="auto"/>
        <w:jc w:val="center"/>
        <w:rPr>
          <w:rFonts w:ascii="Times New Roman" w:hAnsi="Times New Roman" w:cs="Times New Roman"/>
          <w:b/>
          <w:sz w:val="24"/>
          <w:szCs w:val="24"/>
          <w:lang w:val="en-US"/>
        </w:rPr>
      </w:pPr>
      <w:bookmarkStart w:id="1" w:name="_Hlk239431985"/>
      <w:bookmarkEnd w:id="0"/>
    </w:p>
    <w:p w14:paraId="59F0AAFC" w14:textId="36310EFF" w:rsidR="002E68D5" w:rsidRDefault="002E68D5" w:rsidP="00E050A7">
      <w:pPr>
        <w:spacing w:after="0" w:line="240" w:lineRule="auto"/>
        <w:ind w:left="1440" w:firstLine="720"/>
        <w:rPr>
          <w:lang w:val="en-IN"/>
        </w:rPr>
      </w:pPr>
      <w:r>
        <w:rPr>
          <w:rFonts w:ascii="Times New Roman" w:eastAsia="Times New Roman" w:hAnsi="Times New Roman" w:cs="Times New Roman"/>
          <w:b/>
          <w:lang w:val="en-US"/>
        </w:rPr>
        <w:t xml:space="preserve">                  </w:t>
      </w:r>
      <w:bookmarkEnd w:id="1"/>
    </w:p>
    <w:p w14:paraId="08C5E502" w14:textId="1C346213" w:rsidR="00D755D1" w:rsidRPr="00D755D1" w:rsidRDefault="00D755D1" w:rsidP="002E68D5">
      <w:pPr>
        <w:spacing w:after="0" w:line="240" w:lineRule="auto"/>
        <w:ind w:right="281"/>
        <w:rPr>
          <w:b/>
          <w:lang w:val="en-IN"/>
        </w:rPr>
      </w:pPr>
    </w:p>
    <w:p w14:paraId="67E293A9" w14:textId="77777777" w:rsidR="002E68D5" w:rsidRDefault="002E68D5" w:rsidP="002E68D5">
      <w:pPr>
        <w:tabs>
          <w:tab w:val="num" w:pos="720"/>
        </w:tabs>
        <w:spacing w:line="240" w:lineRule="auto"/>
        <w:jc w:val="center"/>
        <w:rPr>
          <w:lang w:val="en-US"/>
        </w:rPr>
      </w:pPr>
    </w:p>
    <w:p w14:paraId="3EBB9C9B" w14:textId="0B1DEA82" w:rsidR="0072696F" w:rsidRPr="002E68D5" w:rsidRDefault="0072696F" w:rsidP="002E68D5">
      <w:pPr>
        <w:tabs>
          <w:tab w:val="num" w:pos="720"/>
        </w:tabs>
        <w:spacing w:line="240" w:lineRule="auto"/>
        <w:rPr>
          <w:rFonts w:ascii="Times New Roman" w:hAnsi="Times New Roman" w:cs="Times New Roman"/>
          <w:sz w:val="24"/>
          <w:szCs w:val="24"/>
        </w:rPr>
      </w:pPr>
      <w:r w:rsidRPr="002E68D5">
        <w:rPr>
          <w:rFonts w:ascii="Times New Roman" w:hAnsi="Times New Roman" w:cs="Times New Roman"/>
          <w:b/>
          <w:sz w:val="24"/>
          <w:szCs w:val="24"/>
        </w:rPr>
        <w:t>ABSTRACT</w:t>
      </w:r>
    </w:p>
    <w:p w14:paraId="3E73CC5D" w14:textId="63F86963" w:rsidR="0072696F" w:rsidRDefault="0072696F" w:rsidP="0072696F">
      <w:pPr>
        <w:tabs>
          <w:tab w:val="num" w:pos="720"/>
        </w:tabs>
        <w:spacing w:line="240" w:lineRule="auto"/>
        <w:jc w:val="both"/>
        <w:rPr>
          <w:rFonts w:ascii="Times New Roman" w:hAnsi="Times New Roman" w:cs="Times New Roman"/>
          <w:sz w:val="24"/>
          <w:szCs w:val="24"/>
          <w:lang w:val="en-US"/>
        </w:rPr>
      </w:pPr>
      <w:r w:rsidRPr="002E68D5">
        <w:rPr>
          <w:rFonts w:ascii="Times New Roman" w:hAnsi="Times New Roman" w:cs="Times New Roman"/>
          <w:sz w:val="24"/>
          <w:szCs w:val="24"/>
        </w:rPr>
        <w:t xml:space="preserve">The series of corporate failures and reporting irregularities despites the full adoption of International Financial Reporting Standards have raised concerns on factors affecting financial reporting quality in Nigeria. </w:t>
      </w:r>
      <w:r w:rsidRPr="002E68D5">
        <w:rPr>
          <w:rFonts w:ascii="Times New Roman" w:hAnsi="Times New Roman" w:cs="Times New Roman"/>
          <w:sz w:val="24"/>
          <w:szCs w:val="24"/>
          <w:lang w:val="en-US"/>
        </w:rPr>
        <w:t>Consequently, t</w:t>
      </w:r>
      <w:r w:rsidRPr="002E68D5">
        <w:rPr>
          <w:rFonts w:ascii="Times New Roman" w:hAnsi="Times New Roman" w:cs="Times New Roman"/>
          <w:sz w:val="24"/>
          <w:szCs w:val="24"/>
        </w:rPr>
        <w:t xml:space="preserve">he main objective of this study was to investigate the effect of </w:t>
      </w:r>
      <w:r w:rsidRPr="002E68D5">
        <w:rPr>
          <w:rFonts w:ascii="Times New Roman" w:eastAsia="Times New Roman" w:hAnsi="Times New Roman" w:cs="Times New Roman"/>
          <w:sz w:val="24"/>
          <w:szCs w:val="24"/>
          <w:lang w:val="en-US"/>
        </w:rPr>
        <w:t xml:space="preserve">firm attributes on financial reporting quality of listed nonfinancial companies in Nigeria. Specifically, this study examined how auditor type, sustainability disclosure practices, board financial expertise, affect income smoothing. </w:t>
      </w:r>
      <w:r w:rsidRPr="002E68D5">
        <w:rPr>
          <w:rFonts w:ascii="Times New Roman" w:hAnsi="Times New Roman" w:cs="Times New Roman"/>
          <w:sz w:val="24"/>
          <w:szCs w:val="24"/>
        </w:rPr>
        <w:t xml:space="preserve">The research design adopted in this study was </w:t>
      </w:r>
      <w:r w:rsidRPr="002E68D5">
        <w:rPr>
          <w:rFonts w:ascii="Times New Roman" w:hAnsi="Times New Roman" w:cs="Times New Roman"/>
          <w:iCs/>
          <w:sz w:val="24"/>
          <w:szCs w:val="24"/>
        </w:rPr>
        <w:t>ex post facto</w:t>
      </w:r>
      <w:r w:rsidRPr="002E68D5">
        <w:rPr>
          <w:rFonts w:ascii="Times New Roman" w:hAnsi="Times New Roman" w:cs="Times New Roman"/>
          <w:sz w:val="24"/>
          <w:szCs w:val="24"/>
        </w:rPr>
        <w:t>, secondary data were used and the population of the study was 100 listed nonfinancial companies out of which 85 companies were purposively selected as the sample size. The technique of data analysis employed was panel regression analysis and the statistical package used was STATA 17. The findings of the study revealed that auditor type has a positive and statistically significant effect  (coeff. = 0.387, p = 0.007); sustainability disclosure practices (SUDP) has a positive but statistically nonsignificant effect</w:t>
      </w:r>
      <w:r w:rsidR="007C0F1F" w:rsidRPr="002E68D5">
        <w:rPr>
          <w:rFonts w:ascii="Times New Roman" w:hAnsi="Times New Roman" w:cs="Times New Roman"/>
          <w:sz w:val="24"/>
          <w:szCs w:val="24"/>
          <w:lang w:val="en-US"/>
        </w:rPr>
        <w:t xml:space="preserve"> </w:t>
      </w:r>
      <w:r w:rsidRPr="002E68D5">
        <w:rPr>
          <w:rFonts w:ascii="Times New Roman" w:hAnsi="Times New Roman" w:cs="Times New Roman"/>
          <w:sz w:val="24"/>
          <w:szCs w:val="24"/>
        </w:rPr>
        <w:t xml:space="preserve">(coeff. = 0.525, p = 0.491); and board financial expertise has a positive and statistically significant effect  (coeff. = 1.597, p = 0.038) on income smoothing of listed non-financial firms in Nigeria. It was thus concluded that </w:t>
      </w:r>
      <w:r w:rsidRPr="002E68D5">
        <w:rPr>
          <w:rFonts w:ascii="Times New Roman" w:eastAsia="Times New Roman" w:hAnsi="Times New Roman" w:cs="Times New Roman"/>
          <w:sz w:val="24"/>
          <w:szCs w:val="24"/>
        </w:rPr>
        <w:t>firm attributes</w:t>
      </w:r>
      <w:r w:rsidR="002810CE" w:rsidRPr="002E68D5">
        <w:rPr>
          <w:rFonts w:ascii="Times New Roman" w:eastAsia="Times New Roman" w:hAnsi="Times New Roman" w:cs="Times New Roman"/>
          <w:sz w:val="24"/>
          <w:szCs w:val="24"/>
          <w:lang w:val="en-US"/>
        </w:rPr>
        <w:t xml:space="preserve"> </w:t>
      </w:r>
      <w:r w:rsidRPr="002E68D5">
        <w:rPr>
          <w:rFonts w:ascii="Times New Roman" w:eastAsia="Times New Roman" w:hAnsi="Times New Roman" w:cs="Times New Roman"/>
          <w:sz w:val="24"/>
          <w:szCs w:val="24"/>
        </w:rPr>
        <w:t xml:space="preserve">are fundamental in reducing income smoothing and enhancing the financial reporting quality among listed non-financial companies in Nigeria.  It was therefore recommended amongst others that </w:t>
      </w:r>
      <w:r w:rsidRPr="002E68D5">
        <w:rPr>
          <w:rFonts w:ascii="Times New Roman" w:hAnsi="Times New Roman" w:cs="Times New Roman"/>
          <w:sz w:val="24"/>
          <w:szCs w:val="24"/>
        </w:rPr>
        <w:t>the management of these firms should strengthen the independence of audit committees to enhance their oversight role and reduce opportunities for earnings manipulation</w:t>
      </w:r>
      <w:r w:rsidR="005C1124" w:rsidRPr="002E68D5">
        <w:rPr>
          <w:rFonts w:ascii="Times New Roman" w:hAnsi="Times New Roman" w:cs="Times New Roman"/>
          <w:sz w:val="24"/>
          <w:szCs w:val="24"/>
          <w:lang w:val="en-US"/>
        </w:rPr>
        <w:t>.</w:t>
      </w:r>
    </w:p>
    <w:p w14:paraId="2A0DC010" w14:textId="43E3DF55" w:rsidR="002E68D5" w:rsidRPr="002E68D5" w:rsidRDefault="002E68D5" w:rsidP="0072696F">
      <w:pPr>
        <w:tabs>
          <w:tab w:val="num" w:pos="720"/>
        </w:tabs>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Keywords: Firms’ attribute, auditor type, sustainability disclosure, board expertise, financial reporting quality</w:t>
      </w:r>
    </w:p>
    <w:p w14:paraId="7B73CE65" w14:textId="77777777" w:rsidR="0072696F" w:rsidRPr="002E68D5" w:rsidRDefault="0072696F" w:rsidP="0072696F">
      <w:pPr>
        <w:rPr>
          <w:rFonts w:ascii="Times New Roman" w:hAnsi="Times New Roman" w:cs="Times New Roman"/>
          <w:b/>
          <w:sz w:val="24"/>
          <w:szCs w:val="24"/>
          <w:lang w:eastAsia="zh-CN"/>
        </w:rPr>
      </w:pPr>
      <w:r w:rsidRPr="002E68D5">
        <w:rPr>
          <w:rFonts w:ascii="Times New Roman" w:hAnsi="Times New Roman" w:cs="Times New Roman"/>
          <w:b/>
          <w:sz w:val="24"/>
          <w:szCs w:val="24"/>
          <w:lang w:eastAsia="zh-CN"/>
        </w:rPr>
        <w:br w:type="page"/>
      </w:r>
    </w:p>
    <w:p w14:paraId="1BF3DCA7" w14:textId="77777777" w:rsidR="0072696F" w:rsidRPr="002E68D5" w:rsidRDefault="0072696F" w:rsidP="002810CE">
      <w:pPr>
        <w:spacing w:after="0" w:line="480" w:lineRule="auto"/>
        <w:rPr>
          <w:rFonts w:ascii="Times New Roman" w:eastAsia="Times New Roman" w:hAnsi="Times New Roman" w:cs="Times New Roman"/>
          <w:b/>
          <w:sz w:val="24"/>
          <w:szCs w:val="24"/>
          <w:lang w:val="en-US"/>
        </w:rPr>
        <w:sectPr w:rsidR="0072696F" w:rsidRPr="002E68D5" w:rsidSect="0072696F">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440" w:right="1440" w:bottom="1559" w:left="1440" w:header="709" w:footer="709" w:gutter="0"/>
          <w:pgNumType w:fmt="lowerRoman"/>
          <w:cols w:space="708"/>
          <w:docGrid w:linePitch="360"/>
        </w:sectPr>
      </w:pPr>
    </w:p>
    <w:p w14:paraId="250BC420" w14:textId="77777777" w:rsidR="00294049" w:rsidRPr="002E68D5" w:rsidRDefault="00294049" w:rsidP="00294049">
      <w:pPr>
        <w:pStyle w:val="ListParagraph"/>
        <w:numPr>
          <w:ilvl w:val="0"/>
          <w:numId w:val="18"/>
        </w:numPr>
        <w:spacing w:after="0" w:line="480" w:lineRule="auto"/>
        <w:jc w:val="both"/>
        <w:rPr>
          <w:rFonts w:ascii="Times New Roman" w:eastAsia="Times New Roman" w:hAnsi="Times New Roman" w:cs="Times New Roman"/>
          <w:b/>
          <w:sz w:val="24"/>
          <w:szCs w:val="24"/>
          <w:lang w:val="en-US"/>
        </w:rPr>
      </w:pPr>
      <w:bookmarkStart w:id="2" w:name="_Hlk218226686"/>
      <w:r w:rsidRPr="002E68D5">
        <w:rPr>
          <w:rFonts w:ascii="Times New Roman" w:eastAsia="Times New Roman" w:hAnsi="Times New Roman" w:cs="Times New Roman"/>
          <w:b/>
          <w:sz w:val="24"/>
          <w:szCs w:val="24"/>
          <w:lang w:val="en-US"/>
        </w:rPr>
        <w:lastRenderedPageBreak/>
        <w:t>Introduction</w:t>
      </w:r>
    </w:p>
    <w:p w14:paraId="4F6FBB6B" w14:textId="77777777" w:rsidR="00294049" w:rsidRPr="002E68D5" w:rsidRDefault="00294049" w:rsidP="00294049">
      <w:pPr>
        <w:spacing w:after="0"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Financial reporting is a fundamental mechanism through which companies communicate information about their financial position, performance and prospects to investors, creditors, regulators and other stakeholders. The usefulness of such information depends largely on its quality, particularly its relevance, faithful representation, comparability, verifiability, timeliness and understandability. High-quality financial reporting reduces information asymmetry and enables users of financial statements to make more informed economic decisions. The importance of reporting quality has become even more pronounced as capital markets increasingly demand transparent and reliable information about both financial performance and the broader risks affecting corporate value (IASB, 2018; IFRS Foundation, 2023).</w:t>
      </w:r>
    </w:p>
    <w:p w14:paraId="0C75CFC4" w14:textId="77777777" w:rsidR="00294049" w:rsidRPr="002E68D5" w:rsidRDefault="00294049" w:rsidP="00294049">
      <w:pPr>
        <w:spacing w:after="0"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 xml:space="preserve">A major threat to financial reporting quality is the possibility that managers may use their discretion over accounting choices to influence reported earnings. Although managerial discretion is an inherent feature of accrual accounting, its opportunistic use may distort the underlying economic performance of a firm. One manifestation of such behaviour is income smoothing, whereby managers attempt to reduce fluctuations in reported earnings across accounting periods. Excessive income smoothing may conceal the actual volatility of corporate performance and consequently impair the ability of investors and other stakeholders to distinguish sustainable performance from accounting adjustments. </w:t>
      </w:r>
      <w:r w:rsidRPr="002E68D5">
        <w:rPr>
          <w:rFonts w:ascii="Times New Roman" w:hAnsi="Times New Roman" w:cs="Times New Roman"/>
          <w:sz w:val="24"/>
          <w:szCs w:val="24"/>
        </w:rPr>
        <w:t xml:space="preserve">Olowookere et al. (2025) </w:t>
      </w:r>
      <w:r w:rsidRPr="002E68D5">
        <w:rPr>
          <w:rFonts w:ascii="Times New Roman" w:eastAsia="Times New Roman" w:hAnsi="Times New Roman" w:cs="Times New Roman"/>
          <w:sz w:val="24"/>
          <w:szCs w:val="24"/>
        </w:rPr>
        <w:t>identified earnings smoothness among the commonly used attributes of earnings quality, while recent research continues to treat earnings management and income smoothing as important concerns in evaluating the credibility of corporate financial information.</w:t>
      </w:r>
    </w:p>
    <w:p w14:paraId="1EB04827" w14:textId="77777777" w:rsidR="00294049" w:rsidRPr="002E68D5" w:rsidRDefault="00294049" w:rsidP="00294049">
      <w:pPr>
        <w:spacing w:after="0"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 xml:space="preserve">This issue is particularly relevant to listed nonfinancial companies in Nigeria because their financial statements constitute an important source of information for investors in the Nigerian capital market. The regulatory environment requires listed companies to prepare and </w:t>
      </w:r>
      <w:r w:rsidRPr="002E68D5">
        <w:rPr>
          <w:rFonts w:ascii="Times New Roman" w:eastAsia="Times New Roman" w:hAnsi="Times New Roman" w:cs="Times New Roman"/>
          <w:sz w:val="24"/>
          <w:szCs w:val="24"/>
        </w:rPr>
        <w:lastRenderedPageBreak/>
        <w:t>disclose financial information in accordance with applicable reporting requirements, while corporate governance mechanisms are expected to strengthen management accountability and the integrity of financial reporting. However, the existence of accounting standards and governance requirements does not automatically eliminate managerial incentives to influence reported earnings. Evidence from Nigerian listed companies indicates that corporate governance and audit characteristics are relevant to earnings management and financial reporting outcomes. For example, Obeitoh et al. (2023) found that board and audit committee characteristics were associated with earnings management among listed non-financial firms in Nigeria, reinforcing the importance of governance mechanisms in constraining managerial reporting discretion.</w:t>
      </w:r>
    </w:p>
    <w:p w14:paraId="6BCCD19D" w14:textId="77777777" w:rsidR="00294049" w:rsidRPr="002E68D5" w:rsidRDefault="00294049" w:rsidP="00294049">
      <w:pPr>
        <w:spacing w:after="0"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One firm attribute that may influence the quality of reported earnings is auditor type. External auditors provide an independent monitoring mechanism intended to enhance the credibility of corporate financial statements. Auditor type, commonly distinguished between Big Four and non-Big Four audit firms, may affect reporting quality because larger audit firms generally possess greater technical resources, specialist expertise and reputational incentives to detect and constrain aggressive accounting practices (</w:t>
      </w:r>
      <w:bookmarkStart w:id="3" w:name="_Hlk218964243"/>
      <w:r w:rsidRPr="002E68D5">
        <w:rPr>
          <w:rFonts w:ascii="Times New Roman" w:eastAsia="Times New Roman" w:hAnsi="Times New Roman" w:cs="Times New Roman"/>
          <w:sz w:val="24"/>
          <w:szCs w:val="24"/>
        </w:rPr>
        <w:t>Yudhanto</w:t>
      </w:r>
      <w:r w:rsidRPr="002E68D5">
        <w:rPr>
          <w:rFonts w:ascii="Times New Roman" w:eastAsia="Times New Roman" w:hAnsi="Times New Roman" w:cs="Times New Roman"/>
          <w:sz w:val="24"/>
          <w:szCs w:val="24"/>
          <w:lang w:val="en-US"/>
        </w:rPr>
        <w:t xml:space="preserve"> &amp;</w:t>
      </w:r>
      <w:r w:rsidRPr="002E68D5">
        <w:rPr>
          <w:rFonts w:ascii="Times New Roman" w:eastAsia="Times New Roman" w:hAnsi="Times New Roman" w:cs="Times New Roman"/>
          <w:sz w:val="24"/>
          <w:szCs w:val="24"/>
        </w:rPr>
        <w:t xml:space="preserve"> Rahmawati</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2025)</w:t>
      </w:r>
      <w:bookmarkEnd w:id="3"/>
      <w:r w:rsidRPr="002E68D5">
        <w:rPr>
          <w:rFonts w:ascii="Times New Roman" w:eastAsia="Times New Roman" w:hAnsi="Times New Roman" w:cs="Times New Roman"/>
          <w:sz w:val="24"/>
          <w:szCs w:val="24"/>
        </w:rPr>
        <w:t xml:space="preserve">. Nevertheless, empirical evidence remains inconclusive. Karaye (2022), for instance, reported that Big Four auditor status did not consistently reduce income smoothing among firms, although the effectiveness of audit characteristics varied with audit committee accounting expertise. This suggests that auditor type may influence managerial reporting behaviour, but its effectiveness as a monitoring mechanism cannot be assumed. The growing emphasis on sustainability disclosure practices also provides a contemporary dimension to the financial reporting quality debate. Corporate reporting has increasingly expanded beyond conventional financial information to include environmental, social and governance-related information. The International Sustainability Standards Board (ISSB) issued IFRS S1 and IFRS S2 in June </w:t>
      </w:r>
      <w:r w:rsidRPr="002E68D5">
        <w:rPr>
          <w:rFonts w:ascii="Times New Roman" w:eastAsia="Times New Roman" w:hAnsi="Times New Roman" w:cs="Times New Roman"/>
          <w:sz w:val="24"/>
          <w:szCs w:val="24"/>
        </w:rPr>
        <w:lastRenderedPageBreak/>
        <w:t xml:space="preserve">2023 to establish a global baseline for sustainability-related financial disclosures, with IFRS S1 requiring information on sustainability-related risks and opportunities that could affect an entity's prospects </w:t>
      </w:r>
      <w:r w:rsidRPr="002E68D5">
        <w:t>(</w:t>
      </w:r>
      <w:r w:rsidRPr="002E68D5">
        <w:fldChar w:fldCharType="begin"/>
      </w:r>
      <w:r w:rsidRPr="002E68D5">
        <w:instrText>HYPERLINK "https://www.ifrs.org/supporting-implementation/supporting-materials-for-ifrs-sustainability-disclosure-standards/ifrs-s1/?utm_source=chatgpt.com" \o "IFRS - IFRS S1 General Requirements for Disclosure of Sustainability-related Financial Information"</w:instrText>
      </w:r>
      <w:r w:rsidRPr="002E68D5">
        <w:fldChar w:fldCharType="separate"/>
      </w:r>
      <w:r w:rsidRPr="002E68D5">
        <w:rPr>
          <w:rStyle w:val="Hyperlink"/>
          <w:color w:val="auto"/>
        </w:rPr>
        <w:t>IFRS Foundation</w:t>
      </w:r>
      <w:r w:rsidRPr="002E68D5">
        <w:fldChar w:fldCharType="end"/>
      </w:r>
      <w:r w:rsidRPr="002E68D5">
        <w:t>, 2023).</w:t>
      </w:r>
      <w:r w:rsidRPr="002E68D5">
        <w:rPr>
          <w:rFonts w:ascii="Times New Roman" w:eastAsia="Times New Roman" w:hAnsi="Times New Roman" w:cs="Times New Roman"/>
          <w:sz w:val="24"/>
          <w:szCs w:val="24"/>
        </w:rPr>
        <w:t xml:space="preserve"> Another important firm attribute is board financial expertise. The board is responsible for overseeing management and monitoring the integrity of the financial reporting process. Directors with accounting and financial expertise are expected to possess greater capacity to understand complex accounting treatments, evaluate management's financial decisions and challenge potentially opportunistic reporting practices. Consequently, board financial expertise can strengthen the monitoring function of the board and potentially constrain income smoothing (Obeitoh et al., 2023; Uyar et al., 2022).</w:t>
      </w:r>
    </w:p>
    <w:p w14:paraId="2B925EE2" w14:textId="77777777" w:rsidR="00294049" w:rsidRPr="002E68D5" w:rsidRDefault="00294049" w:rsidP="00294049">
      <w:pPr>
        <w:spacing w:line="480" w:lineRule="auto"/>
        <w:ind w:firstLine="720"/>
        <w:jc w:val="both"/>
        <w:rPr>
          <w:rFonts w:ascii="Times New Roman" w:hAnsi="Times New Roman" w:cs="Times New Roman"/>
          <w:sz w:val="24"/>
          <w:szCs w:val="24"/>
        </w:rPr>
      </w:pPr>
      <w:r w:rsidRPr="002E68D5">
        <w:rPr>
          <w:rFonts w:ascii="Times New Roman" w:hAnsi="Times New Roman" w:cs="Times New Roman"/>
          <w:sz w:val="24"/>
          <w:szCs w:val="24"/>
        </w:rPr>
        <w:t xml:space="preserve">Despite growing evidence on the determinants of financial reporting quality, important gaps remain in the literature. First, a conceptual and empirical gap exists because existing Nigerian studies have largely examined relevant firm and governance attributes separately rather than integrating them within a single framework. For instance, Etukeyin et al. (2025) examined capital structure and ownership structure as determinants of financial reporting quality among listed service firms in Nigeria, while Akosile and Famoyin (2025) focused on audit market structure and financial reporting quality among listed deposit money banks. Similarly, Ekwueme and Aniefor (2024) examined firm age, firm size, board size, ownership structure and financial reporting quality among quoted manufacturing firms, while Atabo et al. (2023) investigated ownership structure and financial reporting quality, with audit firm tenure as a moderating variable, among listed financial service firms. Sectoral gap is evident as recent studies have predominantly concentrated on specific sectors, particularly deposit money banks, manufacturing, service and financial service firms (Olowookere et al., 2025; Akosile &amp; Famoyin, 2025; Awodiji et al., 2025; Ekwueme &amp; Aniefor (2024). Similarly, a methodological and variable-combination gap exists regarding the use of income smoothing as a measure of financial reporting quality. Thus, there is limited empirical evidence on whether sustainability </w:t>
      </w:r>
      <w:r w:rsidRPr="002E68D5">
        <w:rPr>
          <w:rFonts w:ascii="Times New Roman" w:hAnsi="Times New Roman" w:cs="Times New Roman"/>
          <w:sz w:val="24"/>
          <w:szCs w:val="24"/>
        </w:rPr>
        <w:lastRenderedPageBreak/>
        <w:t>disclosure practices, auditor type and board financial expertise simultaneously explain income smoothing among listed non-financial companies in Nigeria. Against this backdrop, this study examines the effects of auditor type, sustainability disclosure practices and board financial expertise on income smoothing among listed non-financial companies in Nigeria.</w:t>
      </w:r>
    </w:p>
    <w:p w14:paraId="294EDED7" w14:textId="77777777" w:rsidR="00294049" w:rsidRPr="002E68D5" w:rsidRDefault="00294049" w:rsidP="00294049"/>
    <w:bookmarkEnd w:id="2"/>
    <w:p w14:paraId="2BC0FEBF" w14:textId="7A48D700" w:rsidR="00DD0783" w:rsidRPr="002E68D5" w:rsidRDefault="00DD0783" w:rsidP="0072696F">
      <w:pPr>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 xml:space="preserve">2.0 Literature review and </w:t>
      </w:r>
      <w:r w:rsidR="007F03C0" w:rsidRPr="002E68D5">
        <w:rPr>
          <w:rFonts w:ascii="Times New Roman" w:eastAsia="Times New Roman" w:hAnsi="Times New Roman" w:cs="Times New Roman"/>
          <w:b/>
          <w:sz w:val="24"/>
          <w:szCs w:val="24"/>
          <w:lang w:val="en-US"/>
        </w:rPr>
        <w:t>theoretical framework</w:t>
      </w:r>
    </w:p>
    <w:p w14:paraId="5D9F7CEB" w14:textId="7B1DF362" w:rsidR="0072696F" w:rsidRPr="002E68D5" w:rsidRDefault="0072696F" w:rsidP="0072696F">
      <w:pPr>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Firm attributes</w:t>
      </w:r>
    </w:p>
    <w:p w14:paraId="38E70438" w14:textId="100FBB9F" w:rsidR="0072696F" w:rsidRPr="002E68D5" w:rsidRDefault="0072696F" w:rsidP="007F03C0">
      <w:pPr>
        <w:spacing w:after="0" w:line="480" w:lineRule="auto"/>
        <w:ind w:firstLine="720"/>
        <w:jc w:val="both"/>
        <w:rPr>
          <w:rFonts w:ascii="Times New Roman" w:eastAsia="Times New Roman" w:hAnsi="Times New Roman" w:cs="Times New Roman"/>
          <w:sz w:val="24"/>
          <w:szCs w:val="24"/>
        </w:rPr>
      </w:pPr>
      <w:r w:rsidRPr="002E68D5">
        <w:rPr>
          <w:rFonts w:ascii="Times New Roman" w:hAnsi="Times New Roman" w:cs="Times New Roman"/>
          <w:sz w:val="24"/>
          <w:szCs w:val="24"/>
        </w:rPr>
        <w:t xml:space="preserve">Firm attributes represent the distinctive firm-level characteristics that shape corporate behavior and determine financial and non-financial outcomes. </w:t>
      </w:r>
      <w:r w:rsidRPr="002E68D5">
        <w:rPr>
          <w:rStyle w:val="Strong"/>
          <w:rFonts w:ascii="Times New Roman" w:hAnsi="Times New Roman" w:cs="Times New Roman"/>
          <w:b w:val="0"/>
          <w:bCs w:val="0"/>
          <w:sz w:val="24"/>
          <w:szCs w:val="24"/>
        </w:rPr>
        <w:t>It</w:t>
      </w:r>
      <w:r w:rsidRPr="002E68D5">
        <w:rPr>
          <w:rStyle w:val="Strong"/>
          <w:rFonts w:ascii="Times New Roman" w:hAnsi="Times New Roman" w:cs="Times New Roman"/>
          <w:sz w:val="24"/>
          <w:szCs w:val="24"/>
        </w:rPr>
        <w:t xml:space="preserve"> </w:t>
      </w:r>
      <w:r w:rsidRPr="002E68D5">
        <w:rPr>
          <w:rFonts w:ascii="Times New Roman" w:hAnsi="Times New Roman" w:cs="Times New Roman"/>
          <w:sz w:val="24"/>
          <w:szCs w:val="24"/>
        </w:rPr>
        <w:t>refers to the inherent and observable characteristics of a company that describe its structural, financial, operational, and governance features, and which influence how the firm performs, makes decisions, and is perceived by stakeholders</w:t>
      </w:r>
      <w:r w:rsidRPr="002E68D5">
        <w:rPr>
          <w:rFonts w:ascii="Times New Roman" w:eastAsia="Times New Roman" w:hAnsi="Times New Roman" w:cs="Times New Roman"/>
          <w:sz w:val="24"/>
          <w:szCs w:val="24"/>
        </w:rPr>
        <w:t xml:space="preserve"> (Etukenyin et al., 2025). In other words, these are the elements that determine whether the financial statements truly represent the company’s financial position and performance, or whether they are distorted by errors, bias or manipulation. According to Anto and Yusran (2023), firm attributes can be grouped into four broad categories. These are </w:t>
      </w:r>
      <w:r w:rsidR="00294049" w:rsidRPr="002E68D5">
        <w:rPr>
          <w:rFonts w:ascii="Times New Roman" w:eastAsia="Times New Roman" w:hAnsi="Times New Roman" w:cs="Times New Roman"/>
          <w:sz w:val="24"/>
          <w:szCs w:val="24"/>
        </w:rPr>
        <w:t>firm-specific</w:t>
      </w:r>
      <w:r w:rsidRPr="002E68D5">
        <w:rPr>
          <w:rFonts w:ascii="Times New Roman" w:eastAsia="Times New Roman" w:hAnsi="Times New Roman" w:cs="Times New Roman"/>
          <w:sz w:val="24"/>
          <w:szCs w:val="24"/>
        </w:rPr>
        <w:t xml:space="preserve"> attributes,  governance, institutional and environmental factors. Firm-specific attributes are internal characteristics of the reporting entity that shape incentives, resources, and constraints around the preparation and disclosure of financial statements. Typical firm specific attributes include size, profitability, growth opportunities, leverage, complexity of operations, ownership concentration, and managerial quality (education, tenure, compensation).</w:t>
      </w:r>
      <w:r w:rsidR="007F03C0" w:rsidRPr="002E68D5">
        <w:rPr>
          <w:rFonts w:ascii="Times New Roman" w:eastAsia="Times New Roman" w:hAnsi="Times New Roman" w:cs="Times New Roman"/>
          <w:sz w:val="24"/>
          <w:szCs w:val="24"/>
          <w:lang w:val="en-US"/>
        </w:rPr>
        <w:t xml:space="preserve"> </w:t>
      </w:r>
      <w:r w:rsidRPr="002E68D5">
        <w:rPr>
          <w:rFonts w:ascii="Times New Roman" w:eastAsia="Times New Roman" w:hAnsi="Times New Roman" w:cs="Times New Roman"/>
          <w:sz w:val="24"/>
          <w:szCs w:val="24"/>
          <w:lang w:val="en-US"/>
        </w:rPr>
        <w:t>Environmental attributes capture the broader economic, social and ecological context in which firms operate and disclose financial information (</w:t>
      </w:r>
      <w:r w:rsidRPr="002E68D5">
        <w:rPr>
          <w:rFonts w:ascii="Times New Roman" w:hAnsi="Times New Roman" w:cs="Times New Roman"/>
          <w:sz w:val="24"/>
          <w:szCs w:val="24"/>
        </w:rPr>
        <w:t>Amenaghawon</w:t>
      </w:r>
      <w:r w:rsidRPr="002E68D5">
        <w:rPr>
          <w:rFonts w:ascii="Times New Roman" w:hAnsi="Times New Roman" w:cs="Times New Roman"/>
          <w:sz w:val="24"/>
          <w:szCs w:val="24"/>
          <w:lang w:val="en-US"/>
        </w:rPr>
        <w:t xml:space="preserve"> et al., 2022)</w:t>
      </w:r>
      <w:r w:rsidRPr="002E68D5">
        <w:rPr>
          <w:rFonts w:ascii="Times New Roman" w:eastAsia="Times New Roman" w:hAnsi="Times New Roman" w:cs="Times New Roman"/>
          <w:sz w:val="24"/>
          <w:szCs w:val="24"/>
          <w:lang w:val="en-US"/>
        </w:rPr>
        <w:t xml:space="preserve">. This includes macroeconomic volatility, industry norms, competition intensity, cultural factors (e.g., attitudes toward disclosure), and more recently, environmental, social and governance (ESG) pressures and stakeholder activism. All these factors affect the reporting practices of </w:t>
      </w:r>
      <w:r w:rsidRPr="002E68D5">
        <w:rPr>
          <w:rFonts w:ascii="Times New Roman" w:eastAsia="Times New Roman" w:hAnsi="Times New Roman" w:cs="Times New Roman"/>
          <w:sz w:val="24"/>
          <w:szCs w:val="24"/>
          <w:lang w:val="en-US"/>
        </w:rPr>
        <w:lastRenderedPageBreak/>
        <w:t>firms and the extent to which management can transparently disclose faithfully the economic activities of the entity. The firm attributes used in this study were managerial quality, audit committee financial expertise, ownership structure, internal control systems, auditor type, sustainability disclosure practices and board financial expertise.</w:t>
      </w:r>
    </w:p>
    <w:p w14:paraId="53123BF6" w14:textId="77777777" w:rsidR="00294049" w:rsidRPr="002E68D5" w:rsidRDefault="00294049" w:rsidP="0072696F">
      <w:pPr>
        <w:spacing w:after="0" w:line="480" w:lineRule="auto"/>
        <w:jc w:val="both"/>
        <w:rPr>
          <w:rFonts w:ascii="Times New Roman" w:eastAsia="Times New Roman" w:hAnsi="Times New Roman" w:cs="Times New Roman"/>
          <w:b/>
          <w:sz w:val="6"/>
          <w:szCs w:val="6"/>
          <w:lang w:val="en-US"/>
        </w:rPr>
      </w:pPr>
    </w:p>
    <w:p w14:paraId="32851C5D" w14:textId="06ED501D" w:rsidR="003B2B89" w:rsidRPr="002E68D5" w:rsidRDefault="003B2B89" w:rsidP="003B2B89">
      <w:pPr>
        <w:spacing w:before="240" w:after="0" w:line="480" w:lineRule="auto"/>
        <w:ind w:right="3"/>
        <w:jc w:val="both"/>
        <w:rPr>
          <w:rFonts w:ascii="Times New Roman" w:eastAsia="Times New Roman" w:hAnsi="Times New Roman" w:cs="Times New Roman"/>
          <w:b/>
          <w:bCs/>
          <w:sz w:val="24"/>
          <w:szCs w:val="24"/>
          <w:lang w:val="en-US"/>
        </w:rPr>
      </w:pPr>
      <w:r w:rsidRPr="002E68D5">
        <w:rPr>
          <w:rFonts w:ascii="Times New Roman" w:eastAsia="Times New Roman" w:hAnsi="Times New Roman" w:cs="Times New Roman"/>
          <w:b/>
          <w:bCs/>
          <w:sz w:val="24"/>
          <w:szCs w:val="24"/>
          <w:lang w:val="en-US"/>
        </w:rPr>
        <w:t>Financial reporting quality</w:t>
      </w:r>
    </w:p>
    <w:p w14:paraId="379DEA03" w14:textId="5BC219AF" w:rsidR="003B2B89" w:rsidRPr="002E68D5" w:rsidRDefault="003B2B89" w:rsidP="003B2B89">
      <w:pPr>
        <w:spacing w:before="240" w:after="0" w:line="480" w:lineRule="auto"/>
        <w:ind w:right="3"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Financial reporting quality refers to the extent to which financial reports faithfully represent an entity’s underlying economic activities and provide relevant, reliable, comparable, understandable and timely information that enables users to make informed economic decisions (Etukenyin et al. 2025). High-quality financial reporting reduces information asymmetry between management and external stakeholders by presenting financial information that is free from material misstatement, bias and deliberate manipulation. Dechow et al. (2010) explained that financial reporting quality is multidimensional and can be assessed through various attributes of reported earnings, including earnings persistence, accrual quality, earnings predictability and earnings smoothness. In this regard, income smoothing is often examined as an indicator of reporting quality because excessive or opportunistic smoothing may obscure the firm’s underlying economic performance and reduce the informativeness of reported earnings.</w:t>
      </w:r>
      <w:bookmarkStart w:id="4" w:name="_Hlk213485115"/>
      <w:r w:rsidRPr="002E68D5">
        <w:rPr>
          <w:rFonts w:ascii="Times New Roman" w:eastAsia="Times New Roman" w:hAnsi="Times New Roman" w:cs="Times New Roman"/>
          <w:sz w:val="24"/>
          <w:szCs w:val="24"/>
        </w:rPr>
        <w:t xml:space="preserve"> Income smoothing is an accounting technique companies use to reduce fluctuations in their earnings across different periods, aiming to present more consistent financial results over time. </w:t>
      </w:r>
      <w:r w:rsidRPr="002E68D5">
        <w:rPr>
          <w:rFonts w:ascii="Times New Roman" w:eastAsia="Times New Roman" w:hAnsi="Times New Roman" w:cs="Times New Roman"/>
          <w:sz w:val="24"/>
          <w:szCs w:val="24"/>
          <w:lang w:val="en-US"/>
        </w:rPr>
        <w:t>When income smoothing is achieved through legitimate accounting discretion (e.g., accrual estimations), it may increase perceived stability and reduce perceived risk. However, when it is used opportunistically to manipulate earnings or mislead investors, it reduces financial reporting quality.</w:t>
      </w:r>
      <w:bookmarkEnd w:id="4"/>
      <w:r w:rsidRPr="002E68D5">
        <w:rPr>
          <w:rFonts w:ascii="Times New Roman" w:eastAsia="Times New Roman" w:hAnsi="Times New Roman" w:cs="Times New Roman"/>
          <w:sz w:val="24"/>
          <w:szCs w:val="24"/>
          <w:lang w:val="en-US"/>
        </w:rPr>
        <w:t xml:space="preserve"> </w:t>
      </w:r>
      <w:r w:rsidRPr="002E68D5">
        <w:rPr>
          <w:rFonts w:ascii="Times New Roman" w:eastAsia="Times New Roman" w:hAnsi="Times New Roman" w:cs="Times New Roman"/>
          <w:sz w:val="24"/>
          <w:szCs w:val="24"/>
        </w:rPr>
        <w:t>Income smoothing is a form of earnings management and is generally defined as the dampening of fluctuations in reported earnings over time (Ronen &amp; Yaari</w:t>
      </w:r>
      <w:r w:rsidRPr="002E68D5">
        <w:rPr>
          <w:rFonts w:ascii="Times New Roman" w:eastAsia="Times New Roman" w:hAnsi="Times New Roman" w:cs="Times New Roman"/>
          <w:sz w:val="24"/>
          <w:szCs w:val="24"/>
          <w:lang w:val="en-GB"/>
        </w:rPr>
        <w:t>,</w:t>
      </w:r>
      <w:r w:rsidRPr="002E68D5">
        <w:rPr>
          <w:rFonts w:ascii="Times New Roman" w:eastAsia="Times New Roman" w:hAnsi="Times New Roman" w:cs="Times New Roman"/>
          <w:sz w:val="24"/>
          <w:szCs w:val="24"/>
        </w:rPr>
        <w:t xml:space="preserve"> 2022). Financial reporting quality is therefore influenced not only by accounting </w:t>
      </w:r>
      <w:r w:rsidRPr="002E68D5">
        <w:rPr>
          <w:rFonts w:ascii="Times New Roman" w:eastAsia="Times New Roman" w:hAnsi="Times New Roman" w:cs="Times New Roman"/>
          <w:sz w:val="24"/>
          <w:szCs w:val="24"/>
        </w:rPr>
        <w:lastRenderedPageBreak/>
        <w:t xml:space="preserve">standards and reporting requirements but also by managerial incentives, corporate governance mechanisms, auditing arrangements and disclosure practices. </w:t>
      </w:r>
    </w:p>
    <w:p w14:paraId="79BC9C2E" w14:textId="73F8BEE4" w:rsidR="0072696F" w:rsidRPr="002E68D5" w:rsidRDefault="0072696F" w:rsidP="0072696F">
      <w:pPr>
        <w:spacing w:after="0" w:line="480" w:lineRule="auto"/>
        <w:jc w:val="both"/>
        <w:rPr>
          <w:rFonts w:ascii="Times New Roman" w:eastAsia="Times New Roman" w:hAnsi="Times New Roman" w:cs="Times New Roman"/>
          <w:b/>
          <w:sz w:val="24"/>
          <w:szCs w:val="24"/>
          <w:lang w:val="en-US"/>
        </w:rPr>
      </w:pPr>
      <w:bookmarkStart w:id="5" w:name="_Hlk213474528"/>
      <w:r w:rsidRPr="002E68D5">
        <w:rPr>
          <w:rFonts w:ascii="Times New Roman" w:eastAsia="Times New Roman" w:hAnsi="Times New Roman" w:cs="Times New Roman"/>
          <w:b/>
          <w:sz w:val="24"/>
          <w:szCs w:val="24"/>
          <w:lang w:val="en-US"/>
        </w:rPr>
        <w:t xml:space="preserve"> Auditor type and financial </w:t>
      </w:r>
      <w:r w:rsidR="003B2B89" w:rsidRPr="002E68D5">
        <w:rPr>
          <w:rFonts w:ascii="Times New Roman" w:eastAsia="Times New Roman" w:hAnsi="Times New Roman" w:cs="Times New Roman"/>
          <w:b/>
          <w:sz w:val="24"/>
          <w:szCs w:val="24"/>
          <w:lang w:val="en-US"/>
        </w:rPr>
        <w:t>income smoothing</w:t>
      </w:r>
    </w:p>
    <w:p w14:paraId="2A2C451E" w14:textId="13431135" w:rsidR="0072696F" w:rsidRPr="002E68D5" w:rsidRDefault="007F03C0" w:rsidP="007F03C0">
      <w:pPr>
        <w:spacing w:line="480" w:lineRule="auto"/>
        <w:ind w:firstLine="720"/>
        <w:jc w:val="both"/>
        <w:rPr>
          <w:rFonts w:ascii="Times New Roman" w:eastAsia="Times New Roman" w:hAnsi="Times New Roman" w:cs="Times New Roman"/>
          <w:sz w:val="24"/>
          <w:szCs w:val="24"/>
          <w:shd w:val="clear" w:color="auto" w:fill="FFFFFF"/>
          <w:lang w:val="en-US" w:eastAsia="zh-CN"/>
        </w:rPr>
      </w:pPr>
      <w:r w:rsidRPr="002E68D5">
        <w:rPr>
          <w:rFonts w:ascii="Times New Roman" w:eastAsia="Times New Roman" w:hAnsi="Times New Roman" w:cs="Times New Roman"/>
          <w:sz w:val="24"/>
          <w:szCs w:val="24"/>
        </w:rPr>
        <w:t>Auditor type refers to the classification of external auditors based on characteristics such as size, reputation, specialization, and industry expertise.</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The concept is widely used in auditing and corporate governance literature to differentiate audit firms in terms of quality, structure, and capacity. Auditor type provides insight into the level of assurance a company is likely to receive from its external audit process.</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Daferighe</w:t>
      </w:r>
      <w:r w:rsidRPr="002E68D5">
        <w:rPr>
          <w:rFonts w:ascii="Times New Roman" w:eastAsia="Times New Roman" w:hAnsi="Times New Roman" w:cs="Times New Roman"/>
          <w:sz w:val="24"/>
          <w:szCs w:val="24"/>
          <w:lang w:val="en-US"/>
        </w:rPr>
        <w:t xml:space="preserve"> and</w:t>
      </w:r>
      <w:r w:rsidRPr="002E68D5">
        <w:rPr>
          <w:rFonts w:ascii="Times New Roman" w:eastAsia="Times New Roman" w:hAnsi="Times New Roman" w:cs="Times New Roman"/>
          <w:sz w:val="24"/>
          <w:szCs w:val="24"/>
        </w:rPr>
        <w:t xml:space="preserve"> George (2020) explain</w:t>
      </w:r>
      <w:r w:rsidRPr="002E68D5">
        <w:rPr>
          <w:rFonts w:ascii="Times New Roman" w:eastAsia="Times New Roman" w:hAnsi="Times New Roman" w:cs="Times New Roman"/>
          <w:sz w:val="24"/>
          <w:szCs w:val="24"/>
          <w:lang w:val="en-US"/>
        </w:rPr>
        <w:t xml:space="preserve">ed </w:t>
      </w:r>
      <w:r w:rsidRPr="002E68D5">
        <w:rPr>
          <w:rFonts w:ascii="Times New Roman" w:eastAsia="Times New Roman" w:hAnsi="Times New Roman" w:cs="Times New Roman"/>
          <w:sz w:val="24"/>
          <w:szCs w:val="24"/>
        </w:rPr>
        <w:t>auditor type as the classification of audit firms according to their “capacity to detect and report material misstatements</w:t>
      </w:r>
      <w:r w:rsidRPr="002E68D5">
        <w:rPr>
          <w:rFonts w:ascii="Times New Roman" w:eastAsia="Times New Roman" w:hAnsi="Times New Roman" w:cs="Times New Roman"/>
          <w:sz w:val="24"/>
          <w:szCs w:val="24"/>
          <w:lang w:val="en-US"/>
        </w:rPr>
        <w:t xml:space="preserve">. </w:t>
      </w:r>
      <w:r w:rsidR="0072696F" w:rsidRPr="002E68D5">
        <w:rPr>
          <w:rFonts w:ascii="Times New Roman" w:eastAsia="Times New Roman" w:hAnsi="Times New Roman" w:cs="Times New Roman"/>
          <w:sz w:val="24"/>
          <w:szCs w:val="24"/>
        </w:rPr>
        <w:t>Auditor type plays a role in determining the quality of financial reporting because the competence, independence, size, and reputation of the audit firm influence its ability to detect and constrain earnings manipulation. Yudhanto</w:t>
      </w:r>
      <w:r w:rsidR="0072696F" w:rsidRPr="002E68D5">
        <w:rPr>
          <w:rFonts w:ascii="Times New Roman" w:eastAsia="Times New Roman" w:hAnsi="Times New Roman" w:cs="Times New Roman"/>
          <w:sz w:val="24"/>
          <w:szCs w:val="24"/>
          <w:lang w:val="en-US"/>
        </w:rPr>
        <w:t xml:space="preserve"> and</w:t>
      </w:r>
      <w:r w:rsidR="0072696F" w:rsidRPr="002E68D5">
        <w:rPr>
          <w:rFonts w:ascii="Times New Roman" w:eastAsia="Times New Roman" w:hAnsi="Times New Roman" w:cs="Times New Roman"/>
          <w:sz w:val="24"/>
          <w:szCs w:val="24"/>
        </w:rPr>
        <w:t xml:space="preserve"> Rahmawati</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rPr>
        <w:t>(2025) argue</w:t>
      </w:r>
      <w:r w:rsidR="0072696F" w:rsidRPr="002E68D5">
        <w:rPr>
          <w:rFonts w:ascii="Times New Roman" w:eastAsia="Times New Roman" w:hAnsi="Times New Roman" w:cs="Times New Roman"/>
          <w:sz w:val="24"/>
          <w:szCs w:val="24"/>
          <w:lang w:val="en-US"/>
        </w:rPr>
        <w:t xml:space="preserve">d </w:t>
      </w:r>
      <w:r w:rsidR="0072696F" w:rsidRPr="002E68D5">
        <w:rPr>
          <w:rFonts w:ascii="Times New Roman" w:eastAsia="Times New Roman" w:hAnsi="Times New Roman" w:cs="Times New Roman"/>
          <w:sz w:val="24"/>
          <w:szCs w:val="24"/>
        </w:rPr>
        <w:t>that larger audit firms</w:t>
      </w:r>
      <w:r w:rsidR="0072696F" w:rsidRPr="002E68D5">
        <w:rPr>
          <w:rFonts w:ascii="Times New Roman" w:eastAsia="Times New Roman" w:hAnsi="Times New Roman" w:cs="Times New Roman"/>
          <w:sz w:val="24"/>
          <w:szCs w:val="24"/>
          <w:lang w:val="en-US"/>
        </w:rPr>
        <w:t xml:space="preserve">, </w:t>
      </w:r>
      <w:r w:rsidR="0072696F" w:rsidRPr="002E68D5">
        <w:rPr>
          <w:rFonts w:ascii="Times New Roman" w:eastAsia="Times New Roman" w:hAnsi="Times New Roman" w:cs="Times New Roman"/>
          <w:sz w:val="24"/>
          <w:szCs w:val="24"/>
        </w:rPr>
        <w:t>especially the Big 4</w:t>
      </w:r>
      <w:r w:rsidR="0072696F" w:rsidRPr="002E68D5">
        <w:rPr>
          <w:rFonts w:ascii="Times New Roman" w:eastAsia="Times New Roman" w:hAnsi="Times New Roman" w:cs="Times New Roman"/>
          <w:sz w:val="24"/>
          <w:szCs w:val="24"/>
          <w:lang w:val="en-US"/>
        </w:rPr>
        <w:t xml:space="preserve">, </w:t>
      </w:r>
      <w:r w:rsidR="0072696F" w:rsidRPr="002E68D5">
        <w:rPr>
          <w:rFonts w:ascii="Times New Roman" w:eastAsia="Times New Roman" w:hAnsi="Times New Roman" w:cs="Times New Roman"/>
          <w:sz w:val="24"/>
          <w:szCs w:val="24"/>
        </w:rPr>
        <w:t>have stronger incentives to maintain their reputational capital and thus provide more rigorous monitoring than smaller firms. Big 4 auditors also possess superior technological tools, industry expertise, professional training systems, and quality control procedures, all of which enhance their effectiveness in detecting material misstatements. Since managers often possess incentives to manipulate earnings or hide poor performance, the external auditor functions as a monitoring mechanism to protect shareholders and other stakeholders</w:t>
      </w:r>
      <w:r w:rsidR="005C1124" w:rsidRPr="002E68D5">
        <w:rPr>
          <w:rFonts w:ascii="Times New Roman" w:eastAsia="Times New Roman" w:hAnsi="Times New Roman" w:cs="Times New Roman"/>
          <w:sz w:val="24"/>
          <w:szCs w:val="24"/>
          <w:lang w:val="en-US"/>
        </w:rPr>
        <w:t xml:space="preserve"> (</w:t>
      </w:r>
      <w:r w:rsidR="005C1124" w:rsidRPr="002E68D5">
        <w:rPr>
          <w:rFonts w:ascii="Times New Roman" w:eastAsia="Times New Roman" w:hAnsi="Times New Roman" w:cs="Times New Roman"/>
          <w:sz w:val="24"/>
          <w:szCs w:val="24"/>
        </w:rPr>
        <w:t>Yousefi</w:t>
      </w:r>
      <w:r w:rsidR="005C1124" w:rsidRPr="002E68D5">
        <w:rPr>
          <w:rFonts w:ascii="Times New Roman" w:eastAsia="Times New Roman" w:hAnsi="Times New Roman" w:cs="Times New Roman"/>
          <w:sz w:val="24"/>
          <w:szCs w:val="24"/>
          <w:lang w:val="en-US"/>
        </w:rPr>
        <w:t>-</w:t>
      </w:r>
      <w:r w:rsidR="005C1124" w:rsidRPr="002E68D5">
        <w:rPr>
          <w:rFonts w:ascii="Times New Roman" w:eastAsia="Times New Roman" w:hAnsi="Times New Roman" w:cs="Times New Roman"/>
          <w:sz w:val="24"/>
          <w:szCs w:val="24"/>
        </w:rPr>
        <w:t>Nejad</w:t>
      </w:r>
      <w:r w:rsidR="005C1124" w:rsidRPr="002E68D5">
        <w:rPr>
          <w:rFonts w:ascii="Times New Roman" w:eastAsia="Times New Roman" w:hAnsi="Times New Roman" w:cs="Times New Roman"/>
          <w:sz w:val="24"/>
          <w:szCs w:val="24"/>
          <w:lang w:val="en-US"/>
        </w:rPr>
        <w:t>, 2024)</w:t>
      </w:r>
      <w:r w:rsidR="0072696F" w:rsidRPr="002E68D5">
        <w:rPr>
          <w:rFonts w:ascii="Times New Roman" w:eastAsia="Times New Roman" w:hAnsi="Times New Roman" w:cs="Times New Roman"/>
          <w:sz w:val="24"/>
          <w:szCs w:val="24"/>
        </w:rPr>
        <w:t>. Big 4 auditors, due to their capacity and reputation concerns, impose higher audit effort, apply more rigorous materiality thresholds, and display lower tolerance for aggressive accounting choices. This leads to reduced earnings management, lower discretionary accruals, and diminished income smoothing tendencies among firms they audit.</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rPr>
        <w:t>Non–Big 4 auditors, on the other hand, may lack the necessary resources, expertise, or independence to apply similar levels of scrutiny, making financial statements more vulnerable to manipulation or bias</w:t>
      </w:r>
      <w:r w:rsidR="0072696F" w:rsidRPr="002E68D5">
        <w:rPr>
          <w:rFonts w:ascii="Times New Roman" w:eastAsia="Times New Roman" w:hAnsi="Times New Roman" w:cs="Times New Roman"/>
          <w:sz w:val="24"/>
          <w:szCs w:val="24"/>
          <w:lang w:val="en-US"/>
        </w:rPr>
        <w:t xml:space="preserve"> (</w:t>
      </w:r>
      <w:r w:rsidR="008D08E8" w:rsidRPr="002E68D5">
        <w:rPr>
          <w:rFonts w:ascii="Times New Roman" w:hAnsi="Times New Roman" w:cs="Times New Roman"/>
          <w:sz w:val="24"/>
          <w:szCs w:val="24"/>
        </w:rPr>
        <w:t>Akpan &amp; Nsentip, 2020)</w:t>
      </w:r>
      <w:r w:rsidR="0072696F" w:rsidRPr="002E68D5">
        <w:rPr>
          <w:rFonts w:ascii="Times New Roman" w:eastAsia="Times New Roman" w:hAnsi="Times New Roman" w:cs="Times New Roman"/>
          <w:sz w:val="24"/>
          <w:szCs w:val="24"/>
        </w:rPr>
        <w:t>.</w:t>
      </w:r>
      <w:r w:rsidRPr="002E68D5">
        <w:rPr>
          <w:rFonts w:ascii="Times New Roman" w:eastAsia="Times New Roman" w:hAnsi="Times New Roman" w:cs="Times New Roman"/>
          <w:sz w:val="24"/>
          <w:szCs w:val="24"/>
          <w:lang w:val="en-US"/>
        </w:rPr>
        <w:t xml:space="preserve"> </w:t>
      </w:r>
      <w:r w:rsidR="0072696F" w:rsidRPr="002E68D5">
        <w:rPr>
          <w:rFonts w:ascii="Times New Roman" w:eastAsia="Times New Roman" w:hAnsi="Times New Roman" w:cs="Times New Roman"/>
          <w:sz w:val="24"/>
          <w:szCs w:val="24"/>
          <w:lang w:val="en-US"/>
        </w:rPr>
        <w:t xml:space="preserve"> From </w:t>
      </w:r>
      <w:r w:rsidR="0072696F" w:rsidRPr="002E68D5">
        <w:rPr>
          <w:rFonts w:ascii="Times New Roman" w:eastAsia="Times New Roman" w:hAnsi="Times New Roman" w:cs="Times New Roman"/>
          <w:sz w:val="24"/>
          <w:szCs w:val="24"/>
          <w:lang w:val="en-US"/>
        </w:rPr>
        <w:lastRenderedPageBreak/>
        <w:t xml:space="preserve">empirical studies, </w:t>
      </w:r>
      <w:r w:rsidR="0072696F" w:rsidRPr="002E68D5">
        <w:rPr>
          <w:rFonts w:ascii="Times New Roman" w:eastAsia="Times New Roman" w:hAnsi="Times New Roman" w:cs="Times New Roman"/>
          <w:sz w:val="24"/>
          <w:szCs w:val="24"/>
        </w:rPr>
        <w:t>Olowookere</w:t>
      </w:r>
      <w:r w:rsidR="0072696F" w:rsidRPr="002E68D5">
        <w:rPr>
          <w:rFonts w:ascii="Times New Roman" w:eastAsia="Times New Roman" w:hAnsi="Times New Roman" w:cs="Times New Roman"/>
          <w:sz w:val="24"/>
          <w:szCs w:val="24"/>
          <w:lang w:val="en-US"/>
        </w:rPr>
        <w:t xml:space="preserve"> et al. (2025) found that </w:t>
      </w:r>
      <w:r w:rsidR="0072696F" w:rsidRPr="002E68D5">
        <w:rPr>
          <w:rFonts w:ascii="Times New Roman" w:eastAsia="Times New Roman" w:hAnsi="Times New Roman" w:cs="Times New Roman"/>
          <w:sz w:val="24"/>
          <w:szCs w:val="24"/>
        </w:rPr>
        <w:t>the impact of AFS represented by Big 4 on income smoothing was negative, while that of audit tenure was positive but not significant. Awodiji</w:t>
      </w:r>
      <w:r w:rsidR="0072696F" w:rsidRPr="002E68D5">
        <w:rPr>
          <w:rFonts w:ascii="Times New Roman" w:eastAsia="Times New Roman" w:hAnsi="Times New Roman" w:cs="Times New Roman"/>
          <w:sz w:val="24"/>
          <w:szCs w:val="24"/>
          <w:lang w:val="en-US"/>
        </w:rPr>
        <w:t xml:space="preserve"> et al. (2025) </w:t>
      </w:r>
      <w:r w:rsidR="0072696F" w:rsidRPr="002E68D5">
        <w:rPr>
          <w:rFonts w:ascii="Times New Roman" w:eastAsia="Times New Roman" w:hAnsi="Times New Roman" w:cs="Times New Roman"/>
          <w:sz w:val="24"/>
          <w:szCs w:val="24"/>
          <w:shd w:val="clear" w:color="auto" w:fill="FFFFFF"/>
          <w:lang w:val="en-US" w:eastAsia="zh-CN"/>
        </w:rPr>
        <w:t xml:space="preserve">showed that Big 4 audit firms do not have a significant advantage over non-Big 4 firms in terms of financial performance. </w:t>
      </w:r>
      <w:r w:rsidR="003B2B89" w:rsidRPr="002E68D5">
        <w:rPr>
          <w:rFonts w:ascii="Times New Roman" w:eastAsia="Times New Roman" w:hAnsi="Times New Roman" w:cs="Times New Roman"/>
          <w:sz w:val="24"/>
          <w:szCs w:val="24"/>
          <w:shd w:val="clear" w:color="auto" w:fill="FFFFFF"/>
          <w:lang w:val="en-US" w:eastAsia="zh-CN"/>
        </w:rPr>
        <w:t xml:space="preserve">On the contrary, </w:t>
      </w:r>
      <w:r w:rsidR="0072696F" w:rsidRPr="002E68D5">
        <w:rPr>
          <w:rFonts w:ascii="Times New Roman" w:eastAsia="Times New Roman" w:hAnsi="Times New Roman" w:cs="Times New Roman"/>
          <w:sz w:val="24"/>
          <w:szCs w:val="24"/>
        </w:rPr>
        <w:t>Yousefi</w:t>
      </w:r>
      <w:r w:rsidR="0072696F" w:rsidRPr="002E68D5">
        <w:rPr>
          <w:rFonts w:ascii="Times New Roman" w:eastAsia="Times New Roman" w:hAnsi="Times New Roman" w:cs="Times New Roman"/>
          <w:sz w:val="24"/>
          <w:szCs w:val="24"/>
          <w:lang w:val="en-US"/>
        </w:rPr>
        <w:t>-</w:t>
      </w:r>
      <w:r w:rsidR="0072696F" w:rsidRPr="002E68D5">
        <w:rPr>
          <w:rFonts w:ascii="Times New Roman" w:eastAsia="Times New Roman" w:hAnsi="Times New Roman" w:cs="Times New Roman"/>
          <w:sz w:val="24"/>
          <w:szCs w:val="24"/>
        </w:rPr>
        <w:t>Nejad</w:t>
      </w:r>
      <w:r w:rsidR="0072696F" w:rsidRPr="002E68D5">
        <w:rPr>
          <w:rFonts w:ascii="Times New Roman" w:eastAsia="Times New Roman" w:hAnsi="Times New Roman" w:cs="Times New Roman"/>
          <w:sz w:val="24"/>
          <w:szCs w:val="24"/>
          <w:lang w:val="en-US"/>
        </w:rPr>
        <w:t xml:space="preserve"> (2024) found </w:t>
      </w:r>
      <w:r w:rsidR="0072696F" w:rsidRPr="002E68D5">
        <w:rPr>
          <w:rFonts w:ascii="Times New Roman" w:eastAsia="Times New Roman" w:hAnsi="Times New Roman" w:cs="Times New Roman"/>
          <w:sz w:val="24"/>
          <w:szCs w:val="24"/>
          <w:shd w:val="clear" w:color="auto" w:fill="FFFFFF"/>
          <w:lang w:val="en-US" w:eastAsia="zh-CN"/>
        </w:rPr>
        <w:t>a negative relationship is observed between Big-4 and financial statement fraud, which may be due to the greater resources, expertise, quality control, scrutiny, reputation, and ethical conduct of Big-</w:t>
      </w:r>
      <w:r w:rsidR="00085E8B" w:rsidRPr="002E68D5">
        <w:rPr>
          <w:rFonts w:ascii="Times New Roman" w:eastAsia="Times New Roman" w:hAnsi="Times New Roman" w:cs="Times New Roman"/>
          <w:sz w:val="24"/>
          <w:szCs w:val="24"/>
          <w:shd w:val="clear" w:color="auto" w:fill="FFFFFF"/>
          <w:lang w:val="en-US" w:eastAsia="zh-CN"/>
        </w:rPr>
        <w:t>4</w:t>
      </w:r>
      <w:r w:rsidR="0072696F" w:rsidRPr="002E68D5">
        <w:rPr>
          <w:rFonts w:ascii="Times New Roman" w:eastAsia="Times New Roman" w:hAnsi="Times New Roman" w:cs="Times New Roman"/>
          <w:sz w:val="24"/>
          <w:szCs w:val="24"/>
          <w:shd w:val="clear" w:color="auto" w:fill="FFFFFF"/>
          <w:lang w:val="en-US" w:eastAsia="zh-CN"/>
        </w:rPr>
        <w:t xml:space="preserve"> audit companies.</w:t>
      </w:r>
      <w:r w:rsidR="003B2B89" w:rsidRPr="002E68D5">
        <w:rPr>
          <w:rFonts w:ascii="Times New Roman" w:eastAsia="Times New Roman" w:hAnsi="Times New Roman" w:cs="Times New Roman"/>
          <w:sz w:val="24"/>
          <w:szCs w:val="24"/>
          <w:shd w:val="clear" w:color="auto" w:fill="FFFFFF"/>
          <w:lang w:val="en-US" w:eastAsia="zh-CN"/>
        </w:rPr>
        <w:t xml:space="preserve"> Against this backdrop,</w:t>
      </w:r>
      <w:r w:rsidR="00085E8B" w:rsidRPr="002E68D5">
        <w:rPr>
          <w:rFonts w:ascii="Times New Roman" w:eastAsia="Times New Roman" w:hAnsi="Times New Roman" w:cs="Times New Roman"/>
          <w:sz w:val="24"/>
          <w:szCs w:val="24"/>
          <w:shd w:val="clear" w:color="auto" w:fill="FFFFFF"/>
          <w:lang w:val="en-US" w:eastAsia="zh-CN"/>
        </w:rPr>
        <w:t xml:space="preserve"> it was hypothesized that:</w:t>
      </w:r>
    </w:p>
    <w:p w14:paraId="6280DC10" w14:textId="2B3CB348" w:rsidR="00085E8B" w:rsidRPr="002E68D5" w:rsidRDefault="00085E8B" w:rsidP="00085E8B">
      <w:pPr>
        <w:spacing w:line="480" w:lineRule="auto"/>
        <w:jc w:val="both"/>
        <w:rPr>
          <w:rFonts w:ascii="Times New Roman" w:eastAsia="Times New Roman" w:hAnsi="Times New Roman" w:cs="Times New Roman"/>
          <w:i/>
          <w:iCs/>
          <w:sz w:val="24"/>
          <w:szCs w:val="24"/>
          <w:lang w:val="en-US"/>
        </w:rPr>
      </w:pPr>
      <w:r w:rsidRPr="002E68D5">
        <w:rPr>
          <w:rFonts w:ascii="Times New Roman" w:eastAsia="Times New Roman" w:hAnsi="Times New Roman" w:cs="Times New Roman"/>
          <w:i/>
          <w:iCs/>
          <w:sz w:val="24"/>
          <w:szCs w:val="24"/>
          <w:shd w:val="clear" w:color="auto" w:fill="FFFFFF"/>
          <w:lang w:val="en-US" w:eastAsia="zh-CN"/>
        </w:rPr>
        <w:t>Ho</w:t>
      </w:r>
      <w:r w:rsidRPr="002E68D5">
        <w:rPr>
          <w:rFonts w:ascii="Times New Roman" w:eastAsia="Times New Roman" w:hAnsi="Times New Roman" w:cs="Times New Roman"/>
          <w:i/>
          <w:iCs/>
          <w:sz w:val="24"/>
          <w:szCs w:val="24"/>
          <w:shd w:val="clear" w:color="auto" w:fill="FFFFFF"/>
          <w:vertAlign w:val="subscript"/>
          <w:lang w:val="en-US" w:eastAsia="zh-CN"/>
        </w:rPr>
        <w:t>1</w:t>
      </w:r>
      <w:r w:rsidRPr="002E68D5">
        <w:rPr>
          <w:rFonts w:ascii="Times New Roman" w:eastAsia="Times New Roman" w:hAnsi="Times New Roman" w:cs="Times New Roman"/>
          <w:i/>
          <w:iCs/>
          <w:sz w:val="24"/>
          <w:szCs w:val="24"/>
          <w:shd w:val="clear" w:color="auto" w:fill="FFFFFF"/>
          <w:lang w:val="en-US" w:eastAsia="zh-CN"/>
        </w:rPr>
        <w:t>: Auditor type does not significantly affect income smoothing of listed nonfinancial firms in Nigeria</w:t>
      </w:r>
    </w:p>
    <w:p w14:paraId="7F645042" w14:textId="1D6C7BFE" w:rsidR="0072696F" w:rsidRPr="002E68D5" w:rsidRDefault="0072696F" w:rsidP="0072696F">
      <w:pPr>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Sustainability disclosure practices and income smoothing</w:t>
      </w:r>
    </w:p>
    <w:p w14:paraId="67312F17" w14:textId="4985D9EF" w:rsidR="0072696F" w:rsidRPr="002E68D5" w:rsidRDefault="007F03C0" w:rsidP="00085E8B">
      <w:pPr>
        <w:snapToGrid w:val="0"/>
        <w:spacing w:after="0" w:line="480" w:lineRule="auto"/>
        <w:ind w:firstLine="720"/>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rPr>
        <w:t>According to the Global Reporting Initiative (GRI, 20</w:t>
      </w:r>
      <w:r w:rsidRPr="002E68D5">
        <w:rPr>
          <w:rFonts w:ascii="Times New Roman" w:eastAsia="Times New Roman" w:hAnsi="Times New Roman" w:cs="Times New Roman"/>
          <w:sz w:val="24"/>
          <w:szCs w:val="24"/>
          <w:lang w:val="en-US"/>
        </w:rPr>
        <w:t>23</w:t>
      </w:r>
      <w:r w:rsidRPr="002E68D5">
        <w:rPr>
          <w:rFonts w:ascii="Times New Roman" w:eastAsia="Times New Roman" w:hAnsi="Times New Roman" w:cs="Times New Roman"/>
          <w:sz w:val="24"/>
          <w:szCs w:val="24"/>
        </w:rPr>
        <w:t>), sustainability disclosure consists of publicly reporting standardized ESG indicators to enhance organizational transparency and accountability.</w:t>
      </w:r>
      <w:r w:rsidRPr="002E68D5">
        <w:rPr>
          <w:rFonts w:ascii="Times New Roman" w:eastAsia="Times New Roman" w:hAnsi="Times New Roman" w:cs="Times New Roman"/>
          <w:sz w:val="24"/>
          <w:szCs w:val="24"/>
          <w:lang w:val="en-US"/>
        </w:rPr>
        <w:t xml:space="preserve"> </w:t>
      </w:r>
      <w:r w:rsidR="008D08E8" w:rsidRPr="002E68D5">
        <w:rPr>
          <w:rFonts w:ascii="Times New Roman" w:eastAsia="Times New Roman" w:hAnsi="Times New Roman" w:cs="Times New Roman"/>
          <w:sz w:val="24"/>
          <w:szCs w:val="24"/>
          <w:lang w:val="en-US"/>
        </w:rPr>
        <w:t xml:space="preserve">According to </w:t>
      </w:r>
      <w:r w:rsidR="008D08E8" w:rsidRPr="002E68D5">
        <w:rPr>
          <w:rFonts w:ascii="Times New Roman" w:hAnsi="Times New Roman" w:cs="Times New Roman"/>
          <w:sz w:val="24"/>
          <w:szCs w:val="24"/>
        </w:rPr>
        <w:t>Etim</w:t>
      </w:r>
      <w:r w:rsidR="008D08E8" w:rsidRPr="002E68D5">
        <w:rPr>
          <w:rFonts w:ascii="Times New Roman" w:hAnsi="Times New Roman" w:cs="Times New Roman"/>
          <w:sz w:val="24"/>
          <w:szCs w:val="24"/>
          <w:lang w:val="en-US"/>
        </w:rPr>
        <w:t xml:space="preserve"> and</w:t>
      </w:r>
      <w:r w:rsidR="008D08E8" w:rsidRPr="002E68D5">
        <w:rPr>
          <w:rFonts w:ascii="Times New Roman" w:hAnsi="Times New Roman" w:cs="Times New Roman"/>
          <w:sz w:val="24"/>
          <w:szCs w:val="24"/>
        </w:rPr>
        <w:t xml:space="preserve"> Akpan</w:t>
      </w:r>
      <w:r w:rsidR="008D08E8" w:rsidRPr="002E68D5">
        <w:rPr>
          <w:rFonts w:ascii="Times New Roman" w:hAnsi="Times New Roman" w:cs="Times New Roman"/>
          <w:sz w:val="24"/>
          <w:szCs w:val="24"/>
          <w:lang w:val="en-US"/>
        </w:rPr>
        <w:t xml:space="preserve"> </w:t>
      </w:r>
      <w:r w:rsidR="008D08E8" w:rsidRPr="002E68D5">
        <w:rPr>
          <w:rFonts w:ascii="Times New Roman" w:hAnsi="Times New Roman" w:cs="Times New Roman"/>
          <w:sz w:val="24"/>
          <w:szCs w:val="24"/>
        </w:rPr>
        <w:t>(2023)</w:t>
      </w:r>
      <w:r w:rsidR="008D08E8" w:rsidRPr="002E68D5">
        <w:rPr>
          <w:rFonts w:ascii="Times New Roman" w:hAnsi="Times New Roman" w:cs="Times New Roman"/>
          <w:sz w:val="24"/>
          <w:szCs w:val="24"/>
          <w:lang w:val="en-US"/>
        </w:rPr>
        <w:t>, i</w:t>
      </w:r>
      <w:r w:rsidRPr="002E68D5">
        <w:rPr>
          <w:rFonts w:ascii="Times New Roman" w:eastAsia="Times New Roman" w:hAnsi="Times New Roman" w:cs="Times New Roman"/>
          <w:sz w:val="24"/>
          <w:szCs w:val="24"/>
          <w:lang w:val="en-US"/>
        </w:rPr>
        <w:t xml:space="preserve">t </w:t>
      </w:r>
      <w:r w:rsidRPr="002E68D5">
        <w:rPr>
          <w:rFonts w:ascii="Times New Roman" w:eastAsia="Times New Roman" w:hAnsi="Times New Roman" w:cs="Times New Roman"/>
          <w:sz w:val="24"/>
          <w:szCs w:val="24"/>
        </w:rPr>
        <w:t>refer</w:t>
      </w:r>
      <w:r w:rsidRPr="002E68D5">
        <w:rPr>
          <w:rFonts w:ascii="Times New Roman" w:eastAsia="Times New Roman" w:hAnsi="Times New Roman" w:cs="Times New Roman"/>
          <w:sz w:val="24"/>
          <w:szCs w:val="24"/>
          <w:lang w:val="en-US"/>
        </w:rPr>
        <w:t xml:space="preserve">s </w:t>
      </w:r>
      <w:r w:rsidRPr="002E68D5">
        <w:rPr>
          <w:rFonts w:ascii="Times New Roman" w:eastAsia="Times New Roman" w:hAnsi="Times New Roman" w:cs="Times New Roman"/>
          <w:sz w:val="24"/>
          <w:szCs w:val="24"/>
        </w:rPr>
        <w:t>to a firm’s voluntary or mandatory communication of its environmental, social, and governance (ESG) activities, impacts, risks, and performance to stakeholders.</w:t>
      </w:r>
      <w:r w:rsidR="0072696F" w:rsidRPr="002E68D5">
        <w:rPr>
          <w:rFonts w:ascii="Times New Roman" w:eastAsia="Times New Roman" w:hAnsi="Times New Roman" w:cs="Times New Roman"/>
          <w:sz w:val="24"/>
          <w:szCs w:val="24"/>
        </w:rPr>
        <w:t xml:space="preserve"> </w:t>
      </w:r>
      <w:r w:rsidR="0072696F" w:rsidRPr="002E68D5">
        <w:rPr>
          <w:rFonts w:ascii="Times New Roman" w:eastAsia="Times New Roman" w:hAnsi="Times New Roman" w:cs="Times New Roman"/>
          <w:sz w:val="24"/>
          <w:szCs w:val="24"/>
          <w:lang w:val="en-US"/>
        </w:rPr>
        <w:t xml:space="preserve">Globally, </w:t>
      </w:r>
      <w:r w:rsidR="0072696F" w:rsidRPr="002E68D5">
        <w:rPr>
          <w:rFonts w:ascii="Times New Roman" w:eastAsia="Times New Roman" w:hAnsi="Times New Roman" w:cs="Times New Roman"/>
          <w:sz w:val="24"/>
          <w:szCs w:val="24"/>
        </w:rPr>
        <w:t>studies have shown that firms with robust sustainability reporting exhibit better financial reporting quality, measured by earnings persistence, accrual quality, and reduced discretionary accruals (Uwuigbe et al., 2019). O</w:t>
      </w:r>
      <w:r w:rsidR="0072696F" w:rsidRPr="002E68D5">
        <w:rPr>
          <w:rFonts w:ascii="Times New Roman" w:hAnsi="Times New Roman" w:cs="Times New Roman"/>
          <w:sz w:val="24"/>
          <w:szCs w:val="24"/>
        </w:rPr>
        <w:t>lolade</w:t>
      </w:r>
      <w:r w:rsidR="0072696F" w:rsidRPr="002E68D5">
        <w:rPr>
          <w:rFonts w:ascii="Times New Roman" w:hAnsi="Times New Roman" w:cs="Times New Roman"/>
          <w:sz w:val="24"/>
          <w:szCs w:val="24"/>
          <w:lang w:val="en-US"/>
        </w:rPr>
        <w:t xml:space="preserve"> and</w:t>
      </w:r>
      <w:r w:rsidR="0072696F" w:rsidRPr="002E68D5">
        <w:rPr>
          <w:rFonts w:ascii="Times New Roman" w:eastAsia="Times New Roman" w:hAnsi="Times New Roman" w:cs="Times New Roman"/>
          <w:sz w:val="24"/>
          <w:szCs w:val="24"/>
        </w:rPr>
        <w:t xml:space="preserve"> A</w:t>
      </w:r>
      <w:r w:rsidR="0072696F" w:rsidRPr="002E68D5">
        <w:rPr>
          <w:rFonts w:ascii="Times New Roman" w:hAnsi="Times New Roman" w:cs="Times New Roman"/>
          <w:sz w:val="24"/>
          <w:szCs w:val="24"/>
        </w:rPr>
        <w:t>dekanmi</w:t>
      </w:r>
      <w:r w:rsidR="0072696F" w:rsidRPr="002E68D5">
        <w:rPr>
          <w:rFonts w:ascii="Times New Roman" w:hAnsi="Times New Roman" w:cs="Times New Roman"/>
          <w:sz w:val="24"/>
          <w:szCs w:val="24"/>
          <w:lang w:val="en-US"/>
        </w:rPr>
        <w:t xml:space="preserve"> (2023) </w:t>
      </w:r>
      <w:r w:rsidR="0072696F" w:rsidRPr="002E68D5">
        <w:rPr>
          <w:rFonts w:ascii="Times New Roman" w:eastAsia="Times New Roman" w:hAnsi="Times New Roman" w:cs="Times New Roman"/>
          <w:sz w:val="24"/>
          <w:szCs w:val="24"/>
        </w:rPr>
        <w:t>further emphasizes that sustainability disclosure encompasses practices that align corporate governance structures with stakeholder expectations, particularly regarding transparency in reporting environmental and social impacts.</w:t>
      </w:r>
      <w:r w:rsidR="00085E8B" w:rsidRPr="002E68D5">
        <w:rPr>
          <w:rFonts w:ascii="Times New Roman" w:eastAsia="Times New Roman" w:hAnsi="Times New Roman" w:cs="Times New Roman"/>
          <w:sz w:val="24"/>
          <w:szCs w:val="24"/>
          <w:lang w:val="en-US"/>
        </w:rPr>
        <w:t xml:space="preserve"> Empirical studies generally support the fact firms with high sustainability disclosure practices do not engage in earnings manipulations. For instance,</w:t>
      </w:r>
      <w:r w:rsidR="00085E8B" w:rsidRPr="002E68D5">
        <w:rPr>
          <w:rFonts w:ascii="Times New Roman" w:eastAsia="Times New Roman" w:hAnsi="Times New Roman" w:cs="Times New Roman"/>
          <w:sz w:val="24"/>
          <w:szCs w:val="24"/>
        </w:rPr>
        <w:t xml:space="preserve"> </w:t>
      </w:r>
      <w:r w:rsidR="0072696F" w:rsidRPr="002E68D5">
        <w:rPr>
          <w:rFonts w:ascii="Times New Roman" w:eastAsia="Times New Roman" w:hAnsi="Times New Roman" w:cs="Times New Roman"/>
          <w:sz w:val="24"/>
          <w:szCs w:val="24"/>
        </w:rPr>
        <w:t>Nurullah</w:t>
      </w:r>
      <w:r w:rsidR="0072696F" w:rsidRPr="002E68D5">
        <w:rPr>
          <w:rFonts w:ascii="Times New Roman" w:eastAsia="Times New Roman" w:hAnsi="Times New Roman" w:cs="Times New Roman"/>
          <w:sz w:val="24"/>
          <w:szCs w:val="24"/>
          <w:lang w:val="en-US"/>
        </w:rPr>
        <w:t xml:space="preserve"> et al.</w:t>
      </w:r>
      <w:r w:rsidR="0072696F" w:rsidRPr="002E68D5">
        <w:rPr>
          <w:rFonts w:ascii="Times New Roman" w:eastAsia="Times New Roman" w:hAnsi="Times New Roman" w:cs="Times New Roman"/>
          <w:sz w:val="24"/>
          <w:szCs w:val="24"/>
        </w:rPr>
        <w:t xml:space="preserve"> (2025)</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rPr>
        <w:t>found that Nigerian firms with robust sustainability disclosures experienced higher accrual quality and earnings persistence, indicating improved financial reporting quality.</w:t>
      </w:r>
      <w:r w:rsidR="005C1124" w:rsidRPr="002E68D5">
        <w:rPr>
          <w:rFonts w:ascii="Times New Roman" w:eastAsia="Times New Roman" w:hAnsi="Times New Roman" w:cs="Times New Roman"/>
          <w:sz w:val="24"/>
          <w:szCs w:val="24"/>
          <w:lang w:val="en-US"/>
        </w:rPr>
        <w:t xml:space="preserve"> </w:t>
      </w:r>
      <w:r w:rsidR="0072696F" w:rsidRPr="002E68D5">
        <w:rPr>
          <w:rFonts w:ascii="Times New Roman" w:hAnsi="Times New Roman" w:cs="Times New Roman"/>
          <w:sz w:val="24"/>
          <w:szCs w:val="24"/>
        </w:rPr>
        <w:t>Adegbayibi</w:t>
      </w:r>
      <w:r w:rsidR="0072696F" w:rsidRPr="002E68D5">
        <w:rPr>
          <w:rFonts w:ascii="Times New Roman" w:hAnsi="Times New Roman" w:cs="Times New Roman"/>
          <w:sz w:val="24"/>
          <w:szCs w:val="24"/>
          <w:lang w:val="en-US"/>
        </w:rPr>
        <w:t xml:space="preserve"> et al. </w:t>
      </w:r>
      <w:r w:rsidR="0072696F" w:rsidRPr="002E68D5">
        <w:rPr>
          <w:rFonts w:ascii="Times New Roman" w:hAnsi="Times New Roman" w:cs="Times New Roman"/>
          <w:sz w:val="24"/>
          <w:szCs w:val="24"/>
          <w:lang w:val="en-US"/>
        </w:rPr>
        <w:lastRenderedPageBreak/>
        <w:t xml:space="preserve">(2024) </w:t>
      </w:r>
      <w:r w:rsidR="0072696F" w:rsidRPr="002E68D5">
        <w:rPr>
          <w:rFonts w:ascii="Times New Roman" w:eastAsia="Times New Roman" w:hAnsi="Times New Roman" w:cs="Times New Roman"/>
          <w:sz w:val="24"/>
          <w:szCs w:val="24"/>
        </w:rPr>
        <w:t>revealed that environmental sustainability reporting has a positive and insignificant effect on the financial reporting quality of listed consumer goods firms in Nigeria. Akpabio</w:t>
      </w:r>
      <w:r w:rsidR="0072696F" w:rsidRPr="002E68D5">
        <w:rPr>
          <w:rFonts w:ascii="Times New Roman" w:eastAsia="Times New Roman" w:hAnsi="Times New Roman" w:cs="Times New Roman"/>
          <w:sz w:val="24"/>
          <w:szCs w:val="24"/>
          <w:lang w:val="en-US"/>
        </w:rPr>
        <w:t xml:space="preserve"> and </w:t>
      </w:r>
      <w:r w:rsidR="0072696F" w:rsidRPr="002E68D5">
        <w:rPr>
          <w:rFonts w:ascii="Times New Roman" w:eastAsia="Times New Roman" w:hAnsi="Times New Roman" w:cs="Times New Roman"/>
          <w:sz w:val="24"/>
          <w:szCs w:val="24"/>
        </w:rPr>
        <w:t>Azubike</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rPr>
        <w:t>(2024)</w:t>
      </w:r>
      <w:r w:rsidR="0072696F" w:rsidRPr="002E68D5">
        <w:rPr>
          <w:rFonts w:ascii="Times New Roman" w:eastAsia="Times New Roman" w:hAnsi="Times New Roman" w:cs="Times New Roman"/>
          <w:sz w:val="24"/>
          <w:szCs w:val="24"/>
          <w:lang w:val="en-US"/>
        </w:rPr>
        <w:t xml:space="preserve"> found that sustainability disclosure practices</w:t>
      </w:r>
      <w:r w:rsidR="0072696F" w:rsidRPr="002E68D5">
        <w:rPr>
          <w:rFonts w:ascii="Times New Roman" w:eastAsia="Times New Roman" w:hAnsi="Times New Roman" w:cs="Times New Roman"/>
          <w:sz w:val="24"/>
          <w:szCs w:val="24"/>
        </w:rPr>
        <w:t xml:space="preserve"> </w:t>
      </w:r>
      <w:r w:rsidR="008210ED" w:rsidRPr="002E68D5">
        <w:rPr>
          <w:rFonts w:ascii="Times New Roman" w:eastAsia="Times New Roman" w:hAnsi="Times New Roman" w:cs="Times New Roman"/>
          <w:sz w:val="24"/>
          <w:szCs w:val="24"/>
        </w:rPr>
        <w:t>have</w:t>
      </w:r>
      <w:r w:rsidR="0072696F" w:rsidRPr="002E68D5">
        <w:rPr>
          <w:rFonts w:ascii="Times New Roman" w:eastAsia="Times New Roman" w:hAnsi="Times New Roman" w:cs="Times New Roman"/>
          <w:sz w:val="24"/>
          <w:szCs w:val="24"/>
        </w:rPr>
        <w:t xml:space="preserve"> a significant effect on financial reporting quality of listed firms in Nigeria</w:t>
      </w:r>
      <w:r w:rsidR="0072696F" w:rsidRPr="002E68D5">
        <w:rPr>
          <w:rFonts w:ascii="Times New Roman" w:eastAsia="Times New Roman" w:hAnsi="Times New Roman" w:cs="Times New Roman"/>
          <w:sz w:val="24"/>
          <w:szCs w:val="24"/>
          <w:lang w:val="en-US"/>
        </w:rPr>
        <w:t xml:space="preserve">. </w:t>
      </w:r>
      <w:r w:rsidR="00085E8B" w:rsidRPr="002E68D5">
        <w:rPr>
          <w:rFonts w:ascii="Times New Roman" w:eastAsia="Times New Roman" w:hAnsi="Times New Roman" w:cs="Times New Roman"/>
          <w:sz w:val="24"/>
          <w:szCs w:val="24"/>
          <w:lang w:val="en-US"/>
        </w:rPr>
        <w:t>On the contrary,</w:t>
      </w:r>
      <w:r w:rsidR="0072696F" w:rsidRPr="002E68D5">
        <w:rPr>
          <w:rFonts w:ascii="Times New Roman" w:eastAsia="Times New Roman" w:hAnsi="Times New Roman" w:cs="Times New Roman"/>
          <w:sz w:val="24"/>
          <w:szCs w:val="24"/>
          <w:lang w:val="en-US"/>
        </w:rPr>
        <w:t xml:space="preserve"> </w:t>
      </w:r>
      <w:r w:rsidR="008210ED" w:rsidRPr="002E68D5">
        <w:t>Sharawi</w:t>
      </w:r>
      <w:r w:rsidR="008210ED" w:rsidRPr="002E68D5">
        <w:rPr>
          <w:lang w:val="en-US"/>
        </w:rPr>
        <w:t xml:space="preserve"> and</w:t>
      </w:r>
      <w:r w:rsidR="008210ED" w:rsidRPr="002E68D5">
        <w:t xml:space="preserve"> Shahawi (2024)</w:t>
      </w:r>
      <w:r w:rsidR="0072696F" w:rsidRPr="002E68D5">
        <w:rPr>
          <w:rFonts w:ascii="Times New Roman" w:eastAsia="Times New Roman" w:hAnsi="Times New Roman" w:cs="Times New Roman"/>
          <w:sz w:val="24"/>
          <w:szCs w:val="24"/>
          <w:lang w:val="en-US"/>
        </w:rPr>
        <w:t xml:space="preserve"> revealed that</w:t>
      </w:r>
      <w:r w:rsidR="001571DA" w:rsidRPr="002E68D5">
        <w:rPr>
          <w:rFonts w:ascii="Times New Roman" w:eastAsia="Times New Roman" w:hAnsi="Times New Roman" w:cs="Times New Roman"/>
          <w:sz w:val="24"/>
          <w:szCs w:val="24"/>
          <w:lang w:val="en-US"/>
        </w:rPr>
        <w:t xml:space="preserve"> </w:t>
      </w:r>
      <w:r w:rsidR="0072696F" w:rsidRPr="002E68D5">
        <w:rPr>
          <w:rFonts w:ascii="Times New Roman" w:eastAsia="Times New Roman" w:hAnsi="Times New Roman" w:cs="Times New Roman"/>
          <w:sz w:val="24"/>
          <w:szCs w:val="24"/>
          <w:lang w:val="en-US"/>
        </w:rPr>
        <w:t xml:space="preserve">sustainability reporting practices </w:t>
      </w:r>
      <w:r w:rsidR="0072696F" w:rsidRPr="002E68D5">
        <w:rPr>
          <w:rFonts w:ascii="Times New Roman" w:eastAsia="Times New Roman" w:hAnsi="Times New Roman" w:cs="Times New Roman"/>
          <w:sz w:val="24"/>
          <w:szCs w:val="24"/>
        </w:rPr>
        <w:t>ha</w:t>
      </w:r>
      <w:proofErr w:type="spellStart"/>
      <w:r w:rsidR="008210ED" w:rsidRPr="002E68D5">
        <w:rPr>
          <w:rFonts w:ascii="Times New Roman" w:eastAsia="Times New Roman" w:hAnsi="Times New Roman" w:cs="Times New Roman"/>
          <w:sz w:val="24"/>
          <w:szCs w:val="24"/>
          <w:lang w:val="en-US"/>
        </w:rPr>
        <w:t>ve</w:t>
      </w:r>
      <w:proofErr w:type="spellEnd"/>
      <w:r w:rsidR="0072696F" w:rsidRPr="002E68D5">
        <w:rPr>
          <w:rFonts w:ascii="Times New Roman" w:eastAsia="Times New Roman" w:hAnsi="Times New Roman" w:cs="Times New Roman"/>
          <w:sz w:val="24"/>
          <w:szCs w:val="24"/>
        </w:rPr>
        <w:t xml:space="preserve"> </w:t>
      </w:r>
      <w:r w:rsidR="008210ED" w:rsidRPr="002E68D5">
        <w:rPr>
          <w:rFonts w:ascii="Times New Roman" w:eastAsia="Times New Roman" w:hAnsi="Times New Roman" w:cs="Times New Roman"/>
          <w:sz w:val="24"/>
          <w:szCs w:val="24"/>
        </w:rPr>
        <w:t xml:space="preserve">a </w:t>
      </w:r>
      <w:r w:rsidR="0072696F" w:rsidRPr="002E68D5">
        <w:rPr>
          <w:rFonts w:ascii="Times New Roman" w:eastAsia="Times New Roman" w:hAnsi="Times New Roman" w:cs="Times New Roman"/>
          <w:sz w:val="24"/>
          <w:szCs w:val="24"/>
        </w:rPr>
        <w:t>weak positive correlation wit</w:t>
      </w:r>
      <w:r w:rsidR="0072696F" w:rsidRPr="002E68D5">
        <w:rPr>
          <w:rFonts w:ascii="Times New Roman" w:eastAsia="Times New Roman" w:hAnsi="Times New Roman" w:cs="Times New Roman"/>
          <w:sz w:val="24"/>
          <w:szCs w:val="24"/>
          <w:lang w:val="en-US"/>
        </w:rPr>
        <w:t>h transparency of financial reports</w:t>
      </w:r>
      <w:r w:rsidR="0072696F" w:rsidRPr="002E68D5">
        <w:rPr>
          <w:rFonts w:ascii="Times New Roman" w:eastAsia="Times New Roman" w:hAnsi="Times New Roman" w:cs="Times New Roman"/>
          <w:sz w:val="24"/>
          <w:szCs w:val="24"/>
        </w:rPr>
        <w:t xml:space="preserve"> (r</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rPr>
        <w:t>=</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rPr>
        <w:t>0.160).</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hAnsi="Times New Roman" w:cs="Times New Roman"/>
          <w:sz w:val="24"/>
          <w:szCs w:val="24"/>
          <w:lang w:val="en-US"/>
        </w:rPr>
        <w:t>M</w:t>
      </w:r>
      <w:r w:rsidR="0072696F" w:rsidRPr="002E68D5">
        <w:rPr>
          <w:rFonts w:ascii="Times New Roman" w:eastAsia="Times New Roman" w:hAnsi="Times New Roman" w:cs="Times New Roman"/>
          <w:sz w:val="24"/>
          <w:szCs w:val="24"/>
        </w:rPr>
        <w:t>alo-Alain</w:t>
      </w:r>
      <w:r w:rsidR="0072696F" w:rsidRPr="002E68D5">
        <w:rPr>
          <w:rFonts w:ascii="Times New Roman" w:hAnsi="Times New Roman" w:cs="Times New Roman"/>
          <w:sz w:val="24"/>
          <w:szCs w:val="24"/>
          <w:lang w:val="en-US"/>
        </w:rPr>
        <w:t xml:space="preserve"> et al. (2023) also found</w:t>
      </w:r>
      <w:r w:rsidR="0072696F" w:rsidRPr="002E68D5">
        <w:rPr>
          <w:rFonts w:ascii="Times New Roman" w:eastAsia="Times New Roman" w:hAnsi="Times New Roman" w:cs="Times New Roman"/>
          <w:sz w:val="24"/>
          <w:szCs w:val="24"/>
        </w:rPr>
        <w:t xml:space="preserve"> a significant and negative correlation between the accounting disclosure of sustainable development and both discretionary accruals</w:t>
      </w:r>
      <w:r w:rsidR="0072696F" w:rsidRPr="002E68D5">
        <w:rPr>
          <w:rFonts w:ascii="Times New Roman" w:eastAsia="Times New Roman" w:hAnsi="Times New Roman" w:cs="Times New Roman"/>
          <w:sz w:val="24"/>
          <w:szCs w:val="24"/>
          <w:lang w:val="en-GB"/>
        </w:rPr>
        <w:t>.</w:t>
      </w:r>
      <w:r w:rsidR="00085E8B" w:rsidRPr="002E68D5">
        <w:rPr>
          <w:rFonts w:ascii="Times New Roman" w:eastAsia="Times New Roman" w:hAnsi="Times New Roman" w:cs="Times New Roman"/>
          <w:sz w:val="24"/>
          <w:szCs w:val="24"/>
          <w:lang w:val="en-GB"/>
        </w:rPr>
        <w:t xml:space="preserve"> Thus, it was hypothesized that;</w:t>
      </w:r>
    </w:p>
    <w:p w14:paraId="5ED1CF2E" w14:textId="3F913894" w:rsidR="00085E8B" w:rsidRPr="002E68D5" w:rsidRDefault="00085E8B" w:rsidP="00085E8B">
      <w:pPr>
        <w:spacing w:line="480" w:lineRule="auto"/>
        <w:jc w:val="both"/>
        <w:rPr>
          <w:rFonts w:ascii="Times New Roman" w:eastAsia="Times New Roman" w:hAnsi="Times New Roman" w:cs="Times New Roman"/>
          <w:i/>
          <w:iCs/>
          <w:sz w:val="24"/>
          <w:szCs w:val="24"/>
          <w:lang w:val="en-US"/>
        </w:rPr>
      </w:pPr>
      <w:r w:rsidRPr="002E68D5">
        <w:rPr>
          <w:rFonts w:ascii="Times New Roman" w:eastAsia="Times New Roman" w:hAnsi="Times New Roman" w:cs="Times New Roman"/>
          <w:i/>
          <w:iCs/>
          <w:sz w:val="24"/>
          <w:szCs w:val="24"/>
          <w:shd w:val="clear" w:color="auto" w:fill="FFFFFF"/>
          <w:lang w:val="en-US" w:eastAsia="zh-CN"/>
        </w:rPr>
        <w:t>Ho</w:t>
      </w:r>
      <w:r w:rsidRPr="002E68D5">
        <w:rPr>
          <w:rFonts w:ascii="Times New Roman" w:eastAsia="Times New Roman" w:hAnsi="Times New Roman" w:cs="Times New Roman"/>
          <w:i/>
          <w:iCs/>
          <w:sz w:val="24"/>
          <w:szCs w:val="24"/>
          <w:shd w:val="clear" w:color="auto" w:fill="FFFFFF"/>
          <w:vertAlign w:val="subscript"/>
          <w:lang w:val="en-US" w:eastAsia="zh-CN"/>
        </w:rPr>
        <w:t>2</w:t>
      </w:r>
      <w:r w:rsidRPr="002E68D5">
        <w:rPr>
          <w:rFonts w:ascii="Times New Roman" w:eastAsia="Times New Roman" w:hAnsi="Times New Roman" w:cs="Times New Roman"/>
          <w:i/>
          <w:iCs/>
          <w:sz w:val="24"/>
          <w:szCs w:val="24"/>
          <w:shd w:val="clear" w:color="auto" w:fill="FFFFFF"/>
          <w:lang w:val="en-US" w:eastAsia="zh-CN"/>
        </w:rPr>
        <w:t>: Sustainability disclosure practice does not significantly affect income smoothing of listed nonfinancial firms in Nigeria</w:t>
      </w:r>
    </w:p>
    <w:p w14:paraId="64E87752" w14:textId="41345138" w:rsidR="0072696F" w:rsidRPr="002E68D5" w:rsidRDefault="0072696F" w:rsidP="0072696F">
      <w:pPr>
        <w:snapToGrid w:val="0"/>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Board financial expertise and income smoothing</w:t>
      </w:r>
    </w:p>
    <w:p w14:paraId="45366931" w14:textId="26986ACD" w:rsidR="0072696F" w:rsidRPr="002E68D5" w:rsidRDefault="0068604C" w:rsidP="0072696F">
      <w:pPr>
        <w:snapToGrid w:val="0"/>
        <w:spacing w:after="0"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Board financial expertise refers to the possession of specialized financial knowledge and skills by members of a firm’s board of directors, enabling them to critically evaluate financial information, oversee accounting practices, and ensure the integrity of financial reporting.</w:t>
      </w:r>
      <w:r w:rsidR="00085E8B" w:rsidRPr="002E68D5">
        <w:rPr>
          <w:rFonts w:ascii="Times New Roman" w:eastAsia="Times New Roman" w:hAnsi="Times New Roman" w:cs="Times New Roman"/>
          <w:sz w:val="24"/>
          <w:szCs w:val="24"/>
          <w:lang w:val="en-US"/>
        </w:rPr>
        <w:t xml:space="preserve"> As noted by </w:t>
      </w:r>
      <w:r w:rsidR="00085E8B" w:rsidRPr="002E68D5">
        <w:rPr>
          <w:rFonts w:ascii="Times New Roman" w:eastAsia="Times New Roman" w:hAnsi="Times New Roman" w:cs="Times New Roman"/>
          <w:sz w:val="24"/>
          <w:szCs w:val="24"/>
        </w:rPr>
        <w:t>Alshareef</w:t>
      </w:r>
      <w:r w:rsidR="00085E8B" w:rsidRPr="002E68D5">
        <w:rPr>
          <w:rFonts w:ascii="Times New Roman" w:eastAsia="Times New Roman" w:hAnsi="Times New Roman" w:cs="Times New Roman"/>
          <w:sz w:val="24"/>
          <w:szCs w:val="24"/>
          <w:lang w:val="en-US"/>
        </w:rPr>
        <w:t xml:space="preserve"> et al. </w:t>
      </w:r>
      <w:r w:rsidR="00085E8B" w:rsidRPr="002E68D5">
        <w:rPr>
          <w:rFonts w:ascii="Times New Roman" w:eastAsia="Times New Roman" w:hAnsi="Times New Roman" w:cs="Times New Roman"/>
          <w:sz w:val="24"/>
          <w:szCs w:val="24"/>
        </w:rPr>
        <w:t>(2024)</w:t>
      </w:r>
      <w:r w:rsidR="00085E8B" w:rsidRPr="002E68D5">
        <w:rPr>
          <w:rFonts w:ascii="Times New Roman" w:eastAsia="Times New Roman" w:hAnsi="Times New Roman" w:cs="Times New Roman"/>
          <w:sz w:val="24"/>
          <w:szCs w:val="24"/>
          <w:lang w:val="en-US"/>
        </w:rPr>
        <w:t>, t</w:t>
      </w:r>
      <w:r w:rsidR="0072696F" w:rsidRPr="002E68D5">
        <w:rPr>
          <w:rFonts w:ascii="Times New Roman" w:eastAsia="Times New Roman" w:hAnsi="Times New Roman" w:cs="Times New Roman"/>
          <w:sz w:val="24"/>
          <w:szCs w:val="24"/>
        </w:rPr>
        <w:t xml:space="preserve">he relationship between board financial expertise and financial reporting quality is grounded in the notion that directors who possess accounting, finance or auditing knowledge are better equipped to oversee financial reporting processes, detect irregularities and ensure compliance with reporting </w:t>
      </w:r>
      <w:proofErr w:type="gramStart"/>
      <w:r w:rsidR="0072696F" w:rsidRPr="002E68D5">
        <w:rPr>
          <w:rFonts w:ascii="Times New Roman" w:eastAsia="Times New Roman" w:hAnsi="Times New Roman" w:cs="Times New Roman"/>
          <w:sz w:val="24"/>
          <w:szCs w:val="24"/>
        </w:rPr>
        <w:t>standards</w:t>
      </w:r>
      <w:r w:rsidR="00085E8B" w:rsidRPr="002E68D5">
        <w:rPr>
          <w:rFonts w:ascii="Times New Roman" w:eastAsia="Times New Roman" w:hAnsi="Times New Roman" w:cs="Times New Roman"/>
          <w:sz w:val="24"/>
          <w:szCs w:val="24"/>
          <w:lang w:val="en-US"/>
        </w:rPr>
        <w:t xml:space="preserve"> </w:t>
      </w:r>
      <w:r w:rsidR="0072696F" w:rsidRPr="002E68D5">
        <w:rPr>
          <w:rFonts w:ascii="Times New Roman" w:eastAsia="Times New Roman" w:hAnsi="Times New Roman" w:cs="Times New Roman"/>
          <w:sz w:val="24"/>
          <w:szCs w:val="24"/>
        </w:rPr>
        <w:t>.</w:t>
      </w:r>
      <w:proofErr w:type="gramEnd"/>
      <w:r w:rsidR="0072696F" w:rsidRPr="002E68D5">
        <w:rPr>
          <w:rFonts w:ascii="Times New Roman" w:eastAsia="Times New Roman" w:hAnsi="Times New Roman" w:cs="Times New Roman"/>
          <w:sz w:val="24"/>
          <w:szCs w:val="24"/>
        </w:rPr>
        <w:t xml:space="preserve"> Boards with financial experts are considered more capable of scrutinizing complex financial estimates, monitoring internal controls and constraining managerial manipulation, leading to more credible financial statements (Oghoghomeh</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lang w:val="en-US"/>
        </w:rPr>
        <w:t>&amp;</w:t>
      </w:r>
      <w:r w:rsidR="0072696F" w:rsidRPr="002E68D5">
        <w:rPr>
          <w:rFonts w:ascii="Times New Roman" w:eastAsia="Times New Roman" w:hAnsi="Times New Roman" w:cs="Times New Roman"/>
          <w:sz w:val="24"/>
          <w:szCs w:val="24"/>
        </w:rPr>
        <w:t xml:space="preserve"> Olayinka</w:t>
      </w:r>
      <w:r w:rsidR="0072696F" w:rsidRPr="002E68D5">
        <w:rPr>
          <w:rFonts w:ascii="Times New Roman" w:eastAsia="Times New Roman" w:hAnsi="Times New Roman" w:cs="Times New Roman"/>
          <w:sz w:val="24"/>
          <w:szCs w:val="24"/>
          <w:lang w:val="en-US"/>
        </w:rPr>
        <w:t xml:space="preserve">, </w:t>
      </w:r>
      <w:r w:rsidR="0072696F" w:rsidRPr="002E68D5">
        <w:rPr>
          <w:rFonts w:ascii="Times New Roman" w:eastAsia="Times New Roman" w:hAnsi="Times New Roman" w:cs="Times New Roman"/>
          <w:sz w:val="24"/>
          <w:szCs w:val="24"/>
        </w:rPr>
        <w:t>2024).In emerging markets such as Nigeria, financial expertise is seen as a vital governance mechanism because it strengthens board monitoring and reduces information asymmetry, ultimately improving the reliability, accuracy and transparency of financial reports (Adeyemi</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lang w:val="en-US"/>
        </w:rPr>
        <w:t>&amp;</w:t>
      </w:r>
      <w:r w:rsidR="0072696F" w:rsidRPr="002E68D5">
        <w:rPr>
          <w:rFonts w:ascii="Times New Roman" w:eastAsia="Times New Roman" w:hAnsi="Times New Roman" w:cs="Times New Roman"/>
          <w:sz w:val="24"/>
          <w:szCs w:val="24"/>
        </w:rPr>
        <w:t>Yahaya</w:t>
      </w:r>
      <w:r w:rsidR="0072696F" w:rsidRPr="002E68D5">
        <w:rPr>
          <w:rFonts w:ascii="Times New Roman" w:eastAsia="Times New Roman" w:hAnsi="Times New Roman" w:cs="Times New Roman"/>
          <w:sz w:val="24"/>
          <w:szCs w:val="24"/>
          <w:lang w:val="en-GB"/>
        </w:rPr>
        <w:t xml:space="preserve">, </w:t>
      </w:r>
      <w:r w:rsidR="0072696F" w:rsidRPr="002E68D5">
        <w:rPr>
          <w:rFonts w:ascii="Times New Roman" w:eastAsia="Times New Roman" w:hAnsi="Times New Roman" w:cs="Times New Roman"/>
          <w:sz w:val="24"/>
          <w:szCs w:val="24"/>
        </w:rPr>
        <w:t>2024).</w:t>
      </w:r>
    </w:p>
    <w:p w14:paraId="4D4908DE" w14:textId="0792D71F" w:rsidR="0072696F" w:rsidRPr="002E68D5" w:rsidRDefault="0072696F" w:rsidP="0068604C">
      <w:pPr>
        <w:snapToGrid w:val="0"/>
        <w:spacing w:after="0" w:line="480" w:lineRule="auto"/>
        <w:ind w:firstLine="720"/>
        <w:jc w:val="both"/>
        <w:rPr>
          <w:rFonts w:ascii="Times New Roman" w:eastAsia="Times New Roman" w:hAnsi="Times New Roman" w:cs="Times New Roman"/>
          <w:sz w:val="24"/>
          <w:szCs w:val="24"/>
          <w:lang w:val="en-US"/>
        </w:rPr>
      </w:pPr>
      <w:r w:rsidRPr="002E68D5">
        <w:rPr>
          <w:rFonts w:ascii="Times New Roman" w:eastAsia="Times New Roman" w:hAnsi="Times New Roman" w:cs="Times New Roman"/>
          <w:sz w:val="24"/>
          <w:szCs w:val="24"/>
        </w:rPr>
        <w:lastRenderedPageBreak/>
        <w:t>Empirical studies across developed and emerging markets consistently report a positive relationship between board financial expertise and FRQ.</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Akpabio</w:t>
      </w:r>
      <w:r w:rsidRPr="002E68D5">
        <w:rPr>
          <w:rFonts w:ascii="Times New Roman" w:eastAsia="Times New Roman" w:hAnsi="Times New Roman" w:cs="Times New Roman"/>
          <w:sz w:val="24"/>
          <w:szCs w:val="24"/>
          <w:lang w:val="en-US"/>
        </w:rPr>
        <w:t xml:space="preserve"> and </w:t>
      </w:r>
      <w:r w:rsidRPr="002E68D5">
        <w:rPr>
          <w:rFonts w:ascii="Times New Roman" w:eastAsia="Times New Roman" w:hAnsi="Times New Roman" w:cs="Times New Roman"/>
          <w:sz w:val="24"/>
          <w:szCs w:val="24"/>
        </w:rPr>
        <w:t>Azubike</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(2024)</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showed that</w:t>
      </w:r>
      <w:r w:rsidRPr="002E68D5">
        <w:rPr>
          <w:rFonts w:ascii="Times New Roman" w:eastAsia="Times New Roman" w:hAnsi="Times New Roman" w:cs="Times New Roman"/>
          <w:sz w:val="24"/>
          <w:szCs w:val="24"/>
          <w:lang w:val="en-US"/>
        </w:rPr>
        <w:t xml:space="preserve"> board</w:t>
      </w:r>
      <w:r w:rsidRPr="002E68D5">
        <w:rPr>
          <w:rFonts w:ascii="Times New Roman" w:eastAsia="Times New Roman" w:hAnsi="Times New Roman" w:cs="Times New Roman"/>
          <w:sz w:val="24"/>
          <w:szCs w:val="24"/>
        </w:rPr>
        <w:t xml:space="preserve"> financial expertise within governance structures enhanced the reliability and comparability of financial statement disclosures across firms in multiple jurisdictions. Rufus</w:t>
      </w:r>
      <w:r w:rsidRPr="002E68D5">
        <w:rPr>
          <w:rFonts w:ascii="Times New Roman" w:eastAsia="Times New Roman" w:hAnsi="Times New Roman" w:cs="Times New Roman"/>
          <w:sz w:val="24"/>
          <w:szCs w:val="24"/>
          <w:lang w:val="en-US"/>
        </w:rPr>
        <w:t xml:space="preserve"> and </w:t>
      </w:r>
      <w:r w:rsidRPr="002E68D5">
        <w:rPr>
          <w:rFonts w:ascii="Times New Roman" w:eastAsia="Times New Roman" w:hAnsi="Times New Roman" w:cs="Times New Roman"/>
          <w:sz w:val="24"/>
          <w:szCs w:val="24"/>
        </w:rPr>
        <w:t>Ologun</w:t>
      </w:r>
      <w:r w:rsidRPr="002E68D5">
        <w:rPr>
          <w:rFonts w:ascii="Times New Roman" w:eastAsia="Times New Roman" w:hAnsi="Times New Roman" w:cs="Times New Roman"/>
          <w:sz w:val="24"/>
          <w:szCs w:val="24"/>
          <w:lang w:val="en-US"/>
        </w:rPr>
        <w:t xml:space="preserve"> (2024)</w:t>
      </w:r>
      <w:r w:rsidRPr="002E68D5">
        <w:rPr>
          <w:rFonts w:ascii="Times New Roman" w:eastAsia="Times New Roman" w:hAnsi="Times New Roman" w:cs="Times New Roman"/>
          <w:sz w:val="24"/>
          <w:szCs w:val="24"/>
        </w:rPr>
        <w:t xml:space="preserve"> </w:t>
      </w:r>
      <w:r w:rsidR="0068604C" w:rsidRPr="002E68D5">
        <w:rPr>
          <w:rFonts w:ascii="Times New Roman" w:eastAsia="Times New Roman" w:hAnsi="Times New Roman" w:cs="Times New Roman"/>
          <w:sz w:val="24"/>
          <w:szCs w:val="24"/>
          <w:lang w:val="en-US"/>
        </w:rPr>
        <w:t>r</w:t>
      </w:r>
      <w:r w:rsidRPr="002E68D5">
        <w:rPr>
          <w:rFonts w:ascii="Times New Roman" w:eastAsia="Times New Roman" w:hAnsi="Times New Roman" w:cs="Times New Roman"/>
          <w:sz w:val="24"/>
          <w:szCs w:val="24"/>
        </w:rPr>
        <w:t>evealed that financial expertise within governance committees was associated with higher reporting credibility, lower financial misreporting risk, and improved oversight of audit processes.</w:t>
      </w:r>
      <w:r w:rsidR="0068604C" w:rsidRPr="002E68D5">
        <w:rPr>
          <w:rFonts w:ascii="Times New Roman" w:eastAsia="Times New Roman" w:hAnsi="Times New Roman" w:cs="Times New Roman"/>
          <w:sz w:val="24"/>
          <w:szCs w:val="24"/>
          <w:lang w:val="en-US"/>
        </w:rPr>
        <w:t xml:space="preserve"> </w:t>
      </w:r>
      <w:r w:rsidRPr="002E68D5">
        <w:rPr>
          <w:rFonts w:ascii="Times New Roman" w:eastAsia="Times New Roman" w:hAnsi="Times New Roman" w:cs="Times New Roman"/>
          <w:sz w:val="24"/>
          <w:szCs w:val="24"/>
        </w:rPr>
        <w:t>Adeyemi</w:t>
      </w:r>
      <w:r w:rsidRPr="002E68D5">
        <w:rPr>
          <w:rFonts w:ascii="Times New Roman" w:eastAsia="Times New Roman" w:hAnsi="Times New Roman" w:cs="Times New Roman"/>
          <w:sz w:val="24"/>
          <w:szCs w:val="24"/>
          <w:lang w:val="en-US"/>
        </w:rPr>
        <w:t xml:space="preserve"> and </w:t>
      </w:r>
      <w:r w:rsidRPr="002E68D5">
        <w:rPr>
          <w:rFonts w:ascii="Times New Roman" w:eastAsia="Times New Roman" w:hAnsi="Times New Roman" w:cs="Times New Roman"/>
          <w:sz w:val="24"/>
          <w:szCs w:val="24"/>
        </w:rPr>
        <w:t>Yahaya</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(2024)</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found that financial expertise embedded within governance structures of financial institutions significantly improved internal audit quality and, ultimately, financial reporting quality.</w:t>
      </w:r>
      <w:r w:rsidRPr="002E68D5">
        <w:rPr>
          <w:rFonts w:ascii="Times New Roman" w:eastAsia="Times New Roman" w:hAnsi="Times New Roman" w:cs="Times New Roman"/>
          <w:sz w:val="24"/>
          <w:szCs w:val="24"/>
          <w:shd w:val="clear" w:color="auto" w:fill="FFFFFF"/>
          <w:lang w:val="en-US" w:eastAsia="zh-CN"/>
        </w:rPr>
        <w:t xml:space="preserve"> </w:t>
      </w:r>
      <w:r w:rsidRPr="002E68D5">
        <w:rPr>
          <w:rFonts w:ascii="Times New Roman" w:eastAsia="Times New Roman" w:hAnsi="Times New Roman" w:cs="Times New Roman"/>
          <w:sz w:val="24"/>
          <w:szCs w:val="24"/>
        </w:rPr>
        <w:t>Alshareef</w:t>
      </w:r>
      <w:r w:rsidRPr="002E68D5">
        <w:rPr>
          <w:rFonts w:ascii="Times New Roman" w:eastAsia="Times New Roman" w:hAnsi="Times New Roman" w:cs="Times New Roman"/>
          <w:sz w:val="24"/>
          <w:szCs w:val="24"/>
          <w:lang w:val="en-US"/>
        </w:rPr>
        <w:t xml:space="preserve"> et al. </w:t>
      </w:r>
      <w:r w:rsidRPr="002E68D5">
        <w:rPr>
          <w:rFonts w:ascii="Times New Roman" w:eastAsia="Times New Roman" w:hAnsi="Times New Roman" w:cs="Times New Roman"/>
          <w:sz w:val="24"/>
          <w:szCs w:val="24"/>
        </w:rPr>
        <w:t>(2024)</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lang w:val="en-US" w:eastAsia="zh-CN"/>
        </w:rPr>
        <w:t>indicated a strong and positive impact of board financial expertise on sustainable performance. This outcome implies that financial sustainability may increase as the number of finance specialists on the board rises.</w:t>
      </w:r>
      <w:r w:rsidR="0068604C" w:rsidRPr="002E68D5">
        <w:rPr>
          <w:rFonts w:ascii="Times New Roman" w:eastAsia="Times New Roman" w:hAnsi="Times New Roman" w:cs="Times New Roman"/>
          <w:sz w:val="24"/>
          <w:szCs w:val="24"/>
          <w:lang w:val="en-US" w:eastAsia="zh-CN"/>
        </w:rPr>
        <w:t xml:space="preserve"> </w:t>
      </w:r>
      <w:r w:rsidRPr="002E68D5">
        <w:rPr>
          <w:rFonts w:ascii="Times New Roman" w:eastAsia="Times New Roman" w:hAnsi="Times New Roman" w:cs="Times New Roman"/>
          <w:sz w:val="24"/>
          <w:szCs w:val="24"/>
        </w:rPr>
        <w:t>Nevertheless, some empirical findings suggest the relationship may be context-dependent. For example, Oghoghomeh</w:t>
      </w:r>
      <w:r w:rsidRPr="002E68D5">
        <w:rPr>
          <w:rFonts w:ascii="Times New Roman" w:eastAsia="Times New Roman" w:hAnsi="Times New Roman" w:cs="Times New Roman"/>
          <w:sz w:val="24"/>
          <w:szCs w:val="24"/>
          <w:lang w:val="en-US"/>
        </w:rPr>
        <w:t xml:space="preserve"> and</w:t>
      </w:r>
      <w:r w:rsidRPr="002E68D5">
        <w:rPr>
          <w:rFonts w:ascii="Times New Roman" w:eastAsia="Times New Roman" w:hAnsi="Times New Roman" w:cs="Times New Roman"/>
          <w:sz w:val="24"/>
          <w:szCs w:val="24"/>
        </w:rPr>
        <w:t xml:space="preserve"> Olayinka</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 xml:space="preserve">(2024) found that </w:t>
      </w:r>
      <w:r w:rsidRPr="002E68D5">
        <w:rPr>
          <w:rFonts w:ascii="Times New Roman" w:eastAsia="Times New Roman" w:hAnsi="Times New Roman" w:cs="Times New Roman"/>
          <w:sz w:val="24"/>
          <w:szCs w:val="24"/>
          <w:lang w:val="en-US" w:eastAsia="zh-CN"/>
        </w:rPr>
        <w:t xml:space="preserve">board financial expertise has a negative and insignificant effect. </w:t>
      </w:r>
      <w:r w:rsidRPr="002E68D5">
        <w:rPr>
          <w:rFonts w:ascii="Times New Roman" w:eastAsia="Times New Roman" w:hAnsi="Times New Roman" w:cs="Times New Roman"/>
          <w:sz w:val="24"/>
          <w:szCs w:val="24"/>
        </w:rPr>
        <w:t>Awodiran and Ogundele (2022)  similarly</w:t>
      </w:r>
      <w:r w:rsidRPr="002E68D5">
        <w:rPr>
          <w:rFonts w:ascii="Times New Roman" w:eastAsia="Times New Roman" w:hAnsi="Times New Roman" w:cs="Times New Roman"/>
          <w:sz w:val="24"/>
          <w:szCs w:val="24"/>
          <w:lang w:val="en-US"/>
        </w:rPr>
        <w:t xml:space="preserve"> found that b</w:t>
      </w:r>
      <w:r w:rsidRPr="002E68D5">
        <w:rPr>
          <w:rFonts w:ascii="Times New Roman" w:eastAsia="Times New Roman" w:hAnsi="Times New Roman" w:cs="Times New Roman"/>
          <w:sz w:val="24"/>
          <w:szCs w:val="24"/>
        </w:rPr>
        <w:t>oard financial expertise have negative influence on the quality of financial reporting</w:t>
      </w:r>
      <w:r w:rsidR="0068604C" w:rsidRPr="002E68D5">
        <w:rPr>
          <w:rFonts w:ascii="Times New Roman" w:eastAsia="Times New Roman" w:hAnsi="Times New Roman" w:cs="Times New Roman"/>
          <w:sz w:val="24"/>
          <w:szCs w:val="24"/>
          <w:lang w:val="en-US"/>
        </w:rPr>
        <w:t>.</w:t>
      </w:r>
      <w:r w:rsidRPr="002E68D5">
        <w:rPr>
          <w:rFonts w:ascii="Times New Roman" w:eastAsia="Times New Roman" w:hAnsi="Times New Roman" w:cs="Times New Roman"/>
          <w:sz w:val="24"/>
          <w:szCs w:val="24"/>
        </w:rPr>
        <w:t xml:space="preserve"> These mixed findings indicate that while board financial expertise is a critical determinant of FRQ, its impact is maximized when supported by strong governance structures, an independent board environment, and effective institutional enforcement.</w:t>
      </w:r>
      <w:r w:rsidR="0068604C" w:rsidRPr="002E68D5">
        <w:rPr>
          <w:rFonts w:ascii="Times New Roman" w:eastAsia="Times New Roman" w:hAnsi="Times New Roman" w:cs="Times New Roman"/>
          <w:sz w:val="24"/>
          <w:szCs w:val="24"/>
          <w:lang w:val="en-US"/>
        </w:rPr>
        <w:t xml:space="preserve"> Thus, this study hypothesized that;</w:t>
      </w:r>
    </w:p>
    <w:p w14:paraId="48386393" w14:textId="57F6DBBB" w:rsidR="0068604C" w:rsidRPr="002E68D5" w:rsidRDefault="0068604C" w:rsidP="0068604C">
      <w:pPr>
        <w:snapToGrid w:val="0"/>
        <w:spacing w:after="0" w:line="480" w:lineRule="auto"/>
        <w:jc w:val="both"/>
        <w:rPr>
          <w:rFonts w:ascii="Times New Roman" w:eastAsia="Times New Roman" w:hAnsi="Times New Roman" w:cs="Times New Roman"/>
          <w:sz w:val="24"/>
          <w:szCs w:val="24"/>
          <w:lang w:val="en-US"/>
        </w:rPr>
      </w:pPr>
      <w:r w:rsidRPr="002E68D5">
        <w:rPr>
          <w:rFonts w:ascii="Times New Roman" w:eastAsia="Times New Roman" w:hAnsi="Times New Roman" w:cs="Times New Roman"/>
          <w:sz w:val="24"/>
          <w:szCs w:val="24"/>
          <w:lang w:val="en-US"/>
        </w:rPr>
        <w:t>Ho</w:t>
      </w:r>
      <w:r w:rsidR="00085E8B" w:rsidRPr="002E68D5">
        <w:rPr>
          <w:rFonts w:ascii="Times New Roman" w:eastAsia="Times New Roman" w:hAnsi="Times New Roman" w:cs="Times New Roman"/>
          <w:sz w:val="24"/>
          <w:szCs w:val="24"/>
          <w:vertAlign w:val="subscript"/>
          <w:lang w:val="en-US"/>
        </w:rPr>
        <w:t>3</w:t>
      </w:r>
      <w:r w:rsidRPr="002E68D5">
        <w:rPr>
          <w:rFonts w:ascii="Times New Roman" w:eastAsia="Times New Roman" w:hAnsi="Times New Roman" w:cs="Times New Roman"/>
          <w:sz w:val="24"/>
          <w:szCs w:val="24"/>
          <w:lang w:val="en-US"/>
        </w:rPr>
        <w:t>: Board financial expertise has no significant effect on income smoothing of listed nonfinancial companies in Nigeria</w:t>
      </w:r>
    </w:p>
    <w:p w14:paraId="3F4F84ED" w14:textId="77777777" w:rsidR="001766AE" w:rsidRPr="002E68D5" w:rsidRDefault="001766AE" w:rsidP="0068604C">
      <w:pPr>
        <w:snapToGrid w:val="0"/>
        <w:spacing w:after="0" w:line="480" w:lineRule="auto"/>
        <w:jc w:val="both"/>
        <w:rPr>
          <w:rFonts w:ascii="Times New Roman" w:eastAsia="Times New Roman" w:hAnsi="Times New Roman" w:cs="Times New Roman"/>
          <w:sz w:val="24"/>
          <w:szCs w:val="24"/>
          <w:lang w:val="en-US"/>
        </w:rPr>
      </w:pPr>
    </w:p>
    <w:p w14:paraId="4FEA6910" w14:textId="4721AC85" w:rsidR="0068604C" w:rsidRPr="002E68D5" w:rsidRDefault="001766AE" w:rsidP="0068604C">
      <w:pPr>
        <w:snapToGrid w:val="0"/>
        <w:spacing w:after="0" w:line="480" w:lineRule="auto"/>
        <w:jc w:val="both"/>
        <w:rPr>
          <w:rFonts w:ascii="Times New Roman" w:eastAsia="Times New Roman" w:hAnsi="Times New Roman" w:cs="Times New Roman"/>
          <w:sz w:val="24"/>
          <w:szCs w:val="24"/>
          <w:lang w:val="en-US"/>
        </w:rPr>
      </w:pPr>
      <w:r w:rsidRPr="002E68D5">
        <w:rPr>
          <w:rFonts w:ascii="Times New Roman" w:eastAsia="Times New Roman" w:hAnsi="Times New Roman" w:cs="Times New Roman"/>
          <w:sz w:val="24"/>
          <w:szCs w:val="24"/>
          <w:lang w:val="en-US"/>
        </w:rPr>
        <w:t>2.2. Theoretical framework</w:t>
      </w:r>
    </w:p>
    <w:p w14:paraId="412D71D5" w14:textId="0157135C" w:rsidR="001766AE" w:rsidRPr="002E68D5" w:rsidRDefault="001766AE" w:rsidP="001766AE">
      <w:pPr>
        <w:snapToGrid w:val="0"/>
        <w:spacing w:after="0" w:line="480" w:lineRule="auto"/>
        <w:ind w:firstLine="720"/>
        <w:jc w:val="both"/>
        <w:rPr>
          <w:rFonts w:ascii="Times New Roman" w:eastAsia="Times New Roman" w:hAnsi="Times New Roman" w:cs="Times New Roman"/>
          <w:sz w:val="24"/>
          <w:szCs w:val="24"/>
          <w:lang w:val="en-US"/>
        </w:rPr>
      </w:pPr>
      <w:r w:rsidRPr="002E68D5">
        <w:rPr>
          <w:rFonts w:ascii="Times New Roman" w:eastAsia="Times New Roman" w:hAnsi="Times New Roman" w:cs="Times New Roman"/>
          <w:sz w:val="24"/>
          <w:szCs w:val="24"/>
          <w:lang w:val="en-US"/>
        </w:rPr>
        <w:t>The major theory providing foundational support for this study was agency theory.</w:t>
      </w:r>
      <w:bookmarkEnd w:id="5"/>
      <w:r w:rsidRPr="002E68D5">
        <w:rPr>
          <w:rFonts w:ascii="Times New Roman" w:eastAsia="Times New Roman" w:hAnsi="Times New Roman" w:cs="Times New Roman"/>
          <w:sz w:val="24"/>
          <w:szCs w:val="24"/>
          <w:lang w:val="en-US"/>
        </w:rPr>
        <w:t xml:space="preserve"> </w:t>
      </w:r>
      <w:r w:rsidRPr="002E68D5">
        <w:rPr>
          <w:rFonts w:ascii="Times New Roman" w:eastAsia="Times New Roman" w:hAnsi="Times New Roman" w:cs="Times New Roman"/>
          <w:sz w:val="24"/>
          <w:szCs w:val="24"/>
        </w:rPr>
        <w:t xml:space="preserve">Agency Theory, principally associated with Jensen and Meckling (1976), explains the </w:t>
      </w:r>
      <w:r w:rsidRPr="002E68D5">
        <w:rPr>
          <w:rFonts w:ascii="Times New Roman" w:eastAsia="Times New Roman" w:hAnsi="Times New Roman" w:cs="Times New Roman"/>
          <w:sz w:val="24"/>
          <w:szCs w:val="24"/>
        </w:rPr>
        <w:lastRenderedPageBreak/>
        <w:t>relationship between shareholders (principals) and managers (agents) in which managers are entrusted with the responsibility of managing the resources of the firm. Because managers may possess more information about the firm than shareholders and may have interests that differ from those of shareholders, information asymmetry and agency conflicts can arise (Jensen &amp; Meckling, 1976). Managers may therefore have incentives to manipulate accounting information, including engaging in income smoothing, to protect their positions, influence investors’ perceptions or achieve personal objectives. Agency Theory suggests that effective monitoring and governance mechanisms can reduce these opportunistic behaviours and improve the quality of financial reporting. In this study, auditor type, sustainability disclosure practices and board financial expertise represent firm-level mechanisms that can constrain managerial opportunism and consequently influence financial reporting quality, measured through income smoothing (Kartiko</w:t>
      </w:r>
      <w:r w:rsidRPr="002E68D5">
        <w:rPr>
          <w:rFonts w:ascii="Times New Roman" w:eastAsia="Times New Roman" w:hAnsi="Times New Roman" w:cs="Times New Roman"/>
          <w:sz w:val="24"/>
          <w:szCs w:val="24"/>
          <w:lang w:val="en-US"/>
        </w:rPr>
        <w:t xml:space="preserve"> et al., 2023)</w:t>
      </w:r>
      <w:r w:rsidRPr="002E68D5">
        <w:rPr>
          <w:rFonts w:ascii="Times New Roman" w:eastAsia="Times New Roman" w:hAnsi="Times New Roman" w:cs="Times New Roman"/>
          <w:sz w:val="24"/>
          <w:szCs w:val="24"/>
        </w:rPr>
        <w:t>.</w:t>
      </w:r>
    </w:p>
    <w:p w14:paraId="6E11CA48" w14:textId="6A42202F" w:rsidR="001766AE" w:rsidRPr="002E68D5" w:rsidRDefault="0072696F" w:rsidP="001766AE">
      <w:pPr>
        <w:spacing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lang w:val="en-US"/>
        </w:rPr>
        <w:t>This theory is relevant to this study</w:t>
      </w:r>
      <w:r w:rsidRPr="002E68D5">
        <w:rPr>
          <w:rFonts w:ascii="Times New Roman" w:eastAsia="Times New Roman" w:hAnsi="Times New Roman" w:cs="Times New Roman"/>
          <w:sz w:val="24"/>
          <w:szCs w:val="24"/>
        </w:rPr>
        <w:t xml:space="preserve"> because the identified determinants are mechanisms designed to reduce agency problems and enhance the credibility of financial reports.</w:t>
      </w:r>
      <w:r w:rsidRPr="002E68D5">
        <w:rPr>
          <w:rFonts w:ascii="Times New Roman" w:eastAsia="Times New Roman" w:hAnsi="Times New Roman" w:cs="Times New Roman"/>
          <w:sz w:val="24"/>
          <w:szCs w:val="24"/>
          <w:lang w:val="en-GB"/>
        </w:rPr>
        <w:t xml:space="preserve"> </w:t>
      </w:r>
      <w:bookmarkStart w:id="6" w:name="_Hlk213040459"/>
      <w:r w:rsidR="001766AE" w:rsidRPr="002E68D5">
        <w:rPr>
          <w:rFonts w:ascii="Times New Roman" w:eastAsia="Times New Roman" w:hAnsi="Times New Roman" w:cs="Times New Roman"/>
          <w:sz w:val="24"/>
          <w:szCs w:val="24"/>
        </w:rPr>
        <w:t xml:space="preserve">Agency Theory provides a strong explanation for the relationship between auditor type and financial reporting quality. External auditors serve as an independent monitoring mechanism that reduces information asymmetry between managers and shareholders. Larger and more reputable audit firms, particularly Big Four auditors, have greater reputational capital, technical expertise and incentives to detect and discourage aggressive accounting practices. DeAngelo (1981) argues that auditor size is associated with audit quality because larger audit firms have more to lose from the reputational consequences of audit failure. Agency Theory also explains the relevance of sustainability disclosure practices because voluntary and comprehensive disclosure can reduce information asymmetry between managers and external stakeholders. Managers possess private information concerning the firm’s environmental, social and governance activities, while shareholders and other stakeholders may have limited access to </w:t>
      </w:r>
      <w:r w:rsidR="001766AE" w:rsidRPr="002E68D5">
        <w:rPr>
          <w:rFonts w:ascii="Times New Roman" w:eastAsia="Times New Roman" w:hAnsi="Times New Roman" w:cs="Times New Roman"/>
          <w:sz w:val="24"/>
          <w:szCs w:val="24"/>
        </w:rPr>
        <w:lastRenderedPageBreak/>
        <w:t xml:space="preserve">such information. This theory is particularly relevant to board financial expertise because the board of directors is an important internal monitoring mechanism through which shareholders oversee management. Directors with accounting or financial expertise possess the knowledge necessary to understand complex financial statements, identify unusual accounting treatments and question managerial decisions that may compromise reporting quality. Their expertise enhances the board’s ability to monitor management and reduces the information advantage managers possess over shareholders. Consequently, a financially knowledgeable board is better positioned to detect and constrain opportunistic reporting practices such as income smoothing. </w:t>
      </w:r>
    </w:p>
    <w:p w14:paraId="6CB51B96" w14:textId="3B8A0FA9" w:rsidR="0072696F" w:rsidRPr="002E68D5" w:rsidRDefault="0072696F" w:rsidP="001766AE">
      <w:pPr>
        <w:spacing w:after="0" w:line="480" w:lineRule="auto"/>
        <w:jc w:val="both"/>
        <w:rPr>
          <w:rFonts w:ascii="Times New Roman" w:eastAsia="DengXian" w:hAnsi="Times New Roman" w:cs="Times New Roman"/>
          <w:sz w:val="24"/>
          <w:szCs w:val="24"/>
          <w:lang w:val="en-US" w:eastAsia="zh-CN"/>
        </w:rPr>
      </w:pPr>
    </w:p>
    <w:p w14:paraId="73910CDA" w14:textId="77777777" w:rsidR="0072696F" w:rsidRPr="002E68D5" w:rsidRDefault="0072696F" w:rsidP="0072696F">
      <w:pPr>
        <w:rPr>
          <w:rFonts w:ascii="Times New Roman" w:eastAsia="DengXian" w:hAnsi="Times New Roman" w:cs="Times New Roman"/>
          <w:sz w:val="24"/>
          <w:szCs w:val="24"/>
          <w:lang w:eastAsia="zh-CN"/>
        </w:rPr>
      </w:pPr>
    </w:p>
    <w:p w14:paraId="15C633AA" w14:textId="2283CCA4" w:rsidR="0072696F" w:rsidRPr="002E68D5" w:rsidRDefault="00084607" w:rsidP="00084607">
      <w:pPr>
        <w:spacing w:after="0" w:line="480" w:lineRule="auto"/>
        <w:rPr>
          <w:rFonts w:ascii="Times New Roman" w:eastAsia="Times New Roman" w:hAnsi="Times New Roman" w:cs="Times New Roman"/>
          <w:b/>
          <w:sz w:val="24"/>
          <w:szCs w:val="24"/>
        </w:rPr>
      </w:pPr>
      <w:bookmarkStart w:id="7" w:name="_Hlk198016782"/>
      <w:bookmarkEnd w:id="6"/>
      <w:r w:rsidRPr="002E68D5">
        <w:rPr>
          <w:rFonts w:ascii="Times New Roman" w:eastAsia="Times New Roman" w:hAnsi="Times New Roman" w:cs="Times New Roman"/>
          <w:b/>
          <w:sz w:val="24"/>
          <w:szCs w:val="24"/>
          <w:lang w:val="en-US"/>
        </w:rPr>
        <w:t xml:space="preserve">3.0 </w:t>
      </w:r>
      <w:r w:rsidR="0072696F" w:rsidRPr="002E68D5">
        <w:rPr>
          <w:rFonts w:ascii="Times New Roman" w:eastAsia="Times New Roman" w:hAnsi="Times New Roman" w:cs="Times New Roman"/>
          <w:b/>
          <w:sz w:val="24"/>
          <w:szCs w:val="24"/>
        </w:rPr>
        <w:t>METHODOLOGY</w:t>
      </w:r>
    </w:p>
    <w:p w14:paraId="5B5AFB50" w14:textId="4E434278" w:rsidR="0072696F" w:rsidRPr="002E68D5" w:rsidRDefault="0072696F" w:rsidP="0072696F">
      <w:pPr>
        <w:spacing w:after="0" w:line="480" w:lineRule="auto"/>
        <w:jc w:val="both"/>
        <w:rPr>
          <w:rFonts w:ascii="Times New Roman" w:eastAsia="Times New Roman" w:hAnsi="Times New Roman" w:cs="Times New Roman"/>
          <w:sz w:val="24"/>
          <w:szCs w:val="24"/>
          <w:lang w:val="en-US"/>
        </w:rPr>
      </w:pPr>
      <w:r w:rsidRPr="002E68D5">
        <w:rPr>
          <w:rFonts w:ascii="Times New Roman" w:eastAsia="DengXian" w:hAnsi="Times New Roman" w:cs="Times New Roman"/>
          <w:sz w:val="24"/>
          <w:szCs w:val="24"/>
          <w:lang w:val="en-US" w:eastAsia="zh-CN"/>
        </w:rPr>
        <w:t>The research design adopted for this study was ex post factor and this design was suitable because secondary data were used.</w:t>
      </w:r>
      <w:r w:rsidRPr="002E68D5">
        <w:rPr>
          <w:rFonts w:ascii="Times New Roman" w:hAnsi="Times New Roman" w:cs="Times New Roman"/>
          <w:bCs/>
          <w:sz w:val="24"/>
          <w:szCs w:val="24"/>
          <w:shd w:val="clear" w:color="auto" w:fill="FFFFFF"/>
        </w:rPr>
        <w:t>The population of this study consist</w:t>
      </w:r>
      <w:r w:rsidRPr="002E68D5">
        <w:rPr>
          <w:rFonts w:ascii="Times New Roman" w:hAnsi="Times New Roman" w:cs="Times New Roman"/>
          <w:bCs/>
          <w:sz w:val="24"/>
          <w:szCs w:val="24"/>
          <w:shd w:val="clear" w:color="auto" w:fill="FFFFFF"/>
          <w:lang w:val="en-US"/>
        </w:rPr>
        <w:t>ed of  100</w:t>
      </w:r>
      <w:r w:rsidRPr="002E68D5">
        <w:rPr>
          <w:rFonts w:ascii="Times New Roman" w:hAnsi="Times New Roman" w:cs="Times New Roman"/>
          <w:bCs/>
          <w:sz w:val="24"/>
          <w:szCs w:val="24"/>
          <w:shd w:val="clear" w:color="auto" w:fill="FFFFFF"/>
        </w:rPr>
        <w:t xml:space="preserve"> non-financial </w:t>
      </w:r>
      <w:r w:rsidRPr="002E68D5">
        <w:rPr>
          <w:rFonts w:ascii="Times New Roman" w:hAnsi="Times New Roman" w:cs="Times New Roman"/>
          <w:bCs/>
          <w:sz w:val="24"/>
          <w:szCs w:val="24"/>
          <w:shd w:val="clear" w:color="auto" w:fill="FFFFFF"/>
          <w:lang w:val="en-US"/>
        </w:rPr>
        <w:t>companies</w:t>
      </w:r>
      <w:r w:rsidRPr="002E68D5">
        <w:rPr>
          <w:rFonts w:ascii="Times New Roman" w:hAnsi="Times New Roman" w:cs="Times New Roman"/>
          <w:bCs/>
          <w:sz w:val="24"/>
          <w:szCs w:val="24"/>
          <w:shd w:val="clear" w:color="auto" w:fill="FFFFFF"/>
        </w:rPr>
        <w:t xml:space="preserve"> listed on the Nigerian Exchange Group from 201</w:t>
      </w:r>
      <w:r w:rsidRPr="002E68D5">
        <w:rPr>
          <w:rFonts w:ascii="Times New Roman" w:hAnsi="Times New Roman" w:cs="Times New Roman"/>
          <w:bCs/>
          <w:sz w:val="24"/>
          <w:szCs w:val="24"/>
          <w:shd w:val="clear" w:color="auto" w:fill="FFFFFF"/>
          <w:lang w:val="en-US"/>
        </w:rPr>
        <w:t>6</w:t>
      </w:r>
      <w:r w:rsidRPr="002E68D5">
        <w:rPr>
          <w:rFonts w:ascii="Times New Roman" w:hAnsi="Times New Roman" w:cs="Times New Roman"/>
          <w:bCs/>
          <w:sz w:val="24"/>
          <w:szCs w:val="24"/>
          <w:shd w:val="clear" w:color="auto" w:fill="FFFFFF"/>
        </w:rPr>
        <w:t>-202</w:t>
      </w:r>
      <w:r w:rsidRPr="002E68D5">
        <w:rPr>
          <w:rFonts w:ascii="Times New Roman" w:hAnsi="Times New Roman" w:cs="Times New Roman"/>
          <w:bCs/>
          <w:sz w:val="24"/>
          <w:szCs w:val="24"/>
          <w:shd w:val="clear" w:color="auto" w:fill="FFFFFF"/>
          <w:lang w:val="en-US"/>
        </w:rPr>
        <w:t>5</w:t>
      </w:r>
      <w:r w:rsidRPr="002E68D5">
        <w:rPr>
          <w:rFonts w:ascii="Times New Roman" w:hAnsi="Times New Roman" w:cs="Times New Roman"/>
          <w:bCs/>
          <w:sz w:val="24"/>
          <w:szCs w:val="24"/>
          <w:shd w:val="clear" w:color="auto" w:fill="FFFFFF"/>
        </w:rPr>
        <w:t>.</w:t>
      </w:r>
      <w:r w:rsidRPr="002E68D5">
        <w:rPr>
          <w:rFonts w:ascii="Times New Roman" w:hAnsi="Times New Roman" w:cs="Times New Roman"/>
          <w:bCs/>
          <w:sz w:val="24"/>
          <w:szCs w:val="24"/>
        </w:rPr>
        <w:t xml:space="preserve">The sample </w:t>
      </w:r>
      <w:r w:rsidRPr="002E68D5">
        <w:rPr>
          <w:rFonts w:ascii="Times New Roman" w:hAnsi="Times New Roman" w:cs="Times New Roman"/>
          <w:bCs/>
          <w:sz w:val="24"/>
          <w:szCs w:val="24"/>
          <w:lang w:val="en-US"/>
        </w:rPr>
        <w:t>size of this study was 85 purposively selected nonfinancial companies continuously and data used were secondary.</w:t>
      </w:r>
      <w:bookmarkStart w:id="8" w:name="_Hlk192798734"/>
      <w:r w:rsidRPr="002E68D5">
        <w:rPr>
          <w:rFonts w:ascii="Times New Roman" w:eastAsia="Times New Roman" w:hAnsi="Times New Roman" w:cs="Times New Roman"/>
          <w:sz w:val="24"/>
          <w:szCs w:val="24"/>
        </w:rPr>
        <w:t>The technique of data analysis w</w:t>
      </w:r>
      <w:r w:rsidRPr="002E68D5">
        <w:rPr>
          <w:rFonts w:ascii="Times New Roman" w:eastAsia="Times New Roman" w:hAnsi="Times New Roman" w:cs="Times New Roman"/>
          <w:sz w:val="24"/>
          <w:szCs w:val="24"/>
          <w:lang w:val="en-US"/>
        </w:rPr>
        <w:t>as</w:t>
      </w:r>
      <w:r w:rsidRPr="002E68D5">
        <w:rPr>
          <w:rFonts w:ascii="Times New Roman" w:eastAsia="Times New Roman" w:hAnsi="Times New Roman" w:cs="Times New Roman"/>
          <w:sz w:val="24"/>
          <w:szCs w:val="24"/>
        </w:rPr>
        <w:t xml:space="preserve"> employed in this study </w:t>
      </w:r>
      <w:r w:rsidRPr="002E68D5">
        <w:rPr>
          <w:rFonts w:ascii="Times New Roman" w:eastAsia="Times New Roman" w:hAnsi="Times New Roman" w:cs="Times New Roman"/>
          <w:sz w:val="24"/>
          <w:szCs w:val="24"/>
          <w:lang w:val="en-US"/>
        </w:rPr>
        <w:t xml:space="preserve">was panel regression </w:t>
      </w:r>
      <w:r w:rsidRPr="002E68D5">
        <w:rPr>
          <w:rFonts w:ascii="Times New Roman" w:eastAsia="Times New Roman" w:hAnsi="Times New Roman" w:cs="Times New Roman"/>
          <w:sz w:val="24"/>
          <w:szCs w:val="24"/>
        </w:rPr>
        <w:t xml:space="preserve">analysis and the statistical package employed </w:t>
      </w:r>
      <w:r w:rsidRPr="002E68D5">
        <w:rPr>
          <w:rFonts w:ascii="Times New Roman" w:eastAsia="Times New Roman" w:hAnsi="Times New Roman" w:cs="Times New Roman"/>
          <w:sz w:val="24"/>
          <w:szCs w:val="24"/>
          <w:lang w:val="en-US"/>
        </w:rPr>
        <w:t>was STATA 17</w:t>
      </w:r>
      <w:bookmarkEnd w:id="8"/>
      <w:r w:rsidRPr="002E68D5">
        <w:rPr>
          <w:rFonts w:ascii="Times New Roman" w:eastAsia="Times New Roman" w:hAnsi="Times New Roman" w:cs="Times New Roman"/>
          <w:sz w:val="24"/>
          <w:szCs w:val="24"/>
          <w:lang w:val="en-US"/>
        </w:rPr>
        <w:t>.</w:t>
      </w:r>
    </w:p>
    <w:p w14:paraId="4C68127D" w14:textId="77777777" w:rsidR="0072696F" w:rsidRPr="002E68D5" w:rsidRDefault="0072696F" w:rsidP="0072696F">
      <w:pPr>
        <w:spacing w:after="0" w:line="360" w:lineRule="auto"/>
        <w:ind w:firstLine="720"/>
        <w:jc w:val="both"/>
        <w:rPr>
          <w:rFonts w:ascii="Times New Roman" w:eastAsia="Times New Roman" w:hAnsi="Times New Roman" w:cs="Times New Roman"/>
          <w:sz w:val="24"/>
          <w:szCs w:val="24"/>
          <w:lang w:val="en-US"/>
        </w:rPr>
      </w:pPr>
    </w:p>
    <w:p w14:paraId="4F9A2ADD" w14:textId="77777777" w:rsidR="0072696F" w:rsidRPr="002E68D5" w:rsidRDefault="0072696F" w:rsidP="0072696F">
      <w:pPr>
        <w:spacing w:after="0" w:line="480" w:lineRule="auto"/>
        <w:jc w:val="both"/>
        <w:rPr>
          <w:rFonts w:ascii="Times New Roman" w:eastAsia="Times New Roman" w:hAnsi="Times New Roman" w:cs="Times New Roman"/>
          <w:b/>
          <w:sz w:val="24"/>
          <w:szCs w:val="24"/>
        </w:rPr>
      </w:pPr>
      <w:r w:rsidRPr="002E68D5">
        <w:rPr>
          <w:rFonts w:ascii="Times New Roman" w:eastAsia="Times New Roman" w:hAnsi="Times New Roman" w:cs="Times New Roman"/>
          <w:b/>
          <w:sz w:val="24"/>
          <w:szCs w:val="24"/>
        </w:rPr>
        <w:t>3.</w:t>
      </w:r>
      <w:r w:rsidRPr="002E68D5">
        <w:rPr>
          <w:rFonts w:ascii="Times New Roman" w:eastAsia="Times New Roman" w:hAnsi="Times New Roman" w:cs="Times New Roman"/>
          <w:b/>
          <w:sz w:val="24"/>
          <w:szCs w:val="24"/>
          <w:lang w:val="en-US"/>
        </w:rPr>
        <w:t>7</w:t>
      </w:r>
      <w:r w:rsidRPr="002E68D5">
        <w:rPr>
          <w:rFonts w:ascii="Times New Roman" w:eastAsia="Times New Roman" w:hAnsi="Times New Roman" w:cs="Times New Roman"/>
          <w:b/>
          <w:sz w:val="24"/>
          <w:szCs w:val="24"/>
        </w:rPr>
        <w:tab/>
        <w:t>Model specification</w:t>
      </w:r>
    </w:p>
    <w:p w14:paraId="686B37E0" w14:textId="77777777" w:rsidR="0072696F" w:rsidRPr="002E68D5" w:rsidRDefault="0072696F" w:rsidP="0072696F">
      <w:pPr>
        <w:spacing w:after="0"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In line with the previous researches, the researcher</w:t>
      </w:r>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rPr>
        <w:t>adapt</w:t>
      </w:r>
      <w:r w:rsidRPr="002E68D5">
        <w:rPr>
          <w:rFonts w:ascii="Times New Roman" w:eastAsia="Times New Roman" w:hAnsi="Times New Roman" w:cs="Times New Roman"/>
          <w:sz w:val="24"/>
          <w:szCs w:val="24"/>
          <w:lang w:val="en-US"/>
        </w:rPr>
        <w:t>ed</w:t>
      </w:r>
      <w:r w:rsidRPr="002E68D5">
        <w:rPr>
          <w:rFonts w:ascii="Times New Roman" w:eastAsia="Times New Roman" w:hAnsi="Times New Roman" w:cs="Times New Roman"/>
          <w:sz w:val="24"/>
          <w:szCs w:val="24"/>
        </w:rPr>
        <w:t xml:space="preserve"> and modif</w:t>
      </w:r>
      <w:proofErr w:type="spellStart"/>
      <w:r w:rsidRPr="002E68D5">
        <w:rPr>
          <w:rFonts w:ascii="Times New Roman" w:eastAsia="Times New Roman" w:hAnsi="Times New Roman" w:cs="Times New Roman"/>
          <w:sz w:val="24"/>
          <w:szCs w:val="24"/>
          <w:lang w:val="en-US"/>
        </w:rPr>
        <w:t>ied</w:t>
      </w:r>
      <w:proofErr w:type="spellEnd"/>
      <w:r w:rsidRPr="002E68D5">
        <w:rPr>
          <w:rFonts w:ascii="Times New Roman" w:eastAsia="Times New Roman" w:hAnsi="Times New Roman" w:cs="Times New Roman"/>
          <w:sz w:val="24"/>
          <w:szCs w:val="24"/>
        </w:rPr>
        <w:t xml:space="preserve"> the Model of </w:t>
      </w:r>
      <w:proofErr w:type="spellStart"/>
      <w:r w:rsidRPr="002E68D5">
        <w:rPr>
          <w:rFonts w:ascii="Times New Roman" w:eastAsia="Times New Roman" w:hAnsi="Times New Roman" w:cs="Times New Roman"/>
          <w:sz w:val="24"/>
          <w:szCs w:val="24"/>
          <w:lang w:val="en-US"/>
        </w:rPr>
        <w:t>Etukeyin</w:t>
      </w:r>
      <w:proofErr w:type="spellEnd"/>
      <w:r w:rsidRPr="002E68D5">
        <w:rPr>
          <w:rFonts w:ascii="Times New Roman" w:eastAsia="Times New Roman" w:hAnsi="Times New Roman" w:cs="Times New Roman"/>
          <w:sz w:val="24"/>
          <w:szCs w:val="24"/>
          <w:lang w:val="en-US"/>
        </w:rPr>
        <w:t xml:space="preserve"> et al. (2025) </w:t>
      </w:r>
      <w:r w:rsidRPr="002E68D5">
        <w:rPr>
          <w:rFonts w:ascii="Times New Roman" w:eastAsia="Times New Roman" w:hAnsi="Times New Roman" w:cs="Times New Roman"/>
          <w:sz w:val="24"/>
          <w:szCs w:val="24"/>
        </w:rPr>
        <w:t xml:space="preserve">in </w:t>
      </w:r>
      <w:r w:rsidRPr="002E68D5">
        <w:rPr>
          <w:rFonts w:ascii="Times New Roman" w:eastAsia="Times New Roman" w:hAnsi="Times New Roman" w:cs="Times New Roman"/>
          <w:sz w:val="24"/>
          <w:szCs w:val="24"/>
          <w:lang w:val="en-US"/>
        </w:rPr>
        <w:t xml:space="preserve">examining the effect of firm attributes on financial reporting quality of </w:t>
      </w:r>
      <w:r w:rsidRPr="002E68D5">
        <w:rPr>
          <w:rFonts w:ascii="Times New Roman" w:eastAsia="Times New Roman" w:hAnsi="Times New Roman" w:cs="Times New Roman"/>
          <w:sz w:val="24"/>
          <w:szCs w:val="24"/>
        </w:rPr>
        <w:t xml:space="preserve">of listed </w:t>
      </w:r>
      <w:r w:rsidRPr="002E68D5">
        <w:rPr>
          <w:rFonts w:ascii="Times New Roman" w:eastAsia="Times New Roman" w:hAnsi="Times New Roman" w:cs="Times New Roman"/>
          <w:sz w:val="24"/>
          <w:szCs w:val="24"/>
          <w:lang w:val="en-US"/>
        </w:rPr>
        <w:t>nonfinancial c</w:t>
      </w:r>
      <w:r w:rsidRPr="002E68D5">
        <w:rPr>
          <w:rFonts w:ascii="Times New Roman" w:eastAsia="Times New Roman" w:hAnsi="Times New Roman" w:cs="Times New Roman"/>
          <w:sz w:val="24"/>
          <w:szCs w:val="24"/>
        </w:rPr>
        <w:t>ompanies in Nigeria. This is given below:</w:t>
      </w:r>
    </w:p>
    <w:p w14:paraId="744B732C" w14:textId="77777777" w:rsidR="0072696F" w:rsidRPr="002E68D5" w:rsidRDefault="0072696F" w:rsidP="0072696F">
      <w:pPr>
        <w:tabs>
          <w:tab w:val="left" w:pos="6600"/>
        </w:tabs>
        <w:spacing w:after="0" w:line="480" w:lineRule="auto"/>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lang w:val="en-US"/>
        </w:rPr>
        <w:t>Financial reporting quality</w:t>
      </w:r>
      <w:r w:rsidRPr="002E68D5">
        <w:rPr>
          <w:rFonts w:ascii="Times New Roman" w:eastAsia="Times New Roman" w:hAnsi="Times New Roman" w:cs="Times New Roman"/>
          <w:sz w:val="24"/>
          <w:szCs w:val="24"/>
        </w:rPr>
        <w:t xml:space="preserve"> =f (</w:t>
      </w:r>
      <w:r w:rsidRPr="002E68D5">
        <w:rPr>
          <w:rFonts w:ascii="Times New Roman" w:eastAsia="Times New Roman" w:hAnsi="Times New Roman" w:cs="Times New Roman"/>
          <w:sz w:val="24"/>
          <w:szCs w:val="24"/>
          <w:lang w:val="en-US"/>
        </w:rPr>
        <w:t>Firm attributes</w:t>
      </w:r>
      <w:r w:rsidRPr="002E68D5">
        <w:rPr>
          <w:rFonts w:ascii="Times New Roman" w:eastAsia="Times New Roman" w:hAnsi="Times New Roman" w:cs="Times New Roman"/>
          <w:sz w:val="24"/>
          <w:szCs w:val="24"/>
        </w:rPr>
        <w:t>)</w:t>
      </w:r>
      <w:r w:rsidRPr="002E68D5">
        <w:rPr>
          <w:rFonts w:ascii="Times New Roman" w:eastAsia="Times New Roman" w:hAnsi="Times New Roman" w:cs="Times New Roman"/>
          <w:sz w:val="24"/>
          <w:szCs w:val="24"/>
        </w:rPr>
        <w:tab/>
      </w:r>
    </w:p>
    <w:p w14:paraId="0D8E6748" w14:textId="0559E551" w:rsidR="0072696F" w:rsidRPr="002E68D5" w:rsidRDefault="0072696F" w:rsidP="0072696F">
      <w:pPr>
        <w:spacing w:line="480" w:lineRule="auto"/>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lang w:val="en-US"/>
        </w:rPr>
        <w:t>Income smoothing</w:t>
      </w:r>
      <w:r w:rsidRPr="002E68D5">
        <w:rPr>
          <w:rFonts w:ascii="Times New Roman" w:eastAsia="Times New Roman" w:hAnsi="Times New Roman" w:cs="Times New Roman"/>
          <w:sz w:val="24"/>
          <w:szCs w:val="24"/>
        </w:rPr>
        <w:t xml:space="preserve"> = </w:t>
      </w:r>
      <w:proofErr w:type="gramStart"/>
      <w:r w:rsidRPr="002E68D5">
        <w:rPr>
          <w:rFonts w:ascii="Times New Roman" w:eastAsia="Times New Roman" w:hAnsi="Times New Roman" w:cs="Times New Roman"/>
          <w:sz w:val="24"/>
          <w:szCs w:val="24"/>
        </w:rPr>
        <w:t>f(</w:t>
      </w:r>
      <w:proofErr w:type="gramEnd"/>
      <w:r w:rsidRPr="002E68D5">
        <w:rPr>
          <w:rFonts w:ascii="Times New Roman" w:eastAsia="Times New Roman" w:hAnsi="Times New Roman" w:cs="Times New Roman"/>
          <w:sz w:val="24"/>
          <w:szCs w:val="24"/>
          <w:lang w:val="en-US"/>
        </w:rPr>
        <w:t>auditor type, sustainability disclosure practices and board financial expertise</w:t>
      </w:r>
      <w:r w:rsidRPr="002E68D5">
        <w:rPr>
          <w:rFonts w:ascii="Times New Roman" w:eastAsia="Times New Roman" w:hAnsi="Times New Roman" w:cs="Times New Roman"/>
          <w:sz w:val="24"/>
          <w:szCs w:val="24"/>
        </w:rPr>
        <w:t>)</w:t>
      </w:r>
    </w:p>
    <w:p w14:paraId="2B1CF838" w14:textId="2C21D8C4" w:rsidR="0072696F" w:rsidRPr="002E68D5" w:rsidRDefault="0072696F" w:rsidP="0072696F">
      <w:pPr>
        <w:spacing w:after="0" w:line="480" w:lineRule="auto"/>
        <w:jc w:val="both"/>
        <w:rPr>
          <w:rFonts w:ascii="Times New Roman" w:eastAsia="Times New Roman" w:hAnsi="Times New Roman" w:cs="Times New Roman"/>
          <w:bCs/>
          <w:sz w:val="24"/>
          <w:szCs w:val="24"/>
          <w:vertAlign w:val="subscript"/>
          <w:lang w:val="en-GB"/>
        </w:rPr>
      </w:pPr>
      <w:proofErr w:type="spellStart"/>
      <w:r w:rsidRPr="002E68D5">
        <w:rPr>
          <w:rFonts w:ascii="Times New Roman" w:eastAsia="Times New Roman" w:hAnsi="Times New Roman" w:cs="Times New Roman"/>
          <w:bCs/>
          <w:sz w:val="24"/>
          <w:szCs w:val="24"/>
          <w:lang w:val="en-GB"/>
        </w:rPr>
        <w:lastRenderedPageBreak/>
        <w:t>INCS</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rPr>
        <w:t xml:space="preserve"> 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0</w:t>
      </w:r>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t xml:space="preserve">1 </w:t>
      </w:r>
      <w:proofErr w:type="spellStart"/>
      <w:r w:rsidRPr="002E68D5">
        <w:rPr>
          <w:rFonts w:ascii="Times New Roman" w:eastAsia="Times New Roman" w:hAnsi="Times New Roman" w:cs="Times New Roman"/>
          <w:bCs/>
          <w:sz w:val="24"/>
          <w:szCs w:val="24"/>
          <w:lang w:val="en-GB"/>
        </w:rPr>
        <w:t>AUTT</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US"/>
        </w:rPr>
        <w:t>2</w:t>
      </w:r>
      <w:proofErr w:type="spellStart"/>
      <w:r w:rsidRPr="002E68D5">
        <w:rPr>
          <w:rFonts w:ascii="Times New Roman" w:eastAsia="Times New Roman" w:hAnsi="Times New Roman" w:cs="Times New Roman"/>
          <w:bCs/>
          <w:sz w:val="24"/>
          <w:szCs w:val="24"/>
          <w:lang w:val="en-GB"/>
        </w:rPr>
        <w:t>SUDP</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US"/>
        </w:rPr>
        <w:t>3</w:t>
      </w:r>
      <w:r w:rsidRPr="002E68D5">
        <w:rPr>
          <w:rFonts w:ascii="Times New Roman" w:eastAsia="Times New Roman" w:hAnsi="Times New Roman" w:cs="Times New Roman"/>
          <w:bCs/>
          <w:sz w:val="24"/>
          <w:szCs w:val="24"/>
          <w:vertAlign w:val="subscript"/>
          <w:lang w:val="en-GB"/>
        </w:rPr>
        <w:t xml:space="preserve"> </w:t>
      </w:r>
      <w:proofErr w:type="spellStart"/>
      <w:r w:rsidRPr="002E68D5">
        <w:rPr>
          <w:rFonts w:ascii="Times New Roman" w:eastAsia="Times New Roman" w:hAnsi="Times New Roman" w:cs="Times New Roman"/>
          <w:bCs/>
          <w:sz w:val="24"/>
          <w:szCs w:val="24"/>
          <w:lang w:val="en-GB"/>
        </w:rPr>
        <w:t>BOFE</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US"/>
        </w:rPr>
        <w:t>4</w:t>
      </w:r>
      <w:proofErr w:type="spellStart"/>
      <w:r w:rsidRPr="002E68D5">
        <w:rPr>
          <w:rFonts w:ascii="Times New Roman" w:eastAsia="Times New Roman" w:hAnsi="Times New Roman" w:cs="Times New Roman"/>
          <w:bCs/>
          <w:sz w:val="24"/>
          <w:szCs w:val="24"/>
          <w:lang w:val="en-GB"/>
        </w:rPr>
        <w:t>FIMZ</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vertAlign w:val="subscript"/>
          <w:lang w:val="en-GB"/>
        </w:rPr>
        <w:t>it</w:t>
      </w:r>
    </w:p>
    <w:p w14:paraId="116B45A0"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Where:</w:t>
      </w:r>
    </w:p>
    <w:p w14:paraId="5B5AD753"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INCS</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t xml:space="preserve">=   </w:t>
      </w:r>
      <w:r w:rsidRPr="002E68D5">
        <w:rPr>
          <w:rFonts w:ascii="Times New Roman" w:eastAsia="Times New Roman" w:hAnsi="Times New Roman" w:cs="Times New Roman"/>
          <w:sz w:val="24"/>
          <w:szCs w:val="24"/>
          <w:lang w:val="en-GB"/>
        </w:rPr>
        <w:tab/>
        <w:t>Income Smoothing</w:t>
      </w:r>
    </w:p>
    <w:p w14:paraId="0EDB8072"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AUTT</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r>
      <w:proofErr w:type="gramStart"/>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lang w:val="en-GB"/>
        </w:rPr>
        <w:tab/>
      </w:r>
      <w:proofErr w:type="gramEnd"/>
      <w:r w:rsidRPr="002E68D5">
        <w:rPr>
          <w:rFonts w:ascii="Times New Roman" w:eastAsia="Times New Roman" w:hAnsi="Times New Roman" w:cs="Times New Roman"/>
          <w:sz w:val="24"/>
          <w:szCs w:val="24"/>
          <w:lang w:val="en-GB"/>
        </w:rPr>
        <w:t>Auditor type</w:t>
      </w:r>
    </w:p>
    <w:p w14:paraId="15DB4C0A"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SUDP</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r>
      <w:proofErr w:type="gramStart"/>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lang w:val="en-GB"/>
        </w:rPr>
        <w:tab/>
      </w:r>
      <w:proofErr w:type="gramEnd"/>
      <w:r w:rsidRPr="002E68D5">
        <w:rPr>
          <w:rFonts w:ascii="Times New Roman" w:eastAsia="Times New Roman" w:hAnsi="Times New Roman" w:cs="Times New Roman"/>
          <w:sz w:val="24"/>
          <w:szCs w:val="24"/>
          <w:lang w:val="en-GB"/>
        </w:rPr>
        <w:t>Sustainability disclosure practices</w:t>
      </w:r>
    </w:p>
    <w:p w14:paraId="1900DF12"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BOFE</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r>
      <w:proofErr w:type="gramStart"/>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lang w:val="en-GB"/>
        </w:rPr>
        <w:tab/>
      </w:r>
      <w:proofErr w:type="gramEnd"/>
      <w:r w:rsidRPr="002E68D5">
        <w:rPr>
          <w:rFonts w:ascii="Times New Roman" w:eastAsia="Times New Roman" w:hAnsi="Times New Roman" w:cs="Times New Roman"/>
          <w:sz w:val="24"/>
          <w:szCs w:val="24"/>
          <w:lang w:val="en-GB"/>
        </w:rPr>
        <w:t>Board financial expertise</w:t>
      </w:r>
    </w:p>
    <w:p w14:paraId="517A7B4C"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FIMZ</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r>
      <w:proofErr w:type="gramStart"/>
      <w:r w:rsidRPr="002E68D5">
        <w:rPr>
          <w:rFonts w:ascii="Times New Roman" w:eastAsia="Times New Roman" w:hAnsi="Times New Roman" w:cs="Times New Roman"/>
          <w:sz w:val="24"/>
          <w:szCs w:val="24"/>
          <w:lang w:val="en-GB"/>
        </w:rPr>
        <w:t xml:space="preserve">=  </w:t>
      </w:r>
      <w:r w:rsidRPr="002E68D5">
        <w:rPr>
          <w:rFonts w:ascii="Times New Roman" w:eastAsia="Times New Roman" w:hAnsi="Times New Roman" w:cs="Times New Roman"/>
          <w:sz w:val="24"/>
          <w:szCs w:val="24"/>
          <w:lang w:val="en-GB"/>
        </w:rPr>
        <w:tab/>
      </w:r>
      <w:proofErr w:type="gramEnd"/>
      <w:r w:rsidRPr="002E68D5">
        <w:rPr>
          <w:rFonts w:ascii="Times New Roman" w:eastAsia="Times New Roman" w:hAnsi="Times New Roman" w:cs="Times New Roman"/>
          <w:sz w:val="24"/>
          <w:szCs w:val="24"/>
          <w:lang w:val="en-GB"/>
        </w:rPr>
        <w:t>Firm size (Control variable)</w:t>
      </w:r>
    </w:p>
    <w:p w14:paraId="62D8F091" w14:textId="77777777" w:rsidR="0072696F" w:rsidRPr="002E68D5" w:rsidRDefault="0072696F" w:rsidP="0072696F">
      <w:pPr>
        <w:spacing w:after="0" w:line="240" w:lineRule="auto"/>
        <w:jc w:val="both"/>
        <w:rPr>
          <w:rFonts w:ascii="Times New Roman" w:eastAsia="Times New Roman" w:hAnsi="Times New Roman" w:cs="Times New Roman"/>
          <w:bCs/>
          <w:sz w:val="24"/>
          <w:szCs w:val="24"/>
          <w:vertAlign w:val="subscript"/>
          <w:lang w:val="en-GB"/>
        </w:rPr>
      </w:pP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 xml:space="preserve">0                               </w:t>
      </w:r>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lang w:val="en-GB"/>
        </w:rPr>
        <w:tab/>
        <w:t>Model intercept</w:t>
      </w:r>
    </w:p>
    <w:p w14:paraId="3791E256" w14:textId="079853AC" w:rsidR="0072696F" w:rsidRPr="002E68D5" w:rsidRDefault="0072696F" w:rsidP="0072696F">
      <w:pPr>
        <w:spacing w:after="0" w:line="240" w:lineRule="auto"/>
        <w:jc w:val="both"/>
        <w:rPr>
          <w:rFonts w:ascii="Times New Roman" w:eastAsia="Times New Roman" w:hAnsi="Times New Roman" w:cs="Times New Roman"/>
          <w:bCs/>
          <w:sz w:val="24"/>
          <w:szCs w:val="24"/>
          <w:lang w:val="en-GB"/>
        </w:rPr>
      </w:pP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1-</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4</w:t>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lang w:val="en-GB"/>
        </w:rPr>
        <w:tab/>
        <w:t>Coefficient to be estimated in the study</w:t>
      </w:r>
    </w:p>
    <w:p w14:paraId="72A4DA27" w14:textId="77777777" w:rsidR="0072696F" w:rsidRPr="002E68D5" w:rsidRDefault="0072696F" w:rsidP="0072696F">
      <w:pPr>
        <w:spacing w:after="0" w:line="240" w:lineRule="auto"/>
        <w:jc w:val="both"/>
        <w:rPr>
          <w:rFonts w:ascii="Times New Roman" w:eastAsia="Times New Roman" w:hAnsi="Times New Roman" w:cs="Times New Roman"/>
          <w:bCs/>
          <w:sz w:val="24"/>
          <w:szCs w:val="24"/>
          <w:lang w:val="en-GB"/>
        </w:rPr>
      </w:pPr>
      <w:r w:rsidRPr="002E68D5">
        <w:rPr>
          <w:rFonts w:ascii="Times New Roman" w:eastAsia="Times New Roman" w:hAnsi="Times New Roman" w:cs="Times New Roman"/>
          <w:bCs/>
          <w:sz w:val="24"/>
          <w:szCs w:val="24"/>
          <w:vertAlign w:val="subscript"/>
          <w:lang w:val="en-GB"/>
        </w:rPr>
        <w:t>it</w:t>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lang w:val="en-GB"/>
        </w:rPr>
        <w:tab/>
        <w:t>Cross section of listed nonfinancial companies with time variant</w:t>
      </w:r>
    </w:p>
    <w:p w14:paraId="3951ED00" w14:textId="77777777" w:rsidR="0072696F" w:rsidRPr="002E68D5" w:rsidRDefault="0072696F" w:rsidP="0072696F">
      <w:pPr>
        <w:spacing w:after="0" w:line="240" w:lineRule="auto"/>
        <w:jc w:val="both"/>
        <w:rPr>
          <w:rFonts w:ascii="Times New Roman" w:eastAsia="Times New Roman" w:hAnsi="Times New Roman" w:cs="Times New Roman"/>
          <w:bCs/>
          <w:sz w:val="24"/>
          <w:szCs w:val="24"/>
          <w:lang w:val="en-GB"/>
        </w:rPr>
      </w:pPr>
      <w:r w:rsidRPr="002E68D5">
        <w:rPr>
          <w:rFonts w:ascii="Times New Roman" w:eastAsia="Times New Roman" w:hAnsi="Times New Roman" w:cs="Times New Roman"/>
          <w:bCs/>
          <w:sz w:val="24"/>
          <w:szCs w:val="24"/>
          <w:lang w:val="en-GB"/>
        </w:rPr>
        <w:t>£</w:t>
      </w:r>
      <w:r w:rsidRPr="002E68D5">
        <w:rPr>
          <w:rFonts w:ascii="Times New Roman" w:eastAsia="Times New Roman" w:hAnsi="Times New Roman" w:cs="Times New Roman"/>
          <w:bCs/>
          <w:sz w:val="24"/>
          <w:szCs w:val="24"/>
          <w:vertAlign w:val="subscript"/>
          <w:lang w:val="en-GB"/>
        </w:rPr>
        <w:t>it</w:t>
      </w:r>
      <w:r w:rsidRPr="002E68D5">
        <w:rPr>
          <w:rFonts w:ascii="Times New Roman" w:eastAsia="Times New Roman" w:hAnsi="Times New Roman" w:cs="Times New Roman"/>
          <w:bCs/>
          <w:sz w:val="24"/>
          <w:szCs w:val="24"/>
          <w:lang w:val="en-GB"/>
        </w:rPr>
        <w:tab/>
      </w:r>
      <w:r w:rsidRPr="002E68D5">
        <w:rPr>
          <w:rFonts w:ascii="Times New Roman" w:eastAsia="Times New Roman" w:hAnsi="Times New Roman" w:cs="Times New Roman"/>
          <w:bCs/>
          <w:sz w:val="24"/>
          <w:szCs w:val="24"/>
          <w:lang w:val="en-GB"/>
        </w:rPr>
        <w:tab/>
        <w:t xml:space="preserve"> =   </w:t>
      </w:r>
      <w:r w:rsidRPr="002E68D5">
        <w:rPr>
          <w:rFonts w:ascii="Times New Roman" w:eastAsia="Times New Roman" w:hAnsi="Times New Roman" w:cs="Times New Roman"/>
          <w:bCs/>
          <w:sz w:val="24"/>
          <w:szCs w:val="24"/>
          <w:lang w:val="en-GB"/>
        </w:rPr>
        <w:tab/>
        <w:t>Stochastic error term</w:t>
      </w:r>
    </w:p>
    <w:p w14:paraId="16FDE2F5" w14:textId="77777777" w:rsidR="0072696F" w:rsidRPr="002E68D5" w:rsidRDefault="0072696F" w:rsidP="0072696F">
      <w:pPr>
        <w:spacing w:after="0" w:line="240" w:lineRule="auto"/>
        <w:jc w:val="both"/>
        <w:rPr>
          <w:rFonts w:ascii="Times New Roman" w:eastAsia="SimSun" w:hAnsi="Times New Roman" w:cs="Times New Roman"/>
          <w:sz w:val="24"/>
          <w:szCs w:val="24"/>
          <w:lang w:eastAsia="zh-CN"/>
        </w:rPr>
      </w:pPr>
    </w:p>
    <w:p w14:paraId="39D4A643" w14:textId="1F3BE575" w:rsidR="0072696F" w:rsidRPr="002E68D5" w:rsidRDefault="00084607" w:rsidP="0072696F">
      <w:pPr>
        <w:spacing w:before="240" w:after="0" w:line="480" w:lineRule="auto"/>
        <w:jc w:val="both"/>
        <w:rPr>
          <w:rFonts w:ascii="Times New Roman" w:eastAsia="Times New Roman" w:hAnsi="Times New Roman" w:cs="Times New Roman"/>
          <w:b/>
          <w:sz w:val="24"/>
          <w:szCs w:val="24"/>
          <w:lang w:val="en-GB" w:eastAsia="en-GB"/>
        </w:rPr>
      </w:pPr>
      <w:r w:rsidRPr="002E68D5">
        <w:rPr>
          <w:rFonts w:ascii="Times New Roman" w:eastAsia="DengXian" w:hAnsi="Times New Roman" w:cs="Times New Roman"/>
          <w:b/>
          <w:sz w:val="24"/>
          <w:szCs w:val="24"/>
          <w:lang w:val="en-US" w:eastAsia="zh-CN"/>
        </w:rPr>
        <w:t xml:space="preserve">4.0 </w:t>
      </w:r>
      <w:r w:rsidR="0072696F" w:rsidRPr="002E68D5">
        <w:rPr>
          <w:rFonts w:ascii="Times New Roman" w:eastAsia="Times New Roman" w:hAnsi="Times New Roman" w:cs="Times New Roman"/>
          <w:b/>
          <w:bCs/>
          <w:sz w:val="24"/>
          <w:szCs w:val="24"/>
          <w:lang w:val="en-GB" w:eastAsia="en-GB"/>
        </w:rPr>
        <w:t>Analysis and Discussion</w:t>
      </w:r>
    </w:p>
    <w:p w14:paraId="17D52AFE" w14:textId="02E127B6" w:rsidR="0072696F" w:rsidRPr="002E68D5" w:rsidRDefault="0072696F" w:rsidP="0072696F">
      <w:pPr>
        <w:widowControl w:val="0"/>
        <w:autoSpaceDE w:val="0"/>
        <w:autoSpaceDN w:val="0"/>
        <w:adjustRightInd w:val="0"/>
        <w:spacing w:after="0" w:line="360" w:lineRule="auto"/>
        <w:rPr>
          <w:rFonts w:ascii="Times New Roman" w:eastAsia="DengXian" w:hAnsi="Times New Roman" w:cs="Times New Roman"/>
          <w:b/>
          <w:sz w:val="24"/>
          <w:szCs w:val="24"/>
          <w:lang w:eastAsia="zh-CN"/>
        </w:rPr>
      </w:pPr>
      <w:r w:rsidRPr="002E68D5">
        <w:rPr>
          <w:rFonts w:ascii="Times New Roman" w:hAnsi="Times New Roman" w:cs="Times New Roman"/>
          <w:b/>
          <w:bCs/>
          <w:sz w:val="24"/>
          <w:szCs w:val="24"/>
        </w:rPr>
        <w:t>Table 1</w:t>
      </w:r>
      <w:r w:rsidRPr="002E68D5">
        <w:rPr>
          <w:rFonts w:ascii="Times New Roman" w:hAnsi="Times New Roman" w:cs="Times New Roman"/>
          <w:b/>
          <w:bCs/>
          <w:sz w:val="24"/>
          <w:szCs w:val="24"/>
          <w:lang w:val="en-GB"/>
        </w:rPr>
        <w:t xml:space="preserve">: </w:t>
      </w:r>
      <w:r w:rsidRPr="002E68D5">
        <w:rPr>
          <w:rFonts w:ascii="Times New Roman" w:hAnsi="Times New Roman" w:cs="Times New Roman"/>
          <w:b/>
          <w:bCs/>
          <w:sz w:val="24"/>
          <w:szCs w:val="24"/>
        </w:rPr>
        <w:t xml:space="preserve">Descriptive </w:t>
      </w:r>
      <w:r w:rsidRPr="002E68D5">
        <w:rPr>
          <w:rFonts w:ascii="Times New Roman" w:hAnsi="Times New Roman" w:cs="Times New Roman"/>
          <w:b/>
          <w:bCs/>
          <w:sz w:val="24"/>
          <w:szCs w:val="24"/>
          <w:lang w:val="en-GB"/>
        </w:rPr>
        <w:t>s</w:t>
      </w:r>
      <w:r w:rsidRPr="002E68D5">
        <w:rPr>
          <w:rFonts w:ascii="Times New Roman" w:hAnsi="Times New Roman" w:cs="Times New Roman"/>
          <w:b/>
          <w:bCs/>
          <w:sz w:val="24"/>
          <w:szCs w:val="24"/>
        </w:rPr>
        <w:t>tatistics</w:t>
      </w:r>
      <w:r w:rsidRPr="002E68D5">
        <w:rPr>
          <w:rFonts w:ascii="Times New Roman" w:hAnsi="Times New Roman" w:cs="Times New Roman"/>
          <w:b/>
          <w:bCs/>
          <w:sz w:val="24"/>
          <w:szCs w:val="24"/>
          <w:lang w:val="en-GB"/>
        </w:rPr>
        <w:t xml:space="preserve"> of the effect of firm attributes on financial reporting quality</w:t>
      </w:r>
    </w:p>
    <w:tbl>
      <w:tblPr>
        <w:tblW w:w="0" w:type="auto"/>
        <w:tblLayout w:type="fixed"/>
        <w:tblLook w:val="0000" w:firstRow="0" w:lastRow="0" w:firstColumn="0" w:lastColumn="0" w:noHBand="0" w:noVBand="0"/>
      </w:tblPr>
      <w:tblGrid>
        <w:gridCol w:w="2508"/>
        <w:gridCol w:w="800"/>
        <w:gridCol w:w="1400"/>
        <w:gridCol w:w="1400"/>
        <w:gridCol w:w="1400"/>
        <w:gridCol w:w="1400"/>
      </w:tblGrid>
      <w:tr w:rsidR="002E68D5" w:rsidRPr="002E68D5" w14:paraId="04E4E682" w14:textId="77777777" w:rsidTr="00BD74E9">
        <w:tc>
          <w:tcPr>
            <w:tcW w:w="2508" w:type="dxa"/>
            <w:tcBorders>
              <w:top w:val="single" w:sz="4" w:space="0" w:color="auto"/>
              <w:left w:val="nil"/>
              <w:bottom w:val="single" w:sz="10" w:space="0" w:color="auto"/>
              <w:right w:val="nil"/>
            </w:tcBorders>
          </w:tcPr>
          <w:p w14:paraId="67DEFDF4"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Variable</w:t>
            </w:r>
          </w:p>
        </w:tc>
        <w:tc>
          <w:tcPr>
            <w:tcW w:w="800" w:type="dxa"/>
            <w:tcBorders>
              <w:top w:val="single" w:sz="4" w:space="0" w:color="auto"/>
              <w:left w:val="nil"/>
              <w:bottom w:val="single" w:sz="10" w:space="0" w:color="auto"/>
              <w:right w:val="nil"/>
            </w:tcBorders>
          </w:tcPr>
          <w:p w14:paraId="70C175DE"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Obs</w:t>
            </w:r>
          </w:p>
        </w:tc>
        <w:tc>
          <w:tcPr>
            <w:tcW w:w="1400" w:type="dxa"/>
            <w:tcBorders>
              <w:top w:val="single" w:sz="4" w:space="0" w:color="auto"/>
              <w:left w:val="nil"/>
              <w:bottom w:val="single" w:sz="10" w:space="0" w:color="auto"/>
              <w:right w:val="nil"/>
            </w:tcBorders>
          </w:tcPr>
          <w:p w14:paraId="48D3CBFF"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Mean</w:t>
            </w:r>
          </w:p>
        </w:tc>
        <w:tc>
          <w:tcPr>
            <w:tcW w:w="1400" w:type="dxa"/>
            <w:tcBorders>
              <w:top w:val="single" w:sz="4" w:space="0" w:color="auto"/>
              <w:left w:val="nil"/>
              <w:bottom w:val="single" w:sz="10" w:space="0" w:color="auto"/>
              <w:right w:val="nil"/>
            </w:tcBorders>
          </w:tcPr>
          <w:p w14:paraId="0045C357"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Std. Dev.</w:t>
            </w:r>
          </w:p>
        </w:tc>
        <w:tc>
          <w:tcPr>
            <w:tcW w:w="1400" w:type="dxa"/>
            <w:tcBorders>
              <w:top w:val="single" w:sz="4" w:space="0" w:color="auto"/>
              <w:left w:val="nil"/>
              <w:bottom w:val="single" w:sz="10" w:space="0" w:color="auto"/>
              <w:right w:val="nil"/>
            </w:tcBorders>
          </w:tcPr>
          <w:p w14:paraId="0F63A1F2"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Min</w:t>
            </w:r>
          </w:p>
        </w:tc>
        <w:tc>
          <w:tcPr>
            <w:tcW w:w="1400" w:type="dxa"/>
            <w:tcBorders>
              <w:top w:val="single" w:sz="4" w:space="0" w:color="auto"/>
              <w:left w:val="nil"/>
              <w:bottom w:val="single" w:sz="10" w:space="0" w:color="auto"/>
              <w:right w:val="nil"/>
            </w:tcBorders>
          </w:tcPr>
          <w:p w14:paraId="7C488360"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Max</w:t>
            </w:r>
          </w:p>
        </w:tc>
      </w:tr>
      <w:tr w:rsidR="002E68D5" w:rsidRPr="002E68D5" w14:paraId="47FF9514" w14:textId="77777777" w:rsidTr="00BD74E9">
        <w:tc>
          <w:tcPr>
            <w:tcW w:w="2508" w:type="dxa"/>
            <w:tcBorders>
              <w:top w:val="nil"/>
              <w:left w:val="nil"/>
              <w:bottom w:val="nil"/>
              <w:right w:val="nil"/>
            </w:tcBorders>
          </w:tcPr>
          <w:p w14:paraId="5C6BACD1"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incs</w:t>
            </w:r>
          </w:p>
        </w:tc>
        <w:tc>
          <w:tcPr>
            <w:tcW w:w="800" w:type="dxa"/>
            <w:tcBorders>
              <w:top w:val="nil"/>
              <w:left w:val="nil"/>
              <w:bottom w:val="nil"/>
              <w:right w:val="nil"/>
            </w:tcBorders>
          </w:tcPr>
          <w:p w14:paraId="29D1B27B"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6CB8E961"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14.535</w:t>
            </w:r>
          </w:p>
        </w:tc>
        <w:tc>
          <w:tcPr>
            <w:tcW w:w="1400" w:type="dxa"/>
            <w:tcBorders>
              <w:top w:val="nil"/>
              <w:left w:val="nil"/>
              <w:bottom w:val="nil"/>
              <w:right w:val="nil"/>
            </w:tcBorders>
          </w:tcPr>
          <w:p w14:paraId="0CDE2022"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751.589</w:t>
            </w:r>
          </w:p>
        </w:tc>
        <w:tc>
          <w:tcPr>
            <w:tcW w:w="1400" w:type="dxa"/>
            <w:tcBorders>
              <w:top w:val="nil"/>
              <w:left w:val="nil"/>
              <w:bottom w:val="nil"/>
              <w:right w:val="nil"/>
            </w:tcBorders>
          </w:tcPr>
          <w:p w14:paraId="40836F6D"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-5475.142</w:t>
            </w:r>
          </w:p>
        </w:tc>
        <w:tc>
          <w:tcPr>
            <w:tcW w:w="1400" w:type="dxa"/>
            <w:tcBorders>
              <w:top w:val="nil"/>
              <w:left w:val="nil"/>
              <w:bottom w:val="nil"/>
              <w:right w:val="nil"/>
            </w:tcBorders>
          </w:tcPr>
          <w:p w14:paraId="0D566F7C"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21008.732</w:t>
            </w:r>
          </w:p>
        </w:tc>
      </w:tr>
      <w:tr w:rsidR="002E68D5" w:rsidRPr="002E68D5" w14:paraId="7D6CF321" w14:textId="77777777" w:rsidTr="00BD74E9">
        <w:tc>
          <w:tcPr>
            <w:tcW w:w="2508" w:type="dxa"/>
            <w:tcBorders>
              <w:top w:val="nil"/>
              <w:left w:val="nil"/>
              <w:bottom w:val="nil"/>
              <w:right w:val="nil"/>
            </w:tcBorders>
          </w:tcPr>
          <w:p w14:paraId="3BC71756"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autt</w:t>
            </w:r>
          </w:p>
        </w:tc>
        <w:tc>
          <w:tcPr>
            <w:tcW w:w="800" w:type="dxa"/>
            <w:tcBorders>
              <w:top w:val="nil"/>
              <w:left w:val="nil"/>
              <w:bottom w:val="nil"/>
              <w:right w:val="nil"/>
            </w:tcBorders>
          </w:tcPr>
          <w:p w14:paraId="5FD6FF81"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5614D9B8"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.661</w:t>
            </w:r>
          </w:p>
        </w:tc>
        <w:tc>
          <w:tcPr>
            <w:tcW w:w="1400" w:type="dxa"/>
            <w:tcBorders>
              <w:top w:val="nil"/>
              <w:left w:val="nil"/>
              <w:bottom w:val="nil"/>
              <w:right w:val="nil"/>
            </w:tcBorders>
          </w:tcPr>
          <w:p w14:paraId="78F14A39"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.474</w:t>
            </w:r>
          </w:p>
        </w:tc>
        <w:tc>
          <w:tcPr>
            <w:tcW w:w="1400" w:type="dxa"/>
            <w:tcBorders>
              <w:top w:val="nil"/>
              <w:left w:val="nil"/>
              <w:bottom w:val="nil"/>
              <w:right w:val="nil"/>
            </w:tcBorders>
          </w:tcPr>
          <w:p w14:paraId="5BB95980"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0</w:t>
            </w:r>
          </w:p>
        </w:tc>
        <w:tc>
          <w:tcPr>
            <w:tcW w:w="1400" w:type="dxa"/>
            <w:tcBorders>
              <w:top w:val="nil"/>
              <w:left w:val="nil"/>
              <w:bottom w:val="nil"/>
              <w:right w:val="nil"/>
            </w:tcBorders>
          </w:tcPr>
          <w:p w14:paraId="70AB79CF"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w:t>
            </w:r>
          </w:p>
        </w:tc>
      </w:tr>
      <w:tr w:rsidR="002E68D5" w:rsidRPr="002E68D5" w14:paraId="4545BE9B" w14:textId="77777777" w:rsidTr="00BD74E9">
        <w:tc>
          <w:tcPr>
            <w:tcW w:w="2508" w:type="dxa"/>
            <w:tcBorders>
              <w:top w:val="nil"/>
              <w:left w:val="nil"/>
              <w:bottom w:val="nil"/>
              <w:right w:val="nil"/>
            </w:tcBorders>
          </w:tcPr>
          <w:p w14:paraId="57B83FC8"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sudp</w:t>
            </w:r>
          </w:p>
        </w:tc>
        <w:tc>
          <w:tcPr>
            <w:tcW w:w="800" w:type="dxa"/>
            <w:tcBorders>
              <w:top w:val="nil"/>
              <w:left w:val="nil"/>
              <w:bottom w:val="nil"/>
              <w:right w:val="nil"/>
            </w:tcBorders>
          </w:tcPr>
          <w:p w14:paraId="5273D32B"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4078E799"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.703</w:t>
            </w:r>
          </w:p>
        </w:tc>
        <w:tc>
          <w:tcPr>
            <w:tcW w:w="1400" w:type="dxa"/>
            <w:tcBorders>
              <w:top w:val="nil"/>
              <w:left w:val="nil"/>
              <w:bottom w:val="nil"/>
              <w:right w:val="nil"/>
            </w:tcBorders>
          </w:tcPr>
          <w:p w14:paraId="79599D4A"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.196</w:t>
            </w:r>
          </w:p>
        </w:tc>
        <w:tc>
          <w:tcPr>
            <w:tcW w:w="1400" w:type="dxa"/>
            <w:tcBorders>
              <w:top w:val="nil"/>
              <w:left w:val="nil"/>
              <w:bottom w:val="nil"/>
              <w:right w:val="nil"/>
            </w:tcBorders>
          </w:tcPr>
          <w:p w14:paraId="7DF40F5F"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.4</w:t>
            </w:r>
          </w:p>
        </w:tc>
        <w:tc>
          <w:tcPr>
            <w:tcW w:w="1400" w:type="dxa"/>
            <w:tcBorders>
              <w:top w:val="nil"/>
              <w:left w:val="nil"/>
              <w:bottom w:val="nil"/>
              <w:right w:val="nil"/>
            </w:tcBorders>
          </w:tcPr>
          <w:p w14:paraId="16FEBA82"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w:t>
            </w:r>
          </w:p>
        </w:tc>
      </w:tr>
      <w:tr w:rsidR="002E68D5" w:rsidRPr="002E68D5" w14:paraId="07699E67" w14:textId="77777777" w:rsidTr="00BD74E9">
        <w:tc>
          <w:tcPr>
            <w:tcW w:w="2508" w:type="dxa"/>
            <w:tcBorders>
              <w:top w:val="nil"/>
              <w:left w:val="nil"/>
              <w:bottom w:val="nil"/>
              <w:right w:val="nil"/>
            </w:tcBorders>
          </w:tcPr>
          <w:p w14:paraId="1FAE0EB0"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bofe</w:t>
            </w:r>
          </w:p>
        </w:tc>
        <w:tc>
          <w:tcPr>
            <w:tcW w:w="800" w:type="dxa"/>
            <w:tcBorders>
              <w:top w:val="nil"/>
              <w:left w:val="nil"/>
              <w:bottom w:val="nil"/>
              <w:right w:val="nil"/>
            </w:tcBorders>
          </w:tcPr>
          <w:p w14:paraId="73762943"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1719D971"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.234</w:t>
            </w:r>
          </w:p>
        </w:tc>
        <w:tc>
          <w:tcPr>
            <w:tcW w:w="1400" w:type="dxa"/>
            <w:tcBorders>
              <w:top w:val="nil"/>
              <w:left w:val="nil"/>
              <w:bottom w:val="nil"/>
              <w:right w:val="nil"/>
            </w:tcBorders>
          </w:tcPr>
          <w:p w14:paraId="55B77F51"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.197</w:t>
            </w:r>
          </w:p>
        </w:tc>
        <w:tc>
          <w:tcPr>
            <w:tcW w:w="1400" w:type="dxa"/>
            <w:tcBorders>
              <w:top w:val="nil"/>
              <w:left w:val="nil"/>
              <w:bottom w:val="nil"/>
              <w:right w:val="nil"/>
            </w:tcBorders>
          </w:tcPr>
          <w:p w14:paraId="7B9C3A43"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0</w:t>
            </w:r>
          </w:p>
        </w:tc>
        <w:tc>
          <w:tcPr>
            <w:tcW w:w="1400" w:type="dxa"/>
            <w:tcBorders>
              <w:top w:val="nil"/>
              <w:left w:val="nil"/>
              <w:bottom w:val="nil"/>
              <w:right w:val="nil"/>
            </w:tcBorders>
          </w:tcPr>
          <w:p w14:paraId="33741580"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.833</w:t>
            </w:r>
          </w:p>
        </w:tc>
      </w:tr>
      <w:tr w:rsidR="002E68D5" w:rsidRPr="002E68D5" w14:paraId="630D2323" w14:textId="77777777" w:rsidTr="00BD74E9">
        <w:tc>
          <w:tcPr>
            <w:tcW w:w="2508" w:type="dxa"/>
            <w:tcBorders>
              <w:top w:val="nil"/>
              <w:left w:val="nil"/>
              <w:bottom w:val="nil"/>
              <w:right w:val="nil"/>
            </w:tcBorders>
          </w:tcPr>
          <w:p w14:paraId="79EE9328"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fimz</w:t>
            </w:r>
          </w:p>
        </w:tc>
        <w:tc>
          <w:tcPr>
            <w:tcW w:w="800" w:type="dxa"/>
            <w:tcBorders>
              <w:top w:val="nil"/>
              <w:left w:val="nil"/>
              <w:bottom w:val="nil"/>
              <w:right w:val="nil"/>
            </w:tcBorders>
          </w:tcPr>
          <w:p w14:paraId="50905925"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4CB8C4C5"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17.046</w:t>
            </w:r>
          </w:p>
        </w:tc>
        <w:tc>
          <w:tcPr>
            <w:tcW w:w="1400" w:type="dxa"/>
            <w:tcBorders>
              <w:top w:val="nil"/>
              <w:left w:val="nil"/>
              <w:bottom w:val="nil"/>
              <w:right w:val="nil"/>
            </w:tcBorders>
          </w:tcPr>
          <w:p w14:paraId="67619BB8"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3.613</w:t>
            </w:r>
          </w:p>
        </w:tc>
        <w:tc>
          <w:tcPr>
            <w:tcW w:w="1400" w:type="dxa"/>
            <w:tcBorders>
              <w:top w:val="nil"/>
              <w:left w:val="nil"/>
              <w:bottom w:val="nil"/>
              <w:right w:val="nil"/>
            </w:tcBorders>
          </w:tcPr>
          <w:p w14:paraId="269FE01A"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11.057</w:t>
            </w:r>
          </w:p>
        </w:tc>
        <w:tc>
          <w:tcPr>
            <w:tcW w:w="1400" w:type="dxa"/>
            <w:tcBorders>
              <w:top w:val="nil"/>
              <w:left w:val="nil"/>
              <w:bottom w:val="nil"/>
              <w:right w:val="nil"/>
            </w:tcBorders>
          </w:tcPr>
          <w:p w14:paraId="5E64FB64"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25.511</w:t>
            </w:r>
          </w:p>
        </w:tc>
      </w:tr>
      <w:tr w:rsidR="002E68D5" w:rsidRPr="002E68D5" w14:paraId="5F263E8C" w14:textId="77777777" w:rsidTr="00BD74E9">
        <w:trPr>
          <w:trHeight w:val="201"/>
        </w:trPr>
        <w:tc>
          <w:tcPr>
            <w:tcW w:w="8908" w:type="dxa"/>
            <w:gridSpan w:val="6"/>
            <w:tcBorders>
              <w:top w:val="single" w:sz="6" w:space="0" w:color="auto"/>
              <w:left w:val="nil"/>
              <w:bottom w:val="nil"/>
              <w:right w:val="nil"/>
            </w:tcBorders>
          </w:tcPr>
          <w:p w14:paraId="0A09E091" w14:textId="77777777" w:rsidR="0072696F" w:rsidRPr="002E68D5" w:rsidRDefault="0072696F" w:rsidP="00BD74E9">
            <w:pPr>
              <w:spacing w:after="0" w:line="240" w:lineRule="auto"/>
              <w:rPr>
                <w:rFonts w:ascii="Times New Roman" w:hAnsi="Times New Roman" w:cs="Times New Roman"/>
                <w:bCs/>
                <w:sz w:val="24"/>
                <w:szCs w:val="24"/>
                <w:lang w:val="en-GB"/>
              </w:rPr>
            </w:pPr>
            <w:r w:rsidRPr="002E68D5">
              <w:rPr>
                <w:rFonts w:ascii="Times New Roman" w:hAnsi="Times New Roman" w:cs="Times New Roman"/>
                <w:bCs/>
                <w:sz w:val="24"/>
                <w:szCs w:val="24"/>
                <w:lang w:val="en-GB"/>
              </w:rPr>
              <w:t>Source: Author’s computation (2026)</w:t>
            </w:r>
          </w:p>
          <w:p w14:paraId="37F8CEE7"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bl>
    <w:p w14:paraId="7A13E0D5" w14:textId="12BD3395" w:rsidR="0072696F" w:rsidRPr="002E68D5" w:rsidRDefault="0072696F" w:rsidP="0072696F">
      <w:pPr>
        <w:spacing w:after="0" w:line="480" w:lineRule="auto"/>
        <w:ind w:firstLine="720"/>
        <w:jc w:val="both"/>
        <w:rPr>
          <w:rFonts w:ascii="Times New Roman" w:eastAsia="DengXian" w:hAnsi="Times New Roman" w:cs="Times New Roman"/>
          <w:sz w:val="24"/>
          <w:szCs w:val="24"/>
          <w:lang w:eastAsia="zh-CN"/>
        </w:rPr>
      </w:pPr>
      <w:r w:rsidRPr="002E68D5">
        <w:rPr>
          <w:rFonts w:ascii="Times New Roman" w:hAnsi="Times New Roman" w:cs="Times New Roman"/>
          <w:sz w:val="24"/>
          <w:szCs w:val="24"/>
        </w:rPr>
        <w:t>From Table 1 above, the dependent variable, Income Smoothing (INCS), recorded an average value of 14.535. This suggests that, on average, firms exhibit a relatively moderate level of income smoothing behaviour. The standard deviation of 751.589, which is substantially higher than the mean, reflects a very high level of dispersion, suggesting the presence of outliers and significant inconsistencies in income smoothing practices among the sampled firms.</w:t>
      </w:r>
      <w:r w:rsidRPr="002E68D5">
        <w:rPr>
          <w:rFonts w:ascii="Times New Roman" w:hAnsi="Times New Roman" w:cs="Times New Roman"/>
          <w:sz w:val="24"/>
          <w:szCs w:val="24"/>
          <w:lang w:val="en-US"/>
        </w:rPr>
        <w:t xml:space="preserve"> </w:t>
      </w:r>
      <w:r w:rsidRPr="002E68D5">
        <w:rPr>
          <w:rFonts w:ascii="Times New Roman" w:hAnsi="Times New Roman" w:cs="Times New Roman"/>
          <w:sz w:val="24"/>
          <w:szCs w:val="24"/>
        </w:rPr>
        <w:t>Auditor type (AUTT), measured as a dummy variable, recorded a mean value of 0.661. This implies that approximately 66.1% of the sampled firms are audited by Big 4 audit firms, indicating a relatively high presence of reputable auditors. Board financial expertise (BOFE) recorded a mean value of 0.234, indicating that, on average, about 23.4% of board members possess accounting or economics expertise. This suggests a relatively low level of financial expertise on corporate boards.</w:t>
      </w:r>
      <w:r w:rsidRPr="002E68D5">
        <w:rPr>
          <w:rFonts w:ascii="Times New Roman" w:hAnsi="Times New Roman" w:cs="Times New Roman"/>
          <w:sz w:val="24"/>
          <w:szCs w:val="24"/>
          <w:lang w:val="en-US"/>
        </w:rPr>
        <w:t xml:space="preserve"> </w:t>
      </w:r>
      <w:r w:rsidRPr="002E68D5">
        <w:rPr>
          <w:rFonts w:ascii="Times New Roman" w:hAnsi="Times New Roman" w:cs="Times New Roman"/>
          <w:sz w:val="24"/>
          <w:szCs w:val="24"/>
        </w:rPr>
        <w:t xml:space="preserve">Finally, firm size (FIMZ), measured as the natural logarithm of total assets, recorded a mean value of 17.046. This suggests that the sampled firms are, on </w:t>
      </w:r>
      <w:r w:rsidRPr="002E68D5">
        <w:rPr>
          <w:rFonts w:ascii="Times New Roman" w:hAnsi="Times New Roman" w:cs="Times New Roman"/>
          <w:sz w:val="24"/>
          <w:szCs w:val="24"/>
        </w:rPr>
        <w:lastRenderedPageBreak/>
        <w:t>average, moderately large in terms of asset base. The standard deviation of 3.613 indicates considerable dispersion, suggesting significant differences in firm scale, which may influence financial reporting quality and governance structures.</w:t>
      </w:r>
    </w:p>
    <w:p w14:paraId="11074B6D" w14:textId="77777777" w:rsidR="0072696F" w:rsidRPr="002E68D5" w:rsidRDefault="0072696F" w:rsidP="0072696F">
      <w:pPr>
        <w:spacing w:after="0" w:line="432" w:lineRule="auto"/>
        <w:ind w:firstLine="720"/>
        <w:jc w:val="both"/>
        <w:rPr>
          <w:rFonts w:ascii="Times New Roman" w:hAnsi="Times New Roman" w:cs="Times New Roman"/>
          <w:sz w:val="24"/>
          <w:szCs w:val="24"/>
          <w:lang w:val="en-GB"/>
        </w:rPr>
      </w:pPr>
    </w:p>
    <w:p w14:paraId="5FE55F13" w14:textId="371371C0" w:rsidR="0072696F" w:rsidRPr="002E68D5" w:rsidRDefault="0072696F" w:rsidP="0072696F">
      <w:pPr>
        <w:widowControl w:val="0"/>
        <w:autoSpaceDE w:val="0"/>
        <w:autoSpaceDN w:val="0"/>
        <w:adjustRightInd w:val="0"/>
        <w:spacing w:after="0" w:line="360" w:lineRule="auto"/>
        <w:rPr>
          <w:rFonts w:ascii="Times New Roman" w:hAnsi="Times New Roman" w:cs="Times New Roman"/>
          <w:b/>
          <w:sz w:val="24"/>
          <w:szCs w:val="24"/>
        </w:rPr>
      </w:pPr>
      <w:r w:rsidRPr="002E68D5">
        <w:rPr>
          <w:rFonts w:ascii="Times New Roman" w:hAnsi="Times New Roman" w:cs="Times New Roman"/>
          <w:b/>
          <w:bCs/>
          <w:sz w:val="24"/>
          <w:szCs w:val="24"/>
          <w:lang w:val="en-GB"/>
        </w:rPr>
        <w:t xml:space="preserve">Table.2: </w:t>
      </w:r>
      <w:r w:rsidRPr="002E68D5">
        <w:rPr>
          <w:rFonts w:ascii="Times New Roman" w:hAnsi="Times New Roman" w:cs="Times New Roman"/>
          <w:b/>
          <w:sz w:val="24"/>
          <w:szCs w:val="24"/>
        </w:rPr>
        <w:t>Shapiro-Wilk W test for normal data</w:t>
      </w:r>
    </w:p>
    <w:tbl>
      <w:tblPr>
        <w:tblW w:w="0" w:type="auto"/>
        <w:tblLayout w:type="fixed"/>
        <w:tblLook w:val="0000" w:firstRow="0" w:lastRow="0" w:firstColumn="0" w:lastColumn="0" w:noHBand="0" w:noVBand="0"/>
      </w:tblPr>
      <w:tblGrid>
        <w:gridCol w:w="1608"/>
        <w:gridCol w:w="1200"/>
        <w:gridCol w:w="1200"/>
        <w:gridCol w:w="1200"/>
        <w:gridCol w:w="1200"/>
        <w:gridCol w:w="1200"/>
      </w:tblGrid>
      <w:tr w:rsidR="002E68D5" w:rsidRPr="002E68D5" w14:paraId="114C333B" w14:textId="77777777" w:rsidTr="00BD74E9">
        <w:tc>
          <w:tcPr>
            <w:tcW w:w="1608" w:type="dxa"/>
            <w:tcBorders>
              <w:top w:val="single" w:sz="4" w:space="0" w:color="auto"/>
              <w:left w:val="nil"/>
              <w:bottom w:val="single" w:sz="10" w:space="0" w:color="auto"/>
              <w:right w:val="nil"/>
            </w:tcBorders>
          </w:tcPr>
          <w:p w14:paraId="7D7D4AD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Variable </w:t>
            </w:r>
          </w:p>
        </w:tc>
        <w:tc>
          <w:tcPr>
            <w:tcW w:w="1200" w:type="dxa"/>
            <w:tcBorders>
              <w:top w:val="single" w:sz="4" w:space="0" w:color="auto"/>
              <w:left w:val="nil"/>
              <w:bottom w:val="single" w:sz="10" w:space="0" w:color="auto"/>
              <w:right w:val="nil"/>
            </w:tcBorders>
          </w:tcPr>
          <w:p w14:paraId="4AAE273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Obs</w:t>
            </w:r>
          </w:p>
        </w:tc>
        <w:tc>
          <w:tcPr>
            <w:tcW w:w="1200" w:type="dxa"/>
            <w:tcBorders>
              <w:top w:val="single" w:sz="4" w:space="0" w:color="auto"/>
              <w:left w:val="nil"/>
              <w:bottom w:val="single" w:sz="10" w:space="0" w:color="auto"/>
              <w:right w:val="nil"/>
            </w:tcBorders>
          </w:tcPr>
          <w:p w14:paraId="1623AA3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W</w:t>
            </w:r>
          </w:p>
        </w:tc>
        <w:tc>
          <w:tcPr>
            <w:tcW w:w="1200" w:type="dxa"/>
            <w:tcBorders>
              <w:top w:val="single" w:sz="4" w:space="0" w:color="auto"/>
              <w:left w:val="nil"/>
              <w:bottom w:val="single" w:sz="10" w:space="0" w:color="auto"/>
              <w:right w:val="nil"/>
            </w:tcBorders>
          </w:tcPr>
          <w:p w14:paraId="7146117D"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V</w:t>
            </w:r>
          </w:p>
        </w:tc>
        <w:tc>
          <w:tcPr>
            <w:tcW w:w="1200" w:type="dxa"/>
            <w:tcBorders>
              <w:top w:val="single" w:sz="4" w:space="0" w:color="auto"/>
              <w:left w:val="nil"/>
              <w:bottom w:val="single" w:sz="10" w:space="0" w:color="auto"/>
              <w:right w:val="nil"/>
            </w:tcBorders>
          </w:tcPr>
          <w:p w14:paraId="2819DEE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z</w:t>
            </w:r>
          </w:p>
        </w:tc>
        <w:tc>
          <w:tcPr>
            <w:tcW w:w="1200" w:type="dxa"/>
            <w:tcBorders>
              <w:top w:val="single" w:sz="4" w:space="0" w:color="auto"/>
              <w:left w:val="nil"/>
              <w:bottom w:val="single" w:sz="10" w:space="0" w:color="auto"/>
              <w:right w:val="nil"/>
            </w:tcBorders>
          </w:tcPr>
          <w:p w14:paraId="0387F19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Prob&gt;z</w:t>
            </w:r>
          </w:p>
        </w:tc>
      </w:tr>
      <w:tr w:rsidR="002E68D5" w:rsidRPr="002E68D5" w14:paraId="133C3F7D" w14:textId="77777777" w:rsidTr="00BD74E9">
        <w:tc>
          <w:tcPr>
            <w:tcW w:w="1608" w:type="dxa"/>
            <w:tcBorders>
              <w:top w:val="nil"/>
              <w:left w:val="nil"/>
              <w:bottom w:val="nil"/>
              <w:right w:val="nil"/>
            </w:tcBorders>
          </w:tcPr>
          <w:p w14:paraId="3BB0E5B4"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intc </w:t>
            </w:r>
          </w:p>
        </w:tc>
        <w:tc>
          <w:tcPr>
            <w:tcW w:w="1200" w:type="dxa"/>
            <w:tcBorders>
              <w:top w:val="nil"/>
              <w:left w:val="nil"/>
              <w:bottom w:val="nil"/>
              <w:right w:val="nil"/>
            </w:tcBorders>
          </w:tcPr>
          <w:p w14:paraId="0C68FDF0"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32E2A7F8"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0.991</w:t>
            </w:r>
          </w:p>
        </w:tc>
        <w:tc>
          <w:tcPr>
            <w:tcW w:w="1200" w:type="dxa"/>
            <w:tcBorders>
              <w:top w:val="nil"/>
              <w:left w:val="nil"/>
              <w:bottom w:val="nil"/>
              <w:right w:val="nil"/>
            </w:tcBorders>
          </w:tcPr>
          <w:p w14:paraId="3C52AF62"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4.627</w:t>
            </w:r>
          </w:p>
        </w:tc>
        <w:tc>
          <w:tcPr>
            <w:tcW w:w="1200" w:type="dxa"/>
            <w:tcBorders>
              <w:top w:val="nil"/>
              <w:left w:val="nil"/>
              <w:bottom w:val="nil"/>
              <w:right w:val="nil"/>
            </w:tcBorders>
          </w:tcPr>
          <w:p w14:paraId="4B1F17B8"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3.768</w:t>
            </w:r>
          </w:p>
        </w:tc>
        <w:tc>
          <w:tcPr>
            <w:tcW w:w="1200" w:type="dxa"/>
            <w:tcBorders>
              <w:top w:val="nil"/>
              <w:left w:val="nil"/>
              <w:bottom w:val="nil"/>
              <w:right w:val="nil"/>
            </w:tcBorders>
          </w:tcPr>
          <w:p w14:paraId="02DDD4E0"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r w:rsidR="002E68D5" w:rsidRPr="002E68D5" w14:paraId="5609107E" w14:textId="77777777" w:rsidTr="00BD74E9">
        <w:tc>
          <w:tcPr>
            <w:tcW w:w="1608" w:type="dxa"/>
            <w:tcBorders>
              <w:top w:val="nil"/>
              <w:left w:val="nil"/>
              <w:bottom w:val="nil"/>
              <w:right w:val="nil"/>
            </w:tcBorders>
          </w:tcPr>
          <w:p w14:paraId="363714B5"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autt </w:t>
            </w:r>
          </w:p>
        </w:tc>
        <w:tc>
          <w:tcPr>
            <w:tcW w:w="1200" w:type="dxa"/>
            <w:tcBorders>
              <w:top w:val="nil"/>
              <w:left w:val="nil"/>
              <w:bottom w:val="nil"/>
              <w:right w:val="nil"/>
            </w:tcBorders>
          </w:tcPr>
          <w:p w14:paraId="7A2246CE"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100351FD"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0.999</w:t>
            </w:r>
          </w:p>
        </w:tc>
        <w:tc>
          <w:tcPr>
            <w:tcW w:w="1200" w:type="dxa"/>
            <w:tcBorders>
              <w:top w:val="nil"/>
              <w:left w:val="nil"/>
              <w:bottom w:val="nil"/>
              <w:right w:val="nil"/>
            </w:tcBorders>
          </w:tcPr>
          <w:p w14:paraId="6A6D01D8"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0.599</w:t>
            </w:r>
          </w:p>
        </w:tc>
        <w:tc>
          <w:tcPr>
            <w:tcW w:w="1200" w:type="dxa"/>
            <w:tcBorders>
              <w:top w:val="nil"/>
              <w:left w:val="nil"/>
              <w:bottom w:val="nil"/>
              <w:right w:val="nil"/>
            </w:tcBorders>
          </w:tcPr>
          <w:p w14:paraId="72EC9861"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-1.259</w:t>
            </w:r>
          </w:p>
        </w:tc>
        <w:tc>
          <w:tcPr>
            <w:tcW w:w="1200" w:type="dxa"/>
            <w:tcBorders>
              <w:top w:val="nil"/>
              <w:left w:val="nil"/>
              <w:bottom w:val="nil"/>
              <w:right w:val="nil"/>
            </w:tcBorders>
          </w:tcPr>
          <w:p w14:paraId="799EA411"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0.896</w:t>
            </w:r>
          </w:p>
        </w:tc>
      </w:tr>
      <w:tr w:rsidR="002E68D5" w:rsidRPr="002E68D5" w14:paraId="5BFA1907" w14:textId="77777777" w:rsidTr="00BD74E9">
        <w:tc>
          <w:tcPr>
            <w:tcW w:w="1608" w:type="dxa"/>
            <w:tcBorders>
              <w:top w:val="nil"/>
              <w:left w:val="nil"/>
              <w:bottom w:val="nil"/>
              <w:right w:val="nil"/>
            </w:tcBorders>
          </w:tcPr>
          <w:p w14:paraId="5AF8C515"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sudp </w:t>
            </w:r>
          </w:p>
        </w:tc>
        <w:tc>
          <w:tcPr>
            <w:tcW w:w="1200" w:type="dxa"/>
            <w:tcBorders>
              <w:top w:val="nil"/>
              <w:left w:val="nil"/>
              <w:bottom w:val="nil"/>
              <w:right w:val="nil"/>
            </w:tcBorders>
          </w:tcPr>
          <w:p w14:paraId="14ADA467"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6488BADD"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0.990</w:t>
            </w:r>
          </w:p>
        </w:tc>
        <w:tc>
          <w:tcPr>
            <w:tcW w:w="1200" w:type="dxa"/>
            <w:tcBorders>
              <w:top w:val="nil"/>
              <w:left w:val="nil"/>
              <w:bottom w:val="nil"/>
              <w:right w:val="nil"/>
            </w:tcBorders>
          </w:tcPr>
          <w:p w14:paraId="6C759A02"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5.692</w:t>
            </w:r>
          </w:p>
        </w:tc>
        <w:tc>
          <w:tcPr>
            <w:tcW w:w="1200" w:type="dxa"/>
            <w:tcBorders>
              <w:top w:val="nil"/>
              <w:left w:val="nil"/>
              <w:bottom w:val="nil"/>
              <w:right w:val="nil"/>
            </w:tcBorders>
          </w:tcPr>
          <w:p w14:paraId="76A223E0"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4.278</w:t>
            </w:r>
          </w:p>
        </w:tc>
        <w:tc>
          <w:tcPr>
            <w:tcW w:w="1200" w:type="dxa"/>
            <w:tcBorders>
              <w:top w:val="nil"/>
              <w:left w:val="nil"/>
              <w:bottom w:val="nil"/>
              <w:right w:val="nil"/>
            </w:tcBorders>
          </w:tcPr>
          <w:p w14:paraId="454750F8"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r w:rsidR="002E68D5" w:rsidRPr="002E68D5" w14:paraId="07EDA665" w14:textId="77777777" w:rsidTr="00BD74E9">
        <w:tc>
          <w:tcPr>
            <w:tcW w:w="1608" w:type="dxa"/>
            <w:tcBorders>
              <w:top w:val="nil"/>
              <w:left w:val="nil"/>
              <w:bottom w:val="nil"/>
              <w:right w:val="nil"/>
            </w:tcBorders>
          </w:tcPr>
          <w:p w14:paraId="02EAC718"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bofe </w:t>
            </w:r>
          </w:p>
        </w:tc>
        <w:tc>
          <w:tcPr>
            <w:tcW w:w="1200" w:type="dxa"/>
            <w:tcBorders>
              <w:top w:val="nil"/>
              <w:left w:val="nil"/>
              <w:bottom w:val="nil"/>
              <w:right w:val="nil"/>
            </w:tcBorders>
          </w:tcPr>
          <w:p w14:paraId="03E4A50F"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759CF2E9"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0.973</w:t>
            </w:r>
          </w:p>
        </w:tc>
        <w:tc>
          <w:tcPr>
            <w:tcW w:w="1200" w:type="dxa"/>
            <w:tcBorders>
              <w:top w:val="nil"/>
              <w:left w:val="nil"/>
              <w:bottom w:val="nil"/>
              <w:right w:val="nil"/>
            </w:tcBorders>
          </w:tcPr>
          <w:p w14:paraId="211FC9E6"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14.664</w:t>
            </w:r>
          </w:p>
        </w:tc>
        <w:tc>
          <w:tcPr>
            <w:tcW w:w="1200" w:type="dxa"/>
            <w:tcBorders>
              <w:top w:val="nil"/>
              <w:left w:val="nil"/>
              <w:bottom w:val="nil"/>
              <w:right w:val="nil"/>
            </w:tcBorders>
          </w:tcPr>
          <w:p w14:paraId="5B915172"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6.606</w:t>
            </w:r>
          </w:p>
        </w:tc>
        <w:tc>
          <w:tcPr>
            <w:tcW w:w="1200" w:type="dxa"/>
            <w:tcBorders>
              <w:top w:val="nil"/>
              <w:left w:val="nil"/>
              <w:bottom w:val="nil"/>
              <w:right w:val="nil"/>
            </w:tcBorders>
          </w:tcPr>
          <w:p w14:paraId="70EE7AE5"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r w:rsidR="002E68D5" w:rsidRPr="002E68D5" w14:paraId="0F0C53C9" w14:textId="77777777" w:rsidTr="00BD74E9">
        <w:tblPrEx>
          <w:tblBorders>
            <w:bottom w:val="single" w:sz="4" w:space="0" w:color="auto"/>
          </w:tblBorders>
        </w:tblPrEx>
        <w:tc>
          <w:tcPr>
            <w:tcW w:w="1608" w:type="dxa"/>
          </w:tcPr>
          <w:p w14:paraId="1D69D3AD"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fimz </w:t>
            </w:r>
          </w:p>
        </w:tc>
        <w:tc>
          <w:tcPr>
            <w:tcW w:w="1200" w:type="dxa"/>
          </w:tcPr>
          <w:p w14:paraId="7FEA4692"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Pr>
          <w:p w14:paraId="59A24E1E"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0.928</w:t>
            </w:r>
          </w:p>
        </w:tc>
        <w:tc>
          <w:tcPr>
            <w:tcW w:w="1200" w:type="dxa"/>
          </w:tcPr>
          <w:p w14:paraId="429BB123"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39.402</w:t>
            </w:r>
          </w:p>
        </w:tc>
        <w:tc>
          <w:tcPr>
            <w:tcW w:w="1200" w:type="dxa"/>
          </w:tcPr>
          <w:p w14:paraId="69E75631"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9.037</w:t>
            </w:r>
          </w:p>
        </w:tc>
        <w:tc>
          <w:tcPr>
            <w:tcW w:w="1200" w:type="dxa"/>
          </w:tcPr>
          <w:p w14:paraId="6AE284C4"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bl>
    <w:p w14:paraId="66F6EDCE" w14:textId="77777777" w:rsidR="0072696F" w:rsidRPr="002E68D5" w:rsidRDefault="0072696F" w:rsidP="0072696F">
      <w:pPr>
        <w:rPr>
          <w:rFonts w:ascii="Times New Roman" w:hAnsi="Times New Roman" w:cs="Times New Roman"/>
          <w:b/>
          <w:bCs/>
          <w:sz w:val="24"/>
          <w:szCs w:val="24"/>
          <w:lang w:val="en-GB"/>
        </w:rPr>
      </w:pPr>
      <w:r w:rsidRPr="002E68D5">
        <w:rPr>
          <w:rFonts w:ascii="Times New Roman" w:hAnsi="Times New Roman" w:cs="Times New Roman"/>
          <w:b/>
          <w:bCs/>
          <w:sz w:val="24"/>
          <w:szCs w:val="24"/>
          <w:lang w:val="en-GB"/>
        </w:rPr>
        <w:t>Source: Author’s computation (2026)</w:t>
      </w:r>
    </w:p>
    <w:p w14:paraId="1B1AB26B" w14:textId="7FFFA252" w:rsidR="0072696F" w:rsidRPr="002E68D5" w:rsidRDefault="0072696F" w:rsidP="00EE415D">
      <w:pPr>
        <w:spacing w:after="0" w:line="480" w:lineRule="auto"/>
        <w:ind w:firstLine="720"/>
        <w:jc w:val="both"/>
        <w:rPr>
          <w:rFonts w:ascii="Times New Roman" w:hAnsi="Times New Roman" w:cs="Times New Roman"/>
          <w:sz w:val="24"/>
          <w:szCs w:val="24"/>
          <w:lang w:val="en-GB"/>
        </w:rPr>
      </w:pPr>
      <w:r w:rsidRPr="002E68D5">
        <w:rPr>
          <w:rFonts w:ascii="Times New Roman" w:hAnsi="Times New Roman" w:cs="Times New Roman"/>
          <w:sz w:val="24"/>
          <w:szCs w:val="24"/>
        </w:rPr>
        <w:t xml:space="preserve">Table </w:t>
      </w:r>
      <w:r w:rsidR="00DB406E" w:rsidRPr="002E68D5">
        <w:rPr>
          <w:rFonts w:ascii="Times New Roman" w:hAnsi="Times New Roman" w:cs="Times New Roman"/>
          <w:sz w:val="24"/>
          <w:szCs w:val="24"/>
          <w:lang w:val="en-US"/>
        </w:rPr>
        <w:t>2</w:t>
      </w:r>
      <w:r w:rsidRPr="002E68D5">
        <w:rPr>
          <w:rFonts w:ascii="Times New Roman" w:hAnsi="Times New Roman" w:cs="Times New Roman"/>
          <w:sz w:val="24"/>
          <w:szCs w:val="24"/>
        </w:rPr>
        <w:t xml:space="preserve"> presents the results of the Shapiro-Wilk W test used to assess the normality of the study variables. The decision rule is based on the p-value (Prob &gt; z), where a p-value less than 0.05 leads to rejection of the null hypothesis of normality. Income smoothing (INCS) recorded a W statistic of 0.042 and a p-value of 0.000, indicating a strong rejection of the null hypothesis. This confirms that INCS is not normally distributed, likely due to extreme values or high variability across firms.</w:t>
      </w:r>
      <w:r w:rsidR="00EE415D" w:rsidRPr="002E68D5">
        <w:rPr>
          <w:rFonts w:ascii="Times New Roman" w:hAnsi="Times New Roman" w:cs="Times New Roman"/>
          <w:sz w:val="24"/>
          <w:szCs w:val="24"/>
          <w:lang w:val="en-US"/>
        </w:rPr>
        <w:t xml:space="preserve"> S</w:t>
      </w:r>
      <w:r w:rsidRPr="002E68D5">
        <w:rPr>
          <w:rFonts w:ascii="Times New Roman" w:hAnsi="Times New Roman" w:cs="Times New Roman"/>
          <w:sz w:val="24"/>
          <w:szCs w:val="24"/>
        </w:rPr>
        <w:t>ustainability disclosure practices (SUDP, W = 0.990, p = 0.000), board financial expertise (BOFE, W = 0.973, p = 0.000), and firm size (FIMZ, W = 0.928, p = 0.000) all significantly deviate from normality. This pattern reflects skewness, outliers, and heterogeneity in firms’ characteristics and reporting practices.</w:t>
      </w:r>
      <w:r w:rsidR="00EE415D" w:rsidRPr="002E68D5">
        <w:rPr>
          <w:rFonts w:ascii="Times New Roman" w:hAnsi="Times New Roman" w:cs="Times New Roman"/>
          <w:sz w:val="24"/>
          <w:szCs w:val="24"/>
          <w:lang w:val="en-US"/>
        </w:rPr>
        <w:t xml:space="preserve"> </w:t>
      </w:r>
      <w:r w:rsidRPr="002E68D5">
        <w:rPr>
          <w:rFonts w:ascii="Times New Roman" w:hAnsi="Times New Roman" w:cs="Times New Roman"/>
          <w:sz w:val="24"/>
          <w:szCs w:val="24"/>
        </w:rPr>
        <w:t xml:space="preserve">In contrast, auditor type (AUTT) recorded a W statistic of 0.999 and a p-value of 0.896, which is greater than the 0.05 threshold. This indicates that AUTT is approximately normally distributed, reflecting a balanced mix of firms audited by Big 4 and non-Big 4 auditors. </w:t>
      </w:r>
    </w:p>
    <w:p w14:paraId="46D20DD1" w14:textId="77777777" w:rsidR="00DB406E" w:rsidRPr="002E68D5" w:rsidRDefault="00DB406E" w:rsidP="0072696F">
      <w:pPr>
        <w:keepNext/>
        <w:widowControl w:val="0"/>
        <w:autoSpaceDE w:val="0"/>
        <w:autoSpaceDN w:val="0"/>
        <w:adjustRightInd w:val="0"/>
        <w:spacing w:after="0" w:line="360" w:lineRule="auto"/>
        <w:rPr>
          <w:rFonts w:ascii="Times New Roman" w:hAnsi="Times New Roman" w:cs="Times New Roman"/>
          <w:b/>
          <w:bCs/>
          <w:sz w:val="24"/>
          <w:szCs w:val="24"/>
          <w:lang w:val="en-US"/>
        </w:rPr>
      </w:pPr>
    </w:p>
    <w:p w14:paraId="43ECA8F0" w14:textId="0D032040" w:rsidR="0072696F" w:rsidRPr="002E68D5" w:rsidRDefault="0072696F" w:rsidP="0072696F">
      <w:pPr>
        <w:keepNext/>
        <w:widowControl w:val="0"/>
        <w:autoSpaceDE w:val="0"/>
        <w:autoSpaceDN w:val="0"/>
        <w:adjustRightInd w:val="0"/>
        <w:spacing w:after="0" w:line="360" w:lineRule="auto"/>
        <w:rPr>
          <w:rFonts w:ascii="Times New Roman" w:hAnsi="Times New Roman" w:cs="Times New Roman"/>
          <w:b/>
          <w:bCs/>
          <w:sz w:val="24"/>
          <w:szCs w:val="24"/>
        </w:rPr>
      </w:pPr>
      <w:r w:rsidRPr="002E68D5">
        <w:rPr>
          <w:rFonts w:ascii="Times New Roman" w:hAnsi="Times New Roman" w:cs="Times New Roman"/>
          <w:b/>
          <w:bCs/>
          <w:sz w:val="24"/>
          <w:szCs w:val="24"/>
        </w:rPr>
        <w:t>Table.</w:t>
      </w:r>
      <w:r w:rsidR="00EE415D" w:rsidRPr="002E68D5">
        <w:rPr>
          <w:rFonts w:ascii="Times New Roman" w:hAnsi="Times New Roman" w:cs="Times New Roman"/>
          <w:b/>
          <w:bCs/>
          <w:sz w:val="24"/>
          <w:szCs w:val="24"/>
          <w:lang w:val="en-US"/>
        </w:rPr>
        <w:t>3</w:t>
      </w:r>
      <w:r w:rsidRPr="002E68D5">
        <w:rPr>
          <w:rFonts w:ascii="Times New Roman" w:hAnsi="Times New Roman" w:cs="Times New Roman"/>
          <w:b/>
          <w:bCs/>
          <w:sz w:val="24"/>
          <w:szCs w:val="24"/>
          <w:lang w:val="en-GB"/>
        </w:rPr>
        <w:t xml:space="preserve">: </w:t>
      </w:r>
      <w:r w:rsidRPr="002E68D5">
        <w:rPr>
          <w:rFonts w:ascii="Times New Roman" w:hAnsi="Times New Roman" w:cs="Times New Roman"/>
          <w:b/>
          <w:bCs/>
          <w:sz w:val="24"/>
          <w:szCs w:val="24"/>
        </w:rPr>
        <w:t xml:space="preserve">Regression </w:t>
      </w:r>
      <w:r w:rsidRPr="002E68D5">
        <w:rPr>
          <w:rFonts w:ascii="Times New Roman" w:hAnsi="Times New Roman" w:cs="Times New Roman"/>
          <w:b/>
          <w:bCs/>
          <w:sz w:val="24"/>
          <w:szCs w:val="24"/>
          <w:lang w:val="en-GB"/>
        </w:rPr>
        <w:t>r</w:t>
      </w:r>
      <w:r w:rsidRPr="002E68D5">
        <w:rPr>
          <w:rFonts w:ascii="Times New Roman" w:hAnsi="Times New Roman" w:cs="Times New Roman"/>
          <w:b/>
          <w:bCs/>
          <w:sz w:val="24"/>
          <w:szCs w:val="24"/>
        </w:rPr>
        <w:t>esults</w:t>
      </w:r>
    </w:p>
    <w:tbl>
      <w:tblPr>
        <w:tblW w:w="0" w:type="auto"/>
        <w:tblLayout w:type="fixed"/>
        <w:tblLook w:val="0000" w:firstRow="0" w:lastRow="0" w:firstColumn="0" w:lastColumn="0" w:noHBand="0" w:noVBand="0"/>
      </w:tblPr>
      <w:tblGrid>
        <w:gridCol w:w="2434"/>
        <w:gridCol w:w="1887"/>
        <w:gridCol w:w="1887"/>
        <w:gridCol w:w="1887"/>
      </w:tblGrid>
      <w:tr w:rsidR="002E68D5" w:rsidRPr="002E68D5" w14:paraId="624E235B" w14:textId="77777777" w:rsidTr="00BD74E9">
        <w:trPr>
          <w:trHeight w:val="271"/>
        </w:trPr>
        <w:tc>
          <w:tcPr>
            <w:tcW w:w="2434" w:type="dxa"/>
            <w:tcBorders>
              <w:top w:val="single" w:sz="4" w:space="0" w:color="auto"/>
              <w:left w:val="nil"/>
              <w:bottom w:val="nil"/>
              <w:right w:val="nil"/>
            </w:tcBorders>
          </w:tcPr>
          <w:p w14:paraId="6919C52B"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single" w:sz="4" w:space="0" w:color="auto"/>
              <w:left w:val="nil"/>
              <w:bottom w:val="nil"/>
              <w:right w:val="nil"/>
            </w:tcBorders>
          </w:tcPr>
          <w:p w14:paraId="1CADF57D"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w:t>
            </w:r>
          </w:p>
          <w:p w14:paraId="58AF8158"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ols</w:t>
            </w:r>
          </w:p>
        </w:tc>
        <w:tc>
          <w:tcPr>
            <w:tcW w:w="1887" w:type="dxa"/>
            <w:tcBorders>
              <w:top w:val="single" w:sz="4" w:space="0" w:color="auto"/>
              <w:left w:val="nil"/>
              <w:bottom w:val="nil"/>
              <w:right w:val="nil"/>
            </w:tcBorders>
          </w:tcPr>
          <w:p w14:paraId="6001EB0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(2)</w:t>
            </w:r>
          </w:p>
          <w:p w14:paraId="44A15DA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rem</w:t>
            </w:r>
          </w:p>
        </w:tc>
        <w:tc>
          <w:tcPr>
            <w:tcW w:w="1887" w:type="dxa"/>
            <w:tcBorders>
              <w:top w:val="single" w:sz="4" w:space="0" w:color="auto"/>
              <w:left w:val="nil"/>
              <w:bottom w:val="nil"/>
              <w:right w:val="nil"/>
            </w:tcBorders>
          </w:tcPr>
          <w:p w14:paraId="7D91C246"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w:t>
            </w:r>
          </w:p>
          <w:p w14:paraId="5BD700FF"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irls</w:t>
            </w:r>
          </w:p>
        </w:tc>
      </w:tr>
      <w:tr w:rsidR="002E68D5" w:rsidRPr="002E68D5" w14:paraId="2550AA60" w14:textId="77777777" w:rsidTr="00BD74E9">
        <w:trPr>
          <w:trHeight w:val="261"/>
        </w:trPr>
        <w:tc>
          <w:tcPr>
            <w:tcW w:w="2434" w:type="dxa"/>
            <w:tcBorders>
              <w:top w:val="nil"/>
              <w:left w:val="nil"/>
              <w:bottom w:val="nil"/>
              <w:right w:val="nil"/>
            </w:tcBorders>
          </w:tcPr>
          <w:p w14:paraId="6AAF4966"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619FCB1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Incs</w:t>
            </w:r>
          </w:p>
        </w:tc>
        <w:tc>
          <w:tcPr>
            <w:tcW w:w="1887" w:type="dxa"/>
            <w:tcBorders>
              <w:top w:val="nil"/>
              <w:left w:val="nil"/>
              <w:bottom w:val="nil"/>
              <w:right w:val="nil"/>
            </w:tcBorders>
          </w:tcPr>
          <w:p w14:paraId="4A3FD114"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incs</w:t>
            </w:r>
          </w:p>
        </w:tc>
        <w:tc>
          <w:tcPr>
            <w:tcW w:w="1887" w:type="dxa"/>
            <w:tcBorders>
              <w:top w:val="nil"/>
              <w:left w:val="nil"/>
              <w:bottom w:val="nil"/>
              <w:right w:val="nil"/>
            </w:tcBorders>
          </w:tcPr>
          <w:p w14:paraId="0D44D94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incs</w:t>
            </w:r>
          </w:p>
        </w:tc>
      </w:tr>
      <w:tr w:rsidR="002E68D5" w:rsidRPr="002E68D5" w14:paraId="18571CD7" w14:textId="77777777" w:rsidTr="00BD74E9">
        <w:trPr>
          <w:trHeight w:val="261"/>
        </w:trPr>
        <w:tc>
          <w:tcPr>
            <w:tcW w:w="2434" w:type="dxa"/>
            <w:tcBorders>
              <w:top w:val="nil"/>
              <w:left w:val="nil"/>
              <w:bottom w:val="nil"/>
              <w:right w:val="nil"/>
            </w:tcBorders>
          </w:tcPr>
          <w:p w14:paraId="0AE9D3B5"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476B7C7A"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0193373B"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07BA7CEC"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487847A9" w14:textId="77777777" w:rsidTr="00BD74E9">
        <w:trPr>
          <w:trHeight w:val="271"/>
        </w:trPr>
        <w:tc>
          <w:tcPr>
            <w:tcW w:w="2434" w:type="dxa"/>
            <w:tcBorders>
              <w:top w:val="nil"/>
              <w:left w:val="nil"/>
              <w:bottom w:val="nil"/>
              <w:right w:val="nil"/>
            </w:tcBorders>
          </w:tcPr>
          <w:p w14:paraId="60FA1E6F"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autt</w:t>
            </w:r>
          </w:p>
        </w:tc>
        <w:tc>
          <w:tcPr>
            <w:tcW w:w="1887" w:type="dxa"/>
            <w:tcBorders>
              <w:top w:val="nil"/>
              <w:left w:val="nil"/>
              <w:bottom w:val="nil"/>
              <w:right w:val="nil"/>
            </w:tcBorders>
          </w:tcPr>
          <w:p w14:paraId="766E84F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12.358</w:t>
            </w:r>
          </w:p>
        </w:tc>
        <w:tc>
          <w:tcPr>
            <w:tcW w:w="1887" w:type="dxa"/>
            <w:tcBorders>
              <w:top w:val="nil"/>
              <w:left w:val="nil"/>
              <w:bottom w:val="nil"/>
              <w:right w:val="nil"/>
            </w:tcBorders>
          </w:tcPr>
          <w:p w14:paraId="08EFEAD3"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12.358</w:t>
            </w:r>
          </w:p>
        </w:tc>
        <w:tc>
          <w:tcPr>
            <w:tcW w:w="1887" w:type="dxa"/>
            <w:tcBorders>
              <w:top w:val="nil"/>
              <w:left w:val="nil"/>
              <w:bottom w:val="nil"/>
              <w:right w:val="nil"/>
            </w:tcBorders>
          </w:tcPr>
          <w:p w14:paraId="7710542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 xml:space="preserve">  0.387</w:t>
            </w:r>
            <w:r w:rsidRPr="002E68D5">
              <w:rPr>
                <w:rFonts w:ascii="Times New Roman" w:hAnsi="Times New Roman" w:cs="Times New Roman"/>
                <w:sz w:val="24"/>
                <w:szCs w:val="24"/>
                <w:vertAlign w:val="superscript"/>
              </w:rPr>
              <w:t>***</w:t>
            </w:r>
          </w:p>
        </w:tc>
      </w:tr>
      <w:tr w:rsidR="002E68D5" w:rsidRPr="002E68D5" w14:paraId="1F2CBE35" w14:textId="77777777" w:rsidTr="00BD74E9">
        <w:trPr>
          <w:trHeight w:val="271"/>
        </w:trPr>
        <w:tc>
          <w:tcPr>
            <w:tcW w:w="2434" w:type="dxa"/>
            <w:tcBorders>
              <w:top w:val="nil"/>
              <w:left w:val="nil"/>
              <w:bottom w:val="nil"/>
              <w:right w:val="nil"/>
            </w:tcBorders>
          </w:tcPr>
          <w:p w14:paraId="4961F7EF"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4E7167F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(0.845)</w:t>
            </w:r>
          </w:p>
        </w:tc>
        <w:tc>
          <w:tcPr>
            <w:tcW w:w="1887" w:type="dxa"/>
            <w:tcBorders>
              <w:top w:val="nil"/>
              <w:left w:val="nil"/>
              <w:bottom w:val="nil"/>
              <w:right w:val="nil"/>
            </w:tcBorders>
          </w:tcPr>
          <w:p w14:paraId="6FAF186B"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(0.845)</w:t>
            </w:r>
          </w:p>
        </w:tc>
        <w:tc>
          <w:tcPr>
            <w:tcW w:w="1887" w:type="dxa"/>
            <w:tcBorders>
              <w:top w:val="nil"/>
              <w:left w:val="nil"/>
              <w:bottom w:val="nil"/>
              <w:right w:val="nil"/>
            </w:tcBorders>
          </w:tcPr>
          <w:p w14:paraId="2B48B3F6"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(0.007)</w:t>
            </w:r>
          </w:p>
        </w:tc>
      </w:tr>
      <w:tr w:rsidR="002E68D5" w:rsidRPr="002E68D5" w14:paraId="527CF812" w14:textId="77777777" w:rsidTr="00BD74E9">
        <w:trPr>
          <w:trHeight w:val="261"/>
        </w:trPr>
        <w:tc>
          <w:tcPr>
            <w:tcW w:w="2434" w:type="dxa"/>
            <w:tcBorders>
              <w:top w:val="nil"/>
              <w:left w:val="nil"/>
              <w:bottom w:val="nil"/>
              <w:right w:val="nil"/>
            </w:tcBorders>
          </w:tcPr>
          <w:p w14:paraId="1289C8E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4AEE057D"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28555AA3"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6D82EAF7"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7E434C4F" w14:textId="77777777" w:rsidTr="00BD74E9">
        <w:trPr>
          <w:trHeight w:val="271"/>
        </w:trPr>
        <w:tc>
          <w:tcPr>
            <w:tcW w:w="2434" w:type="dxa"/>
            <w:tcBorders>
              <w:top w:val="nil"/>
              <w:left w:val="nil"/>
              <w:bottom w:val="nil"/>
              <w:right w:val="nil"/>
            </w:tcBorders>
          </w:tcPr>
          <w:p w14:paraId="1F45AB93"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sudp</w:t>
            </w:r>
          </w:p>
        </w:tc>
        <w:tc>
          <w:tcPr>
            <w:tcW w:w="1887" w:type="dxa"/>
            <w:tcBorders>
              <w:top w:val="nil"/>
              <w:left w:val="nil"/>
              <w:bottom w:val="nil"/>
              <w:right w:val="nil"/>
            </w:tcBorders>
          </w:tcPr>
          <w:p w14:paraId="4ED3E27F"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-158.934</w:t>
            </w:r>
          </w:p>
        </w:tc>
        <w:tc>
          <w:tcPr>
            <w:tcW w:w="1887" w:type="dxa"/>
            <w:tcBorders>
              <w:top w:val="nil"/>
              <w:left w:val="nil"/>
              <w:bottom w:val="nil"/>
              <w:right w:val="nil"/>
            </w:tcBorders>
          </w:tcPr>
          <w:p w14:paraId="31A4EF8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-158.934</w:t>
            </w:r>
          </w:p>
        </w:tc>
        <w:tc>
          <w:tcPr>
            <w:tcW w:w="1887" w:type="dxa"/>
            <w:tcBorders>
              <w:top w:val="nil"/>
              <w:left w:val="nil"/>
              <w:bottom w:val="nil"/>
              <w:right w:val="nil"/>
            </w:tcBorders>
          </w:tcPr>
          <w:p w14:paraId="1F864CF6"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0.525</w:t>
            </w:r>
          </w:p>
        </w:tc>
      </w:tr>
      <w:tr w:rsidR="002E68D5" w:rsidRPr="002E68D5" w14:paraId="25EFE7FA" w14:textId="77777777" w:rsidTr="00BD74E9">
        <w:trPr>
          <w:trHeight w:val="261"/>
        </w:trPr>
        <w:tc>
          <w:tcPr>
            <w:tcW w:w="2434" w:type="dxa"/>
            <w:tcBorders>
              <w:top w:val="nil"/>
              <w:left w:val="nil"/>
              <w:bottom w:val="nil"/>
              <w:right w:val="nil"/>
            </w:tcBorders>
          </w:tcPr>
          <w:p w14:paraId="76D375D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295BF4B3"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(0.230)</w:t>
            </w:r>
          </w:p>
        </w:tc>
        <w:tc>
          <w:tcPr>
            <w:tcW w:w="1887" w:type="dxa"/>
            <w:tcBorders>
              <w:top w:val="nil"/>
              <w:left w:val="nil"/>
              <w:bottom w:val="nil"/>
              <w:right w:val="nil"/>
            </w:tcBorders>
          </w:tcPr>
          <w:p w14:paraId="47C730C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(0.229)</w:t>
            </w:r>
          </w:p>
        </w:tc>
        <w:tc>
          <w:tcPr>
            <w:tcW w:w="1887" w:type="dxa"/>
            <w:tcBorders>
              <w:top w:val="nil"/>
              <w:left w:val="nil"/>
              <w:bottom w:val="nil"/>
              <w:right w:val="nil"/>
            </w:tcBorders>
          </w:tcPr>
          <w:p w14:paraId="3FA7DDA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(0.491)</w:t>
            </w:r>
          </w:p>
        </w:tc>
      </w:tr>
      <w:tr w:rsidR="002E68D5" w:rsidRPr="002E68D5" w14:paraId="2C4FA092" w14:textId="77777777" w:rsidTr="00BD74E9">
        <w:trPr>
          <w:trHeight w:val="271"/>
        </w:trPr>
        <w:tc>
          <w:tcPr>
            <w:tcW w:w="2434" w:type="dxa"/>
            <w:tcBorders>
              <w:top w:val="nil"/>
              <w:left w:val="nil"/>
              <w:bottom w:val="nil"/>
              <w:right w:val="nil"/>
            </w:tcBorders>
          </w:tcPr>
          <w:p w14:paraId="7FA32926"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316E9403"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7A30FEA5"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44A5EBB0"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1F0BB795" w14:textId="77777777" w:rsidTr="00BD74E9">
        <w:trPr>
          <w:trHeight w:val="271"/>
        </w:trPr>
        <w:tc>
          <w:tcPr>
            <w:tcW w:w="2434" w:type="dxa"/>
            <w:tcBorders>
              <w:top w:val="nil"/>
              <w:left w:val="nil"/>
              <w:bottom w:val="nil"/>
              <w:right w:val="nil"/>
            </w:tcBorders>
          </w:tcPr>
          <w:p w14:paraId="05CFCE85"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bofe</w:t>
            </w:r>
          </w:p>
        </w:tc>
        <w:tc>
          <w:tcPr>
            <w:tcW w:w="1887" w:type="dxa"/>
            <w:tcBorders>
              <w:top w:val="nil"/>
              <w:left w:val="nil"/>
              <w:bottom w:val="nil"/>
              <w:right w:val="nil"/>
            </w:tcBorders>
          </w:tcPr>
          <w:p w14:paraId="103270C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-52.310</w:t>
            </w:r>
          </w:p>
        </w:tc>
        <w:tc>
          <w:tcPr>
            <w:tcW w:w="1887" w:type="dxa"/>
            <w:tcBorders>
              <w:top w:val="nil"/>
              <w:left w:val="nil"/>
              <w:bottom w:val="nil"/>
              <w:right w:val="nil"/>
            </w:tcBorders>
          </w:tcPr>
          <w:p w14:paraId="7A1C449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-52.310</w:t>
            </w:r>
          </w:p>
        </w:tc>
        <w:tc>
          <w:tcPr>
            <w:tcW w:w="1887" w:type="dxa"/>
            <w:tcBorders>
              <w:top w:val="nil"/>
              <w:left w:val="nil"/>
              <w:bottom w:val="nil"/>
              <w:right w:val="nil"/>
            </w:tcBorders>
          </w:tcPr>
          <w:p w14:paraId="297F988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 xml:space="preserve"> 1.597</w:t>
            </w:r>
            <w:r w:rsidRPr="002E68D5">
              <w:rPr>
                <w:rFonts w:ascii="Times New Roman" w:hAnsi="Times New Roman" w:cs="Times New Roman"/>
                <w:sz w:val="24"/>
                <w:szCs w:val="24"/>
                <w:vertAlign w:val="superscript"/>
              </w:rPr>
              <w:t>**</w:t>
            </w:r>
          </w:p>
        </w:tc>
      </w:tr>
      <w:tr w:rsidR="002E68D5" w:rsidRPr="002E68D5" w14:paraId="43B84501" w14:textId="77777777" w:rsidTr="00BD74E9">
        <w:trPr>
          <w:trHeight w:val="261"/>
        </w:trPr>
        <w:tc>
          <w:tcPr>
            <w:tcW w:w="2434" w:type="dxa"/>
            <w:tcBorders>
              <w:top w:val="nil"/>
              <w:left w:val="nil"/>
              <w:bottom w:val="nil"/>
              <w:right w:val="nil"/>
            </w:tcBorders>
          </w:tcPr>
          <w:p w14:paraId="1F8E939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3BC1C8A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(0.695)</w:t>
            </w:r>
          </w:p>
        </w:tc>
        <w:tc>
          <w:tcPr>
            <w:tcW w:w="1887" w:type="dxa"/>
            <w:tcBorders>
              <w:top w:val="nil"/>
              <w:left w:val="nil"/>
              <w:bottom w:val="nil"/>
              <w:right w:val="nil"/>
            </w:tcBorders>
          </w:tcPr>
          <w:p w14:paraId="143A6CC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(0.695)</w:t>
            </w:r>
          </w:p>
        </w:tc>
        <w:tc>
          <w:tcPr>
            <w:tcW w:w="1887" w:type="dxa"/>
            <w:tcBorders>
              <w:top w:val="nil"/>
              <w:left w:val="nil"/>
              <w:bottom w:val="nil"/>
              <w:right w:val="nil"/>
            </w:tcBorders>
          </w:tcPr>
          <w:p w14:paraId="206AFEA8"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(0.038)</w:t>
            </w:r>
          </w:p>
        </w:tc>
      </w:tr>
      <w:tr w:rsidR="002E68D5" w:rsidRPr="002E68D5" w14:paraId="140F7248" w14:textId="77777777" w:rsidTr="00BD74E9">
        <w:trPr>
          <w:trHeight w:val="271"/>
        </w:trPr>
        <w:tc>
          <w:tcPr>
            <w:tcW w:w="2434" w:type="dxa"/>
            <w:tcBorders>
              <w:top w:val="nil"/>
              <w:left w:val="nil"/>
              <w:bottom w:val="nil"/>
              <w:right w:val="nil"/>
            </w:tcBorders>
          </w:tcPr>
          <w:p w14:paraId="0F3C0644"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0CC91C73"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1A550EAB"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4C207403"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0D8AFDA9" w14:textId="77777777" w:rsidTr="00BD74E9">
        <w:trPr>
          <w:trHeight w:val="261"/>
        </w:trPr>
        <w:tc>
          <w:tcPr>
            <w:tcW w:w="2434" w:type="dxa"/>
            <w:tcBorders>
              <w:top w:val="nil"/>
              <w:left w:val="nil"/>
              <w:bottom w:val="nil"/>
              <w:right w:val="nil"/>
            </w:tcBorders>
          </w:tcPr>
          <w:p w14:paraId="2F9FE9C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fimz</w:t>
            </w:r>
          </w:p>
        </w:tc>
        <w:tc>
          <w:tcPr>
            <w:tcW w:w="1887" w:type="dxa"/>
            <w:tcBorders>
              <w:top w:val="nil"/>
              <w:left w:val="nil"/>
              <w:bottom w:val="nil"/>
              <w:right w:val="nil"/>
            </w:tcBorders>
          </w:tcPr>
          <w:p w14:paraId="24D95FC6"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-3.196</w:t>
            </w:r>
          </w:p>
        </w:tc>
        <w:tc>
          <w:tcPr>
            <w:tcW w:w="1887" w:type="dxa"/>
            <w:tcBorders>
              <w:top w:val="nil"/>
              <w:left w:val="nil"/>
              <w:bottom w:val="nil"/>
              <w:right w:val="nil"/>
            </w:tcBorders>
          </w:tcPr>
          <w:p w14:paraId="423C03E6"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-3.196</w:t>
            </w:r>
          </w:p>
        </w:tc>
        <w:tc>
          <w:tcPr>
            <w:tcW w:w="1887" w:type="dxa"/>
            <w:tcBorders>
              <w:top w:val="nil"/>
              <w:left w:val="nil"/>
              <w:bottom w:val="nil"/>
              <w:right w:val="nil"/>
            </w:tcBorders>
          </w:tcPr>
          <w:p w14:paraId="136E67A6"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0.230</w:t>
            </w:r>
            <w:r w:rsidRPr="002E68D5">
              <w:rPr>
                <w:rFonts w:ascii="Times New Roman" w:hAnsi="Times New Roman" w:cs="Times New Roman"/>
                <w:sz w:val="24"/>
                <w:szCs w:val="24"/>
                <w:vertAlign w:val="superscript"/>
              </w:rPr>
              <w:t>***</w:t>
            </w:r>
          </w:p>
        </w:tc>
      </w:tr>
      <w:tr w:rsidR="002E68D5" w:rsidRPr="002E68D5" w14:paraId="3016C891" w14:textId="77777777" w:rsidTr="00BD74E9">
        <w:trPr>
          <w:trHeight w:val="271"/>
        </w:trPr>
        <w:tc>
          <w:tcPr>
            <w:tcW w:w="2434" w:type="dxa"/>
            <w:tcBorders>
              <w:top w:val="nil"/>
              <w:left w:val="nil"/>
              <w:bottom w:val="nil"/>
              <w:right w:val="nil"/>
            </w:tcBorders>
          </w:tcPr>
          <w:p w14:paraId="2831F245"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1F280B8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(0.755)</w:t>
            </w:r>
          </w:p>
        </w:tc>
        <w:tc>
          <w:tcPr>
            <w:tcW w:w="1887" w:type="dxa"/>
            <w:tcBorders>
              <w:top w:val="nil"/>
              <w:left w:val="nil"/>
              <w:bottom w:val="nil"/>
              <w:right w:val="nil"/>
            </w:tcBorders>
          </w:tcPr>
          <w:p w14:paraId="5E4FC27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(0.755)</w:t>
            </w:r>
          </w:p>
        </w:tc>
        <w:tc>
          <w:tcPr>
            <w:tcW w:w="1887" w:type="dxa"/>
            <w:tcBorders>
              <w:top w:val="nil"/>
              <w:left w:val="nil"/>
              <w:bottom w:val="nil"/>
              <w:right w:val="nil"/>
            </w:tcBorders>
          </w:tcPr>
          <w:p w14:paraId="34E4297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(0.000)</w:t>
            </w:r>
          </w:p>
        </w:tc>
      </w:tr>
      <w:tr w:rsidR="002E68D5" w:rsidRPr="002E68D5" w14:paraId="3B81D5AB" w14:textId="77777777" w:rsidTr="00BD74E9">
        <w:trPr>
          <w:trHeight w:val="271"/>
        </w:trPr>
        <w:tc>
          <w:tcPr>
            <w:tcW w:w="2434" w:type="dxa"/>
            <w:tcBorders>
              <w:top w:val="nil"/>
              <w:left w:val="nil"/>
              <w:bottom w:val="nil"/>
              <w:right w:val="nil"/>
            </w:tcBorders>
          </w:tcPr>
          <w:p w14:paraId="75192775"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610BA9F7"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17844951"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48FD611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151DE65B" w14:textId="77777777" w:rsidTr="00BD74E9">
        <w:trPr>
          <w:trHeight w:val="261"/>
        </w:trPr>
        <w:tc>
          <w:tcPr>
            <w:tcW w:w="2434" w:type="dxa"/>
            <w:tcBorders>
              <w:top w:val="nil"/>
              <w:left w:val="nil"/>
              <w:bottom w:val="nil"/>
              <w:right w:val="nil"/>
            </w:tcBorders>
          </w:tcPr>
          <w:p w14:paraId="7EEECAB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Constant</w:t>
            </w:r>
          </w:p>
        </w:tc>
        <w:tc>
          <w:tcPr>
            <w:tcW w:w="1887" w:type="dxa"/>
            <w:tcBorders>
              <w:top w:val="nil"/>
              <w:left w:val="nil"/>
              <w:bottom w:val="nil"/>
              <w:right w:val="nil"/>
            </w:tcBorders>
          </w:tcPr>
          <w:p w14:paraId="29E31D1B"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101.187</w:t>
            </w:r>
          </w:p>
        </w:tc>
        <w:tc>
          <w:tcPr>
            <w:tcW w:w="1887" w:type="dxa"/>
            <w:tcBorders>
              <w:top w:val="nil"/>
              <w:left w:val="nil"/>
              <w:bottom w:val="nil"/>
              <w:right w:val="nil"/>
            </w:tcBorders>
          </w:tcPr>
          <w:p w14:paraId="08E053D4"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101.187</w:t>
            </w:r>
          </w:p>
        </w:tc>
        <w:tc>
          <w:tcPr>
            <w:tcW w:w="1887" w:type="dxa"/>
            <w:tcBorders>
              <w:top w:val="nil"/>
              <w:left w:val="nil"/>
              <w:bottom w:val="nil"/>
              <w:right w:val="nil"/>
            </w:tcBorders>
          </w:tcPr>
          <w:p w14:paraId="20FC964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-3.019</w:t>
            </w:r>
            <w:r w:rsidRPr="002E68D5">
              <w:rPr>
                <w:rFonts w:ascii="Times New Roman" w:hAnsi="Times New Roman" w:cs="Times New Roman"/>
                <w:sz w:val="24"/>
                <w:szCs w:val="24"/>
                <w:vertAlign w:val="superscript"/>
              </w:rPr>
              <w:t>**</w:t>
            </w:r>
          </w:p>
        </w:tc>
      </w:tr>
      <w:tr w:rsidR="002E68D5" w:rsidRPr="002E68D5" w14:paraId="4792A88E" w14:textId="77777777" w:rsidTr="00BD74E9">
        <w:trPr>
          <w:trHeight w:val="271"/>
        </w:trPr>
        <w:tc>
          <w:tcPr>
            <w:tcW w:w="2434" w:type="dxa"/>
            <w:tcBorders>
              <w:top w:val="nil"/>
              <w:left w:val="nil"/>
              <w:bottom w:val="single" w:sz="4" w:space="0" w:color="auto"/>
              <w:right w:val="nil"/>
            </w:tcBorders>
          </w:tcPr>
          <w:p w14:paraId="371AEC41"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single" w:sz="4" w:space="0" w:color="auto"/>
              <w:right w:val="nil"/>
            </w:tcBorders>
          </w:tcPr>
          <w:p w14:paraId="1EE6402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(0.677)</w:t>
            </w:r>
          </w:p>
        </w:tc>
        <w:tc>
          <w:tcPr>
            <w:tcW w:w="1887" w:type="dxa"/>
            <w:tcBorders>
              <w:top w:val="nil"/>
              <w:left w:val="nil"/>
              <w:bottom w:val="single" w:sz="4" w:space="0" w:color="auto"/>
              <w:right w:val="nil"/>
            </w:tcBorders>
          </w:tcPr>
          <w:p w14:paraId="0236BC2F"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(0.677)</w:t>
            </w:r>
          </w:p>
        </w:tc>
        <w:tc>
          <w:tcPr>
            <w:tcW w:w="1887" w:type="dxa"/>
            <w:tcBorders>
              <w:top w:val="nil"/>
              <w:left w:val="nil"/>
              <w:bottom w:val="single" w:sz="4" w:space="0" w:color="auto"/>
              <w:right w:val="nil"/>
            </w:tcBorders>
          </w:tcPr>
          <w:p w14:paraId="08DDFF2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(0.031)</w:t>
            </w:r>
          </w:p>
        </w:tc>
      </w:tr>
      <w:tr w:rsidR="002E68D5" w:rsidRPr="002E68D5" w14:paraId="55D515D2" w14:textId="77777777" w:rsidTr="00BD74E9">
        <w:trPr>
          <w:trHeight w:val="271"/>
        </w:trPr>
        <w:tc>
          <w:tcPr>
            <w:tcW w:w="2434" w:type="dxa"/>
            <w:tcBorders>
              <w:top w:val="single" w:sz="4" w:space="0" w:color="auto"/>
              <w:left w:val="nil"/>
              <w:bottom w:val="nil"/>
              <w:right w:val="nil"/>
            </w:tcBorders>
          </w:tcPr>
          <w:p w14:paraId="60592631"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r</w:t>
            </w:r>
            <w:r w:rsidRPr="002E68D5">
              <w:rPr>
                <w:rFonts w:ascii="Times New Roman" w:hAnsi="Times New Roman" w:cs="Times New Roman"/>
                <w:sz w:val="24"/>
                <w:szCs w:val="24"/>
                <w:vertAlign w:val="superscript"/>
              </w:rPr>
              <w:t>2</w:t>
            </w:r>
          </w:p>
        </w:tc>
        <w:tc>
          <w:tcPr>
            <w:tcW w:w="1887" w:type="dxa"/>
            <w:tcBorders>
              <w:top w:val="single" w:sz="4" w:space="0" w:color="auto"/>
              <w:left w:val="nil"/>
              <w:bottom w:val="nil"/>
              <w:right w:val="nil"/>
            </w:tcBorders>
          </w:tcPr>
          <w:p w14:paraId="571B15D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0.008</w:t>
            </w:r>
          </w:p>
        </w:tc>
        <w:tc>
          <w:tcPr>
            <w:tcW w:w="1887" w:type="dxa"/>
            <w:tcBorders>
              <w:top w:val="single" w:sz="4" w:space="0" w:color="auto"/>
              <w:left w:val="nil"/>
              <w:bottom w:val="nil"/>
              <w:right w:val="nil"/>
            </w:tcBorders>
          </w:tcPr>
          <w:p w14:paraId="4520E1F8"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0.008</w:t>
            </w:r>
          </w:p>
        </w:tc>
        <w:tc>
          <w:tcPr>
            <w:tcW w:w="1887" w:type="dxa"/>
            <w:tcBorders>
              <w:top w:val="single" w:sz="4" w:space="0" w:color="auto"/>
              <w:left w:val="nil"/>
              <w:bottom w:val="nil"/>
              <w:right w:val="nil"/>
            </w:tcBorders>
          </w:tcPr>
          <w:p w14:paraId="1989C84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0.476</w:t>
            </w:r>
          </w:p>
        </w:tc>
      </w:tr>
      <w:tr w:rsidR="002E68D5" w:rsidRPr="002E68D5" w14:paraId="65287EAA" w14:textId="77777777" w:rsidTr="00BD74E9">
        <w:trPr>
          <w:trHeight w:val="261"/>
        </w:trPr>
        <w:tc>
          <w:tcPr>
            <w:tcW w:w="2434" w:type="dxa"/>
            <w:tcBorders>
              <w:top w:val="nil"/>
              <w:left w:val="nil"/>
              <w:bottom w:val="nil"/>
              <w:right w:val="nil"/>
            </w:tcBorders>
          </w:tcPr>
          <w:p w14:paraId="6AB304CF"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N</w:t>
            </w:r>
          </w:p>
        </w:tc>
        <w:tc>
          <w:tcPr>
            <w:tcW w:w="1887" w:type="dxa"/>
            <w:tcBorders>
              <w:top w:val="nil"/>
              <w:left w:val="nil"/>
              <w:bottom w:val="nil"/>
              <w:right w:val="nil"/>
            </w:tcBorders>
          </w:tcPr>
          <w:p w14:paraId="70CC6C23"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850.000</w:t>
            </w:r>
          </w:p>
        </w:tc>
        <w:tc>
          <w:tcPr>
            <w:tcW w:w="1887" w:type="dxa"/>
            <w:tcBorders>
              <w:top w:val="nil"/>
              <w:left w:val="nil"/>
              <w:bottom w:val="nil"/>
              <w:right w:val="nil"/>
            </w:tcBorders>
          </w:tcPr>
          <w:p w14:paraId="6D5D6CF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850.000</w:t>
            </w:r>
          </w:p>
        </w:tc>
        <w:tc>
          <w:tcPr>
            <w:tcW w:w="1887" w:type="dxa"/>
            <w:tcBorders>
              <w:top w:val="nil"/>
              <w:left w:val="nil"/>
              <w:bottom w:val="nil"/>
              <w:right w:val="nil"/>
            </w:tcBorders>
          </w:tcPr>
          <w:p w14:paraId="342AB32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850.000</w:t>
            </w:r>
          </w:p>
        </w:tc>
      </w:tr>
      <w:tr w:rsidR="002E68D5" w:rsidRPr="002E68D5" w14:paraId="7E213E0C" w14:textId="77777777" w:rsidTr="00BD74E9">
        <w:trPr>
          <w:trHeight w:val="271"/>
        </w:trPr>
        <w:tc>
          <w:tcPr>
            <w:tcW w:w="2434" w:type="dxa"/>
            <w:tcBorders>
              <w:top w:val="nil"/>
              <w:left w:val="nil"/>
              <w:bottom w:val="nil"/>
              <w:right w:val="nil"/>
            </w:tcBorders>
          </w:tcPr>
          <w:p w14:paraId="5D903E3C"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F/W</w:t>
            </w:r>
          </w:p>
        </w:tc>
        <w:tc>
          <w:tcPr>
            <w:tcW w:w="1887" w:type="dxa"/>
            <w:tcBorders>
              <w:top w:val="nil"/>
              <w:left w:val="nil"/>
              <w:bottom w:val="nil"/>
              <w:right w:val="nil"/>
            </w:tcBorders>
          </w:tcPr>
          <w:p w14:paraId="01B0750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0.809</w:t>
            </w:r>
          </w:p>
        </w:tc>
        <w:tc>
          <w:tcPr>
            <w:tcW w:w="1887" w:type="dxa"/>
            <w:tcBorders>
              <w:top w:val="nil"/>
              <w:left w:val="nil"/>
              <w:bottom w:val="nil"/>
              <w:right w:val="nil"/>
            </w:tcBorders>
          </w:tcPr>
          <w:p w14:paraId="6985DF8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6.472</w:t>
            </w:r>
          </w:p>
        </w:tc>
        <w:tc>
          <w:tcPr>
            <w:tcW w:w="1887" w:type="dxa"/>
            <w:tcBorders>
              <w:top w:val="nil"/>
              <w:left w:val="nil"/>
              <w:bottom w:val="nil"/>
              <w:right w:val="nil"/>
            </w:tcBorders>
          </w:tcPr>
          <w:p w14:paraId="4FDD76BE"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8.682</w:t>
            </w:r>
          </w:p>
        </w:tc>
      </w:tr>
      <w:tr w:rsidR="002E68D5" w:rsidRPr="002E68D5" w14:paraId="221ADD49" w14:textId="77777777" w:rsidTr="00BD74E9">
        <w:trPr>
          <w:trHeight w:val="261"/>
        </w:trPr>
        <w:tc>
          <w:tcPr>
            <w:tcW w:w="2434" w:type="dxa"/>
            <w:tcBorders>
              <w:top w:val="nil"/>
              <w:left w:val="nil"/>
              <w:bottom w:val="nil"/>
              <w:right w:val="nil"/>
            </w:tcBorders>
          </w:tcPr>
          <w:p w14:paraId="5C56493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p</w:t>
            </w:r>
          </w:p>
        </w:tc>
        <w:tc>
          <w:tcPr>
            <w:tcW w:w="1887" w:type="dxa"/>
            <w:tcBorders>
              <w:top w:val="nil"/>
              <w:left w:val="nil"/>
              <w:bottom w:val="nil"/>
              <w:right w:val="nil"/>
            </w:tcBorders>
          </w:tcPr>
          <w:p w14:paraId="7542E04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0.595</w:t>
            </w:r>
          </w:p>
        </w:tc>
        <w:tc>
          <w:tcPr>
            <w:tcW w:w="1887" w:type="dxa"/>
            <w:tcBorders>
              <w:top w:val="nil"/>
              <w:left w:val="nil"/>
              <w:bottom w:val="nil"/>
              <w:right w:val="nil"/>
            </w:tcBorders>
          </w:tcPr>
          <w:p w14:paraId="21A3BB5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0.594</w:t>
            </w:r>
          </w:p>
        </w:tc>
        <w:tc>
          <w:tcPr>
            <w:tcW w:w="1887" w:type="dxa"/>
            <w:tcBorders>
              <w:top w:val="nil"/>
              <w:left w:val="nil"/>
              <w:bottom w:val="nil"/>
              <w:right w:val="nil"/>
            </w:tcBorders>
          </w:tcPr>
          <w:p w14:paraId="2157030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0.000</w:t>
            </w:r>
          </w:p>
        </w:tc>
      </w:tr>
      <w:tr w:rsidR="002E68D5" w:rsidRPr="002E68D5" w14:paraId="320D7957" w14:textId="77777777" w:rsidTr="00BD74E9">
        <w:trPr>
          <w:trHeight w:val="279"/>
        </w:trPr>
        <w:tc>
          <w:tcPr>
            <w:tcW w:w="2434" w:type="dxa"/>
            <w:tcBorders>
              <w:top w:val="nil"/>
              <w:left w:val="nil"/>
              <w:bottom w:val="nil"/>
              <w:right w:val="nil"/>
            </w:tcBorders>
          </w:tcPr>
          <w:p w14:paraId="7BA7FB87"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hettest</w:t>
            </w:r>
          </w:p>
        </w:tc>
        <w:tc>
          <w:tcPr>
            <w:tcW w:w="1887" w:type="dxa"/>
            <w:tcBorders>
              <w:top w:val="nil"/>
              <w:left w:val="nil"/>
              <w:bottom w:val="nil"/>
              <w:right w:val="nil"/>
            </w:tcBorders>
          </w:tcPr>
          <w:p w14:paraId="76696B3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2530.000(0.000)</w:t>
            </w:r>
          </w:p>
        </w:tc>
        <w:tc>
          <w:tcPr>
            <w:tcW w:w="1887" w:type="dxa"/>
            <w:tcBorders>
              <w:top w:val="nil"/>
              <w:left w:val="nil"/>
              <w:bottom w:val="nil"/>
              <w:right w:val="nil"/>
            </w:tcBorders>
          </w:tcPr>
          <w:p w14:paraId="454322E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c>
          <w:tcPr>
            <w:tcW w:w="1887" w:type="dxa"/>
            <w:tcBorders>
              <w:top w:val="nil"/>
              <w:left w:val="nil"/>
              <w:bottom w:val="nil"/>
              <w:right w:val="nil"/>
            </w:tcBorders>
          </w:tcPr>
          <w:p w14:paraId="3B9DDBFE"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r>
      <w:tr w:rsidR="002E68D5" w:rsidRPr="002E68D5" w14:paraId="20AF2993" w14:textId="77777777" w:rsidTr="00BD74E9">
        <w:trPr>
          <w:trHeight w:val="261"/>
        </w:trPr>
        <w:tc>
          <w:tcPr>
            <w:tcW w:w="2434" w:type="dxa"/>
            <w:tcBorders>
              <w:top w:val="nil"/>
              <w:left w:val="nil"/>
              <w:bottom w:val="nil"/>
              <w:right w:val="nil"/>
            </w:tcBorders>
          </w:tcPr>
          <w:p w14:paraId="49F4BED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vif</w:t>
            </w:r>
          </w:p>
        </w:tc>
        <w:tc>
          <w:tcPr>
            <w:tcW w:w="1887" w:type="dxa"/>
            <w:tcBorders>
              <w:top w:val="nil"/>
              <w:left w:val="nil"/>
              <w:bottom w:val="nil"/>
              <w:right w:val="nil"/>
            </w:tcBorders>
          </w:tcPr>
          <w:p w14:paraId="4D494B5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1.27</w:t>
            </w:r>
          </w:p>
        </w:tc>
        <w:tc>
          <w:tcPr>
            <w:tcW w:w="1887" w:type="dxa"/>
            <w:tcBorders>
              <w:top w:val="nil"/>
              <w:left w:val="nil"/>
              <w:bottom w:val="nil"/>
              <w:right w:val="nil"/>
            </w:tcBorders>
          </w:tcPr>
          <w:p w14:paraId="0FDB31C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c>
          <w:tcPr>
            <w:tcW w:w="1887" w:type="dxa"/>
            <w:tcBorders>
              <w:top w:val="nil"/>
              <w:left w:val="nil"/>
              <w:bottom w:val="nil"/>
              <w:right w:val="nil"/>
            </w:tcBorders>
          </w:tcPr>
          <w:p w14:paraId="6711607B"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r>
      <w:tr w:rsidR="002E68D5" w:rsidRPr="002E68D5" w14:paraId="3638F3A4" w14:textId="77777777" w:rsidTr="00BD74E9">
        <w:trPr>
          <w:trHeight w:val="271"/>
        </w:trPr>
        <w:tc>
          <w:tcPr>
            <w:tcW w:w="2434" w:type="dxa"/>
            <w:tcBorders>
              <w:top w:val="nil"/>
              <w:left w:val="nil"/>
              <w:bottom w:val="single" w:sz="4" w:space="0" w:color="auto"/>
              <w:right w:val="nil"/>
            </w:tcBorders>
          </w:tcPr>
          <w:p w14:paraId="7ADAAC8A"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lagrange</w:t>
            </w:r>
          </w:p>
        </w:tc>
        <w:tc>
          <w:tcPr>
            <w:tcW w:w="1887" w:type="dxa"/>
            <w:tcBorders>
              <w:top w:val="nil"/>
              <w:left w:val="nil"/>
              <w:bottom w:val="single" w:sz="4" w:space="0" w:color="auto"/>
              <w:right w:val="nil"/>
            </w:tcBorders>
          </w:tcPr>
          <w:p w14:paraId="321A168E"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c>
          <w:tcPr>
            <w:tcW w:w="1887" w:type="dxa"/>
            <w:tcBorders>
              <w:top w:val="nil"/>
              <w:left w:val="nil"/>
              <w:bottom w:val="single" w:sz="4" w:space="0" w:color="auto"/>
              <w:right w:val="nil"/>
            </w:tcBorders>
          </w:tcPr>
          <w:p w14:paraId="2DE0192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0.000(1.000)</w:t>
            </w:r>
          </w:p>
        </w:tc>
        <w:tc>
          <w:tcPr>
            <w:tcW w:w="1887" w:type="dxa"/>
            <w:tcBorders>
              <w:top w:val="nil"/>
              <w:left w:val="nil"/>
              <w:bottom w:val="single" w:sz="4" w:space="0" w:color="auto"/>
              <w:right w:val="nil"/>
            </w:tcBorders>
          </w:tcPr>
          <w:p w14:paraId="0930F523"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r>
    </w:tbl>
    <w:p w14:paraId="41E7AFB2" w14:textId="77777777" w:rsidR="0072696F" w:rsidRPr="002E68D5" w:rsidRDefault="0072696F" w:rsidP="0072696F">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i/>
          <w:iCs/>
          <w:sz w:val="24"/>
          <w:szCs w:val="24"/>
        </w:rPr>
        <w:t>p</w:t>
      </w:r>
      <w:r w:rsidRPr="002E68D5">
        <w:rPr>
          <w:rFonts w:ascii="Times New Roman" w:hAnsi="Times New Roman" w:cs="Times New Roman"/>
          <w:sz w:val="24"/>
          <w:szCs w:val="24"/>
        </w:rPr>
        <w:t>-values in parentheses</w:t>
      </w:r>
    </w:p>
    <w:p w14:paraId="704C26B0" w14:textId="77777777" w:rsidR="0072696F" w:rsidRPr="002E68D5" w:rsidRDefault="0072696F" w:rsidP="0072696F">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vertAlign w:val="superscript"/>
        </w:rPr>
        <w:t>*</w:t>
      </w:r>
      <w:r w:rsidRPr="002E68D5">
        <w:rPr>
          <w:rFonts w:ascii="Times New Roman" w:hAnsi="Times New Roman" w:cs="Times New Roman"/>
          <w:i/>
          <w:iCs/>
          <w:sz w:val="24"/>
          <w:szCs w:val="24"/>
        </w:rPr>
        <w:t>p</w:t>
      </w:r>
      <w:r w:rsidRPr="002E68D5">
        <w:rPr>
          <w:rFonts w:ascii="Times New Roman" w:hAnsi="Times New Roman" w:cs="Times New Roman"/>
          <w:sz w:val="24"/>
          <w:szCs w:val="24"/>
        </w:rPr>
        <w:t xml:space="preserve">&lt; 0.10, </w:t>
      </w:r>
      <w:r w:rsidRPr="002E68D5">
        <w:rPr>
          <w:rFonts w:ascii="Times New Roman" w:hAnsi="Times New Roman" w:cs="Times New Roman"/>
          <w:sz w:val="24"/>
          <w:szCs w:val="24"/>
          <w:vertAlign w:val="superscript"/>
        </w:rPr>
        <w:t>**</w:t>
      </w:r>
      <w:r w:rsidRPr="002E68D5">
        <w:rPr>
          <w:rFonts w:ascii="Times New Roman" w:hAnsi="Times New Roman" w:cs="Times New Roman"/>
          <w:i/>
          <w:iCs/>
          <w:sz w:val="24"/>
          <w:szCs w:val="24"/>
        </w:rPr>
        <w:t>p</w:t>
      </w:r>
      <w:r w:rsidRPr="002E68D5">
        <w:rPr>
          <w:rFonts w:ascii="Times New Roman" w:hAnsi="Times New Roman" w:cs="Times New Roman"/>
          <w:sz w:val="24"/>
          <w:szCs w:val="24"/>
        </w:rPr>
        <w:t xml:space="preserve">&lt; 0.05, </w:t>
      </w:r>
      <w:r w:rsidRPr="002E68D5">
        <w:rPr>
          <w:rFonts w:ascii="Times New Roman" w:hAnsi="Times New Roman" w:cs="Times New Roman"/>
          <w:sz w:val="24"/>
          <w:szCs w:val="24"/>
          <w:vertAlign w:val="superscript"/>
        </w:rPr>
        <w:t>***</w:t>
      </w:r>
      <w:r w:rsidRPr="002E68D5">
        <w:rPr>
          <w:rFonts w:ascii="Times New Roman" w:hAnsi="Times New Roman" w:cs="Times New Roman"/>
          <w:i/>
          <w:iCs/>
          <w:sz w:val="24"/>
          <w:szCs w:val="24"/>
        </w:rPr>
        <w:t>p</w:t>
      </w:r>
      <w:r w:rsidRPr="002E68D5">
        <w:rPr>
          <w:rFonts w:ascii="Times New Roman" w:hAnsi="Times New Roman" w:cs="Times New Roman"/>
          <w:sz w:val="24"/>
          <w:szCs w:val="24"/>
        </w:rPr>
        <w:t>&lt; 0.01</w:t>
      </w:r>
    </w:p>
    <w:p w14:paraId="347524C6" w14:textId="77777777" w:rsidR="0072696F" w:rsidRPr="002E68D5" w:rsidRDefault="0072696F" w:rsidP="0072696F">
      <w:pPr>
        <w:rPr>
          <w:rFonts w:ascii="Times New Roman" w:hAnsi="Times New Roman" w:cs="Times New Roman"/>
          <w:b/>
          <w:bCs/>
          <w:sz w:val="24"/>
          <w:szCs w:val="24"/>
          <w:lang w:val="en-GB"/>
        </w:rPr>
      </w:pPr>
      <w:r w:rsidRPr="002E68D5">
        <w:rPr>
          <w:rFonts w:ascii="Times New Roman" w:hAnsi="Times New Roman" w:cs="Times New Roman"/>
          <w:b/>
          <w:bCs/>
          <w:sz w:val="24"/>
          <w:szCs w:val="24"/>
          <w:lang w:val="en-GB"/>
        </w:rPr>
        <w:t>Source: Author’s computation (2026)</w:t>
      </w:r>
    </w:p>
    <w:p w14:paraId="0D109D12" w14:textId="4BF8DF7C" w:rsidR="0072696F" w:rsidRPr="002E68D5" w:rsidRDefault="0072696F" w:rsidP="0072696F">
      <w:pPr>
        <w:spacing w:after="0" w:line="480" w:lineRule="auto"/>
        <w:ind w:firstLine="720"/>
        <w:jc w:val="both"/>
        <w:rPr>
          <w:rFonts w:ascii="Times New Roman" w:hAnsi="Times New Roman" w:cs="Times New Roman"/>
          <w:sz w:val="24"/>
          <w:szCs w:val="24"/>
        </w:rPr>
      </w:pPr>
      <w:r w:rsidRPr="002E68D5">
        <w:rPr>
          <w:rFonts w:ascii="Times New Roman" w:hAnsi="Times New Roman" w:cs="Times New Roman"/>
          <w:sz w:val="24"/>
          <w:szCs w:val="24"/>
        </w:rPr>
        <w:t xml:space="preserve">The results obtained from the multivariate regression analyses are presented in Table </w:t>
      </w:r>
      <w:r w:rsidR="00DB406E" w:rsidRPr="002E68D5">
        <w:rPr>
          <w:rFonts w:ascii="Times New Roman" w:hAnsi="Times New Roman" w:cs="Times New Roman"/>
          <w:sz w:val="24"/>
          <w:szCs w:val="24"/>
          <w:lang w:val="en-US"/>
        </w:rPr>
        <w:t>3</w:t>
      </w:r>
      <w:r w:rsidRPr="002E68D5">
        <w:rPr>
          <w:rFonts w:ascii="Times New Roman" w:hAnsi="Times New Roman" w:cs="Times New Roman"/>
          <w:sz w:val="24"/>
          <w:szCs w:val="24"/>
        </w:rPr>
        <w:t>. The iterated robust least squares (IRLS) model reports an F-statistic of 8.682 with a p-value of 0.000, indicating that the model is statistically significant and fit for inference. The R-squared value of 0.476 suggests that approximately 47.6% of the variation in income smoothing (INCS) is explained by the included independent variables, while the remaining 52.4% is captured in the error term, reflecting other factors not included in the model.</w:t>
      </w:r>
    </w:p>
    <w:p w14:paraId="5166668C" w14:textId="549CBE59" w:rsidR="0072696F" w:rsidRPr="002E68D5" w:rsidRDefault="00084607" w:rsidP="0072696F">
      <w:pPr>
        <w:spacing w:before="240"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lang w:val="en-US"/>
        </w:rPr>
        <w:t xml:space="preserve">4.1 </w:t>
      </w:r>
      <w:r w:rsidR="0072696F" w:rsidRPr="002E68D5">
        <w:rPr>
          <w:rFonts w:ascii="Times New Roman" w:hAnsi="Times New Roman" w:cs="Times New Roman"/>
          <w:b/>
          <w:bCs/>
          <w:sz w:val="24"/>
          <w:szCs w:val="24"/>
        </w:rPr>
        <w:t>Checks for regression assumptions and other diagnostics</w:t>
      </w:r>
    </w:p>
    <w:p w14:paraId="6078ECBD" w14:textId="4B51EE23" w:rsidR="0072696F" w:rsidRPr="002E68D5" w:rsidRDefault="0072696F" w:rsidP="0072696F">
      <w:pPr>
        <w:spacing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rPr>
        <w:t>Homoscedasticity</w:t>
      </w:r>
    </w:p>
    <w:p w14:paraId="1A1EED5F" w14:textId="25A286A5" w:rsidR="0072696F" w:rsidRPr="002E68D5" w:rsidRDefault="0072696F" w:rsidP="0072696F">
      <w:pPr>
        <w:spacing w:after="0" w:line="480" w:lineRule="auto"/>
        <w:ind w:firstLine="720"/>
        <w:jc w:val="both"/>
        <w:rPr>
          <w:rFonts w:ascii="Times New Roman" w:hAnsi="Times New Roman" w:cs="Times New Roman"/>
          <w:sz w:val="24"/>
          <w:szCs w:val="24"/>
        </w:rPr>
      </w:pPr>
      <w:r w:rsidRPr="002E68D5">
        <w:rPr>
          <w:rFonts w:ascii="Times New Roman" w:hAnsi="Times New Roman" w:cs="Times New Roman"/>
          <w:sz w:val="24"/>
          <w:szCs w:val="24"/>
        </w:rPr>
        <w:t>As shown in Table.</w:t>
      </w:r>
      <w:r w:rsidR="00EE415D" w:rsidRPr="002E68D5">
        <w:rPr>
          <w:rFonts w:ascii="Times New Roman" w:hAnsi="Times New Roman" w:cs="Times New Roman"/>
          <w:sz w:val="24"/>
          <w:szCs w:val="24"/>
          <w:lang w:val="en-US"/>
        </w:rPr>
        <w:t>3</w:t>
      </w:r>
      <w:r w:rsidRPr="002E68D5">
        <w:rPr>
          <w:rFonts w:ascii="Times New Roman" w:hAnsi="Times New Roman" w:cs="Times New Roman"/>
          <w:sz w:val="24"/>
          <w:szCs w:val="24"/>
        </w:rPr>
        <w:t xml:space="preserve">, the Breusch-Pagan heteroscedasticity test returned a chi-square value of 2530.000 with a p-value of 0.000 (&lt; 0.05), indicating a clear violation of the homoscedasticity assumption. Consequently, the OLS estimates could not be relied upon for valid inference. To address this issue, the model was respecified using iterated robust least squares (IRLS) regression, which employs robust standard errors. </w:t>
      </w:r>
    </w:p>
    <w:p w14:paraId="2F851FC4" w14:textId="48663F4E" w:rsidR="0072696F" w:rsidRPr="002E68D5" w:rsidRDefault="0072696F" w:rsidP="0072696F">
      <w:pPr>
        <w:spacing w:before="240"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rPr>
        <w:lastRenderedPageBreak/>
        <w:t>Multicollinearity</w:t>
      </w:r>
    </w:p>
    <w:p w14:paraId="21207C45" w14:textId="67141F50" w:rsidR="0072696F" w:rsidRPr="002E68D5" w:rsidRDefault="0072696F" w:rsidP="0072696F">
      <w:pPr>
        <w:spacing w:after="0" w:line="480" w:lineRule="auto"/>
        <w:ind w:firstLine="720"/>
        <w:jc w:val="both"/>
        <w:rPr>
          <w:rFonts w:ascii="Times New Roman" w:eastAsia="DengXian" w:hAnsi="Times New Roman" w:cs="Times New Roman"/>
          <w:sz w:val="24"/>
          <w:szCs w:val="24"/>
          <w:lang w:eastAsia="zh-CN"/>
        </w:rPr>
      </w:pPr>
      <w:r w:rsidRPr="002E68D5">
        <w:rPr>
          <w:rFonts w:ascii="Times New Roman" w:hAnsi="Times New Roman" w:cs="Times New Roman"/>
          <w:sz w:val="24"/>
          <w:szCs w:val="24"/>
        </w:rPr>
        <w:t xml:space="preserve"> From the mean VIF presented in table </w:t>
      </w:r>
      <w:r w:rsidR="00EE415D" w:rsidRPr="002E68D5">
        <w:rPr>
          <w:rFonts w:ascii="Times New Roman" w:hAnsi="Times New Roman" w:cs="Times New Roman"/>
          <w:sz w:val="24"/>
          <w:szCs w:val="24"/>
          <w:lang w:val="en-US"/>
        </w:rPr>
        <w:t>3</w:t>
      </w:r>
      <w:r w:rsidRPr="002E68D5">
        <w:rPr>
          <w:rFonts w:ascii="Times New Roman" w:hAnsi="Times New Roman" w:cs="Times New Roman"/>
          <w:sz w:val="24"/>
          <w:szCs w:val="24"/>
        </w:rPr>
        <w:t xml:space="preserve"> above (1.27), it is safe to say that there was no multicollinearity evident in the dataset.</w:t>
      </w:r>
    </w:p>
    <w:p w14:paraId="27AE306D" w14:textId="4991D727" w:rsidR="0072696F" w:rsidRPr="002E68D5" w:rsidRDefault="0072696F" w:rsidP="0072696F">
      <w:pPr>
        <w:spacing w:before="240"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rPr>
        <w:t xml:space="preserve">Lagrange </w:t>
      </w:r>
      <w:r w:rsidRPr="002E68D5">
        <w:rPr>
          <w:rFonts w:ascii="Times New Roman" w:hAnsi="Times New Roman" w:cs="Times New Roman"/>
          <w:b/>
          <w:bCs/>
          <w:sz w:val="24"/>
          <w:szCs w:val="24"/>
          <w:lang w:val="en-GB"/>
        </w:rPr>
        <w:t>m</w:t>
      </w:r>
      <w:r w:rsidRPr="002E68D5">
        <w:rPr>
          <w:rFonts w:ascii="Times New Roman" w:hAnsi="Times New Roman" w:cs="Times New Roman"/>
          <w:b/>
          <w:bCs/>
          <w:sz w:val="24"/>
          <w:szCs w:val="24"/>
        </w:rPr>
        <w:t xml:space="preserve">ultiplier (LM) </w:t>
      </w:r>
      <w:r w:rsidRPr="002E68D5">
        <w:rPr>
          <w:rFonts w:ascii="Times New Roman" w:hAnsi="Times New Roman" w:cs="Times New Roman"/>
          <w:b/>
          <w:bCs/>
          <w:sz w:val="24"/>
          <w:szCs w:val="24"/>
          <w:lang w:val="en-GB"/>
        </w:rPr>
        <w:t>t</w:t>
      </w:r>
      <w:r w:rsidRPr="002E68D5">
        <w:rPr>
          <w:rFonts w:ascii="Times New Roman" w:hAnsi="Times New Roman" w:cs="Times New Roman"/>
          <w:b/>
          <w:bCs/>
          <w:sz w:val="24"/>
          <w:szCs w:val="24"/>
        </w:rPr>
        <w:t>est</w:t>
      </w:r>
    </w:p>
    <w:p w14:paraId="608486C9" w14:textId="0A0222D2" w:rsidR="0072696F" w:rsidRPr="002E68D5" w:rsidRDefault="0072696F" w:rsidP="0072696F">
      <w:pPr>
        <w:spacing w:after="0" w:line="480" w:lineRule="auto"/>
        <w:ind w:firstLine="720"/>
        <w:jc w:val="both"/>
        <w:rPr>
          <w:rFonts w:ascii="Times New Roman" w:hAnsi="Times New Roman" w:cs="Times New Roman"/>
          <w:b/>
          <w:sz w:val="24"/>
          <w:szCs w:val="24"/>
        </w:rPr>
      </w:pPr>
      <w:r w:rsidRPr="002E68D5">
        <w:rPr>
          <w:rFonts w:ascii="Times New Roman" w:hAnsi="Times New Roman" w:cs="Times New Roman"/>
          <w:sz w:val="24"/>
          <w:szCs w:val="24"/>
        </w:rPr>
        <w:t xml:space="preserve">The Lagrange Multiplier (LM) test </w:t>
      </w:r>
      <w:r w:rsidR="00EE415D" w:rsidRPr="002E68D5">
        <w:rPr>
          <w:rFonts w:ascii="Times New Roman" w:hAnsi="Times New Roman" w:cs="Times New Roman"/>
          <w:sz w:val="24"/>
          <w:szCs w:val="24"/>
          <w:lang w:val="en-US"/>
        </w:rPr>
        <w:t>was</w:t>
      </w:r>
      <w:r w:rsidRPr="002E68D5">
        <w:rPr>
          <w:rFonts w:ascii="Times New Roman" w:hAnsi="Times New Roman" w:cs="Times New Roman"/>
          <w:sz w:val="24"/>
          <w:szCs w:val="24"/>
        </w:rPr>
        <w:t xml:space="preserve"> applied to determine whether a random-effects Generalized Least Squares (GLS) model or a pooled OLS model is more appropriate for the panel data (Breusch &amp; Pagan, 1980). As shown in Table </w:t>
      </w:r>
      <w:r w:rsidR="00EE415D" w:rsidRPr="002E68D5">
        <w:rPr>
          <w:rFonts w:ascii="Times New Roman" w:hAnsi="Times New Roman" w:cs="Times New Roman"/>
          <w:sz w:val="24"/>
          <w:szCs w:val="24"/>
          <w:lang w:val="en-US"/>
        </w:rPr>
        <w:t>3</w:t>
      </w:r>
      <w:r w:rsidRPr="002E68D5">
        <w:rPr>
          <w:rFonts w:ascii="Times New Roman" w:hAnsi="Times New Roman" w:cs="Times New Roman"/>
          <w:sz w:val="24"/>
          <w:szCs w:val="24"/>
        </w:rPr>
        <w:t>, the LM test returned a statistic of 0.000 with a corresponding p-value of 1.000, indicating that the null hypothesis cannot be rejected. This implies that there are no significant random effects across firms, and therefore, the pooled OLS model is appropriate. However, due to the earlier detection of heteroscedasticity and potential outliers, the pooled OLS model was estimated using iterated robust least squares regression to ensure reliable coefficient estimates and standard errors.</w:t>
      </w:r>
    </w:p>
    <w:p w14:paraId="5733A7E8" w14:textId="77777777" w:rsidR="0072696F" w:rsidRPr="002E68D5" w:rsidRDefault="0072696F" w:rsidP="0072696F">
      <w:pPr>
        <w:spacing w:after="0" w:line="276" w:lineRule="auto"/>
        <w:jc w:val="both"/>
        <w:rPr>
          <w:rFonts w:ascii="Times New Roman" w:hAnsi="Times New Roman" w:cs="Times New Roman"/>
          <w:b/>
          <w:sz w:val="24"/>
          <w:szCs w:val="24"/>
        </w:rPr>
      </w:pPr>
    </w:p>
    <w:p w14:paraId="57DDB8FF" w14:textId="0C420585" w:rsidR="0072696F" w:rsidRPr="002E68D5" w:rsidRDefault="00084607" w:rsidP="0072696F">
      <w:pPr>
        <w:spacing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lang w:val="en-US"/>
        </w:rPr>
        <w:t xml:space="preserve">4.2 </w:t>
      </w:r>
      <w:r w:rsidR="0072696F" w:rsidRPr="002E68D5">
        <w:rPr>
          <w:rFonts w:ascii="Times New Roman" w:hAnsi="Times New Roman" w:cs="Times New Roman"/>
          <w:b/>
          <w:bCs/>
          <w:sz w:val="24"/>
          <w:szCs w:val="24"/>
        </w:rPr>
        <w:t>Discussion of findings</w:t>
      </w:r>
    </w:p>
    <w:p w14:paraId="7411A1E8" w14:textId="77777777" w:rsidR="0072696F" w:rsidRPr="002E68D5" w:rsidRDefault="0072696F" w:rsidP="0072696F">
      <w:pPr>
        <w:spacing w:after="0" w:line="480" w:lineRule="auto"/>
        <w:rPr>
          <w:rFonts w:ascii="Times New Roman" w:hAnsi="Times New Roman" w:cs="Times New Roman"/>
          <w:b/>
          <w:bCs/>
          <w:sz w:val="24"/>
          <w:szCs w:val="24"/>
        </w:rPr>
      </w:pPr>
      <w:r w:rsidRPr="002E68D5">
        <w:rPr>
          <w:rFonts w:ascii="Times New Roman" w:hAnsi="Times New Roman" w:cs="Times New Roman"/>
          <w:b/>
          <w:bCs/>
          <w:sz w:val="24"/>
          <w:szCs w:val="24"/>
        </w:rPr>
        <w:t>Auditor type and income smoothing</w:t>
      </w:r>
    </w:p>
    <w:p w14:paraId="552C7BE7" w14:textId="0EFE9534" w:rsidR="0072696F" w:rsidRPr="002E68D5" w:rsidRDefault="0072696F" w:rsidP="0072696F">
      <w:pPr>
        <w:spacing w:after="0" w:line="480" w:lineRule="auto"/>
        <w:ind w:firstLine="720"/>
        <w:jc w:val="both"/>
        <w:rPr>
          <w:rFonts w:ascii="Times New Roman" w:hAnsi="Times New Roman" w:cs="Times New Roman"/>
          <w:sz w:val="24"/>
          <w:szCs w:val="24"/>
          <w:lang w:val="en-US"/>
        </w:rPr>
      </w:pPr>
      <w:r w:rsidRPr="002E68D5">
        <w:rPr>
          <w:rFonts w:ascii="Times New Roman" w:hAnsi="Times New Roman" w:cs="Times New Roman"/>
          <w:sz w:val="24"/>
          <w:szCs w:val="24"/>
        </w:rPr>
        <w:t>The results obtained from the iterated robust regression model</w:t>
      </w:r>
      <w:r w:rsidRPr="002E68D5">
        <w:rPr>
          <w:rFonts w:ascii="Times New Roman" w:hAnsi="Times New Roman" w:cs="Times New Roman"/>
          <w:sz w:val="24"/>
          <w:szCs w:val="24"/>
          <w:lang w:val="en-US"/>
        </w:rPr>
        <w:t xml:space="preserve"> in table </w:t>
      </w:r>
      <w:r w:rsidR="00DD0783" w:rsidRPr="002E68D5">
        <w:rPr>
          <w:rFonts w:ascii="Times New Roman" w:hAnsi="Times New Roman" w:cs="Times New Roman"/>
          <w:sz w:val="24"/>
          <w:szCs w:val="24"/>
          <w:lang w:val="en-US"/>
        </w:rPr>
        <w:t>3</w:t>
      </w:r>
      <w:r w:rsidRPr="002E68D5">
        <w:rPr>
          <w:rFonts w:ascii="Times New Roman" w:hAnsi="Times New Roman" w:cs="Times New Roman"/>
          <w:sz w:val="24"/>
          <w:szCs w:val="24"/>
        </w:rPr>
        <w:t xml:space="preserve"> revealed that auditor type (AUTT) (0.387 [0.007]) has a positive and statistically significant effect on the Eckel’s income smoothing index of listed non-financial companies in Nigeria. This implies that the type of auditor engaged by firms significantly influences the level of income smoothing among the sampled firms. Given that higher Eckel index values indicate less income smoothing, the positive coefficient suggests that firms audited by higher-quality auditors (e.g., Big 4) are associated with a reduction in income smoothing practices, thereby improving financial reporting quality.This finding is consistent with the apriori expectation, which posits that reputable audit firms, particularly the Big 4, provide more rigorous monitoring, enforce stricter compliance with accounting standards, and are less tolerant of aggressive accounting </w:t>
      </w:r>
      <w:r w:rsidRPr="002E68D5">
        <w:rPr>
          <w:rFonts w:ascii="Times New Roman" w:hAnsi="Times New Roman" w:cs="Times New Roman"/>
          <w:sz w:val="24"/>
          <w:szCs w:val="24"/>
        </w:rPr>
        <w:lastRenderedPageBreak/>
        <w:t>practices. This finding supports the findings from several empirical studies. For instance, Olowookere et al. (2025) and Yousefi-Nejad (2024) found that Big 4 auditors are associated with lower earnings manipulation and financial statement fraud, while Knechel et al. (2013) reported that firms audited by Big 4 auditors exhibit more conservative earnings and reduced discretionary accruals. Similarly, Olaoye and Akintayo (2022) identified auditor type as a key determinant of financial reporting quality. However, the result contrasts with Awodiji et al. (2025), who found that Big 4 auditors do not always have a significant advantage over non-Big 4 auditors, suggesting that audit quality may also depend on other governance mechanisms.</w:t>
      </w:r>
    </w:p>
    <w:p w14:paraId="269A29AE" w14:textId="77777777" w:rsidR="0072696F" w:rsidRPr="002E68D5" w:rsidRDefault="0072696F" w:rsidP="0072696F">
      <w:pPr>
        <w:spacing w:before="240"/>
        <w:rPr>
          <w:rFonts w:ascii="Times New Roman" w:hAnsi="Times New Roman" w:cs="Times New Roman"/>
          <w:b/>
          <w:bCs/>
          <w:sz w:val="24"/>
          <w:szCs w:val="24"/>
        </w:rPr>
      </w:pPr>
      <w:r w:rsidRPr="002E68D5">
        <w:rPr>
          <w:rFonts w:ascii="Times New Roman" w:hAnsi="Times New Roman" w:cs="Times New Roman"/>
          <w:b/>
          <w:bCs/>
          <w:sz w:val="24"/>
          <w:szCs w:val="24"/>
        </w:rPr>
        <w:t>Sustainability disclosure practices and income smoothing</w:t>
      </w:r>
    </w:p>
    <w:p w14:paraId="1586E77A" w14:textId="1F925B6A" w:rsidR="0072696F" w:rsidRPr="002E68D5" w:rsidRDefault="0072696F" w:rsidP="0072696F">
      <w:pPr>
        <w:spacing w:after="0" w:line="480" w:lineRule="auto"/>
        <w:ind w:firstLine="720"/>
        <w:jc w:val="both"/>
        <w:rPr>
          <w:rFonts w:ascii="Times New Roman" w:hAnsi="Times New Roman" w:cs="Times New Roman"/>
          <w:sz w:val="24"/>
          <w:szCs w:val="24"/>
        </w:rPr>
      </w:pPr>
      <w:r w:rsidRPr="002E68D5">
        <w:rPr>
          <w:rFonts w:ascii="Times New Roman" w:hAnsi="Times New Roman" w:cs="Times New Roman"/>
          <w:sz w:val="24"/>
          <w:szCs w:val="24"/>
        </w:rPr>
        <w:t>The results obtained from the iterated robust regression</w:t>
      </w:r>
      <w:r w:rsidRPr="002E68D5">
        <w:rPr>
          <w:rFonts w:ascii="Times New Roman" w:hAnsi="Times New Roman" w:cs="Times New Roman"/>
          <w:sz w:val="24"/>
          <w:szCs w:val="24"/>
          <w:lang w:val="en-US"/>
        </w:rPr>
        <w:t xml:space="preserve"> in</w:t>
      </w:r>
      <w:r w:rsidRPr="002E68D5">
        <w:rPr>
          <w:rFonts w:ascii="Times New Roman" w:hAnsi="Times New Roman" w:cs="Times New Roman"/>
          <w:sz w:val="24"/>
          <w:szCs w:val="24"/>
        </w:rPr>
        <w:t xml:space="preserve"> model</w:t>
      </w:r>
      <w:r w:rsidRPr="002E68D5">
        <w:rPr>
          <w:rFonts w:ascii="Times New Roman" w:hAnsi="Times New Roman" w:cs="Times New Roman"/>
          <w:sz w:val="24"/>
          <w:szCs w:val="24"/>
          <w:lang w:val="en-US"/>
        </w:rPr>
        <w:t xml:space="preserve"> in table </w:t>
      </w:r>
      <w:r w:rsidR="00CD134D">
        <w:rPr>
          <w:rFonts w:ascii="Times New Roman" w:hAnsi="Times New Roman" w:cs="Times New Roman"/>
          <w:sz w:val="24"/>
          <w:szCs w:val="24"/>
          <w:lang w:val="en-US"/>
        </w:rPr>
        <w:t>3</w:t>
      </w:r>
      <w:r w:rsidRPr="002E68D5">
        <w:rPr>
          <w:rFonts w:ascii="Times New Roman" w:hAnsi="Times New Roman" w:cs="Times New Roman"/>
          <w:sz w:val="24"/>
          <w:szCs w:val="24"/>
          <w:lang w:val="en-US"/>
        </w:rPr>
        <w:t>.</w:t>
      </w:r>
      <w:r w:rsidRPr="002E68D5">
        <w:rPr>
          <w:rFonts w:ascii="Times New Roman" w:hAnsi="Times New Roman" w:cs="Times New Roman"/>
          <w:sz w:val="24"/>
          <w:szCs w:val="24"/>
        </w:rPr>
        <w:t xml:space="preserve"> revealed that sustainability disclosure practices (SUDP) (0.525 [0.491]) have a positive but statistically insignificant effect on the Eckel’s income smoothing index of listed non-financial companies in Nigeria. This implies that sustainability disclosure practices do not significantly influence the level of income smoothing among the sampled firms. This finding is not fully consistent with the apriori expectation, which suggests that firms with robust sustainability disclosure practices should exhibit lower levels of earnings management due to increased transparency, stakeholder scrutiny, and alignment with ethical reporting standards. This finding aligns with studies such as Adegbayibi et al. (2024), which reported insignificant or weak relationships between sustainability disclosure practices and financial reporting quality. However, it contrasts with findings from Nurullah et al. (2025), Akpabio and Azubike (2024), and Malo-Alain et al. (2023), which documented that robust sustainability disclosures significantly improve financial reporting quality and reduce earnings management.</w:t>
      </w:r>
    </w:p>
    <w:p w14:paraId="736AF840" w14:textId="77777777" w:rsidR="0072696F" w:rsidRPr="002E68D5" w:rsidRDefault="0072696F" w:rsidP="0072696F">
      <w:pPr>
        <w:spacing w:before="240"/>
        <w:rPr>
          <w:rFonts w:ascii="Times New Roman" w:hAnsi="Times New Roman" w:cs="Times New Roman"/>
          <w:b/>
          <w:bCs/>
          <w:sz w:val="24"/>
          <w:szCs w:val="24"/>
        </w:rPr>
      </w:pPr>
      <w:r w:rsidRPr="002E68D5">
        <w:rPr>
          <w:rFonts w:ascii="Times New Roman" w:hAnsi="Times New Roman" w:cs="Times New Roman"/>
          <w:b/>
          <w:bCs/>
          <w:sz w:val="24"/>
          <w:szCs w:val="24"/>
        </w:rPr>
        <w:t>Board financial expertise and income smoothing</w:t>
      </w:r>
    </w:p>
    <w:p w14:paraId="6D72BFA5" w14:textId="62527D3D" w:rsidR="0072696F" w:rsidRPr="002E68D5" w:rsidRDefault="0072696F" w:rsidP="0072696F">
      <w:pPr>
        <w:spacing w:after="0" w:line="480" w:lineRule="auto"/>
        <w:ind w:firstLine="720"/>
        <w:jc w:val="both"/>
        <w:rPr>
          <w:rFonts w:ascii="Times New Roman" w:hAnsi="Times New Roman" w:cs="Times New Roman"/>
          <w:sz w:val="24"/>
          <w:szCs w:val="24"/>
        </w:rPr>
      </w:pPr>
      <w:r w:rsidRPr="002E68D5">
        <w:rPr>
          <w:rFonts w:ascii="Times New Roman" w:hAnsi="Times New Roman" w:cs="Times New Roman"/>
          <w:sz w:val="24"/>
          <w:szCs w:val="24"/>
        </w:rPr>
        <w:t xml:space="preserve">The results obtained from the iterated robust regression model </w:t>
      </w:r>
      <w:r w:rsidRPr="002E68D5">
        <w:rPr>
          <w:rFonts w:ascii="Times New Roman" w:hAnsi="Times New Roman" w:cs="Times New Roman"/>
          <w:sz w:val="24"/>
          <w:szCs w:val="24"/>
          <w:lang w:val="en-US"/>
        </w:rPr>
        <w:t xml:space="preserve">in </w:t>
      </w:r>
      <w:r w:rsidR="00DD0783" w:rsidRPr="002E68D5">
        <w:rPr>
          <w:rFonts w:ascii="Times New Roman" w:hAnsi="Times New Roman" w:cs="Times New Roman"/>
          <w:sz w:val="24"/>
          <w:szCs w:val="24"/>
          <w:lang w:val="en-US"/>
        </w:rPr>
        <w:t>T</w:t>
      </w:r>
      <w:r w:rsidRPr="002E68D5">
        <w:rPr>
          <w:rFonts w:ascii="Times New Roman" w:hAnsi="Times New Roman" w:cs="Times New Roman"/>
          <w:sz w:val="24"/>
          <w:szCs w:val="24"/>
          <w:lang w:val="en-US"/>
        </w:rPr>
        <w:t xml:space="preserve">able </w:t>
      </w:r>
      <w:r w:rsidR="00DD0783" w:rsidRPr="002E68D5">
        <w:rPr>
          <w:rFonts w:ascii="Times New Roman" w:hAnsi="Times New Roman" w:cs="Times New Roman"/>
          <w:sz w:val="24"/>
          <w:szCs w:val="24"/>
          <w:lang w:val="en-US"/>
        </w:rPr>
        <w:t>3</w:t>
      </w:r>
      <w:r w:rsidRPr="002E68D5">
        <w:rPr>
          <w:rFonts w:ascii="Times New Roman" w:hAnsi="Times New Roman" w:cs="Times New Roman"/>
          <w:sz w:val="24"/>
          <w:szCs w:val="24"/>
          <w:lang w:val="en-US"/>
        </w:rPr>
        <w:t xml:space="preserve"> </w:t>
      </w:r>
      <w:r w:rsidRPr="002E68D5">
        <w:rPr>
          <w:rFonts w:ascii="Times New Roman" w:hAnsi="Times New Roman" w:cs="Times New Roman"/>
          <w:sz w:val="24"/>
          <w:szCs w:val="24"/>
        </w:rPr>
        <w:t xml:space="preserve">revealed that board financial expertise (BOFE) (1.597 [0.038]) has a positive and statistically significant </w:t>
      </w:r>
      <w:r w:rsidRPr="002E68D5">
        <w:rPr>
          <w:rFonts w:ascii="Times New Roman" w:hAnsi="Times New Roman" w:cs="Times New Roman"/>
          <w:sz w:val="24"/>
          <w:szCs w:val="24"/>
        </w:rPr>
        <w:lastRenderedPageBreak/>
        <w:t>effect on the Eckel’s income smoothing index of listed non-financial companies in Nigeria. This implies that board financial expertise significantly influences the level of income smoothing among the sampled firms. This finding is consistent with the apriori expectation, which posits that board members with financial knowledge and expertise are better equipped to monitor financial reporting processes, detect irregularities, and constrain managerial opportunism.. This finding aligns with several empirical studies. For instance, Akpabio and Azubike (2024) and Adeyemi and Yahaya (2024) all reported that board financial expertise significantly improves financial reporting quality and reduces earnings manipulation. Similarly, Alshareef et al. (2024) found a strong positive impact of financial expertise on corporate performance and reporting credibility. However, the result contrasts with studies such as Oghoghomeh and Olayinka (2024) and Awodiran and Ogundele (2022), which reported that the effect of board financial expertise may be insignificant or context-dependent, particularly in environments with weak governance structures.</w:t>
      </w:r>
    </w:p>
    <w:p w14:paraId="70C10958" w14:textId="77777777" w:rsidR="0072696F" w:rsidRPr="002E68D5" w:rsidRDefault="0072696F" w:rsidP="0072696F">
      <w:pPr>
        <w:tabs>
          <w:tab w:val="left" w:pos="0"/>
        </w:tabs>
        <w:spacing w:after="0" w:line="276" w:lineRule="auto"/>
        <w:jc w:val="both"/>
        <w:rPr>
          <w:rFonts w:ascii="Times New Roman" w:hAnsi="Times New Roman" w:cs="Times New Roman"/>
          <w:sz w:val="24"/>
          <w:szCs w:val="24"/>
        </w:rPr>
      </w:pPr>
    </w:p>
    <w:p w14:paraId="38907027" w14:textId="61365319" w:rsidR="0072696F" w:rsidRPr="002E68D5" w:rsidRDefault="00DD0783" w:rsidP="0072696F">
      <w:pPr>
        <w:tabs>
          <w:tab w:val="left" w:pos="0"/>
        </w:tabs>
        <w:spacing w:after="0" w:line="480" w:lineRule="auto"/>
        <w:jc w:val="both"/>
        <w:rPr>
          <w:rFonts w:ascii="Times New Roman" w:hAnsi="Times New Roman" w:cs="Times New Roman"/>
          <w:b/>
          <w:bCs/>
          <w:sz w:val="24"/>
          <w:szCs w:val="24"/>
          <w:lang w:val="en-US"/>
        </w:rPr>
      </w:pPr>
      <w:r w:rsidRPr="002E68D5">
        <w:rPr>
          <w:rFonts w:ascii="Times New Roman" w:hAnsi="Times New Roman" w:cs="Times New Roman"/>
          <w:b/>
          <w:bCs/>
          <w:sz w:val="24"/>
          <w:szCs w:val="24"/>
          <w:lang w:val="en-US"/>
        </w:rPr>
        <w:t xml:space="preserve">5.0 </w:t>
      </w:r>
      <w:r w:rsidR="0072696F" w:rsidRPr="002E68D5">
        <w:rPr>
          <w:rFonts w:ascii="Times New Roman" w:hAnsi="Times New Roman" w:cs="Times New Roman"/>
          <w:b/>
          <w:bCs/>
          <w:sz w:val="24"/>
          <w:szCs w:val="24"/>
        </w:rPr>
        <w:t>Conclusion</w:t>
      </w:r>
      <w:r w:rsidRPr="002E68D5">
        <w:rPr>
          <w:rFonts w:ascii="Times New Roman" w:hAnsi="Times New Roman" w:cs="Times New Roman"/>
          <w:b/>
          <w:bCs/>
          <w:sz w:val="24"/>
          <w:szCs w:val="24"/>
          <w:lang w:val="en-US"/>
        </w:rPr>
        <w:t xml:space="preserve"> and recommendations</w:t>
      </w:r>
    </w:p>
    <w:p w14:paraId="3CAAA57C" w14:textId="32833DCD" w:rsidR="0072696F" w:rsidRDefault="0072696F" w:rsidP="00DD0783">
      <w:pPr>
        <w:spacing w:after="0" w:line="480" w:lineRule="auto"/>
        <w:ind w:firstLine="720"/>
        <w:jc w:val="both"/>
        <w:rPr>
          <w:rFonts w:ascii="Times New Roman" w:hAnsi="Times New Roman" w:cs="Times New Roman"/>
          <w:sz w:val="24"/>
          <w:szCs w:val="24"/>
          <w:lang w:val="en-IN"/>
        </w:rPr>
      </w:pPr>
      <w:r w:rsidRPr="002E68D5">
        <w:rPr>
          <w:rFonts w:ascii="Times New Roman" w:hAnsi="Times New Roman" w:cs="Times New Roman"/>
          <w:sz w:val="24"/>
          <w:szCs w:val="24"/>
        </w:rPr>
        <w:t>This study investigated the effect of firm attributes on financial reporting quality of listed non-financial firms in Nigeria, covering the period from 201</w:t>
      </w:r>
      <w:r w:rsidR="00DD0783" w:rsidRPr="002E68D5">
        <w:rPr>
          <w:rFonts w:ascii="Times New Roman" w:hAnsi="Times New Roman" w:cs="Times New Roman"/>
          <w:sz w:val="24"/>
          <w:szCs w:val="24"/>
          <w:lang w:val="en-US"/>
        </w:rPr>
        <w:t>6</w:t>
      </w:r>
      <w:r w:rsidRPr="002E68D5">
        <w:rPr>
          <w:rFonts w:ascii="Times New Roman" w:hAnsi="Times New Roman" w:cs="Times New Roman"/>
          <w:sz w:val="24"/>
          <w:szCs w:val="24"/>
        </w:rPr>
        <w:t xml:space="preserve"> to 202</w:t>
      </w:r>
      <w:r w:rsidR="00DD0783" w:rsidRPr="002E68D5">
        <w:rPr>
          <w:rFonts w:ascii="Times New Roman" w:hAnsi="Times New Roman" w:cs="Times New Roman"/>
          <w:sz w:val="24"/>
          <w:szCs w:val="24"/>
          <w:lang w:val="en-US"/>
        </w:rPr>
        <w:t>5</w:t>
      </w:r>
      <w:r w:rsidRPr="002E68D5">
        <w:rPr>
          <w:rFonts w:ascii="Times New Roman" w:hAnsi="Times New Roman" w:cs="Times New Roman"/>
          <w:sz w:val="24"/>
          <w:szCs w:val="24"/>
        </w:rPr>
        <w:t xml:space="preserve">. </w:t>
      </w:r>
      <w:r w:rsidRPr="002E68D5">
        <w:rPr>
          <w:rFonts w:ascii="Times New Roman" w:eastAsia="Times New Roman" w:hAnsi="Times New Roman" w:cs="Times New Roman"/>
          <w:sz w:val="24"/>
          <w:szCs w:val="24"/>
        </w:rPr>
        <w:t xml:space="preserve">Based on the empirical evidence, this study </w:t>
      </w:r>
      <w:r w:rsidRPr="002E68D5">
        <w:rPr>
          <w:rFonts w:ascii="Times New Roman" w:eastAsia="Times New Roman" w:hAnsi="Times New Roman" w:cs="Times New Roman"/>
          <w:sz w:val="24"/>
          <w:szCs w:val="24"/>
          <w:lang w:val="en-US"/>
        </w:rPr>
        <w:t>revealed</w:t>
      </w:r>
      <w:r w:rsidRPr="002E68D5">
        <w:rPr>
          <w:rFonts w:ascii="Times New Roman" w:eastAsia="Times New Roman" w:hAnsi="Times New Roman" w:cs="Times New Roman"/>
          <w:sz w:val="24"/>
          <w:szCs w:val="24"/>
        </w:rPr>
        <w:t xml:space="preserve"> that firm attributes play a critical role in shaping the financial reporting quality of listed non-financial companies in Nigeria, particularly through their influence on income smoothing practices. Overall, the study conclude</w:t>
      </w:r>
      <w:r w:rsidRPr="002E68D5">
        <w:rPr>
          <w:rFonts w:ascii="Times New Roman" w:eastAsia="Times New Roman" w:hAnsi="Times New Roman" w:cs="Times New Roman"/>
          <w:sz w:val="24"/>
          <w:szCs w:val="24"/>
          <w:lang w:val="en-US"/>
        </w:rPr>
        <w:t>d</w:t>
      </w:r>
      <w:r w:rsidRPr="002E68D5">
        <w:rPr>
          <w:rFonts w:ascii="Times New Roman" w:eastAsia="Times New Roman" w:hAnsi="Times New Roman" w:cs="Times New Roman"/>
          <w:sz w:val="24"/>
          <w:szCs w:val="24"/>
        </w:rPr>
        <w:t xml:space="preserve"> that strengthening corporate governance frameworks remains essential for improving financial reporting quality in Nigeria. Thus, firm attributes</w:t>
      </w:r>
      <w:r w:rsidRPr="002E68D5">
        <w:rPr>
          <w:rFonts w:ascii="Times New Roman" w:eastAsia="Times New Roman" w:hAnsi="Times New Roman" w:cs="Times New Roman"/>
          <w:sz w:val="24"/>
          <w:szCs w:val="24"/>
          <w:lang w:val="en-US"/>
        </w:rPr>
        <w:t xml:space="preserve">, </w:t>
      </w:r>
      <w:r w:rsidRPr="002E68D5">
        <w:rPr>
          <w:rFonts w:ascii="Times New Roman" w:eastAsia="Times New Roman" w:hAnsi="Times New Roman" w:cs="Times New Roman"/>
          <w:sz w:val="24"/>
          <w:szCs w:val="24"/>
        </w:rPr>
        <w:t>particularly those related to governance effectiveness</w:t>
      </w:r>
      <w:r w:rsidRPr="002E68D5">
        <w:rPr>
          <w:rFonts w:ascii="Times New Roman" w:eastAsia="Times New Roman" w:hAnsi="Times New Roman" w:cs="Times New Roman"/>
          <w:sz w:val="24"/>
          <w:szCs w:val="24"/>
          <w:lang w:val="en-US"/>
        </w:rPr>
        <w:t xml:space="preserve">, </w:t>
      </w:r>
      <w:r w:rsidRPr="002E68D5">
        <w:rPr>
          <w:rFonts w:ascii="Times New Roman" w:eastAsia="Times New Roman" w:hAnsi="Times New Roman" w:cs="Times New Roman"/>
          <w:sz w:val="24"/>
          <w:szCs w:val="24"/>
        </w:rPr>
        <w:t>are fundamental in reducing income smoothing and enhancing the integrity, transparency, and decision-usefulness of financial reports among listed non-financial companies in Nigeria.</w:t>
      </w:r>
      <w:r w:rsidR="00DD0783" w:rsidRPr="002E68D5">
        <w:rPr>
          <w:rFonts w:ascii="Times New Roman" w:eastAsia="Times New Roman" w:hAnsi="Times New Roman" w:cs="Times New Roman"/>
          <w:sz w:val="24"/>
          <w:szCs w:val="24"/>
          <w:lang w:val="en-US"/>
        </w:rPr>
        <w:t xml:space="preserve"> It was therefore recommended that the management of listed nonfinancial c</w:t>
      </w:r>
      <w:r w:rsidRPr="002E68D5">
        <w:rPr>
          <w:rFonts w:ascii="Times New Roman" w:hAnsi="Times New Roman" w:cs="Times New Roman"/>
          <w:sz w:val="24"/>
          <w:szCs w:val="24"/>
        </w:rPr>
        <w:t xml:space="preserve">ompanies </w:t>
      </w:r>
      <w:r w:rsidR="00DD0783" w:rsidRPr="002E68D5">
        <w:rPr>
          <w:rFonts w:ascii="Times New Roman" w:hAnsi="Times New Roman" w:cs="Times New Roman"/>
          <w:sz w:val="24"/>
          <w:szCs w:val="24"/>
          <w:lang w:val="en-US"/>
        </w:rPr>
        <w:t xml:space="preserve">should </w:t>
      </w:r>
      <w:r w:rsidRPr="002E68D5">
        <w:rPr>
          <w:rFonts w:ascii="Times New Roman" w:hAnsi="Times New Roman" w:cs="Times New Roman"/>
          <w:sz w:val="24"/>
          <w:szCs w:val="24"/>
        </w:rPr>
        <w:lastRenderedPageBreak/>
        <w:t>establish stringent auditor selection criteria based on competence, experience, and professional reputation. Also</w:t>
      </w:r>
      <w:r w:rsidR="00DD0783" w:rsidRPr="002E68D5">
        <w:rPr>
          <w:rFonts w:ascii="Times New Roman" w:hAnsi="Times New Roman" w:cs="Times New Roman"/>
          <w:sz w:val="24"/>
          <w:szCs w:val="24"/>
          <w:lang w:val="en-US"/>
        </w:rPr>
        <w:t>, these firms should</w:t>
      </w:r>
      <w:r w:rsidRPr="002E68D5">
        <w:rPr>
          <w:rFonts w:ascii="Times New Roman" w:hAnsi="Times New Roman" w:cs="Times New Roman"/>
          <w:sz w:val="24"/>
          <w:szCs w:val="24"/>
        </w:rPr>
        <w:t xml:space="preserve"> adopt</w:t>
      </w:r>
      <w:r w:rsidR="00DD0783" w:rsidRPr="002E68D5">
        <w:rPr>
          <w:rFonts w:ascii="Times New Roman" w:hAnsi="Times New Roman" w:cs="Times New Roman"/>
          <w:sz w:val="24"/>
          <w:szCs w:val="24"/>
          <w:lang w:val="en-US"/>
        </w:rPr>
        <w:t>e</w:t>
      </w:r>
      <w:r w:rsidRPr="002E68D5">
        <w:rPr>
          <w:rFonts w:ascii="Times New Roman" w:hAnsi="Times New Roman" w:cs="Times New Roman"/>
          <w:sz w:val="24"/>
          <w:szCs w:val="24"/>
        </w:rPr>
        <w:t xml:space="preserve">  globally recognized sustainability reporting frameworks and integration of sustainability reporting processes with financial reporting systems.</w:t>
      </w:r>
    </w:p>
    <w:p w14:paraId="2AECD751" w14:textId="77777777" w:rsidR="00F250D3" w:rsidRDefault="00F250D3" w:rsidP="00F250D3">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5B0D1558" w14:textId="77777777" w:rsidR="00F250D3" w:rsidRDefault="00F250D3" w:rsidP="00F250D3">
      <w:pPr>
        <w:spacing w:after="0" w:line="240" w:lineRule="auto"/>
        <w:rPr>
          <w:rFonts w:ascii="Times New Roman" w:hAnsi="Times New Roman" w:cs="Times New Roman"/>
          <w:b/>
        </w:rPr>
      </w:pPr>
    </w:p>
    <w:p w14:paraId="1FF8B66D" w14:textId="77777777" w:rsidR="00F250D3" w:rsidRDefault="00F250D3" w:rsidP="00F250D3">
      <w:pPr>
        <w:spacing w:after="0" w:line="240" w:lineRule="auto"/>
        <w:rPr>
          <w:rFonts w:ascii="Times New Roman" w:hAnsi="Times New Roman" w:cs="Times New Roman"/>
          <w:b/>
        </w:rPr>
      </w:pPr>
    </w:p>
    <w:p w14:paraId="237B24D4" w14:textId="77777777" w:rsidR="00F250D3" w:rsidRDefault="00F250D3" w:rsidP="00F250D3">
      <w:pPr>
        <w:spacing w:after="0" w:line="240" w:lineRule="auto"/>
        <w:rPr>
          <w:rFonts w:ascii="Times New Roman" w:hAnsi="Times New Roman" w:cs="Times New Roman"/>
          <w:b/>
        </w:rPr>
      </w:pPr>
    </w:p>
    <w:p w14:paraId="46409974" w14:textId="77777777" w:rsidR="00F250D3" w:rsidRPr="002D08AC" w:rsidRDefault="00F250D3" w:rsidP="00F250D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FBC3BE" w14:textId="77777777" w:rsidR="00F250D3" w:rsidRPr="00F250D3" w:rsidRDefault="00F250D3" w:rsidP="00DD0783">
      <w:pPr>
        <w:spacing w:after="0" w:line="480" w:lineRule="auto"/>
        <w:ind w:firstLine="720"/>
        <w:jc w:val="both"/>
        <w:rPr>
          <w:rFonts w:ascii="Times New Roman" w:eastAsia="SimSun" w:hAnsi="Times New Roman" w:cs="Times New Roman"/>
          <w:bCs/>
          <w:sz w:val="24"/>
          <w:szCs w:val="24"/>
          <w:lang w:val="en-IN" w:eastAsia="zh-CN"/>
        </w:rPr>
      </w:pPr>
    </w:p>
    <w:bookmarkEnd w:id="7"/>
    <w:p w14:paraId="799B4BA7" w14:textId="77777777" w:rsidR="0072696F" w:rsidRPr="002E68D5" w:rsidRDefault="0072696F" w:rsidP="0072696F">
      <w:pPr>
        <w:rPr>
          <w:rFonts w:ascii="Times New Roman" w:hAnsi="Times New Roman" w:cs="Times New Roman"/>
          <w:sz w:val="24"/>
          <w:szCs w:val="24"/>
        </w:rPr>
      </w:pPr>
    </w:p>
    <w:p w14:paraId="34812E13" w14:textId="77777777" w:rsidR="0072696F" w:rsidRPr="002E68D5" w:rsidRDefault="0072696F" w:rsidP="0072696F">
      <w:pPr>
        <w:spacing w:line="480" w:lineRule="auto"/>
        <w:jc w:val="both"/>
        <w:rPr>
          <w:rFonts w:ascii="Times New Roman" w:eastAsia="Times New Roman" w:hAnsi="Times New Roman" w:cs="Times New Roman"/>
          <w:b/>
          <w:sz w:val="24"/>
          <w:szCs w:val="24"/>
          <w:lang w:val="en-US"/>
        </w:rPr>
      </w:pPr>
    </w:p>
    <w:p w14:paraId="2B9E35E0" w14:textId="77777777" w:rsidR="00F26318" w:rsidRPr="002E68D5" w:rsidRDefault="00F26318" w:rsidP="0072696F">
      <w:pPr>
        <w:spacing w:line="480" w:lineRule="auto"/>
        <w:jc w:val="both"/>
        <w:rPr>
          <w:rFonts w:ascii="Times New Roman" w:eastAsia="Times New Roman" w:hAnsi="Times New Roman" w:cs="Times New Roman"/>
          <w:b/>
          <w:sz w:val="24"/>
          <w:szCs w:val="24"/>
          <w:lang w:val="en-US"/>
        </w:rPr>
      </w:pPr>
    </w:p>
    <w:p w14:paraId="6F858DCA" w14:textId="77777777" w:rsidR="00F26318" w:rsidRPr="002E68D5" w:rsidRDefault="00F26318" w:rsidP="00F26318">
      <w:pPr>
        <w:rPr>
          <w:rFonts w:ascii="Times New Roman" w:hAnsi="Times New Roman" w:cs="Times New Roman"/>
          <w:sz w:val="24"/>
          <w:szCs w:val="24"/>
        </w:rPr>
      </w:pPr>
    </w:p>
    <w:p w14:paraId="719D8028" w14:textId="77777777" w:rsidR="00F26318" w:rsidRPr="002E68D5" w:rsidRDefault="00F26318" w:rsidP="00F26318">
      <w:pPr>
        <w:pStyle w:val="Heading3"/>
        <w:ind w:hanging="397"/>
        <w:jc w:val="center"/>
        <w:rPr>
          <w:rFonts w:ascii="Times New Roman" w:hAnsi="Times New Roman" w:cs="Times New Roman"/>
          <w:color w:val="auto"/>
          <w:lang w:val="en-US"/>
        </w:rPr>
      </w:pPr>
      <w:r w:rsidRPr="002E68D5">
        <w:rPr>
          <w:rFonts w:ascii="Times New Roman" w:hAnsi="Times New Roman" w:cs="Times New Roman"/>
          <w:color w:val="auto"/>
        </w:rPr>
        <w:t>REFERENCE</w:t>
      </w:r>
      <w:r w:rsidRPr="002E68D5">
        <w:rPr>
          <w:rFonts w:ascii="Times New Roman" w:hAnsi="Times New Roman" w:cs="Times New Roman"/>
          <w:color w:val="auto"/>
          <w:lang w:val="en-US"/>
        </w:rPr>
        <w:t>S</w:t>
      </w:r>
    </w:p>
    <w:p w14:paraId="424A6F73" w14:textId="77777777" w:rsidR="00F26318" w:rsidRPr="002E68D5" w:rsidRDefault="00F26318" w:rsidP="00F26318">
      <w:pPr>
        <w:pStyle w:val="NormalWeb"/>
        <w:spacing w:afterAutospacing="0"/>
        <w:ind w:left="709" w:hanging="709"/>
        <w:jc w:val="both"/>
      </w:pPr>
      <w:r w:rsidRPr="002E68D5">
        <w:t xml:space="preserve">Abebaw, A. W. (2020). Factors affecting financial reporting quality of business firms in </w:t>
      </w:r>
      <w:proofErr w:type="gramStart"/>
      <w:r w:rsidRPr="002E68D5">
        <w:t>Debre  Markos</w:t>
      </w:r>
      <w:proofErr w:type="gramEnd"/>
      <w:r w:rsidRPr="002E68D5">
        <w:t xml:space="preserve"> Town. </w:t>
      </w:r>
      <w:r w:rsidRPr="002E68D5">
        <w:rPr>
          <w:rStyle w:val="Emphasis"/>
        </w:rPr>
        <w:t>Research Journal of Finance and Accounting, 11</w:t>
      </w:r>
      <w:r w:rsidRPr="002E68D5">
        <w:t>(13), 21–37.</w:t>
      </w:r>
    </w:p>
    <w:p w14:paraId="3CA25E6D" w14:textId="77777777" w:rsidR="00F26318" w:rsidRPr="002E68D5" w:rsidRDefault="00F26318" w:rsidP="00F26318">
      <w:pPr>
        <w:pStyle w:val="NormalWeb"/>
        <w:spacing w:afterAutospacing="0"/>
        <w:ind w:left="709" w:hanging="709"/>
        <w:jc w:val="both"/>
      </w:pPr>
      <w:r w:rsidRPr="002E68D5">
        <w:t xml:space="preserve">Abbott, L. J., Parker, S., &amp; Peters, G. F. (2024). Audit committee characteristics and restatements. </w:t>
      </w:r>
      <w:r w:rsidRPr="002E68D5">
        <w:rPr>
          <w:rStyle w:val="Emphasis"/>
        </w:rPr>
        <w:t>Auditing: A Journal of Practice &amp; Theory, 23</w:t>
      </w:r>
      <w:r w:rsidRPr="002E68D5">
        <w:t>(1), 69–87.</w:t>
      </w:r>
    </w:p>
    <w:p w14:paraId="3C0D58A9" w14:textId="77777777" w:rsidR="00F26318" w:rsidRPr="002E68D5" w:rsidRDefault="00F26318" w:rsidP="00F26318">
      <w:pPr>
        <w:pStyle w:val="NormalWeb"/>
        <w:spacing w:afterAutospacing="0"/>
        <w:ind w:left="709" w:hanging="709"/>
        <w:jc w:val="both"/>
      </w:pPr>
      <w:r w:rsidRPr="002E68D5">
        <w:t xml:space="preserve">Abdelmoneim, Z. M. A. (2024). The implications of ownership structure and audit quality on financial reporting quality: Evidence from Egypt. </w:t>
      </w:r>
      <w:r w:rsidRPr="002E68D5">
        <w:rPr>
          <w:rStyle w:val="Emphasis"/>
        </w:rPr>
        <w:t>MSA-Management Sciences Journal, 3</w:t>
      </w:r>
      <w:r w:rsidRPr="002E68D5">
        <w:t>(2), 54–75.</w:t>
      </w:r>
    </w:p>
    <w:p w14:paraId="670F15CC" w14:textId="77777777" w:rsidR="00F26318" w:rsidRPr="002E68D5" w:rsidRDefault="00F26318" w:rsidP="00F26318">
      <w:pPr>
        <w:pStyle w:val="NormalWeb"/>
        <w:spacing w:afterAutospacing="0"/>
        <w:ind w:left="709" w:hanging="709"/>
        <w:jc w:val="both"/>
      </w:pPr>
      <w:r w:rsidRPr="002E68D5">
        <w:t xml:space="preserve">Abubakar, L., &amp; Modibbo, A. (2025). Audit committee characteristics and financial reporting quality of listed consumer goods firms in Nigeria: Moderating role of institutional ownership. </w:t>
      </w:r>
    </w:p>
    <w:p w14:paraId="48C41B1C" w14:textId="77777777" w:rsidR="00F26318" w:rsidRPr="002E68D5" w:rsidRDefault="00F26318" w:rsidP="00F26318">
      <w:pPr>
        <w:pStyle w:val="NormalWeb"/>
        <w:spacing w:afterAutospacing="0"/>
        <w:ind w:left="709" w:hanging="709"/>
        <w:jc w:val="both"/>
      </w:pPr>
      <w:proofErr w:type="spellStart"/>
      <w:r w:rsidRPr="002E68D5">
        <w:t>Adegbayibi</w:t>
      </w:r>
      <w:proofErr w:type="spellEnd"/>
      <w:r w:rsidRPr="002E68D5">
        <w:t xml:space="preserve">, A. T., Adu, B. O., &amp; </w:t>
      </w:r>
      <w:proofErr w:type="spellStart"/>
      <w:r w:rsidRPr="002E68D5">
        <w:t>Oyedokun</w:t>
      </w:r>
      <w:proofErr w:type="spellEnd"/>
      <w:r w:rsidRPr="002E68D5">
        <w:t xml:space="preserve">, O. I. (2024). Sustainability reporting and financial reporting quality of listed consumer goods firms in Nigeria. </w:t>
      </w:r>
      <w:r w:rsidRPr="002E68D5">
        <w:rPr>
          <w:rStyle w:val="Emphasis"/>
        </w:rPr>
        <w:t>Journal of Global Accounting, 10</w:t>
      </w:r>
      <w:r w:rsidRPr="002E68D5">
        <w:t>(2), 78–101.</w:t>
      </w:r>
    </w:p>
    <w:p w14:paraId="2650DF82" w14:textId="77777777" w:rsidR="00F26318" w:rsidRPr="002E68D5" w:rsidRDefault="00F26318" w:rsidP="00F26318">
      <w:pPr>
        <w:pStyle w:val="NormalWeb"/>
        <w:spacing w:afterAutospacing="0"/>
        <w:ind w:left="709" w:hanging="709"/>
        <w:jc w:val="both"/>
      </w:pPr>
      <w:r w:rsidRPr="002E68D5">
        <w:t xml:space="preserve">Adeyemi, E., &amp; Yahaya, O. A. (2024). The impact of board financial expertise on earnings quality in Nigerian listed companies. </w:t>
      </w:r>
      <w:r w:rsidRPr="002E68D5">
        <w:rPr>
          <w:rStyle w:val="Emphasis"/>
        </w:rPr>
        <w:t>NDA Original Research Paper, 9</w:t>
      </w:r>
      <w:r w:rsidRPr="002E68D5">
        <w:t>(4), 1–30.</w:t>
      </w:r>
    </w:p>
    <w:p w14:paraId="079B4C02" w14:textId="77777777" w:rsidR="00F26318" w:rsidRPr="002E68D5" w:rsidRDefault="00F26318" w:rsidP="00F26318">
      <w:pPr>
        <w:pStyle w:val="NormalWeb"/>
        <w:spacing w:afterAutospacing="0"/>
        <w:ind w:left="709" w:hanging="709"/>
        <w:jc w:val="both"/>
      </w:pPr>
      <w:r w:rsidRPr="002E68D5">
        <w:lastRenderedPageBreak/>
        <w:t xml:space="preserve">Akanbi, P. A., </w:t>
      </w:r>
      <w:proofErr w:type="spellStart"/>
      <w:r w:rsidRPr="002E68D5">
        <w:t>Adedipe</w:t>
      </w:r>
      <w:proofErr w:type="spellEnd"/>
      <w:r w:rsidRPr="002E68D5">
        <w:t xml:space="preserve">, O. A., &amp; Ajayi, A. S. (2022). Audit committee attributes and financial reporting quality of selected quoted consumer goods firms in Nigeria. </w:t>
      </w:r>
      <w:r w:rsidRPr="002E68D5">
        <w:rPr>
          <w:rStyle w:val="Emphasis"/>
        </w:rPr>
        <w:t>International Journal of Economics, Commerce and Management, 10</w:t>
      </w:r>
      <w:r w:rsidRPr="002E68D5">
        <w:t>(2), 72–79.</w:t>
      </w:r>
    </w:p>
    <w:p w14:paraId="3A5E1257" w14:textId="77777777" w:rsidR="00294049" w:rsidRPr="002E68D5" w:rsidRDefault="00294049" w:rsidP="00294049">
      <w:pPr>
        <w:pStyle w:val="NormalWeb"/>
        <w:spacing w:afterAutospacing="0"/>
        <w:ind w:left="709" w:hanging="709"/>
        <w:jc w:val="both"/>
        <w:rPr>
          <w:i/>
        </w:rPr>
      </w:pPr>
      <w:proofErr w:type="spellStart"/>
      <w:r w:rsidRPr="002E68D5">
        <w:t>Akosile</w:t>
      </w:r>
      <w:proofErr w:type="spellEnd"/>
      <w:r w:rsidRPr="002E68D5">
        <w:t xml:space="preserve">, A. I., &amp; </w:t>
      </w:r>
      <w:proofErr w:type="spellStart"/>
      <w:r w:rsidRPr="002E68D5">
        <w:t>Famoyin</w:t>
      </w:r>
      <w:proofErr w:type="spellEnd"/>
      <w:r w:rsidRPr="002E68D5">
        <w:t xml:space="preserve">, S. O. (2025). Audit market structure and financial reporting quality of listed deposit money banks in Nigeria. </w:t>
      </w:r>
      <w:r w:rsidRPr="002E68D5">
        <w:rPr>
          <w:i/>
        </w:rPr>
        <w:t xml:space="preserve">International Journal of Business Economics and Management Science, 2(1), 79-87. </w:t>
      </w:r>
    </w:p>
    <w:p w14:paraId="6BBF8AAB" w14:textId="77777777" w:rsidR="00F26318" w:rsidRPr="002E68D5" w:rsidRDefault="00F26318" w:rsidP="00F26318">
      <w:pPr>
        <w:pStyle w:val="NormalWeb"/>
        <w:spacing w:afterAutospacing="0"/>
        <w:ind w:left="709" w:hanging="709"/>
        <w:jc w:val="both"/>
      </w:pPr>
      <w:r w:rsidRPr="002E68D5">
        <w:t xml:space="preserve">Akpabio, I. I., &amp; </w:t>
      </w:r>
      <w:proofErr w:type="spellStart"/>
      <w:r w:rsidRPr="002E68D5">
        <w:t>Azubike</w:t>
      </w:r>
      <w:proofErr w:type="spellEnd"/>
      <w:r w:rsidRPr="002E68D5">
        <w:t xml:space="preserve">, J. U. B. (2024). Determinants of financial reporting quality of listed firms in Nigeria. </w:t>
      </w:r>
      <w:r w:rsidRPr="002E68D5">
        <w:rPr>
          <w:rStyle w:val="Emphasis"/>
        </w:rPr>
        <w:t>Journal of Accounting and Financial Management, 10</w:t>
      </w:r>
      <w:r w:rsidRPr="002E68D5">
        <w:t>(8), 142–160.</w:t>
      </w:r>
    </w:p>
    <w:p w14:paraId="5C02C40C" w14:textId="77777777" w:rsidR="002E68D5" w:rsidRPr="002E68D5" w:rsidRDefault="002E68D5" w:rsidP="002E68D5">
      <w:pPr>
        <w:spacing w:after="0"/>
        <w:jc w:val="both"/>
        <w:rPr>
          <w:rFonts w:ascii="Times New Roman" w:hAnsi="Times New Roman" w:cs="Times New Roman"/>
          <w:sz w:val="24"/>
          <w:szCs w:val="24"/>
        </w:rPr>
      </w:pPr>
      <w:r w:rsidRPr="002E68D5">
        <w:rPr>
          <w:rFonts w:ascii="Times New Roman" w:hAnsi="Times New Roman" w:cs="Times New Roman"/>
          <w:sz w:val="24"/>
          <w:szCs w:val="24"/>
        </w:rPr>
        <w:t>Akpan, D. C. &amp; Nsentip, E. B. (2020). Audit committee attributes and qualitative financial reporting: Implication for Nigerian Banking Sector.</w:t>
      </w:r>
      <w:r w:rsidRPr="002E68D5">
        <w:rPr>
          <w:rFonts w:ascii="Times New Roman" w:hAnsi="Times New Roman" w:cs="Times New Roman"/>
          <w:i/>
          <w:sz w:val="24"/>
          <w:szCs w:val="24"/>
        </w:rPr>
        <w:t xml:space="preserve"> INOSR Applied Sciences</w:t>
      </w:r>
      <w:r w:rsidRPr="002E68D5">
        <w:rPr>
          <w:rFonts w:ascii="Times New Roman" w:hAnsi="Times New Roman" w:cs="Times New Roman"/>
          <w:sz w:val="24"/>
          <w:szCs w:val="24"/>
        </w:rPr>
        <w:t xml:space="preserve"> 6(1), 11-22. </w:t>
      </w:r>
    </w:p>
    <w:p w14:paraId="2E37A6D3" w14:textId="77777777" w:rsidR="00F26318" w:rsidRPr="002E68D5" w:rsidRDefault="00F26318" w:rsidP="00F26318">
      <w:pPr>
        <w:pStyle w:val="NormalWeb"/>
        <w:spacing w:afterAutospacing="0"/>
        <w:ind w:left="709" w:hanging="709"/>
        <w:jc w:val="both"/>
      </w:pPr>
      <w:r w:rsidRPr="002E68D5">
        <w:t xml:space="preserve">Alcaide-Ruiz, M. D., &amp; Bravo-Urquiza, F. (2023). Board financial expertise and corporate reporting outcomes: Evidence from recent reforms. </w:t>
      </w:r>
      <w:r w:rsidRPr="002E68D5">
        <w:rPr>
          <w:rStyle w:val="Emphasis"/>
        </w:rPr>
        <w:t>Journal of Accounting Literature, 62</w:t>
      </w:r>
      <w:r w:rsidRPr="002E68D5">
        <w:t>, 100–120.</w:t>
      </w:r>
    </w:p>
    <w:p w14:paraId="2807CB4A" w14:textId="77777777" w:rsidR="00F26318" w:rsidRPr="002E68D5" w:rsidRDefault="00F26318" w:rsidP="00F26318">
      <w:pPr>
        <w:pStyle w:val="NormalWeb"/>
        <w:spacing w:afterAutospacing="0"/>
        <w:ind w:left="709" w:hanging="709"/>
        <w:jc w:val="both"/>
      </w:pPr>
      <w:r w:rsidRPr="002E68D5">
        <w:t xml:space="preserve">Alotaibi, U. D. (2022). Corporate attributes and earnings management of non-financial firms listed on the Nigeria Exchange Limited. </w:t>
      </w:r>
      <w:r w:rsidRPr="002E68D5">
        <w:rPr>
          <w:rStyle w:val="Emphasis"/>
        </w:rPr>
        <w:t>Journal of Global Accounting, 9</w:t>
      </w:r>
      <w:r w:rsidRPr="002E68D5">
        <w:t>(3), 134–154.</w:t>
      </w:r>
    </w:p>
    <w:p w14:paraId="4E0E992B" w14:textId="77777777" w:rsidR="00F26318" w:rsidRPr="002E68D5" w:rsidRDefault="00F26318" w:rsidP="00F26318">
      <w:pPr>
        <w:pStyle w:val="NormalWeb"/>
        <w:spacing w:afterAutospacing="0"/>
        <w:ind w:left="709" w:hanging="709"/>
        <w:jc w:val="both"/>
      </w:pPr>
      <w:proofErr w:type="spellStart"/>
      <w:r w:rsidRPr="002E68D5">
        <w:t>Alshaeef</w:t>
      </w:r>
      <w:proofErr w:type="spellEnd"/>
      <w:r w:rsidRPr="002E68D5">
        <w:t xml:space="preserve">, M. N., &amp; </w:t>
      </w:r>
      <w:proofErr w:type="spellStart"/>
      <w:r w:rsidRPr="002E68D5">
        <w:t>Sulimany</w:t>
      </w:r>
      <w:proofErr w:type="spellEnd"/>
      <w:r w:rsidRPr="002E68D5">
        <w:t xml:space="preserve">, H. G. H. (2024). Board financial expertise and financial sustainability. </w:t>
      </w:r>
      <w:r w:rsidRPr="002E68D5">
        <w:rPr>
          <w:i/>
        </w:rPr>
        <w:t>Evidence from Saudi-listed firms. Sustainability, 16</w:t>
      </w:r>
      <w:r w:rsidRPr="002E68D5">
        <w:t>(16), 7100.</w:t>
      </w:r>
    </w:p>
    <w:p w14:paraId="2116E4CF" w14:textId="77777777" w:rsidR="00F26318" w:rsidRPr="002E68D5" w:rsidRDefault="00F26318" w:rsidP="00F26318">
      <w:pPr>
        <w:pStyle w:val="NormalWeb"/>
        <w:spacing w:afterAutospacing="0"/>
        <w:ind w:left="709" w:hanging="709"/>
        <w:jc w:val="both"/>
      </w:pPr>
      <w:r w:rsidRPr="002E68D5">
        <w:t xml:space="preserve">Amenaghawon, O. H., </w:t>
      </w:r>
      <w:proofErr w:type="spellStart"/>
      <w:r w:rsidRPr="002E68D5">
        <w:t>Achumba</w:t>
      </w:r>
      <w:proofErr w:type="spellEnd"/>
      <w:r w:rsidRPr="002E68D5">
        <w:t xml:space="preserve">, I. E., Adedayo, A. S., &amp; </w:t>
      </w:r>
      <w:proofErr w:type="spellStart"/>
      <w:r w:rsidRPr="002E68D5">
        <w:t>Onyekuru</w:t>
      </w:r>
      <w:proofErr w:type="spellEnd"/>
      <w:r w:rsidRPr="002E68D5">
        <w:t xml:space="preserve">, C. O. (2022). Nexus between corporate social responsibility, environmental disclosure and financial reporting quality among listed firms in Nigeria. </w:t>
      </w:r>
      <w:r w:rsidRPr="002E68D5">
        <w:rPr>
          <w:rStyle w:val="Emphasis"/>
        </w:rPr>
        <w:t>International Journal of Financial Research, 12</w:t>
      </w:r>
      <w:r w:rsidRPr="002E68D5">
        <w:t>(1), 93–105.</w:t>
      </w:r>
    </w:p>
    <w:p w14:paraId="0654990B" w14:textId="77777777" w:rsidR="00F26318" w:rsidRPr="002E68D5" w:rsidRDefault="00F26318" w:rsidP="00F26318">
      <w:pPr>
        <w:pStyle w:val="NormalWeb"/>
        <w:spacing w:afterAutospacing="0"/>
        <w:ind w:left="709" w:hanging="709"/>
        <w:jc w:val="both"/>
      </w:pPr>
      <w:r w:rsidRPr="002E68D5">
        <w:t xml:space="preserve">Anto, L. O., &amp; </w:t>
      </w:r>
      <w:proofErr w:type="spellStart"/>
      <w:r w:rsidRPr="002E68D5">
        <w:t>Yusran</w:t>
      </w:r>
      <w:proofErr w:type="spellEnd"/>
      <w:r w:rsidRPr="002E68D5">
        <w:t xml:space="preserve">, I. N. (2023). Determinants of the quality of financial reports. </w:t>
      </w:r>
      <w:r w:rsidRPr="002E68D5">
        <w:rPr>
          <w:rStyle w:val="Emphasis"/>
        </w:rPr>
        <w:t>International Journal of Professional Business Review, 8</w:t>
      </w:r>
      <w:r w:rsidRPr="002E68D5">
        <w:t>(3), 1–13.</w:t>
      </w:r>
    </w:p>
    <w:p w14:paraId="7FDD6C03" w14:textId="77777777" w:rsidR="00294049" w:rsidRPr="002E68D5" w:rsidRDefault="00294049" w:rsidP="00294049">
      <w:pPr>
        <w:pStyle w:val="NormalWeb"/>
        <w:spacing w:afterAutospacing="0"/>
        <w:ind w:left="709" w:hanging="709"/>
        <w:jc w:val="both"/>
      </w:pPr>
      <w:r w:rsidRPr="002E68D5">
        <w:t xml:space="preserve">Awodiji, F. B., Adeyemi, S. B., &amp; Okpala, O. P. (2025). Audit quality indicators and financial performance of selected quoted manufacturing firms in Nigeria. </w:t>
      </w:r>
      <w:r w:rsidRPr="002E68D5">
        <w:rPr>
          <w:i/>
        </w:rPr>
        <w:t>Lagos Journal of Banking, Finance and Economic Issues, 6</w:t>
      </w:r>
      <w:r w:rsidRPr="002E68D5">
        <w:t xml:space="preserve">(1), 172-180. </w:t>
      </w:r>
    </w:p>
    <w:p w14:paraId="767FE52D" w14:textId="77777777" w:rsidR="00F26318" w:rsidRPr="002E68D5" w:rsidRDefault="00F26318" w:rsidP="00F26318">
      <w:pPr>
        <w:pStyle w:val="NormalWeb"/>
        <w:spacing w:afterAutospacing="0" w:line="360" w:lineRule="auto"/>
        <w:ind w:left="709" w:hanging="709"/>
        <w:jc w:val="both"/>
      </w:pPr>
      <w:r w:rsidRPr="002E68D5">
        <w:t xml:space="preserve">Awodiran, M. A., &amp; Ogundele, A. T. (2022). Determinants of financial reporting quality: Evidence from listed industrial goods firms in Nigeria. </w:t>
      </w:r>
      <w:r w:rsidRPr="002E68D5">
        <w:rPr>
          <w:i/>
        </w:rPr>
        <w:t>Academy of Accounting and Financial Studies Journal, 26</w:t>
      </w:r>
      <w:r w:rsidRPr="002E68D5">
        <w:t>(S), 1-8.</w:t>
      </w:r>
    </w:p>
    <w:p w14:paraId="2387F9AB" w14:textId="77777777" w:rsidR="00F26318" w:rsidRPr="002E68D5" w:rsidRDefault="00F26318" w:rsidP="00F26318">
      <w:pPr>
        <w:pStyle w:val="NormalWeb"/>
        <w:spacing w:afterAutospacing="0"/>
        <w:ind w:left="709" w:hanging="709"/>
        <w:jc w:val="both"/>
      </w:pPr>
      <w:r w:rsidRPr="002E68D5">
        <w:t xml:space="preserve">Beidleman, C.R. (2023). Income smoothing: The role of management. </w:t>
      </w:r>
      <w:r w:rsidRPr="002E68D5">
        <w:rPr>
          <w:i/>
        </w:rPr>
        <w:t>The Accounting Review, 48(</w:t>
      </w:r>
      <w:r w:rsidRPr="002E68D5">
        <w:t>4), 653-667, available at: http://www.jstor.org/stable/245289.</w:t>
      </w:r>
    </w:p>
    <w:p w14:paraId="3281D496" w14:textId="77777777" w:rsidR="00F26318" w:rsidRPr="002E68D5" w:rsidRDefault="00F26318" w:rsidP="00F26318">
      <w:pPr>
        <w:pStyle w:val="NormalWeb"/>
        <w:spacing w:afterAutospacing="0"/>
        <w:ind w:left="709" w:hanging="709"/>
        <w:jc w:val="both"/>
      </w:pPr>
      <w:r w:rsidRPr="002E68D5">
        <w:t xml:space="preserve">Daferighe, E., &amp; George, E. (2020). Audit firm attributes and financial reporting quality of quoted firms in Nigeria. </w:t>
      </w:r>
      <w:r w:rsidRPr="002E68D5">
        <w:rPr>
          <w:i/>
        </w:rPr>
        <w:t>SSRG International Journal of Economics and Management Studies (SSRG-IJEMS), 7</w:t>
      </w:r>
      <w:r w:rsidRPr="002E68D5">
        <w:t xml:space="preserve">(1), 43056. </w:t>
      </w:r>
    </w:p>
    <w:p w14:paraId="023B9173" w14:textId="77777777" w:rsidR="003B2B89" w:rsidRPr="002E68D5" w:rsidRDefault="003B2B89" w:rsidP="003B2B89">
      <w:pPr>
        <w:pStyle w:val="NormalWeb"/>
        <w:spacing w:afterAutospacing="0"/>
        <w:ind w:left="709" w:hanging="709"/>
        <w:jc w:val="both"/>
      </w:pPr>
      <w:r w:rsidRPr="002E68D5">
        <w:lastRenderedPageBreak/>
        <w:t xml:space="preserve">DeAngelo, L. E. (1981). Auditor size and audit quality. </w:t>
      </w:r>
      <w:r w:rsidRPr="002E68D5">
        <w:rPr>
          <w:i/>
          <w:iCs/>
        </w:rPr>
        <w:t>Journal of Accounting and Economics, 3</w:t>
      </w:r>
      <w:r w:rsidRPr="002E68D5">
        <w:t xml:space="preserve">(3), 183–199. </w:t>
      </w:r>
      <w:hyperlink r:id="rId13" w:history="1">
        <w:r w:rsidRPr="002E68D5">
          <w:rPr>
            <w:rStyle w:val="Hyperlink"/>
            <w:color w:val="auto"/>
          </w:rPr>
          <w:t>https://doi.org/10.1016/0165-4101(81)90002-1</w:t>
        </w:r>
      </w:hyperlink>
      <w:r w:rsidRPr="002E68D5">
        <w:t xml:space="preserve"> (</w:t>
      </w:r>
      <w:hyperlink r:id="rId14" w:tooltip="Auditor size and audit quality - ScienceDirect" w:history="1">
        <w:r w:rsidRPr="002E68D5">
          <w:rPr>
            <w:rStyle w:val="Hyperlink"/>
            <w:color w:val="auto"/>
          </w:rPr>
          <w:t>DOI</w:t>
        </w:r>
      </w:hyperlink>
      <w:r w:rsidRPr="002E68D5">
        <w:t>)</w:t>
      </w:r>
    </w:p>
    <w:p w14:paraId="6D71213A" w14:textId="33D4E687" w:rsidR="003B2B89" w:rsidRPr="002E68D5" w:rsidRDefault="003B2B89" w:rsidP="003B2B89">
      <w:pPr>
        <w:pStyle w:val="NormalWeb"/>
        <w:spacing w:afterAutospacing="0"/>
        <w:ind w:left="709" w:hanging="709"/>
        <w:jc w:val="both"/>
      </w:pPr>
      <w:r w:rsidRPr="002E68D5">
        <w:rPr>
          <w:rFonts w:eastAsia="Times New Roman"/>
        </w:rPr>
        <w:t xml:space="preserve">Dechow, P. M., Ge, W., &amp; Schrand, C. (2010). Understanding earnings quality: A review of the proxies, their determinants and their consequences. </w:t>
      </w:r>
      <w:r w:rsidRPr="002E68D5">
        <w:rPr>
          <w:rFonts w:eastAsia="Times New Roman"/>
          <w:i/>
          <w:iCs/>
        </w:rPr>
        <w:t>Journal of Accounting and Economics, 50</w:t>
      </w:r>
      <w:r w:rsidRPr="002E68D5">
        <w:rPr>
          <w:rFonts w:eastAsia="Times New Roman"/>
        </w:rPr>
        <w:t xml:space="preserve">(2–3), 344–401. </w:t>
      </w:r>
      <w:hyperlink r:id="rId15" w:history="1">
        <w:r w:rsidRPr="002E68D5">
          <w:rPr>
            <w:rStyle w:val="Hyperlink"/>
            <w:rFonts w:eastAsia="Times New Roman"/>
            <w:color w:val="auto"/>
          </w:rPr>
          <w:t>https://doi.org/10.1016/j.jacceco.2010.09.001</w:t>
        </w:r>
      </w:hyperlink>
      <w:r w:rsidRPr="002E68D5">
        <w:rPr>
          <w:rFonts w:eastAsia="Times New Roman"/>
        </w:rPr>
        <w:t>.</w:t>
      </w:r>
    </w:p>
    <w:p w14:paraId="6EA8B606" w14:textId="77777777" w:rsidR="003B2B89" w:rsidRPr="002E68D5" w:rsidRDefault="003B2B89" w:rsidP="00F26318">
      <w:pPr>
        <w:pStyle w:val="NormalWeb"/>
        <w:spacing w:afterAutospacing="0"/>
        <w:ind w:left="709" w:hanging="709"/>
        <w:jc w:val="both"/>
      </w:pPr>
    </w:p>
    <w:p w14:paraId="5D50877F" w14:textId="77777777" w:rsidR="00294049" w:rsidRPr="002E68D5" w:rsidRDefault="00294049" w:rsidP="00294049">
      <w:pPr>
        <w:pStyle w:val="NormalWeb"/>
        <w:spacing w:afterAutospacing="0"/>
        <w:ind w:left="709" w:hanging="709"/>
        <w:jc w:val="both"/>
      </w:pPr>
      <w:r w:rsidRPr="002E68D5">
        <w:t xml:space="preserve">Ekwueme, C. M., &amp; </w:t>
      </w:r>
      <w:proofErr w:type="spellStart"/>
      <w:r w:rsidRPr="002E68D5">
        <w:t>Aniefor</w:t>
      </w:r>
      <w:proofErr w:type="spellEnd"/>
      <w:r w:rsidRPr="002E68D5">
        <w:t xml:space="preserve">, S. J. (2024). Determinants of financial reporting quality: Evidence from listed manufacturing firms in Nigeria. </w:t>
      </w:r>
      <w:r w:rsidRPr="002E68D5">
        <w:rPr>
          <w:i/>
        </w:rPr>
        <w:t>Journal of Global Accounting, 6</w:t>
      </w:r>
      <w:r w:rsidRPr="002E68D5">
        <w:t>(2), 22-35.</w:t>
      </w:r>
    </w:p>
    <w:p w14:paraId="0CD62030" w14:textId="77777777" w:rsidR="002E68D5" w:rsidRPr="002E68D5" w:rsidRDefault="00F26318" w:rsidP="002E68D5">
      <w:pPr>
        <w:pStyle w:val="NormalWeb"/>
        <w:spacing w:afterAutospacing="0"/>
        <w:ind w:left="709" w:hanging="709"/>
        <w:jc w:val="both"/>
      </w:pPr>
      <w:proofErr w:type="spellStart"/>
      <w:r w:rsidRPr="002E68D5">
        <w:t>Eragbhe</w:t>
      </w:r>
      <w:proofErr w:type="spellEnd"/>
      <w:r w:rsidRPr="002E68D5">
        <w:t xml:space="preserve">, E., Omoye, A. S., &amp; </w:t>
      </w:r>
      <w:proofErr w:type="spellStart"/>
      <w:r w:rsidRPr="002E68D5">
        <w:t>Aifuwa</w:t>
      </w:r>
      <w:proofErr w:type="spellEnd"/>
      <w:r w:rsidRPr="002E68D5">
        <w:t xml:space="preserve">, H. O. (2020). Board expertise and financial reporting quality of listed firms. </w:t>
      </w:r>
      <w:r w:rsidRPr="002E68D5">
        <w:rPr>
          <w:i/>
        </w:rPr>
        <w:t>Accounting and Taxation Review, 4</w:t>
      </w:r>
      <w:r w:rsidRPr="002E68D5">
        <w:t xml:space="preserve">(3), 40-56.  </w:t>
      </w:r>
      <w:bookmarkStart w:id="9" w:name="_Hlk182734556"/>
    </w:p>
    <w:p w14:paraId="53412C90" w14:textId="636AA202" w:rsidR="002E68D5" w:rsidRPr="002E68D5" w:rsidRDefault="002E68D5" w:rsidP="002E68D5">
      <w:pPr>
        <w:pStyle w:val="NormalWeb"/>
        <w:spacing w:afterAutospacing="0"/>
        <w:ind w:left="709" w:hanging="709"/>
        <w:jc w:val="both"/>
        <w:rPr>
          <w:rFonts w:eastAsia="Times New Roman"/>
        </w:rPr>
      </w:pPr>
      <w:r w:rsidRPr="002E68D5">
        <w:t xml:space="preserve">Etim, J. A., &amp; Akpan, D. C. (2023). </w:t>
      </w:r>
      <w:r w:rsidRPr="002E68D5">
        <w:rPr>
          <w:rFonts w:eastAsia="Times New Roman"/>
        </w:rPr>
        <w:t xml:space="preserve">Sustainability disclosure and financial performance of oil and gas companies in Nigeria. Journal of Business and African Economy, 9(3), 39-55. </w:t>
      </w:r>
    </w:p>
    <w:bookmarkEnd w:id="9"/>
    <w:p w14:paraId="493ACF08" w14:textId="77777777" w:rsidR="00F26318" w:rsidRPr="002E68D5" w:rsidRDefault="00F26318" w:rsidP="00F26318">
      <w:pPr>
        <w:pStyle w:val="NormalWeb"/>
        <w:spacing w:afterAutospacing="0"/>
        <w:ind w:left="709" w:hanging="709"/>
        <w:jc w:val="both"/>
      </w:pPr>
      <w:r w:rsidRPr="002E68D5">
        <w:t xml:space="preserve">Etuk, N. J., Ukpong, E. G., &amp; </w:t>
      </w:r>
      <w:proofErr w:type="spellStart"/>
      <w:r w:rsidRPr="002E68D5">
        <w:t>Emenyi</w:t>
      </w:r>
      <w:proofErr w:type="spellEnd"/>
      <w:r w:rsidRPr="002E68D5">
        <w:t>, E. O. (2025</w:t>
      </w:r>
      <w:proofErr w:type="gramStart"/>
      <w:r w:rsidRPr="002E68D5">
        <w:t>).Audit</w:t>
      </w:r>
      <w:proofErr w:type="gramEnd"/>
      <w:r w:rsidRPr="002E68D5">
        <w:t xml:space="preserve"> committee attributes and financial reporting quality of listed deposit money banks in Nigeria. </w:t>
      </w:r>
      <w:r w:rsidRPr="002E68D5">
        <w:rPr>
          <w:i/>
        </w:rPr>
        <w:t>International Journal of Banking and Finance Research, 11</w:t>
      </w:r>
      <w:r w:rsidRPr="002E68D5">
        <w:t>(1), 56-74.</w:t>
      </w:r>
    </w:p>
    <w:p w14:paraId="70253DA5" w14:textId="77777777" w:rsidR="00F26318" w:rsidRPr="002E68D5" w:rsidRDefault="00F26318" w:rsidP="00F26318">
      <w:pPr>
        <w:pStyle w:val="NormalWeb"/>
        <w:spacing w:afterAutospacing="0"/>
        <w:ind w:left="709" w:hanging="709"/>
        <w:jc w:val="both"/>
      </w:pPr>
      <w:proofErr w:type="spellStart"/>
      <w:r w:rsidRPr="002E68D5">
        <w:t>Etukenyin</w:t>
      </w:r>
      <w:proofErr w:type="spellEnd"/>
      <w:r w:rsidRPr="002E68D5">
        <w:t xml:space="preserve">, S. G., Akpan, D. C., &amp; Umoren, A. (2025). Firms’ characteristics and financial reporting quality of listed service firms in Nigeria. </w:t>
      </w:r>
      <w:r w:rsidRPr="002E68D5">
        <w:rPr>
          <w:i/>
        </w:rPr>
        <w:t>Journal of Accounting and Financial Management, 11</w:t>
      </w:r>
      <w:r w:rsidRPr="002E68D5">
        <w:t>(2), 145-159.</w:t>
      </w:r>
    </w:p>
    <w:p w14:paraId="5FBAD7AE" w14:textId="77777777" w:rsidR="00F26318" w:rsidRPr="002E68D5" w:rsidRDefault="00F26318" w:rsidP="00F26318">
      <w:pPr>
        <w:pStyle w:val="NormalWeb"/>
        <w:spacing w:afterAutospacing="0"/>
        <w:ind w:left="709" w:hanging="709"/>
        <w:jc w:val="both"/>
      </w:pPr>
      <w:r w:rsidRPr="002E68D5">
        <w:t xml:space="preserve">Ezeonu, N. A., </w:t>
      </w:r>
      <w:proofErr w:type="spellStart"/>
      <w:r w:rsidRPr="002E68D5">
        <w:t>Emengini</w:t>
      </w:r>
      <w:proofErr w:type="spellEnd"/>
      <w:r w:rsidRPr="002E68D5">
        <w:t xml:space="preserve">, S. E., Okey-Okoro, C., </w:t>
      </w:r>
      <w:proofErr w:type="spellStart"/>
      <w:r w:rsidRPr="002E68D5">
        <w:t>Alajekwu</w:t>
      </w:r>
      <w:proofErr w:type="spellEnd"/>
      <w:r w:rsidRPr="002E68D5">
        <w:t xml:space="preserve">, U. B., &amp; Chukwunwike, O. D. (2022). Audit committee and financial reporting quality of non-financial firms in Nigeria. </w:t>
      </w:r>
      <w:r w:rsidRPr="002E68D5">
        <w:rPr>
          <w:i/>
        </w:rPr>
        <w:t xml:space="preserve">International </w:t>
      </w:r>
      <w:proofErr w:type="spellStart"/>
      <w:r w:rsidRPr="002E68D5">
        <w:rPr>
          <w:i/>
        </w:rPr>
        <w:t>Academi</w:t>
      </w:r>
      <w:proofErr w:type="spellEnd"/>
      <w:r w:rsidRPr="002E68D5">
        <w:rPr>
          <w:i/>
        </w:rPr>
        <w:t xml:space="preserve"> Research Consortium Journals (IARCJ), 8</w:t>
      </w:r>
      <w:r w:rsidRPr="002E68D5">
        <w:t>1, 1-20.</w:t>
      </w:r>
    </w:p>
    <w:p w14:paraId="1DF1080D" w14:textId="77777777" w:rsidR="00F26318" w:rsidRPr="002E68D5" w:rsidRDefault="00F26318" w:rsidP="00F26318">
      <w:pPr>
        <w:pStyle w:val="NormalWeb"/>
        <w:spacing w:afterAutospacing="0"/>
        <w:ind w:left="709" w:hanging="709"/>
        <w:jc w:val="both"/>
      </w:pPr>
      <w:r w:rsidRPr="002E68D5">
        <w:t xml:space="preserve">Francis, J. (2004). What do we know about audit quality? </w:t>
      </w:r>
      <w:r w:rsidRPr="002E68D5">
        <w:rPr>
          <w:rStyle w:val="Emphasis"/>
        </w:rPr>
        <w:t>The British Accounting Review, 6</w:t>
      </w:r>
      <w:r w:rsidRPr="002E68D5">
        <w:t>(2), 78–94.</w:t>
      </w:r>
    </w:p>
    <w:p w14:paraId="42CEAC65" w14:textId="77777777" w:rsidR="00F26318" w:rsidRPr="002E68D5" w:rsidRDefault="00F26318" w:rsidP="00F26318">
      <w:pPr>
        <w:pStyle w:val="NormalWeb"/>
        <w:spacing w:afterAutospacing="0"/>
        <w:ind w:left="709" w:hanging="709"/>
        <w:jc w:val="both"/>
      </w:pPr>
      <w:proofErr w:type="spellStart"/>
      <w:r w:rsidRPr="002E68D5">
        <w:t>Fambudi</w:t>
      </w:r>
      <w:proofErr w:type="spellEnd"/>
      <w:r w:rsidRPr="002E68D5">
        <w:t xml:space="preserve">, N., </w:t>
      </w:r>
      <w:proofErr w:type="spellStart"/>
      <w:r w:rsidRPr="002E68D5">
        <w:t>Aryati</w:t>
      </w:r>
      <w:proofErr w:type="spellEnd"/>
      <w:r w:rsidRPr="002E68D5">
        <w:t xml:space="preserve">, T., &amp; </w:t>
      </w:r>
      <w:proofErr w:type="spellStart"/>
      <w:r w:rsidRPr="002E68D5">
        <w:t>Mayangsari</w:t>
      </w:r>
      <w:proofErr w:type="spellEnd"/>
      <w:r w:rsidRPr="002E68D5">
        <w:t xml:space="preserve">, S. (2023). Effect of ESG disclosure, accrual quality, and asymmetric information on future stock returns with prudence as a moderator. </w:t>
      </w:r>
      <w:r w:rsidRPr="002E68D5">
        <w:rPr>
          <w:i/>
        </w:rPr>
        <w:t xml:space="preserve">Journal of Southeast </w:t>
      </w:r>
      <w:proofErr w:type="spellStart"/>
      <w:r w:rsidRPr="002E68D5">
        <w:rPr>
          <w:i/>
        </w:rPr>
        <w:t>Jiaotong</w:t>
      </w:r>
      <w:proofErr w:type="spellEnd"/>
      <w:r w:rsidRPr="002E68D5">
        <w:rPr>
          <w:i/>
        </w:rPr>
        <w:t xml:space="preserve"> University, 58</w:t>
      </w:r>
      <w:r w:rsidRPr="002E68D5">
        <w:t>(5), 34-56.</w:t>
      </w:r>
    </w:p>
    <w:p w14:paraId="0DB87816" w14:textId="7FE3A475" w:rsidR="00F26318" w:rsidRPr="002E68D5" w:rsidRDefault="00F26318" w:rsidP="00F26318">
      <w:pPr>
        <w:pStyle w:val="NormalWeb"/>
        <w:spacing w:afterAutospacing="0"/>
        <w:ind w:left="709" w:hanging="709"/>
        <w:jc w:val="both"/>
        <w:rPr>
          <w:lang w:val="en-GB"/>
        </w:rPr>
      </w:pPr>
      <w:r w:rsidRPr="002E68D5">
        <w:rPr>
          <w:lang w:val="en-GB"/>
        </w:rPr>
        <w:t>Global Reporting Initiative (GRI) (2023). GRI sustainability reporting standards.</w:t>
      </w:r>
    </w:p>
    <w:p w14:paraId="318DE9E3" w14:textId="77777777" w:rsidR="00E1670F" w:rsidRPr="002E68D5" w:rsidRDefault="00F26318" w:rsidP="00E1670F">
      <w:pPr>
        <w:pStyle w:val="NormalWeb"/>
        <w:spacing w:afterAutospacing="0"/>
        <w:ind w:left="709" w:hanging="709"/>
        <w:jc w:val="both"/>
        <w:rPr>
          <w:lang w:val="en-GB"/>
        </w:rPr>
      </w:pPr>
      <w:r w:rsidRPr="002E68D5">
        <w:rPr>
          <w:lang w:val="en-GB"/>
        </w:rPr>
        <w:t xml:space="preserve">Hariani, S., &amp; </w:t>
      </w:r>
      <w:proofErr w:type="spellStart"/>
      <w:r w:rsidRPr="002E68D5">
        <w:rPr>
          <w:lang w:val="en-GB"/>
        </w:rPr>
        <w:t>Fakhrorazi</w:t>
      </w:r>
      <w:proofErr w:type="spellEnd"/>
      <w:r w:rsidRPr="002E68D5">
        <w:rPr>
          <w:lang w:val="en-GB"/>
        </w:rPr>
        <w:t xml:space="preserve">, A. (2022). Determinants of financial reporting quality: An empirical study among local governments in Indonesia. </w:t>
      </w:r>
      <w:r w:rsidRPr="002E68D5">
        <w:rPr>
          <w:i/>
          <w:lang w:val="en-GB"/>
        </w:rPr>
        <w:t>International Journal of Economics and Finance Studies, 13</w:t>
      </w:r>
      <w:r w:rsidRPr="002E68D5">
        <w:rPr>
          <w:lang w:val="en-GB"/>
        </w:rPr>
        <w:t xml:space="preserve">(2), 82-107. </w:t>
      </w:r>
    </w:p>
    <w:p w14:paraId="31ED1AEB" w14:textId="2DDA7A2D" w:rsidR="00E1670F" w:rsidRPr="002E68D5" w:rsidRDefault="00E1670F" w:rsidP="00E1670F">
      <w:pPr>
        <w:pStyle w:val="NormalWeb"/>
        <w:spacing w:afterAutospacing="0"/>
        <w:ind w:left="709" w:hanging="709"/>
        <w:jc w:val="both"/>
        <w:rPr>
          <w:lang w:val="en-GB"/>
        </w:rPr>
      </w:pPr>
      <w:r w:rsidRPr="002E68D5">
        <w:rPr>
          <w:rFonts w:eastAsia="Times New Roman"/>
        </w:rPr>
        <w:t xml:space="preserve">International Accounting Standards Board (IASB). (2018). </w:t>
      </w:r>
      <w:r w:rsidRPr="002E68D5">
        <w:rPr>
          <w:rFonts w:eastAsia="Times New Roman"/>
          <w:i/>
          <w:iCs/>
        </w:rPr>
        <w:t>Conceptual Framework for Financial Reporting</w:t>
      </w:r>
      <w:r w:rsidRPr="002E68D5">
        <w:rPr>
          <w:rFonts w:eastAsia="Times New Roman"/>
        </w:rPr>
        <w:t>. IFRS Foundation.</w:t>
      </w:r>
    </w:p>
    <w:p w14:paraId="227EC590" w14:textId="31330151" w:rsidR="00E1670F" w:rsidRPr="002E68D5" w:rsidRDefault="00E1670F" w:rsidP="00E1670F">
      <w:pPr>
        <w:pStyle w:val="NormalWeb"/>
        <w:spacing w:afterAutospacing="0"/>
        <w:ind w:left="709" w:hanging="709"/>
        <w:jc w:val="both"/>
        <w:rPr>
          <w:rFonts w:eastAsia="Times New Roman"/>
        </w:rPr>
      </w:pPr>
      <w:r w:rsidRPr="002E68D5">
        <w:rPr>
          <w:rFonts w:eastAsia="Times New Roman"/>
        </w:rPr>
        <w:lastRenderedPageBreak/>
        <w:t xml:space="preserve">International Sustainability Standards Board (ISSB). (2023). </w:t>
      </w:r>
      <w:r w:rsidRPr="002E68D5">
        <w:rPr>
          <w:rFonts w:eastAsia="Times New Roman"/>
          <w:i/>
          <w:iCs/>
        </w:rPr>
        <w:t>IFRS S1: General Requirements for Disclosure of Sustainability-related Financial Information</w:t>
      </w:r>
      <w:r w:rsidRPr="002E68D5">
        <w:rPr>
          <w:rFonts w:eastAsia="Times New Roman"/>
        </w:rPr>
        <w:t>. IFRS Foundation. (</w:t>
      </w:r>
      <w:hyperlink r:id="rId16" w:tooltip="ISSB-2023-A – Issued IFRS Standards" w:history="1">
        <w:r w:rsidRPr="002E68D5">
          <w:rPr>
            <w:rStyle w:val="Hyperlink"/>
            <w:rFonts w:eastAsia="Times New Roman"/>
            <w:color w:val="auto"/>
          </w:rPr>
          <w:t>IFRS Foundation</w:t>
        </w:r>
      </w:hyperlink>
      <w:r w:rsidRPr="002E68D5">
        <w:rPr>
          <w:rFonts w:eastAsia="Times New Roman"/>
        </w:rPr>
        <w:t>)</w:t>
      </w:r>
    </w:p>
    <w:p w14:paraId="4C791C50" w14:textId="77777777" w:rsidR="00F26318" w:rsidRPr="002E68D5" w:rsidRDefault="00F26318" w:rsidP="00F26318">
      <w:pPr>
        <w:pStyle w:val="NormalWeb"/>
        <w:spacing w:afterAutospacing="0"/>
        <w:ind w:left="709" w:hanging="709"/>
        <w:jc w:val="both"/>
      </w:pPr>
      <w:r w:rsidRPr="002E68D5">
        <w:t xml:space="preserve">Jensen, M. C., &amp; Meckling, W. H. (1976). Theory of the firm: Managerial behavior, agency, and ownership structure. </w:t>
      </w:r>
      <w:r w:rsidRPr="002E68D5">
        <w:rPr>
          <w:rStyle w:val="Emphasis"/>
        </w:rPr>
        <w:t>Journal of Financial Economics, 4</w:t>
      </w:r>
      <w:r w:rsidRPr="002E68D5">
        <w:t>, 305–360.</w:t>
      </w:r>
    </w:p>
    <w:p w14:paraId="5D3FF51D" w14:textId="77777777" w:rsidR="00F26318" w:rsidRPr="002E68D5" w:rsidRDefault="00F26318" w:rsidP="00F26318">
      <w:pPr>
        <w:pStyle w:val="NormalWeb"/>
        <w:spacing w:afterAutospacing="0"/>
        <w:ind w:left="709" w:hanging="709"/>
        <w:jc w:val="both"/>
      </w:pPr>
      <w:r w:rsidRPr="002E68D5">
        <w:t xml:space="preserve">Johnson, A. F., &amp; McDonald, A. T. (2021). Variance in top management team definition effect on corporate political activity. </w:t>
      </w:r>
      <w:r w:rsidRPr="002E68D5">
        <w:rPr>
          <w:i/>
        </w:rPr>
        <w:t>Advanced Management Journal, 8</w:t>
      </w:r>
      <w:r w:rsidRPr="002E68D5">
        <w:t xml:space="preserve">(9), 22-40. </w:t>
      </w:r>
    </w:p>
    <w:p w14:paraId="79AB4162" w14:textId="77777777" w:rsidR="00F26318" w:rsidRPr="002E68D5" w:rsidRDefault="00F26318" w:rsidP="00F26318">
      <w:pPr>
        <w:pStyle w:val="NormalWeb"/>
        <w:spacing w:afterAutospacing="0"/>
        <w:ind w:left="709" w:hanging="709"/>
        <w:jc w:val="both"/>
      </w:pPr>
      <w:r w:rsidRPr="002E68D5">
        <w:t xml:space="preserve">Joy, E. O. (2025). Internal control systems and financial accountability in Rivers State Universal Basic Education Board. </w:t>
      </w:r>
    </w:p>
    <w:p w14:paraId="4C989423" w14:textId="1477D8CF" w:rsidR="00E1670F" w:rsidRPr="002E68D5" w:rsidRDefault="00E1670F" w:rsidP="00F26318">
      <w:pPr>
        <w:pStyle w:val="NormalWeb"/>
        <w:spacing w:afterAutospacing="0"/>
        <w:ind w:left="709" w:hanging="709"/>
        <w:jc w:val="both"/>
      </w:pPr>
      <w:r w:rsidRPr="002E68D5">
        <w:rPr>
          <w:rFonts w:eastAsia="Times New Roman"/>
        </w:rPr>
        <w:t xml:space="preserve">Karaye, A. B. (2022). Audit firm attributes and income smoothing: The moderating influence of audit committee accounting expertise. </w:t>
      </w:r>
      <w:r w:rsidRPr="002E68D5">
        <w:rPr>
          <w:rFonts w:eastAsia="Times New Roman"/>
          <w:i/>
          <w:iCs/>
        </w:rPr>
        <w:t>Cogent Business &amp; Management, 9</w:t>
      </w:r>
      <w:r w:rsidRPr="002E68D5">
        <w:rPr>
          <w:rFonts w:eastAsia="Times New Roman"/>
        </w:rPr>
        <w:t xml:space="preserve">. </w:t>
      </w:r>
      <w:hyperlink r:id="rId17" w:history="1">
        <w:r w:rsidRPr="002E68D5">
          <w:rPr>
            <w:rStyle w:val="Hyperlink"/>
            <w:rFonts w:eastAsia="Times New Roman"/>
            <w:color w:val="auto"/>
          </w:rPr>
          <w:t>https://doi.org/10.1080/23311975.2022.2127194</w:t>
        </w:r>
      </w:hyperlink>
    </w:p>
    <w:p w14:paraId="39F8435D" w14:textId="77777777" w:rsidR="00F26318" w:rsidRPr="002E68D5" w:rsidRDefault="00F26318" w:rsidP="00F26318">
      <w:pPr>
        <w:pStyle w:val="NormalWeb"/>
        <w:spacing w:afterAutospacing="0"/>
        <w:ind w:left="709" w:hanging="709"/>
        <w:jc w:val="both"/>
      </w:pPr>
      <w:proofErr w:type="spellStart"/>
      <w:r w:rsidRPr="002E68D5">
        <w:t>Kaawaase</w:t>
      </w:r>
      <w:proofErr w:type="spellEnd"/>
      <w:r w:rsidRPr="002E68D5">
        <w:t xml:space="preserve">, T. K., Nairuba, C., </w:t>
      </w:r>
      <w:proofErr w:type="spellStart"/>
      <w:r w:rsidRPr="002E68D5">
        <w:t>Akankunda</w:t>
      </w:r>
      <w:proofErr w:type="spellEnd"/>
      <w:r w:rsidRPr="002E68D5">
        <w:t xml:space="preserve">, B., &amp; </w:t>
      </w:r>
      <w:proofErr w:type="spellStart"/>
      <w:r w:rsidRPr="002E68D5">
        <w:t>Bananuka</w:t>
      </w:r>
      <w:proofErr w:type="spellEnd"/>
      <w:r w:rsidRPr="002E68D5">
        <w:t>, J. (2021). Corporate governance, internal audit quality and financial reporting quality of financial institutions.</w:t>
      </w:r>
      <w:r w:rsidRPr="002E68D5">
        <w:rPr>
          <w:i/>
        </w:rPr>
        <w:t xml:space="preserve"> Asian Journal of Accounting Research, 6</w:t>
      </w:r>
      <w:r w:rsidRPr="002E68D5">
        <w:t>(3), 348-366.</w:t>
      </w:r>
    </w:p>
    <w:p w14:paraId="043D1CE2" w14:textId="77777777" w:rsidR="00F26318" w:rsidRPr="002E68D5" w:rsidRDefault="00F26318" w:rsidP="00F26318">
      <w:pPr>
        <w:pStyle w:val="NormalWeb"/>
        <w:spacing w:afterAutospacing="0"/>
        <w:ind w:left="709" w:hanging="709"/>
        <w:jc w:val="both"/>
      </w:pPr>
      <w:proofErr w:type="spellStart"/>
      <w:r w:rsidRPr="002E68D5">
        <w:t>Karajeh</w:t>
      </w:r>
      <w:proofErr w:type="spellEnd"/>
      <w:r w:rsidRPr="002E68D5">
        <w:t xml:space="preserve">, A. I., &amp; Ibrahim, M. Y. (2022). Impact of audit committee on the association between financial reporting quality and shareholder value. </w:t>
      </w:r>
      <w:r w:rsidRPr="002E68D5">
        <w:rPr>
          <w:i/>
        </w:rPr>
        <w:t>International Journal of Economics and Financial Issues, 7</w:t>
      </w:r>
      <w:r w:rsidRPr="002E68D5">
        <w:t xml:space="preserve">(3), 14-19. </w:t>
      </w:r>
    </w:p>
    <w:p w14:paraId="3789B244" w14:textId="77777777" w:rsidR="00F26318" w:rsidRPr="002E68D5" w:rsidRDefault="00F26318" w:rsidP="00F26318">
      <w:pPr>
        <w:pStyle w:val="NormalWeb"/>
        <w:spacing w:afterAutospacing="0"/>
        <w:ind w:left="709" w:hanging="709"/>
        <w:jc w:val="both"/>
      </w:pPr>
      <w:proofErr w:type="spellStart"/>
      <w:r w:rsidRPr="002E68D5">
        <w:t>Kartiko</w:t>
      </w:r>
      <w:proofErr w:type="spellEnd"/>
      <w:r w:rsidRPr="002E68D5">
        <w:t xml:space="preserve">, E., </w:t>
      </w:r>
      <w:proofErr w:type="spellStart"/>
      <w:r w:rsidRPr="002E68D5">
        <w:t>Suryaputra</w:t>
      </w:r>
      <w:proofErr w:type="spellEnd"/>
      <w:r w:rsidRPr="002E68D5">
        <w:t xml:space="preserve">, V., Hamdah, D. F., &amp; </w:t>
      </w:r>
      <w:proofErr w:type="spellStart"/>
      <w:r w:rsidRPr="002E68D5">
        <w:t>Amirrudim</w:t>
      </w:r>
      <w:proofErr w:type="spellEnd"/>
      <w:r w:rsidRPr="002E68D5">
        <w:t xml:space="preserve">, M. S. (2023). Determinants financial reporting quality in the banking sector. </w:t>
      </w:r>
      <w:r w:rsidRPr="002E68D5">
        <w:rPr>
          <w:i/>
        </w:rPr>
        <w:t>International Journal of Research and Innovation in Social Science, 9</w:t>
      </w:r>
      <w:r w:rsidRPr="002E68D5">
        <w:t>(8), 4217-4235.</w:t>
      </w:r>
    </w:p>
    <w:p w14:paraId="38889BF7" w14:textId="77777777" w:rsidR="00F26318" w:rsidRPr="002E68D5" w:rsidRDefault="00F26318" w:rsidP="00F26318">
      <w:pPr>
        <w:pStyle w:val="NormalWeb"/>
        <w:spacing w:afterAutospacing="0"/>
        <w:ind w:left="709" w:hanging="709"/>
        <w:jc w:val="both"/>
      </w:pPr>
      <w:r w:rsidRPr="002E68D5">
        <w:t>Khaing, A. E. (2025). Effective internal control system, internal audit effectiveness and organizational performance at Fortune International Limited, MERAL Portal.</w:t>
      </w:r>
    </w:p>
    <w:p w14:paraId="6BD43496" w14:textId="77777777" w:rsidR="00F26318" w:rsidRPr="002E68D5" w:rsidRDefault="00F26318" w:rsidP="00F26318">
      <w:pPr>
        <w:pStyle w:val="NormalWeb"/>
        <w:spacing w:afterAutospacing="0"/>
        <w:ind w:left="709" w:hanging="709"/>
        <w:jc w:val="both"/>
      </w:pPr>
      <w:r w:rsidRPr="002E68D5">
        <w:t xml:space="preserve">Kirimi, P. N., Kariuki, S. N., &amp; </w:t>
      </w:r>
      <w:proofErr w:type="spellStart"/>
      <w:r w:rsidRPr="002E68D5">
        <w:t>Ocharo</w:t>
      </w:r>
      <w:proofErr w:type="spellEnd"/>
      <w:r w:rsidRPr="002E68D5">
        <w:t xml:space="preserve">, K. N. (2022). Ownership structure and financial performance: Evidence from Kenyan commercial banks. </w:t>
      </w:r>
      <w:r w:rsidRPr="002E68D5">
        <w:rPr>
          <w:i/>
        </w:rPr>
        <w:t>PLOS ONE, 17</w:t>
      </w:r>
      <w:r w:rsidRPr="002E68D5">
        <w:t>(5), e0268301.</w:t>
      </w:r>
    </w:p>
    <w:p w14:paraId="46F240DF" w14:textId="77777777" w:rsidR="00F26318" w:rsidRPr="002E68D5" w:rsidRDefault="00F26318" w:rsidP="00F26318">
      <w:pPr>
        <w:pStyle w:val="NormalWeb"/>
        <w:spacing w:afterAutospacing="0"/>
        <w:ind w:left="709" w:hanging="709"/>
        <w:jc w:val="both"/>
      </w:pPr>
      <w:r w:rsidRPr="002E68D5">
        <w:t xml:space="preserve">Klai, N., &amp; Omri, A. (2021). Corporate governance and financial reporting quality: The case of Tunisian firms. </w:t>
      </w:r>
      <w:r w:rsidRPr="002E68D5">
        <w:rPr>
          <w:i/>
        </w:rPr>
        <w:t>International Business Research, 4</w:t>
      </w:r>
      <w:r w:rsidRPr="002E68D5">
        <w:t>(1), 158-166.</w:t>
      </w:r>
    </w:p>
    <w:p w14:paraId="56AF97E2" w14:textId="77777777" w:rsidR="00F26318" w:rsidRPr="002E68D5" w:rsidRDefault="00F26318" w:rsidP="00F26318">
      <w:pPr>
        <w:pStyle w:val="NormalWeb"/>
        <w:spacing w:afterAutospacing="0"/>
        <w:ind w:left="709" w:hanging="709"/>
        <w:jc w:val="both"/>
      </w:pPr>
      <w:r w:rsidRPr="002E68D5">
        <w:t xml:space="preserve">Klein, A. (2022). Audit committee, board of director characteristics and earnings management. </w:t>
      </w:r>
      <w:r w:rsidRPr="002E68D5">
        <w:rPr>
          <w:i/>
        </w:rPr>
        <w:t>Journal of Accounting and Economics, 33</w:t>
      </w:r>
      <w:r w:rsidRPr="002E68D5">
        <w:t>(3), 375-400.</w:t>
      </w:r>
    </w:p>
    <w:p w14:paraId="29629005" w14:textId="77777777" w:rsidR="00F26318" w:rsidRPr="002E68D5" w:rsidRDefault="00F26318" w:rsidP="00F26318">
      <w:pPr>
        <w:pStyle w:val="NormalWeb"/>
        <w:spacing w:afterAutospacing="0"/>
        <w:ind w:left="709" w:hanging="709"/>
        <w:jc w:val="both"/>
      </w:pPr>
      <w:r w:rsidRPr="002E68D5">
        <w:t xml:space="preserve">Knechel, W., </w:t>
      </w:r>
      <w:proofErr w:type="spellStart"/>
      <w:r w:rsidRPr="002E68D5">
        <w:t>Vanstraelen</w:t>
      </w:r>
      <w:proofErr w:type="spellEnd"/>
      <w:r w:rsidRPr="002E68D5">
        <w:t xml:space="preserve">, A., &amp; </w:t>
      </w:r>
      <w:proofErr w:type="spellStart"/>
      <w:r w:rsidRPr="002E68D5">
        <w:t>Zerni</w:t>
      </w:r>
      <w:proofErr w:type="spellEnd"/>
      <w:r w:rsidRPr="002E68D5">
        <w:t xml:space="preserve">, M. (2013). Audit firm attributes and audit quality. </w:t>
      </w:r>
      <w:r w:rsidRPr="002E68D5">
        <w:rPr>
          <w:i/>
        </w:rPr>
        <w:t>Contemporary Accounting Research, 30</w:t>
      </w:r>
      <w:r w:rsidRPr="002E68D5">
        <w:t>(4), 1521-1551.</w:t>
      </w:r>
    </w:p>
    <w:p w14:paraId="453BDE44" w14:textId="77777777" w:rsidR="00F26318" w:rsidRPr="002E68D5" w:rsidRDefault="00F26318" w:rsidP="00F26318">
      <w:pPr>
        <w:pStyle w:val="NormalWeb"/>
        <w:spacing w:afterAutospacing="0"/>
        <w:ind w:left="709" w:hanging="709"/>
        <w:jc w:val="both"/>
      </w:pPr>
      <w:proofErr w:type="spellStart"/>
      <w:r w:rsidRPr="002E68D5">
        <w:t>Kustono</w:t>
      </w:r>
      <w:proofErr w:type="spellEnd"/>
      <w:r w:rsidRPr="002E68D5">
        <w:t xml:space="preserve">, A. S., </w:t>
      </w:r>
      <w:proofErr w:type="spellStart"/>
      <w:r w:rsidRPr="002E68D5">
        <w:t>Roziq</w:t>
      </w:r>
      <w:proofErr w:type="spellEnd"/>
      <w:r w:rsidRPr="002E68D5">
        <w:t xml:space="preserve">, A., &amp; </w:t>
      </w:r>
      <w:proofErr w:type="spellStart"/>
      <w:r w:rsidRPr="002E68D5">
        <w:t>Nanggala</w:t>
      </w:r>
      <w:proofErr w:type="spellEnd"/>
      <w:r w:rsidRPr="002E68D5">
        <w:t xml:space="preserve">, A. Y. A. (2022). Earnings quality and income smoothing motives: Evidence </w:t>
      </w:r>
      <w:proofErr w:type="spellStart"/>
      <w:r w:rsidRPr="002E68D5">
        <w:t>rom</w:t>
      </w:r>
      <w:proofErr w:type="spellEnd"/>
      <w:r w:rsidRPr="002E68D5">
        <w:t xml:space="preserve"> Indonesia. </w:t>
      </w:r>
      <w:r w:rsidRPr="002E68D5">
        <w:rPr>
          <w:i/>
        </w:rPr>
        <w:t>The Journal of Asian Finance, Economics and Business, 8</w:t>
      </w:r>
      <w:r w:rsidRPr="002E68D5">
        <w:t xml:space="preserve">(2), 533-543. </w:t>
      </w:r>
    </w:p>
    <w:p w14:paraId="24CAB75D" w14:textId="77777777" w:rsidR="00F26318" w:rsidRPr="002E68D5" w:rsidRDefault="00F26318" w:rsidP="00F26318">
      <w:pPr>
        <w:pStyle w:val="NormalWeb"/>
        <w:spacing w:afterAutospacing="0"/>
        <w:ind w:left="709" w:hanging="709"/>
        <w:jc w:val="both"/>
      </w:pPr>
      <w:proofErr w:type="spellStart"/>
      <w:r w:rsidRPr="002E68D5">
        <w:lastRenderedPageBreak/>
        <w:t>Kwambo</w:t>
      </w:r>
      <w:proofErr w:type="spellEnd"/>
      <w:r w:rsidRPr="002E68D5">
        <w:t xml:space="preserve">, M. (2022). Determinants of financial reporting quality of Nigerian stock exchange NSE lotus Islamic index lii. </w:t>
      </w:r>
      <w:r w:rsidRPr="002E68D5">
        <w:rPr>
          <w:i/>
        </w:rPr>
        <w:t xml:space="preserve"> International Journal of Auditing and Accounting Studies, 2</w:t>
      </w:r>
      <w:r w:rsidRPr="002E68D5">
        <w:t>(1), 95-106.</w:t>
      </w:r>
    </w:p>
    <w:p w14:paraId="0FE92A67" w14:textId="77777777" w:rsidR="00F26318" w:rsidRPr="002E68D5" w:rsidRDefault="00F26318" w:rsidP="00F26318">
      <w:pPr>
        <w:pStyle w:val="NormalWeb"/>
        <w:spacing w:afterAutospacing="0"/>
        <w:ind w:left="709" w:hanging="709"/>
        <w:jc w:val="both"/>
      </w:pPr>
      <w:r w:rsidRPr="002E68D5">
        <w:t xml:space="preserve">Malo-Alain, A. M., </w:t>
      </w:r>
      <w:proofErr w:type="spellStart"/>
      <w:r w:rsidRPr="002E68D5">
        <w:t>Melegy</w:t>
      </w:r>
      <w:proofErr w:type="spellEnd"/>
      <w:r w:rsidRPr="002E68D5">
        <w:t xml:space="preserve">, M. M., Ghoneim, M. R. (2023). The effects of sustainability disclosure on the quality of </w:t>
      </w:r>
      <w:proofErr w:type="spellStart"/>
      <w:r w:rsidRPr="002E68D5">
        <w:t>financaial</w:t>
      </w:r>
      <w:proofErr w:type="spellEnd"/>
      <w:r w:rsidRPr="002E68D5">
        <w:t xml:space="preserve"> reports in Saudi business environment. </w:t>
      </w:r>
      <w:r w:rsidRPr="002E68D5">
        <w:rPr>
          <w:i/>
        </w:rPr>
        <w:t>Academy of Accounting and Financial Studies Journal, 23</w:t>
      </w:r>
      <w:r w:rsidRPr="002E68D5">
        <w:t>(5), 1-12.</w:t>
      </w:r>
      <w:r w:rsidRPr="002E68D5">
        <w:rPr>
          <w:i/>
        </w:rPr>
        <w:t xml:space="preserve"> </w:t>
      </w:r>
    </w:p>
    <w:p w14:paraId="72BA8CE1" w14:textId="77777777" w:rsidR="00E1670F" w:rsidRPr="002E68D5" w:rsidRDefault="00F26318" w:rsidP="00E1670F">
      <w:pPr>
        <w:pStyle w:val="NormalWeb"/>
        <w:spacing w:afterAutospacing="0"/>
        <w:ind w:left="709" w:hanging="709"/>
        <w:jc w:val="both"/>
      </w:pPr>
      <w:r w:rsidRPr="002E68D5">
        <w:t xml:space="preserve">Nurullah, A., Hamzah, R. S., </w:t>
      </w:r>
      <w:proofErr w:type="gramStart"/>
      <w:r w:rsidRPr="002E68D5">
        <w:t>&amp;  Kesuma</w:t>
      </w:r>
      <w:proofErr w:type="gramEnd"/>
      <w:r w:rsidRPr="002E68D5">
        <w:t xml:space="preserve">, N. (2025). Sustainability reporting and the quality of financial reports: Analysis of the role of ownership structure in Indonesian corporations. MAKSIMUM: Media </w:t>
      </w:r>
      <w:proofErr w:type="spellStart"/>
      <w:r w:rsidRPr="002E68D5">
        <w:t>Akuntansi</w:t>
      </w:r>
      <w:proofErr w:type="spellEnd"/>
      <w:r w:rsidRPr="002E68D5">
        <w:t xml:space="preserve"> Universitas Muhammadiyah Semarang, 15(2)</w:t>
      </w:r>
      <w:r w:rsidR="00E1670F" w:rsidRPr="002E68D5">
        <w:t>, 24-36</w:t>
      </w:r>
    </w:p>
    <w:p w14:paraId="5C8B959F" w14:textId="33DE5047" w:rsidR="00E1670F" w:rsidRPr="002E68D5" w:rsidRDefault="00E1670F" w:rsidP="00E1670F">
      <w:pPr>
        <w:pStyle w:val="NormalWeb"/>
        <w:spacing w:afterAutospacing="0"/>
        <w:ind w:left="709" w:hanging="709"/>
        <w:jc w:val="both"/>
      </w:pPr>
      <w:r w:rsidRPr="002E68D5">
        <w:rPr>
          <w:rFonts w:eastAsia="Times New Roman"/>
        </w:rPr>
        <w:t xml:space="preserve">Obeitoh, O. O., Yunusa, A., &amp; Yusuf, M. A. (2023). Effect of board and audit committee attributes on earnings management: Evidence from listed non-financial firms in Nigeria. </w:t>
      </w:r>
      <w:r w:rsidRPr="002E68D5">
        <w:rPr>
          <w:rFonts w:eastAsia="Times New Roman"/>
          <w:i/>
          <w:iCs/>
        </w:rPr>
        <w:t>FUDMA Journal of Accounting and Finance Research, 1</w:t>
      </w:r>
      <w:r w:rsidRPr="002E68D5">
        <w:rPr>
          <w:rFonts w:eastAsia="Times New Roman"/>
        </w:rPr>
        <w:t>(2), 33–50.</w:t>
      </w:r>
    </w:p>
    <w:p w14:paraId="66BC3008" w14:textId="77777777" w:rsidR="00E1670F" w:rsidRPr="002E68D5" w:rsidRDefault="00E1670F" w:rsidP="00F26318">
      <w:pPr>
        <w:pStyle w:val="NormalWeb"/>
        <w:spacing w:afterAutospacing="0"/>
        <w:ind w:left="709" w:hanging="709"/>
        <w:jc w:val="both"/>
      </w:pPr>
    </w:p>
    <w:p w14:paraId="1AC0C8C5" w14:textId="77777777" w:rsidR="00F26318" w:rsidRPr="002E68D5" w:rsidRDefault="00F26318" w:rsidP="00F26318">
      <w:pPr>
        <w:pStyle w:val="NormalWeb"/>
        <w:spacing w:afterAutospacing="0"/>
        <w:ind w:left="709" w:hanging="709"/>
        <w:jc w:val="both"/>
      </w:pPr>
      <w:proofErr w:type="spellStart"/>
      <w:r w:rsidRPr="002E68D5">
        <w:t>Oghoghomeh</w:t>
      </w:r>
      <w:proofErr w:type="spellEnd"/>
      <w:r w:rsidRPr="002E68D5">
        <w:t xml:space="preserve">, T., &amp; Olayinka, E. (2024). Corporate governance mechanisms and financial reporting quality among listed Nigerian oil and gas firms. </w:t>
      </w:r>
      <w:r w:rsidRPr="002E68D5">
        <w:rPr>
          <w:i/>
        </w:rPr>
        <w:t>International Journal of Accounting and Finance Studies, 8(</w:t>
      </w:r>
      <w:r w:rsidRPr="002E68D5">
        <w:t xml:space="preserve">1), 55-72. </w:t>
      </w:r>
    </w:p>
    <w:p w14:paraId="70E2EBD4" w14:textId="77777777" w:rsidR="00F26318" w:rsidRPr="002E68D5" w:rsidRDefault="00F26318" w:rsidP="00F26318">
      <w:pPr>
        <w:pStyle w:val="NormalWeb"/>
        <w:spacing w:afterAutospacing="0"/>
        <w:ind w:left="709" w:hanging="709"/>
        <w:jc w:val="both"/>
      </w:pPr>
      <w:r w:rsidRPr="002E68D5">
        <w:t xml:space="preserve">Olaoye, C. O., &amp; Akintayo, O. A. (2022). Determinants of </w:t>
      </w:r>
      <w:proofErr w:type="spellStart"/>
      <w:r w:rsidRPr="002E68D5">
        <w:t>financaial</w:t>
      </w:r>
      <w:proofErr w:type="spellEnd"/>
      <w:r w:rsidRPr="002E68D5">
        <w:t xml:space="preserve"> reporting quality in Nigeria non-financial institutions (2010-2018). </w:t>
      </w:r>
      <w:r w:rsidRPr="002E68D5">
        <w:rPr>
          <w:i/>
        </w:rPr>
        <w:t xml:space="preserve">KIU </w:t>
      </w:r>
      <w:proofErr w:type="spellStart"/>
      <w:r w:rsidRPr="002E68D5">
        <w:rPr>
          <w:i/>
        </w:rPr>
        <w:t>Inteerdisciplinary</w:t>
      </w:r>
      <w:proofErr w:type="spellEnd"/>
      <w:r w:rsidRPr="002E68D5">
        <w:rPr>
          <w:i/>
        </w:rPr>
        <w:t xml:space="preserve"> </w:t>
      </w:r>
      <w:proofErr w:type="spellStart"/>
      <w:r w:rsidRPr="002E68D5">
        <w:rPr>
          <w:i/>
        </w:rPr>
        <w:t>Journa</w:t>
      </w:r>
      <w:proofErr w:type="spellEnd"/>
      <w:r w:rsidRPr="002E68D5">
        <w:rPr>
          <w:i/>
        </w:rPr>
        <w:t xml:space="preserve"> of Humanities and Social Sciences, 2</w:t>
      </w:r>
      <w:r w:rsidRPr="002E68D5">
        <w:t>(2), 263-282.</w:t>
      </w:r>
    </w:p>
    <w:p w14:paraId="4C7E220B" w14:textId="77777777" w:rsidR="00F26318" w:rsidRPr="002E68D5" w:rsidRDefault="00F26318" w:rsidP="00F26318">
      <w:pPr>
        <w:pStyle w:val="NormalWeb"/>
        <w:spacing w:afterAutospacing="0"/>
        <w:ind w:left="709" w:hanging="709"/>
        <w:jc w:val="both"/>
      </w:pPr>
      <w:r w:rsidRPr="002E68D5">
        <w:t xml:space="preserve">Ololade, B. M., &amp; </w:t>
      </w:r>
      <w:proofErr w:type="spellStart"/>
      <w:r w:rsidRPr="002E68D5">
        <w:t>Adekanmi</w:t>
      </w:r>
      <w:proofErr w:type="spellEnd"/>
      <w:r w:rsidRPr="002E68D5">
        <w:t>, A. D. (2023). Sustainability information disclosure and financial reporting quality of listed non-financial firms in Nigeria.</w:t>
      </w:r>
      <w:r w:rsidRPr="002E68D5">
        <w:rPr>
          <w:i/>
        </w:rPr>
        <w:t xml:space="preserve"> Africa Journal of Corporate Governance Research, 1</w:t>
      </w:r>
      <w:r w:rsidRPr="002E68D5">
        <w:t xml:space="preserve">(2), 106-125. </w:t>
      </w:r>
    </w:p>
    <w:p w14:paraId="1DECEDEB" w14:textId="77777777" w:rsidR="00F26318" w:rsidRPr="002E68D5" w:rsidRDefault="00F26318" w:rsidP="00F26318">
      <w:pPr>
        <w:pStyle w:val="NormalWeb"/>
        <w:spacing w:afterAutospacing="0"/>
        <w:ind w:left="709" w:hanging="709"/>
        <w:jc w:val="both"/>
      </w:pPr>
      <w:proofErr w:type="spellStart"/>
      <w:r w:rsidRPr="002E68D5">
        <w:t>Olowookere</w:t>
      </w:r>
      <w:proofErr w:type="spellEnd"/>
      <w:r w:rsidRPr="002E68D5">
        <w:t xml:space="preserve">, J. Kolawole, Adeyemi, A. Ademola, Olagunju, A., Ibrahim, J., &amp; Adebowale, H. (2025). Audit quality and income smoothing among listed deposit money banks in Nigeria. </w:t>
      </w:r>
      <w:r w:rsidRPr="002E68D5">
        <w:rPr>
          <w:i/>
        </w:rPr>
        <w:t>Iranian Journal of Accounting, Auditing and Finance, 9</w:t>
      </w:r>
      <w:r w:rsidRPr="002E68D5">
        <w:t xml:space="preserve">(1), 1-13. </w:t>
      </w:r>
    </w:p>
    <w:p w14:paraId="257015C2" w14:textId="77777777" w:rsidR="00F26318" w:rsidRPr="002E68D5" w:rsidRDefault="00F26318" w:rsidP="00F26318">
      <w:pPr>
        <w:pStyle w:val="NormalWeb"/>
        <w:spacing w:afterAutospacing="0"/>
        <w:ind w:left="709" w:hanging="709"/>
        <w:jc w:val="both"/>
      </w:pPr>
      <w:r w:rsidRPr="002E68D5">
        <w:t xml:space="preserve">Ronen, J., &amp; Yaari, V. (2022). </w:t>
      </w:r>
      <w:r w:rsidRPr="002E68D5">
        <w:rPr>
          <w:rStyle w:val="Emphasis"/>
        </w:rPr>
        <w:t>Earnings management: Emerging insights in theory, practice and research</w:t>
      </w:r>
      <w:r w:rsidRPr="002E68D5">
        <w:t xml:space="preserve"> (1st ed.). Springer Science + Business Media. </w:t>
      </w:r>
    </w:p>
    <w:p w14:paraId="23C7B672" w14:textId="77777777" w:rsidR="00E1670F" w:rsidRPr="002E68D5" w:rsidRDefault="00F26318" w:rsidP="00E1670F">
      <w:pPr>
        <w:pStyle w:val="NormalWeb"/>
        <w:spacing w:afterAutospacing="0"/>
        <w:ind w:left="709" w:hanging="709"/>
        <w:jc w:val="both"/>
      </w:pPr>
      <w:proofErr w:type="spellStart"/>
      <w:r w:rsidRPr="002E68D5">
        <w:t>Uwuigbe</w:t>
      </w:r>
      <w:proofErr w:type="spellEnd"/>
      <w:r w:rsidRPr="002E68D5">
        <w:t xml:space="preserve">, O. R., Ranti, U., &amp; Bernard, O. (2017). Corporate governance and financial reporting quality. A study of listed companies in Nigeria. </w:t>
      </w:r>
      <w:r w:rsidRPr="002E68D5">
        <w:rPr>
          <w:i/>
        </w:rPr>
        <w:t>International Journal of Business and Social Science, 8</w:t>
      </w:r>
      <w:r w:rsidRPr="002E68D5">
        <w:t>(6), 155-167.</w:t>
      </w:r>
    </w:p>
    <w:p w14:paraId="49DCD89D" w14:textId="04AAB3FD" w:rsidR="00E1670F" w:rsidRPr="002E68D5" w:rsidRDefault="00E1670F" w:rsidP="00E1670F">
      <w:pPr>
        <w:pStyle w:val="NormalWeb"/>
        <w:spacing w:afterAutospacing="0"/>
        <w:ind w:left="709" w:hanging="709"/>
        <w:jc w:val="both"/>
        <w:rPr>
          <w:rFonts w:eastAsia="Times New Roman"/>
        </w:rPr>
      </w:pPr>
      <w:r w:rsidRPr="002E68D5">
        <w:rPr>
          <w:rFonts w:eastAsia="Times New Roman"/>
        </w:rPr>
        <w:t xml:space="preserve">Uyar, A., et al. (2022). Corporate governance and sustainability reporting quality: Evidence from Nigeria. </w:t>
      </w:r>
      <w:r w:rsidRPr="002E68D5">
        <w:rPr>
          <w:rFonts w:eastAsia="Times New Roman"/>
          <w:i/>
          <w:iCs/>
        </w:rPr>
        <w:t>Sustainability Accounting, Management and Policy Journal, 13</w:t>
      </w:r>
      <w:r w:rsidRPr="002E68D5">
        <w:rPr>
          <w:rFonts w:eastAsia="Times New Roman"/>
        </w:rPr>
        <w:t>(3), 680–707.</w:t>
      </w:r>
    </w:p>
    <w:p w14:paraId="7D42A31E" w14:textId="77777777" w:rsidR="00F26318" w:rsidRPr="002E68D5" w:rsidRDefault="00F26318" w:rsidP="00F26318">
      <w:pPr>
        <w:pStyle w:val="NormalWeb"/>
        <w:spacing w:afterAutospacing="0"/>
        <w:ind w:left="709" w:hanging="709"/>
        <w:jc w:val="both"/>
      </w:pPr>
      <w:r w:rsidRPr="002E68D5">
        <w:lastRenderedPageBreak/>
        <w:t xml:space="preserve">Yousefi Nejad, M., Khan, A. S., &amp; Othman, J. (2024). A panel data analysis of the effect of audit quality on financial statement fraud. </w:t>
      </w:r>
      <w:r w:rsidRPr="002E68D5">
        <w:rPr>
          <w:rStyle w:val="Emphasis"/>
        </w:rPr>
        <w:t>Asian Journal of Accounting Research, 9</w:t>
      </w:r>
      <w:r w:rsidRPr="002E68D5">
        <w:t>(4), 422–445.</w:t>
      </w:r>
    </w:p>
    <w:p w14:paraId="0078B74E" w14:textId="77777777" w:rsidR="00F26318" w:rsidRPr="002E68D5" w:rsidRDefault="00F26318" w:rsidP="00F26318">
      <w:pPr>
        <w:pStyle w:val="NormalWeb"/>
        <w:spacing w:afterAutospacing="0"/>
        <w:ind w:left="709" w:hanging="709"/>
        <w:jc w:val="both"/>
      </w:pPr>
      <w:proofErr w:type="spellStart"/>
      <w:r w:rsidRPr="002E68D5">
        <w:t>Yudhanto</w:t>
      </w:r>
      <w:proofErr w:type="spellEnd"/>
      <w:r w:rsidRPr="002E68D5">
        <w:t xml:space="preserve">, S. A., &amp; Rahmawati, E. (2025). Determinants of financial reporting quality: Local Government status as moderator. </w:t>
      </w:r>
      <w:r w:rsidRPr="002E68D5">
        <w:rPr>
          <w:i/>
        </w:rPr>
        <w:t>Journal of Accounting and Investment, 26</w:t>
      </w:r>
      <w:r w:rsidRPr="002E68D5">
        <w:t xml:space="preserve">(1), 401-419. </w:t>
      </w:r>
    </w:p>
    <w:p w14:paraId="321CD320" w14:textId="77777777" w:rsidR="00F26318" w:rsidRPr="002E68D5" w:rsidRDefault="00F26318" w:rsidP="00F26318">
      <w:pPr>
        <w:rPr>
          <w:rFonts w:ascii="Times New Roman" w:hAnsi="Times New Roman" w:cs="Times New Roman"/>
          <w:sz w:val="24"/>
          <w:szCs w:val="24"/>
        </w:rPr>
      </w:pPr>
    </w:p>
    <w:p w14:paraId="16DC376A" w14:textId="77777777" w:rsidR="00F26318" w:rsidRPr="002E68D5" w:rsidRDefault="00F26318" w:rsidP="00F26318"/>
    <w:p w14:paraId="033AA2B0" w14:textId="77777777" w:rsidR="00F26318" w:rsidRPr="002E68D5" w:rsidRDefault="00F26318" w:rsidP="0072696F">
      <w:pPr>
        <w:spacing w:line="480" w:lineRule="auto"/>
        <w:jc w:val="both"/>
        <w:rPr>
          <w:rFonts w:ascii="Times New Roman" w:eastAsia="Times New Roman" w:hAnsi="Times New Roman" w:cs="Times New Roman"/>
          <w:b/>
          <w:sz w:val="24"/>
          <w:szCs w:val="24"/>
          <w:lang w:val="en-US"/>
        </w:rPr>
        <w:sectPr w:rsidR="00F26318" w:rsidRPr="002E68D5" w:rsidSect="0072696F">
          <w:type w:val="continuous"/>
          <w:pgSz w:w="11906" w:h="16838" w:code="9"/>
          <w:pgMar w:top="1440" w:right="1440" w:bottom="1559" w:left="1440" w:header="709" w:footer="709" w:gutter="0"/>
          <w:pgNumType w:start="222"/>
          <w:cols w:space="708"/>
          <w:docGrid w:linePitch="360"/>
        </w:sectPr>
      </w:pPr>
    </w:p>
    <w:p w14:paraId="7B7FD941" w14:textId="77777777" w:rsidR="0072696F" w:rsidRPr="002E68D5" w:rsidRDefault="0072696F" w:rsidP="0072696F">
      <w:pPr>
        <w:rPr>
          <w:rFonts w:ascii="Times New Roman" w:hAnsi="Times New Roman" w:cs="Times New Roman"/>
          <w:sz w:val="24"/>
          <w:szCs w:val="24"/>
        </w:rPr>
      </w:pPr>
      <w:r w:rsidRPr="002E68D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352276A" wp14:editId="21BED059">
                <wp:simplePos x="0" y="0"/>
                <wp:positionH relativeFrom="column">
                  <wp:posOffset>2591435</wp:posOffset>
                </wp:positionH>
                <wp:positionV relativeFrom="paragraph">
                  <wp:posOffset>8724900</wp:posOffset>
                </wp:positionV>
                <wp:extent cx="876300" cy="828675"/>
                <wp:effectExtent l="0" t="0" r="0" b="0"/>
                <wp:wrapNone/>
                <wp:docPr id="406671438"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6ABA1A" w14:textId="77777777" w:rsidR="0072696F" w:rsidRDefault="0072696F" w:rsidP="007269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2276A" id="_x0000_t202" coordsize="21600,21600" o:spt="202" path="m,l,21600r21600,l21600,xe">
                <v:stroke joinstyle="miter"/>
                <v:path gradientshapeok="t" o:connecttype="rect"/>
              </v:shapetype>
              <v:shape id="Text Box 159" o:spid="_x0000_s1026" type="#_x0000_t202" style="position:absolute;margin-left:204.05pt;margin-top:687pt;width:69pt;height:6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" stroked="f">
                <v:textbox>
                  <w:txbxContent>
                    <w:p w14:paraId="2B6ABA1A" w14:textId="77777777" w:rsidR="0072696F" w:rsidRDefault="0072696F" w:rsidP="0072696F"/>
                  </w:txbxContent>
                </v:textbox>
              </v:shape>
            </w:pict>
          </mc:Fallback>
        </mc:AlternateContent>
      </w:r>
    </w:p>
    <w:p w14:paraId="5733881B" w14:textId="77777777" w:rsidR="008F6F32" w:rsidRPr="002E68D5" w:rsidRDefault="008F6F32"/>
    <w:sectPr w:rsidR="008F6F32" w:rsidRPr="002E68D5" w:rsidSect="0072696F">
      <w:type w:val="continuous"/>
      <w:pgSz w:w="11906" w:h="16838" w:code="9"/>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1FCFC" w14:textId="77777777" w:rsidR="00A04322" w:rsidRDefault="00A04322" w:rsidP="00DD0783">
      <w:pPr>
        <w:spacing w:after="0" w:line="240" w:lineRule="auto"/>
      </w:pPr>
      <w:r>
        <w:separator/>
      </w:r>
    </w:p>
  </w:endnote>
  <w:endnote w:type="continuationSeparator" w:id="0">
    <w:p w14:paraId="2CE91CBB" w14:textId="77777777" w:rsidR="00A04322" w:rsidRDefault="00A04322" w:rsidP="00DD0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CE3C3" w14:textId="77777777" w:rsidR="00E050A7" w:rsidRDefault="00E05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81F1F" w14:textId="18694B8B" w:rsidR="00DD0783" w:rsidRDefault="00DD0783">
    <w:pPr>
      <w:pStyle w:val="Footer"/>
      <w:jc w:val="center"/>
    </w:pPr>
  </w:p>
  <w:p w14:paraId="5F7AEA51" w14:textId="77777777" w:rsidR="001A6F9B" w:rsidRDefault="001A6F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4F039" w14:textId="77777777" w:rsidR="00E050A7" w:rsidRDefault="00E05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A73D1" w14:textId="77777777" w:rsidR="00A04322" w:rsidRDefault="00A04322" w:rsidP="00DD0783">
      <w:pPr>
        <w:spacing w:after="0" w:line="240" w:lineRule="auto"/>
      </w:pPr>
      <w:r>
        <w:separator/>
      </w:r>
    </w:p>
  </w:footnote>
  <w:footnote w:type="continuationSeparator" w:id="0">
    <w:p w14:paraId="1AE76BA2" w14:textId="77777777" w:rsidR="00A04322" w:rsidRDefault="00A04322" w:rsidP="00DD0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E7AD" w14:textId="005BDF35" w:rsidR="00E050A7" w:rsidRDefault="00E050A7">
    <w:pPr>
      <w:pStyle w:val="Header"/>
    </w:pPr>
    <w:r>
      <w:rPr>
        <w:noProof/>
      </w:rPr>
      <w:pict w14:anchorId="39A169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684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479A" w14:textId="02957C80" w:rsidR="00E050A7" w:rsidRDefault="00E050A7">
    <w:pPr>
      <w:pStyle w:val="Header"/>
    </w:pPr>
    <w:r>
      <w:rPr>
        <w:noProof/>
      </w:rPr>
      <w:pict w14:anchorId="58BDC0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684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DB99" w14:textId="2868DC3F" w:rsidR="00E050A7" w:rsidRDefault="00E050A7">
    <w:pPr>
      <w:pStyle w:val="Header"/>
    </w:pPr>
    <w:r>
      <w:rPr>
        <w:noProof/>
      </w:rPr>
      <w:pict w14:anchorId="66AA2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684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C12"/>
    <w:multiLevelType w:val="hybridMultilevel"/>
    <w:tmpl w:val="B3509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B77A3"/>
    <w:multiLevelType w:val="hybridMultilevel"/>
    <w:tmpl w:val="CFE288B4"/>
    <w:lvl w:ilvl="0" w:tplc="DF8EE05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8ACD5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C437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B839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8AA24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9ED85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26B7C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7CC20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D8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1165C48"/>
    <w:multiLevelType w:val="multilevel"/>
    <w:tmpl w:val="01165C4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B852032"/>
    <w:multiLevelType w:val="multilevel"/>
    <w:tmpl w:val="0B8520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3C0A57"/>
    <w:multiLevelType w:val="hybridMultilevel"/>
    <w:tmpl w:val="0BEA74EA"/>
    <w:lvl w:ilvl="0" w:tplc="2BD2A0B6">
      <w:numFmt w:val="bullet"/>
      <w:lvlText w:val=""/>
      <w:lvlJc w:val="left"/>
      <w:pPr>
        <w:ind w:left="730" w:hanging="37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E11AF"/>
    <w:multiLevelType w:val="hybridMultilevel"/>
    <w:tmpl w:val="CFE288B4"/>
    <w:lvl w:ilvl="0" w:tplc="DF8EE05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8ACD5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C437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B839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8AA24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9ED85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26B7C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7CC20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D8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4F65D22"/>
    <w:multiLevelType w:val="hybridMultilevel"/>
    <w:tmpl w:val="8EC46CFE"/>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0A4849"/>
    <w:multiLevelType w:val="multilevel"/>
    <w:tmpl w:val="965C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2B2411"/>
    <w:multiLevelType w:val="hybridMultilevel"/>
    <w:tmpl w:val="CFE288B4"/>
    <w:lvl w:ilvl="0" w:tplc="DF8EE05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8ACD5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C437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B839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8AA24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9ED85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26B7C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7CC20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D8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E5C36A6"/>
    <w:multiLevelType w:val="multilevel"/>
    <w:tmpl w:val="63504A0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1346252"/>
    <w:multiLevelType w:val="multilevel"/>
    <w:tmpl w:val="5E66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3219E6"/>
    <w:multiLevelType w:val="multilevel"/>
    <w:tmpl w:val="8D22C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3709A2"/>
    <w:multiLevelType w:val="multilevel"/>
    <w:tmpl w:val="493709A2"/>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A44062"/>
    <w:multiLevelType w:val="multilevel"/>
    <w:tmpl w:val="50F896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30F34E0"/>
    <w:multiLevelType w:val="hybridMultilevel"/>
    <w:tmpl w:val="25F6CA4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F72430D"/>
    <w:multiLevelType w:val="multilevel"/>
    <w:tmpl w:val="6F7243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A031235"/>
    <w:multiLevelType w:val="hybridMultilevel"/>
    <w:tmpl w:val="2AF0A796"/>
    <w:lvl w:ilvl="0" w:tplc="0409000F">
      <w:start w:val="1"/>
      <w:numFmt w:val="decimal"/>
      <w:lvlText w:val="%1."/>
      <w:lvlJc w:val="left"/>
      <w:pPr>
        <w:ind w:left="720" w:hanging="360"/>
      </w:pPr>
    </w:lvl>
    <w:lvl w:ilvl="1" w:tplc="A39891FA">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C003CB"/>
    <w:multiLevelType w:val="multilevel"/>
    <w:tmpl w:val="7DC003CB"/>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42636100">
    <w:abstractNumId w:val="12"/>
  </w:num>
  <w:num w:numId="2" w16cid:durableId="1440375265">
    <w:abstractNumId w:val="2"/>
  </w:num>
  <w:num w:numId="3" w16cid:durableId="1937446162">
    <w:abstractNumId w:val="17"/>
  </w:num>
  <w:num w:numId="4" w16cid:durableId="1125195852">
    <w:abstractNumId w:val="15"/>
  </w:num>
  <w:num w:numId="5" w16cid:durableId="1004087888">
    <w:abstractNumId w:val="3"/>
  </w:num>
  <w:num w:numId="6" w16cid:durableId="1402868307">
    <w:abstractNumId w:val="1"/>
  </w:num>
  <w:num w:numId="7" w16cid:durableId="759133600">
    <w:abstractNumId w:val="8"/>
  </w:num>
  <w:num w:numId="8" w16cid:durableId="1687780917">
    <w:abstractNumId w:val="5"/>
  </w:num>
  <w:num w:numId="9" w16cid:durableId="278145248">
    <w:abstractNumId w:val="10"/>
  </w:num>
  <w:num w:numId="10" w16cid:durableId="182398833">
    <w:abstractNumId w:val="7"/>
  </w:num>
  <w:num w:numId="11" w16cid:durableId="1830442921">
    <w:abstractNumId w:val="11"/>
  </w:num>
  <w:num w:numId="12" w16cid:durableId="1418333165">
    <w:abstractNumId w:val="16"/>
  </w:num>
  <w:num w:numId="13" w16cid:durableId="362900234">
    <w:abstractNumId w:val="4"/>
  </w:num>
  <w:num w:numId="14" w16cid:durableId="1731074241">
    <w:abstractNumId w:val="0"/>
  </w:num>
  <w:num w:numId="15" w16cid:durableId="579682449">
    <w:abstractNumId w:val="6"/>
  </w:num>
  <w:num w:numId="16" w16cid:durableId="554389738">
    <w:abstractNumId w:val="13"/>
  </w:num>
  <w:num w:numId="17" w16cid:durableId="345442636">
    <w:abstractNumId w:val="14"/>
  </w:num>
  <w:num w:numId="18" w16cid:durableId="3745000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96F"/>
    <w:rsid w:val="00084607"/>
    <w:rsid w:val="00085E8B"/>
    <w:rsid w:val="001571DA"/>
    <w:rsid w:val="00160264"/>
    <w:rsid w:val="001766AE"/>
    <w:rsid w:val="00184F85"/>
    <w:rsid w:val="001A6F9B"/>
    <w:rsid w:val="00262CE4"/>
    <w:rsid w:val="002810CE"/>
    <w:rsid w:val="00294049"/>
    <w:rsid w:val="002E5C4F"/>
    <w:rsid w:val="002E68D5"/>
    <w:rsid w:val="003317AB"/>
    <w:rsid w:val="003516D5"/>
    <w:rsid w:val="003B2B89"/>
    <w:rsid w:val="003C4AFC"/>
    <w:rsid w:val="0048708C"/>
    <w:rsid w:val="004D5BA0"/>
    <w:rsid w:val="005218D1"/>
    <w:rsid w:val="005C1124"/>
    <w:rsid w:val="005E312C"/>
    <w:rsid w:val="00600124"/>
    <w:rsid w:val="0068604C"/>
    <w:rsid w:val="0072696F"/>
    <w:rsid w:val="0076517E"/>
    <w:rsid w:val="00775453"/>
    <w:rsid w:val="007839A5"/>
    <w:rsid w:val="007C0F1F"/>
    <w:rsid w:val="007F03C0"/>
    <w:rsid w:val="008210ED"/>
    <w:rsid w:val="00876A15"/>
    <w:rsid w:val="00876D78"/>
    <w:rsid w:val="008D08E8"/>
    <w:rsid w:val="008F6F32"/>
    <w:rsid w:val="008F741A"/>
    <w:rsid w:val="009028E5"/>
    <w:rsid w:val="00982C11"/>
    <w:rsid w:val="009D61BF"/>
    <w:rsid w:val="00A04322"/>
    <w:rsid w:val="00B445BE"/>
    <w:rsid w:val="00C01B00"/>
    <w:rsid w:val="00CD134D"/>
    <w:rsid w:val="00D21305"/>
    <w:rsid w:val="00D64987"/>
    <w:rsid w:val="00D755D1"/>
    <w:rsid w:val="00DB406E"/>
    <w:rsid w:val="00DD0783"/>
    <w:rsid w:val="00E050A7"/>
    <w:rsid w:val="00E1670F"/>
    <w:rsid w:val="00EE415D"/>
    <w:rsid w:val="00F250D3"/>
    <w:rsid w:val="00F26318"/>
    <w:rsid w:val="00FF3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841F7"/>
  <w15:chartTrackingRefBased/>
  <w15:docId w15:val="{DF4FB58F-A8DD-4E02-A403-4709AC679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96F"/>
    <w:rPr>
      <w:lang w:val="zh-CN"/>
    </w:rPr>
  </w:style>
  <w:style w:type="paragraph" w:styleId="Heading1">
    <w:name w:val="heading 1"/>
    <w:basedOn w:val="Normal"/>
    <w:next w:val="Normal"/>
    <w:link w:val="Heading1Char"/>
    <w:uiPriority w:val="9"/>
    <w:qFormat/>
    <w:rsid w:val="007269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69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69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69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9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9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9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69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9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9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9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96F"/>
    <w:rPr>
      <w:rFonts w:eastAsiaTheme="majorEastAsia" w:cstheme="majorBidi"/>
      <w:color w:val="272727" w:themeColor="text1" w:themeTint="D8"/>
    </w:rPr>
  </w:style>
  <w:style w:type="paragraph" w:styleId="Title">
    <w:name w:val="Title"/>
    <w:basedOn w:val="Normal"/>
    <w:next w:val="Normal"/>
    <w:link w:val="TitleChar"/>
    <w:uiPriority w:val="10"/>
    <w:qFormat/>
    <w:rsid w:val="00726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96F"/>
    <w:pPr>
      <w:spacing w:before="160"/>
      <w:jc w:val="center"/>
    </w:pPr>
    <w:rPr>
      <w:i/>
      <w:iCs/>
      <w:color w:val="404040" w:themeColor="text1" w:themeTint="BF"/>
    </w:rPr>
  </w:style>
  <w:style w:type="character" w:customStyle="1" w:styleId="QuoteChar">
    <w:name w:val="Quote Char"/>
    <w:basedOn w:val="DefaultParagraphFont"/>
    <w:link w:val="Quote"/>
    <w:uiPriority w:val="29"/>
    <w:rsid w:val="0072696F"/>
    <w:rPr>
      <w:i/>
      <w:iCs/>
      <w:color w:val="404040" w:themeColor="text1" w:themeTint="BF"/>
    </w:rPr>
  </w:style>
  <w:style w:type="paragraph" w:styleId="ListParagraph">
    <w:name w:val="List Paragraph"/>
    <w:basedOn w:val="Normal"/>
    <w:uiPriority w:val="34"/>
    <w:qFormat/>
    <w:rsid w:val="0072696F"/>
    <w:pPr>
      <w:ind w:left="720"/>
      <w:contextualSpacing/>
    </w:pPr>
  </w:style>
  <w:style w:type="character" w:styleId="IntenseEmphasis">
    <w:name w:val="Intense Emphasis"/>
    <w:basedOn w:val="DefaultParagraphFont"/>
    <w:uiPriority w:val="21"/>
    <w:qFormat/>
    <w:rsid w:val="0072696F"/>
    <w:rPr>
      <w:i/>
      <w:iCs/>
      <w:color w:val="0F4761" w:themeColor="accent1" w:themeShade="BF"/>
    </w:rPr>
  </w:style>
  <w:style w:type="paragraph" w:styleId="IntenseQuote">
    <w:name w:val="Intense Quote"/>
    <w:basedOn w:val="Normal"/>
    <w:next w:val="Normal"/>
    <w:link w:val="IntenseQuoteChar"/>
    <w:uiPriority w:val="30"/>
    <w:qFormat/>
    <w:rsid w:val="007269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96F"/>
    <w:rPr>
      <w:i/>
      <w:iCs/>
      <w:color w:val="0F4761" w:themeColor="accent1" w:themeShade="BF"/>
    </w:rPr>
  </w:style>
  <w:style w:type="character" w:styleId="IntenseReference">
    <w:name w:val="Intense Reference"/>
    <w:basedOn w:val="DefaultParagraphFont"/>
    <w:uiPriority w:val="32"/>
    <w:qFormat/>
    <w:rsid w:val="0072696F"/>
    <w:rPr>
      <w:b/>
      <w:bCs/>
      <w:smallCaps/>
      <w:color w:val="0F4761" w:themeColor="accent1" w:themeShade="BF"/>
      <w:spacing w:val="5"/>
    </w:rPr>
  </w:style>
  <w:style w:type="paragraph" w:styleId="Footer">
    <w:name w:val="footer"/>
    <w:basedOn w:val="Normal"/>
    <w:link w:val="FooterChar"/>
    <w:uiPriority w:val="99"/>
    <w:unhideWhenUsed/>
    <w:rsid w:val="00726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96F"/>
    <w:rPr>
      <w:lang w:val="zh-CN"/>
    </w:rPr>
  </w:style>
  <w:style w:type="paragraph" w:styleId="Header">
    <w:name w:val="header"/>
    <w:basedOn w:val="Normal"/>
    <w:link w:val="HeaderChar"/>
    <w:unhideWhenUsed/>
    <w:rsid w:val="0072696F"/>
    <w:pPr>
      <w:tabs>
        <w:tab w:val="center" w:pos="4513"/>
        <w:tab w:val="right" w:pos="9026"/>
      </w:tabs>
      <w:spacing w:after="0" w:line="240" w:lineRule="auto"/>
    </w:pPr>
  </w:style>
  <w:style w:type="character" w:customStyle="1" w:styleId="HeaderChar">
    <w:name w:val="Header Char"/>
    <w:basedOn w:val="DefaultParagraphFont"/>
    <w:link w:val="Header"/>
    <w:rsid w:val="0072696F"/>
    <w:rPr>
      <w:lang w:val="zh-CN"/>
    </w:rPr>
  </w:style>
  <w:style w:type="paragraph" w:styleId="NormalWeb">
    <w:name w:val="Normal (Web)"/>
    <w:uiPriority w:val="99"/>
    <w:unhideWhenUsed/>
    <w:rsid w:val="0072696F"/>
    <w:pPr>
      <w:spacing w:beforeAutospacing="1" w:after="0" w:afterAutospacing="1"/>
    </w:pPr>
    <w:rPr>
      <w:rFonts w:ascii="Times New Roman" w:eastAsia="SimSun" w:hAnsi="Times New Roman" w:cs="Times New Roman"/>
      <w:sz w:val="24"/>
      <w:szCs w:val="24"/>
      <w:lang w:val="en-US" w:eastAsia="zh-CN"/>
    </w:rPr>
  </w:style>
  <w:style w:type="character" w:styleId="Hyperlink">
    <w:name w:val="Hyperlink"/>
    <w:basedOn w:val="DefaultParagraphFont"/>
    <w:uiPriority w:val="99"/>
    <w:rsid w:val="0072696F"/>
    <w:rPr>
      <w:color w:val="0563C1"/>
      <w:u w:val="single"/>
    </w:rPr>
  </w:style>
  <w:style w:type="table" w:styleId="TableGrid">
    <w:name w:val="Table Grid"/>
    <w:basedOn w:val="TableNormal"/>
    <w:uiPriority w:val="39"/>
    <w:qFormat/>
    <w:rsid w:val="0072696F"/>
    <w:pPr>
      <w:spacing w:after="0" w:line="240" w:lineRule="auto"/>
    </w:pPr>
    <w:rPr>
      <w:rFonts w:ascii="Calibri" w:eastAsia="Calibri" w:hAnsi="Calibri" w:cs="SimSun"/>
      <w:ker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72696F"/>
    <w:pPr>
      <w:ind w:left="720"/>
      <w:contextualSpacing/>
    </w:pPr>
  </w:style>
  <w:style w:type="paragraph" w:customStyle="1" w:styleId="NoSpacing1">
    <w:name w:val="No Spacing1"/>
    <w:link w:val="NoSpacingChar"/>
    <w:uiPriority w:val="1"/>
    <w:qFormat/>
    <w:rsid w:val="0072696F"/>
    <w:pPr>
      <w:spacing w:after="0" w:line="240" w:lineRule="auto"/>
    </w:pPr>
    <w:rPr>
      <w:rFonts w:ascii="Calibri" w:eastAsia="Calibri" w:hAnsi="Calibri" w:cs="Times New Roman"/>
      <w:lang w:val="en-US"/>
    </w:rPr>
  </w:style>
  <w:style w:type="character" w:customStyle="1" w:styleId="NoSpacingChar">
    <w:name w:val="No Spacing Char"/>
    <w:link w:val="NoSpacing1"/>
    <w:uiPriority w:val="1"/>
    <w:rsid w:val="0072696F"/>
    <w:rPr>
      <w:rFonts w:ascii="Calibri" w:eastAsia="Calibri" w:hAnsi="Calibri" w:cs="Times New Roman"/>
      <w:lang w:val="en-US"/>
    </w:rPr>
  </w:style>
  <w:style w:type="paragraph" w:customStyle="1" w:styleId="Default">
    <w:name w:val="Default"/>
    <w:qFormat/>
    <w:rsid w:val="0072696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customStyle="1" w:styleId="TableGrid0">
    <w:name w:val="TableGrid"/>
    <w:rsid w:val="0072696F"/>
    <w:pPr>
      <w:spacing w:after="0" w:line="240" w:lineRule="auto"/>
    </w:pPr>
    <w:rPr>
      <w:rFonts w:ascii="Times New Roman" w:eastAsiaTheme="minorEastAsia" w:hAnsi="Times New Roman" w:cs="Times New Roman"/>
      <w:sz w:val="20"/>
      <w:szCs w:val="20"/>
      <w:lang w:val="en-US" w:eastAsia="zh-CN"/>
    </w:rPr>
    <w:tblPr>
      <w:tblCellMar>
        <w:top w:w="0" w:type="dxa"/>
        <w:left w:w="0" w:type="dxa"/>
        <w:bottom w:w="0" w:type="dxa"/>
        <w:right w:w="0" w:type="dxa"/>
      </w:tblCellMar>
    </w:tblPr>
  </w:style>
  <w:style w:type="paragraph" w:styleId="BodyText">
    <w:name w:val="Body Text"/>
    <w:basedOn w:val="Normal"/>
    <w:link w:val="BodyTextChar"/>
    <w:uiPriority w:val="1"/>
    <w:qFormat/>
    <w:rsid w:val="0072696F"/>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72696F"/>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2696F"/>
    <w:rPr>
      <w:b/>
      <w:bCs/>
    </w:rPr>
  </w:style>
  <w:style w:type="character" w:styleId="Emphasis">
    <w:name w:val="Emphasis"/>
    <w:basedOn w:val="DefaultParagraphFont"/>
    <w:uiPriority w:val="20"/>
    <w:qFormat/>
    <w:rsid w:val="0072696F"/>
    <w:rPr>
      <w:i/>
      <w:iCs/>
    </w:rPr>
  </w:style>
  <w:style w:type="character" w:styleId="FollowedHyperlink">
    <w:name w:val="FollowedHyperlink"/>
    <w:basedOn w:val="DefaultParagraphFont"/>
    <w:uiPriority w:val="99"/>
    <w:semiHidden/>
    <w:unhideWhenUsed/>
    <w:rsid w:val="0072696F"/>
    <w:rPr>
      <w:color w:val="954F72"/>
      <w:u w:val="single"/>
    </w:rPr>
  </w:style>
  <w:style w:type="paragraph" w:customStyle="1" w:styleId="msonormal0">
    <w:name w:val="msonormal"/>
    <w:basedOn w:val="Normal"/>
    <w:rsid w:val="0072696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66">
    <w:name w:val="xl66"/>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67">
    <w:name w:val="xl67"/>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68">
    <w:name w:val="xl68"/>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70">
    <w:name w:val="xl70"/>
    <w:basedOn w:val="Normal"/>
    <w:rsid w:val="0072696F"/>
    <w:pPr>
      <w:spacing w:before="100" w:beforeAutospacing="1" w:after="100" w:afterAutospacing="1" w:line="240" w:lineRule="auto"/>
      <w:textAlignment w:val="bottom"/>
    </w:pPr>
    <w:rPr>
      <w:rFonts w:ascii="Calibri" w:eastAsia="Times New Roman" w:hAnsi="Calibri" w:cs="Calibri"/>
      <w:color w:val="000000"/>
      <w:sz w:val="24"/>
      <w:szCs w:val="24"/>
      <w:lang w:val="en-US"/>
    </w:rPr>
  </w:style>
  <w:style w:type="paragraph" w:styleId="BalloonText">
    <w:name w:val="Balloon Text"/>
    <w:basedOn w:val="Normal"/>
    <w:link w:val="BalloonTextChar"/>
    <w:uiPriority w:val="99"/>
    <w:semiHidden/>
    <w:unhideWhenUsed/>
    <w:rsid w:val="007269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96F"/>
    <w:rPr>
      <w:rFonts w:ascii="Tahoma" w:hAnsi="Tahoma" w:cs="Tahoma"/>
      <w:sz w:val="16"/>
      <w:szCs w:val="16"/>
      <w:lang w:val="zh-CN"/>
    </w:rPr>
  </w:style>
  <w:style w:type="numbering" w:customStyle="1" w:styleId="NoList1">
    <w:name w:val="No List1"/>
    <w:next w:val="NoList"/>
    <w:uiPriority w:val="99"/>
    <w:semiHidden/>
    <w:unhideWhenUsed/>
    <w:rsid w:val="0072696F"/>
  </w:style>
  <w:style w:type="character" w:styleId="UnresolvedMention">
    <w:name w:val="Unresolved Mention"/>
    <w:basedOn w:val="DefaultParagraphFont"/>
    <w:uiPriority w:val="99"/>
    <w:semiHidden/>
    <w:unhideWhenUsed/>
    <w:rsid w:val="0072696F"/>
    <w:rPr>
      <w:color w:val="605E5C"/>
      <w:shd w:val="clear" w:color="auto" w:fill="E1DFDD"/>
    </w:rPr>
  </w:style>
  <w:style w:type="paragraph" w:customStyle="1" w:styleId="Normal1">
    <w:name w:val="Normal1"/>
    <w:rsid w:val="005E312C"/>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24196">
      <w:bodyDiv w:val="1"/>
      <w:marLeft w:val="0"/>
      <w:marRight w:val="0"/>
      <w:marTop w:val="0"/>
      <w:marBottom w:val="0"/>
      <w:divBdr>
        <w:top w:val="none" w:sz="0" w:space="0" w:color="auto"/>
        <w:left w:val="none" w:sz="0" w:space="0" w:color="auto"/>
        <w:bottom w:val="none" w:sz="0" w:space="0" w:color="auto"/>
        <w:right w:val="none" w:sz="0" w:space="0" w:color="auto"/>
      </w:divBdr>
    </w:div>
    <w:div w:id="441342989">
      <w:bodyDiv w:val="1"/>
      <w:marLeft w:val="0"/>
      <w:marRight w:val="0"/>
      <w:marTop w:val="0"/>
      <w:marBottom w:val="0"/>
      <w:divBdr>
        <w:top w:val="none" w:sz="0" w:space="0" w:color="auto"/>
        <w:left w:val="none" w:sz="0" w:space="0" w:color="auto"/>
        <w:bottom w:val="none" w:sz="0" w:space="0" w:color="auto"/>
        <w:right w:val="none" w:sz="0" w:space="0" w:color="auto"/>
      </w:divBdr>
    </w:div>
    <w:div w:id="913709994">
      <w:bodyDiv w:val="1"/>
      <w:marLeft w:val="0"/>
      <w:marRight w:val="0"/>
      <w:marTop w:val="0"/>
      <w:marBottom w:val="0"/>
      <w:divBdr>
        <w:top w:val="none" w:sz="0" w:space="0" w:color="auto"/>
        <w:left w:val="none" w:sz="0" w:space="0" w:color="auto"/>
        <w:bottom w:val="none" w:sz="0" w:space="0" w:color="auto"/>
        <w:right w:val="none" w:sz="0" w:space="0" w:color="auto"/>
      </w:divBdr>
    </w:div>
    <w:div w:id="1335766685">
      <w:bodyDiv w:val="1"/>
      <w:marLeft w:val="0"/>
      <w:marRight w:val="0"/>
      <w:marTop w:val="0"/>
      <w:marBottom w:val="0"/>
      <w:divBdr>
        <w:top w:val="none" w:sz="0" w:space="0" w:color="auto"/>
        <w:left w:val="none" w:sz="0" w:space="0" w:color="auto"/>
        <w:bottom w:val="none" w:sz="0" w:space="0" w:color="auto"/>
        <w:right w:val="none" w:sz="0" w:space="0" w:color="auto"/>
      </w:divBdr>
    </w:div>
    <w:div w:id="1860465789">
      <w:bodyDiv w:val="1"/>
      <w:marLeft w:val="0"/>
      <w:marRight w:val="0"/>
      <w:marTop w:val="0"/>
      <w:marBottom w:val="0"/>
      <w:divBdr>
        <w:top w:val="none" w:sz="0" w:space="0" w:color="auto"/>
        <w:left w:val="none" w:sz="0" w:space="0" w:color="auto"/>
        <w:bottom w:val="none" w:sz="0" w:space="0" w:color="auto"/>
        <w:right w:val="none" w:sz="0" w:space="0" w:color="auto"/>
      </w:divBdr>
    </w:div>
    <w:div w:id="196007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oi.org/10.1016/0165-4101(81)90002-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1080/23311975.2022.2127194" TargetMode="External"/><Relationship Id="rId2" Type="http://schemas.openxmlformats.org/officeDocument/2006/relationships/styles" Target="styles.xml"/><Relationship Id="rId16" Type="http://schemas.openxmlformats.org/officeDocument/2006/relationships/hyperlink" Target="https://www.ifrs.org/content/dam/ifrs/publications/pdf-standards-issb/english/2023/issued/part-a/issb-2023-a-ifrs-s1-general-requirements-for-disclosure-of-sustainability-related-financial-information.pdf?bypass=on&amp;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16/j.jacceco.2010.09.001"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16/0165-4101%2881%2990002-1?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24</Pages>
  <Words>7362</Words>
  <Characters>41964</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dorathyakpan@aksu.edu.ng</dc:creator>
  <cp:keywords/>
  <dc:description/>
  <cp:lastModifiedBy>SDI 1166</cp:lastModifiedBy>
  <cp:revision>15</cp:revision>
  <dcterms:created xsi:type="dcterms:W3CDTF">2026-09-03T03:59:00Z</dcterms:created>
  <dcterms:modified xsi:type="dcterms:W3CDTF">2026-10-07T07:40:00Z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f8dbc38e-d7a3-4cfd-9a04-1ad50b4d2e8b</vt:lpwstr>
  </property>
</Properties>
</file>