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31" w14:textId="77777777" w:rsidR="00754C9A" w:rsidRDefault="00754C9A" w:rsidP="00441B6F">
      <w:pPr>
        <w:pStyle w:val="Title"/>
        <w:spacing w:after="0"/>
        <w:jc w:val="both"/>
        <w:rPr>
          <w:rFonts w:ascii="Arial" w:hAnsi="Arial" w:cs="Arial"/>
        </w:rPr>
      </w:pPr>
    </w:p>
    <w:p w14:paraId="1663C31D" w14:textId="4A15161A" w:rsidR="00163BC4" w:rsidRPr="00163BC4" w:rsidRDefault="00934FB9" w:rsidP="00441B6F">
      <w:pPr>
        <w:pStyle w:val="Author"/>
        <w:spacing w:line="240" w:lineRule="auto"/>
        <w:rPr>
          <w:rFonts w:ascii="Arial" w:hAnsi="Arial" w:cs="Arial"/>
          <w:bCs/>
          <w:iCs/>
          <w:kern w:val="28"/>
          <w:sz w:val="36"/>
        </w:rPr>
      </w:pPr>
      <w:r w:rsidRPr="00934FB9">
        <w:rPr>
          <w:rFonts w:ascii="Arial" w:hAnsi="Arial" w:cs="Arial"/>
          <w:bCs/>
          <w:iCs/>
          <w:kern w:val="28"/>
          <w:sz w:val="36"/>
        </w:rPr>
        <w:t>From Sustainability Pressures to SME Performance: The Role of Sustainable Leadership, Triple Bottom Line, and Sustainable Procurement</w:t>
      </w:r>
      <w:r w:rsidR="00231920">
        <w:rPr>
          <w:rFonts w:ascii="Arial" w:hAnsi="Arial" w:cs="Arial"/>
          <w:bCs/>
          <w:iCs/>
          <w:kern w:val="28"/>
          <w:sz w:val="36"/>
        </w:rPr>
        <w:t xml:space="preserve"> </w:t>
      </w:r>
    </w:p>
    <w:p w14:paraId="0C40E4D0" w14:textId="77777777" w:rsidR="00A258C3" w:rsidRPr="00790ADA" w:rsidRDefault="00A258C3" w:rsidP="00441B6F">
      <w:pPr>
        <w:pStyle w:val="Author"/>
        <w:spacing w:line="240" w:lineRule="auto"/>
        <w:jc w:val="both"/>
        <w:rPr>
          <w:rFonts w:ascii="Arial" w:hAnsi="Arial" w:cs="Arial"/>
          <w:sz w:val="36"/>
        </w:rPr>
      </w:pPr>
    </w:p>
    <w:p w14:paraId="751CA73E" w14:textId="77777777" w:rsidR="00790ADA" w:rsidRDefault="00790ADA" w:rsidP="00441B6F">
      <w:pPr>
        <w:pStyle w:val="Affiliation"/>
        <w:spacing w:after="0" w:line="240" w:lineRule="auto"/>
        <w:jc w:val="both"/>
        <w:rPr>
          <w:rFonts w:ascii="Arial" w:hAnsi="Arial" w:cs="Arial"/>
        </w:rPr>
      </w:pPr>
    </w:p>
    <w:p w14:paraId="6748EFCE" w14:textId="77777777" w:rsidR="002C57D2" w:rsidRDefault="002C57D2" w:rsidP="00441B6F">
      <w:pPr>
        <w:pStyle w:val="Affiliation"/>
        <w:spacing w:after="0" w:line="240" w:lineRule="auto"/>
        <w:jc w:val="both"/>
        <w:rPr>
          <w:rFonts w:ascii="Arial" w:hAnsi="Arial" w:cs="Arial"/>
        </w:rPr>
      </w:pPr>
    </w:p>
    <w:p w14:paraId="66A0BF2E" w14:textId="2DD12753" w:rsidR="00316214" w:rsidRPr="00FB3A86" w:rsidRDefault="00316214" w:rsidP="00441B6F">
      <w:pPr>
        <w:pStyle w:val="Affiliation"/>
        <w:spacing w:after="0" w:line="240" w:lineRule="auto"/>
        <w:jc w:val="both"/>
        <w:rPr>
          <w:rFonts w:ascii="Arial" w:hAnsi="Arial" w:cs="Arial"/>
        </w:rPr>
      </w:pPr>
    </w:p>
    <w:p w14:paraId="74249C75" w14:textId="77777777" w:rsidR="00B01FCD" w:rsidRPr="00FB3A86" w:rsidRDefault="00000000" w:rsidP="00441B6F">
      <w:pPr>
        <w:pStyle w:val="Copyright"/>
        <w:spacing w:after="0" w:line="240" w:lineRule="auto"/>
        <w:jc w:val="both"/>
        <w:rPr>
          <w:rFonts w:ascii="Arial" w:hAnsi="Arial" w:cs="Arial"/>
        </w:rPr>
        <w:sectPr w:rsidR="00B01FCD" w:rsidRPr="00FB3A86" w:rsidSect="00F942F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3B93208D" w14:textId="58C15EDC"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5DD404E2" w14:textId="70D4C4AB" w:rsidR="00D36784" w:rsidRDefault="00D36784" w:rsidP="00D36784">
      <w:pPr>
        <w:pStyle w:val="Body"/>
        <w:spacing w:after="0"/>
        <w:rPr>
          <w:rFonts w:ascii="Arial" w:eastAsia="Calibri" w:hAnsi="Arial" w:cs="Arial"/>
          <w:szCs w:val="22"/>
        </w:rPr>
      </w:pPr>
      <w:r>
        <w:rPr>
          <w:rFonts w:ascii="Arial" w:hAnsi="Arial" w:cs="Arial"/>
        </w:rPr>
        <w:br/>
      </w:r>
      <w:r w:rsidR="00FE6334" w:rsidRPr="00FE6334">
        <w:rPr>
          <w:rFonts w:ascii="Arial" w:eastAsia="Calibri" w:hAnsi="Arial" w:cs="Arial"/>
          <w:szCs w:val="22"/>
        </w:rPr>
        <w:t>This study examines the relationships among sustainable leadership, competitive pressure, triple bottom line (TBL) performance, sustainable procurement, and SME performance. A quantitative explanatory research design was employed using data collected from SME owners and managers in the Special Region of Yogyakarta, Indonesia, and analyzed using Partial Least Squares Structural Equation Modeling (PLS-SEM). The results show that sustainable leadership positively influences TBL performance and has a marginal positive relationship with sustainable procurement. Competitive pressure positively influences TBL performance but does not significantly affect sustainable procurement. TBL performance positively influences sustainable procurement, which in turn positively affects SME performance. The mediation analysis further reveals that sustainable procurement significantly mediates the relationships of competitive pressure and TBL performance with SME performance, but does not significantly mediate the relationship between sustainable leadership and SME performance. These findings highlight sustainable procurement as an important operational mechanism through which sustainability-related conditions can contribute to SME performance, while demonstrating that its mediating role varies across different antecedents. The study contributes to the sustainability and SME literature by providing a more differentiated understanding of how internal leadership, external competitive pressure, and sustainability outcomes are translated into organizational performance</w:t>
      </w:r>
      <w:r w:rsidR="00934FB9" w:rsidRPr="00934FB9">
        <w:rPr>
          <w:rFonts w:ascii="Arial" w:eastAsia="Calibri" w:hAnsi="Arial" w:cs="Arial"/>
          <w:szCs w:val="22"/>
        </w:rPr>
        <w:t>.</w:t>
      </w:r>
    </w:p>
    <w:p w14:paraId="29CC44AB" w14:textId="77777777" w:rsidR="00D36784" w:rsidRDefault="00D36784" w:rsidP="00D36784">
      <w:pPr>
        <w:pStyle w:val="Body"/>
        <w:spacing w:after="0"/>
        <w:rPr>
          <w:rFonts w:ascii="Arial" w:eastAsia="Calibri" w:hAnsi="Arial" w:cs="Arial"/>
          <w:szCs w:val="22"/>
        </w:rPr>
      </w:pPr>
    </w:p>
    <w:p w14:paraId="6B5773D6" w14:textId="77777777" w:rsidR="00636EB2" w:rsidRDefault="00636EB2" w:rsidP="00441B6F">
      <w:pPr>
        <w:pStyle w:val="Body"/>
        <w:spacing w:after="0"/>
        <w:rPr>
          <w:rFonts w:ascii="Arial" w:hAnsi="Arial" w:cs="Arial"/>
          <w:i/>
        </w:rPr>
      </w:pPr>
    </w:p>
    <w:p w14:paraId="1503B92E" w14:textId="44D9DA1D" w:rsidR="00A24E7E" w:rsidRDefault="00A24E7E" w:rsidP="00441B6F">
      <w:pPr>
        <w:pStyle w:val="Body"/>
        <w:spacing w:after="0"/>
        <w:rPr>
          <w:rFonts w:ascii="Arial" w:hAnsi="Arial" w:cs="Arial"/>
          <w:i/>
        </w:rPr>
      </w:pPr>
      <w:r>
        <w:rPr>
          <w:rFonts w:ascii="Arial" w:hAnsi="Arial" w:cs="Arial"/>
          <w:i/>
        </w:rPr>
        <w:t xml:space="preserve">Keywords: </w:t>
      </w:r>
      <w:r w:rsidR="00934FB9" w:rsidRPr="00934FB9">
        <w:rPr>
          <w:rFonts w:ascii="Arial" w:hAnsi="Arial" w:cs="Arial"/>
          <w:i/>
        </w:rPr>
        <w:t>sustainable leadership; competitive pressure; sustainable procurement; triple bottom line; SME performance</w:t>
      </w:r>
      <w:r w:rsidR="00934FB9">
        <w:rPr>
          <w:rFonts w:ascii="Arial" w:hAnsi="Arial" w:cs="Arial"/>
          <w:i/>
        </w:rPr>
        <w:t>.</w:t>
      </w:r>
    </w:p>
    <w:p w14:paraId="4AE3C47F" w14:textId="77777777" w:rsidR="00790ADA" w:rsidRDefault="00790ADA" w:rsidP="00441B6F">
      <w:pPr>
        <w:pStyle w:val="Body"/>
        <w:spacing w:after="0"/>
        <w:rPr>
          <w:rFonts w:ascii="Arial" w:hAnsi="Arial" w:cs="Arial"/>
          <w:i/>
        </w:rPr>
      </w:pPr>
    </w:p>
    <w:p w14:paraId="5539D94B" w14:textId="77777777" w:rsidR="00505F06" w:rsidRPr="00A24E7E" w:rsidRDefault="00505F06" w:rsidP="00441B6F">
      <w:pPr>
        <w:pStyle w:val="Body"/>
        <w:spacing w:after="0"/>
        <w:rPr>
          <w:rFonts w:ascii="Arial" w:hAnsi="Arial" w:cs="Arial"/>
          <w:i/>
        </w:rPr>
      </w:pPr>
    </w:p>
    <w:p w14:paraId="27520005" w14:textId="277860B8"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0FD77744" w14:textId="77777777" w:rsidR="00790ADA" w:rsidRPr="00FB3A86" w:rsidRDefault="00790ADA" w:rsidP="00441B6F">
      <w:pPr>
        <w:pStyle w:val="AbstHead"/>
        <w:spacing w:after="0"/>
        <w:jc w:val="both"/>
        <w:rPr>
          <w:rFonts w:ascii="Arial" w:hAnsi="Arial" w:cs="Arial"/>
        </w:rPr>
      </w:pPr>
    </w:p>
    <w:p w14:paraId="33F2CEBD" w14:textId="77777777" w:rsidR="00934FB9" w:rsidRPr="00934FB9" w:rsidRDefault="00934FB9" w:rsidP="00934FB9">
      <w:pPr>
        <w:pStyle w:val="Body"/>
        <w:rPr>
          <w:rFonts w:ascii="Arial" w:hAnsi="Arial" w:cs="Arial"/>
        </w:rPr>
      </w:pPr>
      <w:r w:rsidRPr="00934FB9">
        <w:rPr>
          <w:rFonts w:ascii="Arial" w:hAnsi="Arial" w:cs="Arial"/>
        </w:rPr>
        <w:t xml:space="preserve">Sustainability has become an increasingly important strategic concern for organizations in response to growing economic, social, and environmental demands. Firms are no longer expected to focus solely on efficiency and profitability but also to consider the broader social and environmental consequences of their business activities. Within this context, procurement plays a strategic role, as decisions concerning supplier selection, sourcing of raw materials, product specifications, and relationships with supply chain partners can substantially shape an organization’s sustainability impacts (Walker et al., 2012; </w:t>
      </w:r>
      <w:proofErr w:type="spellStart"/>
      <w:r w:rsidRPr="00934FB9">
        <w:rPr>
          <w:rFonts w:ascii="Arial" w:hAnsi="Arial" w:cs="Arial"/>
        </w:rPr>
        <w:t>Uyarra</w:t>
      </w:r>
      <w:proofErr w:type="spellEnd"/>
      <w:r w:rsidRPr="00934FB9">
        <w:rPr>
          <w:rFonts w:ascii="Arial" w:hAnsi="Arial" w:cs="Arial"/>
        </w:rPr>
        <w:t xml:space="preserve"> et al., 2020). Accordingly, sustainable procurement has emerged as an approach that </w:t>
      </w:r>
      <w:r w:rsidRPr="00934FB9">
        <w:rPr>
          <w:rFonts w:ascii="Arial" w:hAnsi="Arial" w:cs="Arial"/>
        </w:rPr>
        <w:lastRenderedPageBreak/>
        <w:t>integrates economic, social, and environmental considerations into procurement decision-making processes.</w:t>
      </w:r>
    </w:p>
    <w:p w14:paraId="04F1F5EA" w14:textId="77777777" w:rsidR="00934FB9" w:rsidRPr="00934FB9" w:rsidRDefault="00934FB9" w:rsidP="00934FB9">
      <w:pPr>
        <w:pStyle w:val="Body"/>
        <w:rPr>
          <w:rFonts w:ascii="Arial" w:hAnsi="Arial" w:cs="Arial"/>
        </w:rPr>
      </w:pPr>
      <w:r w:rsidRPr="00934FB9">
        <w:rPr>
          <w:rFonts w:ascii="Arial" w:hAnsi="Arial" w:cs="Arial"/>
        </w:rPr>
        <w:t xml:space="preserve">One internal factor that may facilitate the adoption of sustainable procurement is sustainable leadership. This concept emphasizes leaders’ ability to integrate economic objectives with social and environmental responsibilities into organizational decision-making (Avery and </w:t>
      </w:r>
      <w:proofErr w:type="spellStart"/>
      <w:r w:rsidRPr="00934FB9">
        <w:rPr>
          <w:rFonts w:ascii="Arial" w:hAnsi="Arial" w:cs="Arial"/>
        </w:rPr>
        <w:t>Bergsteiner</w:t>
      </w:r>
      <w:proofErr w:type="spellEnd"/>
      <w:r w:rsidRPr="00934FB9">
        <w:rPr>
          <w:rFonts w:ascii="Arial" w:hAnsi="Arial" w:cs="Arial"/>
        </w:rPr>
        <w:t>, 2011). Leadership is particularly important in SMEs, where strategic decision-making is often concentrated in the hands of owners or managers. Sustainability-oriented leaders can encourage responsible supplier selection, more efficient resource utilization, the development of long-term supplier relationships, and the integration of social and environmental considerations into procurement decisions. Conversely, limited managerial commitment to sustainability may hinder the institutionalization of sustainable business practices (</w:t>
      </w:r>
      <w:proofErr w:type="spellStart"/>
      <w:r w:rsidRPr="00934FB9">
        <w:rPr>
          <w:rFonts w:ascii="Arial" w:hAnsi="Arial" w:cs="Arial"/>
        </w:rPr>
        <w:t>Kantabutra</w:t>
      </w:r>
      <w:proofErr w:type="spellEnd"/>
      <w:r w:rsidRPr="00934FB9">
        <w:rPr>
          <w:rFonts w:ascii="Arial" w:hAnsi="Arial" w:cs="Arial"/>
        </w:rPr>
        <w:t>, 2020). Sustainable leadership may therefore serve as an internal mechanism that guides SMEs toward the adoption of sustainable procurement.</w:t>
      </w:r>
    </w:p>
    <w:p w14:paraId="5173CFE6" w14:textId="77777777" w:rsidR="00934FB9" w:rsidRPr="00934FB9" w:rsidRDefault="00934FB9" w:rsidP="00934FB9">
      <w:pPr>
        <w:pStyle w:val="Body"/>
        <w:rPr>
          <w:rFonts w:ascii="Arial" w:hAnsi="Arial" w:cs="Arial"/>
        </w:rPr>
      </w:pPr>
      <w:r w:rsidRPr="00934FB9">
        <w:rPr>
          <w:rFonts w:ascii="Arial" w:hAnsi="Arial" w:cs="Arial"/>
        </w:rPr>
        <w:t>However, SMEs’ decisions to adopt sustainability practices are not shaped solely by internal organizational factors. SMEs also operate in increasingly competitive environments, making competitive pressure an important external factor that may influence procurement and sustainability decisions. Competitive pressure can encourage firms to improve efficiency, quality, innovation, and product differentiation. On the one hand, such pressure may accelerate the adoption of sustainable procurement when sustainability practices are perceived as a source of competitive advantage, enhanced reputation, or market access. On the other hand, intense competition may encourage SMEs to prioritize cost reduction and short-term outcomes, leading sustainability investments to be perceived as an additional burden. The relationship between competitive pressure and SMEs’ sustainability decisions may therefore be complex and warrants further empirical examination (Grandia, 2015; Walker and Brammer, 2009; Chang and Fong, 2025).</w:t>
      </w:r>
    </w:p>
    <w:p w14:paraId="62FB85BE" w14:textId="77777777" w:rsidR="00934FB9" w:rsidRPr="00934FB9" w:rsidRDefault="00934FB9" w:rsidP="00934FB9">
      <w:pPr>
        <w:pStyle w:val="Body"/>
        <w:rPr>
          <w:rFonts w:ascii="Arial" w:hAnsi="Arial" w:cs="Arial"/>
        </w:rPr>
      </w:pPr>
      <w:r w:rsidRPr="00934FB9">
        <w:rPr>
          <w:rFonts w:ascii="Arial" w:hAnsi="Arial" w:cs="Arial"/>
        </w:rPr>
        <w:t xml:space="preserve">The adoption of sustainable procurement is expected to generate benefits that extend beyond improvements in procurement efficiency. By incorporating sustainability considerations into procurement activities, firms can reduce costs and resource consumption, foster innovation and efficiency, strengthen relationships with suppliers and communities, and mitigate environmental impacts (Testa et al., 2016). These outcomes can be understood through the triple bottom line (TBL) perspective, which conceptualizes economic, social, and environmental performance as three fundamental dimensions of organizational sustainability (Elkington, 1998; </w:t>
      </w:r>
      <w:proofErr w:type="spellStart"/>
      <w:r w:rsidRPr="00934FB9">
        <w:rPr>
          <w:rFonts w:ascii="Arial" w:hAnsi="Arial" w:cs="Arial"/>
        </w:rPr>
        <w:t>Hörisch</w:t>
      </w:r>
      <w:proofErr w:type="spellEnd"/>
      <w:r w:rsidRPr="00934FB9">
        <w:rPr>
          <w:rFonts w:ascii="Arial" w:hAnsi="Arial" w:cs="Arial"/>
        </w:rPr>
        <w:t xml:space="preserve"> et al., 2014). In this study, TBL is conceptualized as sustainability performance, reflecting the economic, social, and environmental outcomes achieved by SMEs through the implementation of sustainable business practices.</w:t>
      </w:r>
    </w:p>
    <w:p w14:paraId="6646A609" w14:textId="77777777" w:rsidR="00934FB9" w:rsidRPr="00934FB9" w:rsidRDefault="00934FB9" w:rsidP="00934FB9">
      <w:pPr>
        <w:pStyle w:val="Body"/>
        <w:rPr>
          <w:rFonts w:ascii="Arial" w:hAnsi="Arial" w:cs="Arial"/>
        </w:rPr>
      </w:pPr>
      <w:r w:rsidRPr="00934FB9">
        <w:rPr>
          <w:rFonts w:ascii="Arial" w:hAnsi="Arial" w:cs="Arial"/>
        </w:rPr>
        <w:t>The relationship between sustainable procurement and TBL is particularly important because procurement practices provide an operational mechanism through which sustainability commitments can be translated into organizational outcomes. From an economic perspective, sustainable procurement can improve resource efficiency, reduce long-term costs, and foster innovation. From a social perspective, it can promote more responsible relationships with employees, suppliers, and local communities. From an environmental perspective, sustainable procurement can encourage the use of environmentally preferable materials, improve energy and resource efficiency, and reduce waste and emissions. Improvements across these three dimensions may ultimately enhance SME performance through greater efficiency, reputation, innovation, legitimacy, and competitiveness.</w:t>
      </w:r>
    </w:p>
    <w:p w14:paraId="3F5C8335" w14:textId="77777777" w:rsidR="00934FB9" w:rsidRPr="00934FB9" w:rsidRDefault="00934FB9" w:rsidP="00934FB9">
      <w:pPr>
        <w:pStyle w:val="Body"/>
        <w:rPr>
          <w:rFonts w:ascii="Arial" w:hAnsi="Arial" w:cs="Arial"/>
        </w:rPr>
      </w:pPr>
      <w:r w:rsidRPr="00934FB9">
        <w:rPr>
          <w:rFonts w:ascii="Arial" w:hAnsi="Arial" w:cs="Arial"/>
        </w:rPr>
        <w:lastRenderedPageBreak/>
        <w:t>Despite growing scholarly attention to sustainable procurement and its antecedents, several important gaps remain. First, much of the sustainable procurement literature has focused on large firms and public organizations, leaving the mechanisms underlying its adoption among SMEs relatively underexplored. This distinction is important because SMEs differ from larger organizations in terms of resource constraints, organizational flexibility, and the central role of owners or managers in strategic decision-making (Tambunan, 2019). Second, a more integrated understanding is needed of how internal and external factors jointly shape the adoption of sustainable procurement. In this study, sustainable leadership represents an internal organizational driver of sustainability, whereas competitive pressure captures external pressures arising from the competitive environment.</w:t>
      </w:r>
    </w:p>
    <w:p w14:paraId="5B225D39" w14:textId="77777777" w:rsidR="00934FB9" w:rsidRPr="00934FB9" w:rsidRDefault="00934FB9" w:rsidP="00934FB9">
      <w:pPr>
        <w:pStyle w:val="Body"/>
        <w:rPr>
          <w:rFonts w:ascii="Arial" w:hAnsi="Arial" w:cs="Arial"/>
        </w:rPr>
      </w:pPr>
      <w:r w:rsidRPr="00934FB9">
        <w:rPr>
          <w:rFonts w:ascii="Arial" w:hAnsi="Arial" w:cs="Arial"/>
        </w:rPr>
        <w:t>Third, existing research on the relationship between sustainability drivers and SME performance has not fully explained the mechanisms through which these relationships unfold. The effects of sustainable leadership and competitive pressure on performance may not occur directly but may instead operate through changes in organizational practices and the sustainability outcomes they generate. Sustainable procurement may serve as an operational mechanism that translates internal and external drivers into business practices, while TBL captures the economic, social, and environmental outcomes associated with those practices. By integrating sustainable leadership, competitive pressure, sustainable procurement, TBL performance, and SME performance within a single framework, this study seeks to explain how internal and external drivers are translated into sustainability practices and, ultimately, into value creation for SMEs.</w:t>
      </w:r>
    </w:p>
    <w:p w14:paraId="505F2CCC" w14:textId="77777777" w:rsidR="00934FB9" w:rsidRPr="00934FB9" w:rsidRDefault="00934FB9" w:rsidP="00934FB9">
      <w:pPr>
        <w:pStyle w:val="Body"/>
        <w:rPr>
          <w:rFonts w:ascii="Arial" w:hAnsi="Arial" w:cs="Arial"/>
        </w:rPr>
      </w:pPr>
      <w:r w:rsidRPr="00934FB9">
        <w:rPr>
          <w:rFonts w:ascii="Arial" w:hAnsi="Arial" w:cs="Arial"/>
        </w:rPr>
        <w:t>These gaps are particularly relevant in the context of Indonesian SMEs operating in an emerging economy. SMEs frequently operate under resource constraints while simultaneously facing increasing pressure to remain competitive and adopt more responsible business practices. This context provides an appropriate setting for examining whether sustainability-oriented leadership and competitive pressure encourage the adoption of sustainable procurement and how such practices contribute to economic, social, and environmental outcomes that ultimately support SME performance. Examining Indonesian SMEs therefore extends the sustainable procurement literature beyond its predominant focus on large organizations and more developed economic contexts.</w:t>
      </w:r>
    </w:p>
    <w:p w14:paraId="6E4666D2" w14:textId="77777777" w:rsidR="00934FB9" w:rsidRPr="00934FB9" w:rsidRDefault="00934FB9" w:rsidP="00934FB9">
      <w:pPr>
        <w:pStyle w:val="Body"/>
        <w:rPr>
          <w:rFonts w:ascii="Arial" w:hAnsi="Arial" w:cs="Arial"/>
        </w:rPr>
      </w:pPr>
      <w:r w:rsidRPr="00934FB9">
        <w:rPr>
          <w:rFonts w:ascii="Arial" w:hAnsi="Arial" w:cs="Arial"/>
        </w:rPr>
        <w:t xml:space="preserve">Against this background, this study aims to examine how sustainable leadership and competitive pressure influence SME performance through sustainable procurement and TBL performance. Specifically, the study investigates the effects of sustainable leadership and competitive pressure on the adoption of sustainable procurement, the relationship between sustainable procurement and economic, social, and environmental outcomes, and the extent to which TBL performance contributes to SME performance. In doing so, the study conceptualizes sustainable procurement and TBL performance as mechanisms linking internal and external drivers to SME performance. Accordingly, the study addresses the following research question: </w:t>
      </w:r>
      <w:r w:rsidRPr="00934FB9">
        <w:rPr>
          <w:rFonts w:ascii="Arial" w:hAnsi="Arial" w:cs="Arial"/>
          <w:i/>
          <w:iCs/>
        </w:rPr>
        <w:t>How do sustainable leadership and competitive pressure influence SME performance through sustainable procurement and triple bottom line performance?</w:t>
      </w:r>
    </w:p>
    <w:p w14:paraId="79F850A5" w14:textId="77777777" w:rsidR="00934FB9" w:rsidRDefault="00934FB9" w:rsidP="00934FB9">
      <w:pPr>
        <w:pStyle w:val="Body"/>
        <w:spacing w:after="0"/>
        <w:rPr>
          <w:rFonts w:ascii="Arial" w:hAnsi="Arial" w:cs="Arial"/>
        </w:rPr>
      </w:pPr>
      <w:r w:rsidRPr="00934FB9">
        <w:rPr>
          <w:rFonts w:ascii="Arial" w:hAnsi="Arial" w:cs="Arial"/>
        </w:rPr>
        <w:t xml:space="preserve">This study contributes to the literature by developing an integrated framework that connects internal organizational factors, external competitive pressures, sustainability practices, and organizational outcomes within a coherent process. Theoretically, it extends the sustainable procurement literature by examining sustainable leadership and competitive pressure as antecedents and by explicating the roles of sustainable procurement and TBL performance in linking these antecedents to SME performance. Practically, the findings provide insights for SME owners and managers, as well as policymakers, into how leadership, competitive </w:t>
      </w:r>
      <w:r w:rsidRPr="00934FB9">
        <w:rPr>
          <w:rFonts w:ascii="Arial" w:hAnsi="Arial" w:cs="Arial"/>
        </w:rPr>
        <w:lastRenderedPageBreak/>
        <w:t>conditions, and procurement practices can be managed to advance sustainability while enhancing SME performance.</w:t>
      </w:r>
      <w:r>
        <w:rPr>
          <w:rFonts w:ascii="Arial" w:hAnsi="Arial" w:cs="Arial"/>
        </w:rPr>
        <w:t xml:space="preserve"> </w:t>
      </w:r>
    </w:p>
    <w:p w14:paraId="3112AED0" w14:textId="1C7C123F" w:rsidR="00B01FCD" w:rsidRDefault="00B01FCD" w:rsidP="00441B6F">
      <w:pPr>
        <w:pStyle w:val="Body"/>
        <w:spacing w:after="0"/>
        <w:rPr>
          <w:rFonts w:ascii="Arial" w:hAnsi="Arial" w:cs="Arial"/>
        </w:rPr>
      </w:pPr>
    </w:p>
    <w:p w14:paraId="34C9327C" w14:textId="77777777" w:rsidR="00790ADA" w:rsidRPr="00FB3A86" w:rsidRDefault="00790ADA" w:rsidP="00441B6F">
      <w:pPr>
        <w:pStyle w:val="Body"/>
        <w:spacing w:after="0"/>
        <w:rPr>
          <w:rFonts w:ascii="Arial" w:hAnsi="Arial" w:cs="Arial"/>
        </w:rPr>
      </w:pPr>
    </w:p>
    <w:p w14:paraId="25A29F7B" w14:textId="516D6ECA" w:rsidR="007F7B32" w:rsidRDefault="00902823" w:rsidP="00441B6F">
      <w:pPr>
        <w:pStyle w:val="AbstHead"/>
        <w:spacing w:after="0"/>
        <w:jc w:val="both"/>
        <w:rPr>
          <w:rFonts w:ascii="Arial" w:hAnsi="Arial" w:cs="Arial"/>
        </w:rPr>
      </w:pPr>
      <w:r>
        <w:rPr>
          <w:rFonts w:ascii="Arial" w:hAnsi="Arial" w:cs="Arial"/>
        </w:rPr>
        <w:t xml:space="preserve">2. </w:t>
      </w:r>
      <w:r w:rsidR="00934FB9" w:rsidRPr="00934FB9">
        <w:rPr>
          <w:rFonts w:ascii="Arial" w:hAnsi="Arial" w:cs="Arial"/>
        </w:rPr>
        <w:t>Literature review and hypothesis development</w:t>
      </w:r>
      <w:r w:rsidR="00934FB9">
        <w:rPr>
          <w:rFonts w:ascii="Arial" w:hAnsi="Arial" w:cs="Arial"/>
        </w:rPr>
        <w:t xml:space="preserve"> </w:t>
      </w:r>
    </w:p>
    <w:p w14:paraId="52E7CA76" w14:textId="77777777" w:rsidR="00934FB9" w:rsidRPr="00FB3A86" w:rsidRDefault="00934FB9" w:rsidP="00934FB9">
      <w:pPr>
        <w:pStyle w:val="Body"/>
        <w:spacing w:after="0"/>
        <w:rPr>
          <w:rFonts w:ascii="Arial" w:hAnsi="Arial" w:cs="Arial"/>
        </w:rPr>
      </w:pPr>
    </w:p>
    <w:p w14:paraId="214EF7BF" w14:textId="30398A34" w:rsidR="00934FB9" w:rsidRDefault="00934FB9" w:rsidP="00934FB9">
      <w:pPr>
        <w:pStyle w:val="Body"/>
        <w:spacing w:after="0"/>
        <w:rPr>
          <w:rFonts w:ascii="Arial" w:hAnsi="Arial" w:cs="Arial"/>
        </w:rPr>
      </w:pPr>
      <w:r w:rsidRPr="00C30A0F">
        <w:rPr>
          <w:rFonts w:ascii="Arial" w:hAnsi="Arial" w:cs="Arial"/>
          <w:b/>
          <w:caps/>
          <w:sz w:val="22"/>
        </w:rPr>
        <w:t xml:space="preserve">2.1 </w:t>
      </w:r>
      <w:r w:rsidRPr="00934FB9">
        <w:rPr>
          <w:rFonts w:ascii="Arial" w:hAnsi="Arial" w:cs="Arial"/>
          <w:b/>
          <w:sz w:val="22"/>
        </w:rPr>
        <w:t>Sustainability theory</w:t>
      </w:r>
      <w:r w:rsidRPr="00C30A0F">
        <w:rPr>
          <w:rFonts w:ascii="Arial" w:hAnsi="Arial" w:cs="Arial"/>
          <w:b/>
          <w:sz w:val="22"/>
        </w:rPr>
        <w:t xml:space="preserve"> </w:t>
      </w:r>
    </w:p>
    <w:p w14:paraId="6ACD02C1" w14:textId="77777777" w:rsidR="00790ADA" w:rsidRPr="00FB3A86" w:rsidRDefault="00790ADA" w:rsidP="00441B6F">
      <w:pPr>
        <w:pStyle w:val="AbstHead"/>
        <w:spacing w:after="0"/>
        <w:jc w:val="both"/>
        <w:rPr>
          <w:rFonts w:ascii="Arial" w:hAnsi="Arial" w:cs="Arial"/>
        </w:rPr>
      </w:pPr>
    </w:p>
    <w:p w14:paraId="7CAEBFE1" w14:textId="77777777" w:rsidR="00934FB9" w:rsidRPr="00934FB9" w:rsidRDefault="00934FB9" w:rsidP="00934FB9">
      <w:pPr>
        <w:pStyle w:val="Body"/>
        <w:rPr>
          <w:rFonts w:ascii="Arial" w:hAnsi="Arial" w:cs="Arial"/>
        </w:rPr>
      </w:pPr>
      <w:r w:rsidRPr="00934FB9">
        <w:rPr>
          <w:rFonts w:ascii="Arial" w:hAnsi="Arial" w:cs="Arial"/>
        </w:rPr>
        <w:t xml:space="preserve">The intellectual foundations of sustainability have been strongly influenced by The Limits to Growth by Meadows et al. (1972), which drew attention to the constraints imposed by finite natural resources on long-term economic growth. Meadows et al. (1972) emphasized the interdependence between societal responses and changing environmental and economic conditions. The historical roots of sustainable development, however, can be traced much further back. Grober traced the concept to Carl von Carlowitz approximately three centuries ago. Although sustainability-related ideas have emerged across different cultures, Carlowitz’s work in seventeenth-century Europe represents an important milestone in the formal development of the concept. </w:t>
      </w:r>
    </w:p>
    <w:p w14:paraId="57041E89" w14:textId="77777777" w:rsidR="00934FB9" w:rsidRPr="00934FB9" w:rsidRDefault="00934FB9" w:rsidP="00934FB9">
      <w:pPr>
        <w:pStyle w:val="Body"/>
        <w:rPr>
          <w:rFonts w:ascii="Arial" w:hAnsi="Arial" w:cs="Arial"/>
        </w:rPr>
      </w:pPr>
      <w:r w:rsidRPr="00934FB9">
        <w:rPr>
          <w:rFonts w:ascii="Arial" w:hAnsi="Arial" w:cs="Arial"/>
        </w:rPr>
        <w:t>Sustainability gained greater international prominence following the publication of Our Common Future by the World Commission on Environment and Development (WCED), commonly known as the Brundtland Commission, in 1987. The report defined sustainable development as development that meets the needs of the present without compromising the ability of future generations to meet their own needs. This definition subsequently became a fundamental reference point for global policies and scholarly debates on sustainable development. The 1992 United Nations Conference on Environment and Development (UNCED) further strengthened international commitment to sustainability through the Rio Declaration and Agenda 21. These initiatives emphasized the need to integrate economic, social, and environmental considerations in pursuing sustainable development.</w:t>
      </w:r>
    </w:p>
    <w:p w14:paraId="54145B17" w14:textId="77777777" w:rsidR="00934FB9" w:rsidRPr="00934FB9" w:rsidRDefault="00934FB9" w:rsidP="00934FB9">
      <w:pPr>
        <w:pStyle w:val="Body"/>
        <w:rPr>
          <w:rFonts w:ascii="Arial" w:hAnsi="Arial" w:cs="Arial"/>
        </w:rPr>
      </w:pPr>
      <w:r w:rsidRPr="00934FB9">
        <w:rPr>
          <w:rFonts w:ascii="Arial" w:hAnsi="Arial" w:cs="Arial"/>
        </w:rPr>
        <w:t>Over the past decades, sustainability has become increasingly prominent in both academic research and public policy, extending its relevance to organizations of different sizes and across various sectors, including SMEs. From this perspective, sustainability provides a useful foundation for understanding why organizational decisions should move beyond purely economic considerations to incorporate their environmental and social consequences. This perspective is particularly relevant to procurement because purchasing and sourcing decisions can influence resource consumption, environmental impacts, social conditions, and economic outcomes throughout the supply chain.</w:t>
      </w:r>
    </w:p>
    <w:p w14:paraId="358DB624" w14:textId="77777777" w:rsidR="00934FB9" w:rsidRDefault="00934FB9" w:rsidP="00934FB9">
      <w:pPr>
        <w:pStyle w:val="Body"/>
        <w:spacing w:after="0"/>
        <w:rPr>
          <w:rFonts w:ascii="Arial" w:hAnsi="Arial" w:cs="Arial"/>
        </w:rPr>
      </w:pPr>
      <w:r w:rsidRPr="00934FB9">
        <w:rPr>
          <w:rFonts w:ascii="Arial" w:hAnsi="Arial" w:cs="Arial"/>
        </w:rPr>
        <w:t>Sustainable procurement can therefore be viewed as an operational manifestation of broader sustainability principles. By incorporating economic, environmental, and social considerations into procurement decisions, organizations can use purchasing activities to advance sustainability objectives. Sustainable procurement can also contribute to the achievement of the Sustainable Development Goals (SDGs) by promoting economic inclusion, reducing environmental impacts, supporting social well-being, stimulating innovation, and creating opportunities for local businesses, including SMEs. Within the context of this study, sustainability theory thus provides an overarching perspective for explaining why SMEs may integrate sustainability considerations into procurement practices and how such practices can generate economic, social, and environmental outcomes.</w:t>
      </w:r>
    </w:p>
    <w:p w14:paraId="04B240F8" w14:textId="77777777" w:rsidR="00934FB9" w:rsidRDefault="00934FB9" w:rsidP="00934FB9">
      <w:pPr>
        <w:pStyle w:val="Body"/>
        <w:spacing w:after="0"/>
        <w:rPr>
          <w:rFonts w:ascii="Arial" w:hAnsi="Arial" w:cs="Arial"/>
        </w:rPr>
      </w:pPr>
    </w:p>
    <w:p w14:paraId="7D2C8D90" w14:textId="61D689AC" w:rsidR="00934FB9" w:rsidRDefault="00934FB9" w:rsidP="00934FB9">
      <w:pPr>
        <w:pStyle w:val="Body"/>
        <w:spacing w:after="0"/>
        <w:rPr>
          <w:rFonts w:ascii="Arial" w:hAnsi="Arial" w:cs="Arial"/>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sidRPr="00934FB9">
        <w:rPr>
          <w:rFonts w:ascii="Arial" w:hAnsi="Arial" w:cs="Arial"/>
          <w:b/>
          <w:sz w:val="22"/>
        </w:rPr>
        <w:t xml:space="preserve">Sustainable Procurement </w:t>
      </w:r>
      <w:r>
        <w:rPr>
          <w:rFonts w:ascii="Arial" w:hAnsi="Arial" w:cs="Arial"/>
          <w:b/>
          <w:sz w:val="22"/>
        </w:rPr>
        <w:t>a</w:t>
      </w:r>
      <w:r w:rsidRPr="00934FB9">
        <w:rPr>
          <w:rFonts w:ascii="Arial" w:hAnsi="Arial" w:cs="Arial"/>
          <w:b/>
          <w:sz w:val="22"/>
        </w:rPr>
        <w:t>nd S</w:t>
      </w:r>
      <w:r>
        <w:rPr>
          <w:rFonts w:ascii="Arial" w:hAnsi="Arial" w:cs="Arial"/>
          <w:b/>
          <w:sz w:val="22"/>
        </w:rPr>
        <w:t>ME</w:t>
      </w:r>
      <w:r w:rsidRPr="00934FB9">
        <w:rPr>
          <w:rFonts w:ascii="Arial" w:hAnsi="Arial" w:cs="Arial"/>
          <w:b/>
          <w:sz w:val="22"/>
        </w:rPr>
        <w:t xml:space="preserve"> Performance</w:t>
      </w:r>
      <w:r>
        <w:rPr>
          <w:rFonts w:ascii="Arial" w:hAnsi="Arial" w:cs="Arial"/>
          <w:b/>
          <w:sz w:val="22"/>
        </w:rPr>
        <w:t xml:space="preserve"> </w:t>
      </w:r>
      <w:r w:rsidRPr="00FB3A86">
        <w:rPr>
          <w:rFonts w:ascii="Arial" w:hAnsi="Arial" w:cs="Arial"/>
        </w:rPr>
        <w:t xml:space="preserve"> </w:t>
      </w:r>
    </w:p>
    <w:p w14:paraId="313FD8E8" w14:textId="77777777" w:rsidR="00934FB9" w:rsidRDefault="00934FB9" w:rsidP="00934FB9">
      <w:pPr>
        <w:pStyle w:val="Body"/>
        <w:spacing w:after="0"/>
        <w:rPr>
          <w:rFonts w:ascii="Arial" w:hAnsi="Arial" w:cs="Arial"/>
        </w:rPr>
      </w:pPr>
    </w:p>
    <w:p w14:paraId="53D7C982" w14:textId="77777777" w:rsidR="00934FB9" w:rsidRPr="00934FB9" w:rsidRDefault="00934FB9" w:rsidP="00934FB9">
      <w:pPr>
        <w:pStyle w:val="Body"/>
        <w:rPr>
          <w:rFonts w:ascii="Arial" w:hAnsi="Arial" w:cs="Arial"/>
        </w:rPr>
      </w:pPr>
      <w:r w:rsidRPr="00934FB9">
        <w:rPr>
          <w:rFonts w:ascii="Arial" w:hAnsi="Arial" w:cs="Arial"/>
        </w:rPr>
        <w:t xml:space="preserve">Sustainable procurement extends conventional purchasing practices by incorporating environmental and social considerations into procurement decisions and supplier </w:t>
      </w:r>
      <w:r w:rsidRPr="00934FB9">
        <w:rPr>
          <w:rFonts w:ascii="Arial" w:hAnsi="Arial" w:cs="Arial"/>
        </w:rPr>
        <w:lastRenderedPageBreak/>
        <w:t>relationships. Its implications extend beyond the focal organization to various supply chain stakeholders, including suppliers, employees, and customers. By integrating sustainability considerations into procurement, firms can improve resource efficiency, mitigate supply chain risks, strengthen stakeholder relationships, and support long-term value creation.</w:t>
      </w:r>
    </w:p>
    <w:p w14:paraId="0BB7DAE1" w14:textId="185A672E" w:rsidR="00934FB9" w:rsidRDefault="00934FB9" w:rsidP="00934FB9">
      <w:pPr>
        <w:pStyle w:val="Body"/>
        <w:spacing w:after="0"/>
        <w:rPr>
          <w:rFonts w:ascii="Arial" w:hAnsi="Arial" w:cs="Arial"/>
        </w:rPr>
      </w:pPr>
      <w:r w:rsidRPr="00934FB9">
        <w:rPr>
          <w:rFonts w:ascii="Arial" w:hAnsi="Arial" w:cs="Arial"/>
        </w:rPr>
        <w:t>In the SME context, these benefits are closely related to the broader role of supply chain management in organizational performance. Effective supply chain management enables SMEs to respond to customer needs, improve operational efficiency, enhance product and service quality, and strengthen their competitive position (</w:t>
      </w:r>
      <w:proofErr w:type="spellStart"/>
      <w:r w:rsidRPr="00934FB9">
        <w:rPr>
          <w:rFonts w:ascii="Arial" w:hAnsi="Arial" w:cs="Arial"/>
        </w:rPr>
        <w:t>Mukhsin</w:t>
      </w:r>
      <w:proofErr w:type="spellEnd"/>
      <w:r w:rsidRPr="00934FB9">
        <w:rPr>
          <w:rFonts w:ascii="Arial" w:hAnsi="Arial" w:cs="Arial"/>
        </w:rPr>
        <w:t xml:space="preserve"> and </w:t>
      </w:r>
      <w:proofErr w:type="spellStart"/>
      <w:r w:rsidRPr="00934FB9">
        <w:rPr>
          <w:rFonts w:ascii="Arial" w:hAnsi="Arial" w:cs="Arial"/>
        </w:rPr>
        <w:t>Suryanto</w:t>
      </w:r>
      <w:proofErr w:type="spellEnd"/>
      <w:r w:rsidRPr="00934FB9">
        <w:rPr>
          <w:rFonts w:ascii="Arial" w:hAnsi="Arial" w:cs="Arial"/>
        </w:rPr>
        <w:t>, 2022). Sustainable procurement therefore represents an important component of supply chain management through which SMEs can simultaneously pursue sustainability objectives and organizational performance.</w:t>
      </w:r>
    </w:p>
    <w:p w14:paraId="38DC7D97" w14:textId="77777777" w:rsidR="00934FB9" w:rsidRPr="00FB3A86" w:rsidRDefault="00934FB9" w:rsidP="00934FB9">
      <w:pPr>
        <w:pStyle w:val="Body"/>
        <w:spacing w:after="0"/>
        <w:rPr>
          <w:rFonts w:ascii="Arial" w:hAnsi="Arial" w:cs="Arial"/>
        </w:rPr>
      </w:pPr>
    </w:p>
    <w:p w14:paraId="7DCAE8DC" w14:textId="5F4CBD7A" w:rsidR="00934FB9" w:rsidRDefault="00934FB9" w:rsidP="00934FB9">
      <w:pPr>
        <w:pStyle w:val="Body"/>
        <w:spacing w:after="0"/>
        <w:rPr>
          <w:rFonts w:ascii="Arial" w:hAnsi="Arial" w:cs="Arial"/>
        </w:rPr>
      </w:pPr>
      <w:r w:rsidRPr="00C30A0F">
        <w:rPr>
          <w:rFonts w:ascii="Arial" w:hAnsi="Arial" w:cs="Arial"/>
          <w:b/>
          <w:caps/>
          <w:sz w:val="22"/>
        </w:rPr>
        <w:t>2.</w:t>
      </w:r>
      <w:r>
        <w:rPr>
          <w:rFonts w:ascii="Arial" w:hAnsi="Arial" w:cs="Arial"/>
          <w:b/>
          <w:caps/>
          <w:sz w:val="22"/>
        </w:rPr>
        <w:t>3</w:t>
      </w:r>
      <w:r w:rsidRPr="00C30A0F">
        <w:rPr>
          <w:rFonts w:ascii="Arial" w:hAnsi="Arial" w:cs="Arial"/>
          <w:b/>
          <w:caps/>
          <w:sz w:val="22"/>
        </w:rPr>
        <w:t xml:space="preserve"> </w:t>
      </w:r>
      <w:r>
        <w:rPr>
          <w:rFonts w:ascii="Arial" w:hAnsi="Arial" w:cs="Arial"/>
          <w:b/>
          <w:sz w:val="22"/>
        </w:rPr>
        <w:t>Hypothesis Development</w:t>
      </w:r>
      <w:r w:rsidRPr="00C30A0F">
        <w:rPr>
          <w:rFonts w:ascii="Arial" w:hAnsi="Arial" w:cs="Arial"/>
          <w:b/>
          <w:sz w:val="22"/>
        </w:rPr>
        <w:t xml:space="preserve"> </w:t>
      </w:r>
    </w:p>
    <w:p w14:paraId="6C544C69" w14:textId="77777777" w:rsidR="00934FB9" w:rsidRDefault="00934FB9" w:rsidP="00934FB9">
      <w:pPr>
        <w:pStyle w:val="Body"/>
        <w:spacing w:after="0"/>
        <w:rPr>
          <w:rFonts w:ascii="Arial" w:hAnsi="Arial" w:cs="Arial"/>
        </w:rPr>
      </w:pPr>
    </w:p>
    <w:p w14:paraId="534E1D59" w14:textId="218AF8F1"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.1</w:t>
      </w:r>
      <w:r>
        <w:rPr>
          <w:rFonts w:ascii="Arial" w:hAnsi="Arial" w:cs="Arial"/>
          <w:b/>
          <w:u w:val="single"/>
        </w:rPr>
        <w:t>.</w:t>
      </w:r>
      <w:r w:rsidRPr="00902823">
        <w:rPr>
          <w:rFonts w:ascii="Arial" w:hAnsi="Arial" w:cs="Arial"/>
          <w:b/>
          <w:u w:val="single"/>
        </w:rPr>
        <w:t xml:space="preserve"> </w:t>
      </w:r>
      <w:r w:rsidRPr="00934FB9">
        <w:rPr>
          <w:rFonts w:ascii="Arial" w:hAnsi="Arial" w:cs="Arial"/>
          <w:b/>
          <w:u w:val="single"/>
        </w:rPr>
        <w:t>The Effect of Sustainable Leadership on Sustainable Procurement Implementation</w:t>
      </w:r>
      <w:r w:rsidRPr="00FB3A86">
        <w:rPr>
          <w:rFonts w:ascii="Arial" w:hAnsi="Arial" w:cs="Arial"/>
        </w:rPr>
        <w:t xml:space="preserve">  </w:t>
      </w:r>
    </w:p>
    <w:p w14:paraId="76C8BF50" w14:textId="77777777" w:rsidR="00934FB9" w:rsidRDefault="00934FB9" w:rsidP="00934FB9">
      <w:pPr>
        <w:pStyle w:val="Body"/>
        <w:spacing w:after="0"/>
        <w:rPr>
          <w:rFonts w:ascii="Arial" w:hAnsi="Arial" w:cs="Arial"/>
        </w:rPr>
      </w:pPr>
    </w:p>
    <w:p w14:paraId="03C8440C" w14:textId="77777777" w:rsidR="00934FB9" w:rsidRPr="00934FB9" w:rsidRDefault="00934FB9" w:rsidP="00934FB9">
      <w:pPr>
        <w:pStyle w:val="Body"/>
        <w:rPr>
          <w:rFonts w:ascii="Arial" w:hAnsi="Arial" w:cs="Arial"/>
        </w:rPr>
      </w:pPr>
      <w:r w:rsidRPr="00934FB9">
        <w:rPr>
          <w:rFonts w:ascii="Arial" w:hAnsi="Arial" w:cs="Arial"/>
        </w:rPr>
        <w:t>Sustainable leadership is particularly relevant to procurement because leaders shape organizational priorities, allocate resources, and establish the values that guide purchasing decisions. Sustainability-oriented leaders can encourage procurement practices that extend beyond conventional cost and efficiency considerations by incorporating environmental and social criteria into supplier selection, resource sourcing, and supplier relationships. Leadership commitment to sustainability can therefore provide an important internal driver for the implementation of sustainable procurement.</w:t>
      </w:r>
    </w:p>
    <w:p w14:paraId="34E73902" w14:textId="77777777" w:rsidR="00934FB9" w:rsidRPr="00934FB9" w:rsidRDefault="00934FB9" w:rsidP="00934FB9">
      <w:pPr>
        <w:pStyle w:val="Body"/>
        <w:rPr>
          <w:rFonts w:ascii="Arial" w:hAnsi="Arial" w:cs="Arial"/>
        </w:rPr>
      </w:pPr>
      <w:r w:rsidRPr="00934FB9">
        <w:rPr>
          <w:rFonts w:ascii="Arial" w:hAnsi="Arial" w:cs="Arial"/>
        </w:rPr>
        <w:t xml:space="preserve">Prior research supports this relationship. </w:t>
      </w:r>
      <w:proofErr w:type="spellStart"/>
      <w:r w:rsidRPr="00934FB9">
        <w:rPr>
          <w:rFonts w:ascii="Arial" w:hAnsi="Arial" w:cs="Arial"/>
        </w:rPr>
        <w:t>Kantabutra</w:t>
      </w:r>
      <w:proofErr w:type="spellEnd"/>
      <w:r w:rsidRPr="00934FB9">
        <w:rPr>
          <w:rFonts w:ascii="Arial" w:hAnsi="Arial" w:cs="Arial"/>
        </w:rPr>
        <w:t xml:space="preserve"> (2020) suggest that leaders with a strong sustainability vision facilitate the adoption and institutionalization of sustainable organizational practices. Similarly, Avery and </w:t>
      </w:r>
      <w:proofErr w:type="spellStart"/>
      <w:r w:rsidRPr="00934FB9">
        <w:rPr>
          <w:rFonts w:ascii="Arial" w:hAnsi="Arial" w:cs="Arial"/>
        </w:rPr>
        <w:t>Bergsteiner</w:t>
      </w:r>
      <w:proofErr w:type="spellEnd"/>
      <w:r w:rsidRPr="00934FB9">
        <w:rPr>
          <w:rFonts w:ascii="Arial" w:hAnsi="Arial" w:cs="Arial"/>
        </w:rPr>
        <w:t xml:space="preserve"> (2011) emphasize that sustainability-oriented leadership supports organizational practices consistent with long-term sustainability objectives. In the procurement context, such leadership can provide the strategic direction and organizational commitment required to integrate sustainability considerations into purchasing and supplier-related decisions.</w:t>
      </w:r>
    </w:p>
    <w:p w14:paraId="2582C17E" w14:textId="77777777" w:rsidR="00934FB9" w:rsidRPr="00934FB9" w:rsidRDefault="00934FB9" w:rsidP="00934FB9">
      <w:pPr>
        <w:pStyle w:val="Body"/>
        <w:rPr>
          <w:rFonts w:ascii="Arial" w:hAnsi="Arial" w:cs="Arial"/>
        </w:rPr>
      </w:pPr>
      <w:r w:rsidRPr="00934FB9">
        <w:rPr>
          <w:rFonts w:ascii="Arial" w:hAnsi="Arial" w:cs="Arial"/>
        </w:rPr>
        <w:t xml:space="preserve">For SMEs, this relationship may be particularly important because owners and managers typically exert substantial influence over strategic and operational decisions. Stronger leadership commitment to sustainability is therefore expected to facilitate the adoption of procurement practices consistent with environmental, social, and economic objectives. Based on these arguments, the following hypothesis is </w:t>
      </w:r>
      <w:proofErr w:type="gramStart"/>
      <w:r w:rsidRPr="00934FB9">
        <w:rPr>
          <w:rFonts w:ascii="Arial" w:hAnsi="Arial" w:cs="Arial"/>
        </w:rPr>
        <w:t>proposed::</w:t>
      </w:r>
      <w:proofErr w:type="gramEnd"/>
    </w:p>
    <w:p w14:paraId="20D4B295" w14:textId="2445C85B" w:rsidR="00934FB9" w:rsidRDefault="00934FB9" w:rsidP="00934FB9">
      <w:pPr>
        <w:pStyle w:val="Body"/>
        <w:spacing w:after="0"/>
        <w:rPr>
          <w:rFonts w:ascii="Arial" w:hAnsi="Arial" w:cs="Arial"/>
        </w:rPr>
      </w:pPr>
      <w:r w:rsidRPr="00934FB9">
        <w:rPr>
          <w:rFonts w:ascii="Arial" w:hAnsi="Arial" w:cs="Arial"/>
        </w:rPr>
        <w:t>H1. Sustainable leadership positively influences the implementation of sustainable procurement.</w:t>
      </w:r>
    </w:p>
    <w:p w14:paraId="6DD069D9" w14:textId="77777777" w:rsidR="00934FB9" w:rsidRDefault="00934FB9" w:rsidP="00934FB9">
      <w:pPr>
        <w:pStyle w:val="Body"/>
        <w:spacing w:after="0"/>
        <w:rPr>
          <w:rFonts w:ascii="Arial" w:hAnsi="Arial" w:cs="Arial"/>
        </w:rPr>
      </w:pPr>
    </w:p>
    <w:p w14:paraId="59EBCFF9" w14:textId="77777777" w:rsidR="00934FB9" w:rsidRDefault="00934FB9" w:rsidP="00934FB9">
      <w:pPr>
        <w:pStyle w:val="Body"/>
        <w:spacing w:after="0"/>
        <w:rPr>
          <w:rFonts w:ascii="Arial" w:hAnsi="Arial" w:cs="Arial"/>
        </w:rPr>
      </w:pPr>
    </w:p>
    <w:p w14:paraId="46966F47" w14:textId="0B6784F1"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2.</w:t>
      </w:r>
      <w:r w:rsidRPr="00902823">
        <w:rPr>
          <w:rFonts w:ascii="Arial" w:hAnsi="Arial" w:cs="Arial"/>
          <w:b/>
          <w:u w:val="single"/>
        </w:rPr>
        <w:t xml:space="preserve"> </w:t>
      </w:r>
      <w:r w:rsidRPr="00934FB9">
        <w:rPr>
          <w:rFonts w:ascii="Arial" w:hAnsi="Arial" w:cs="Arial"/>
          <w:b/>
          <w:u w:val="single"/>
        </w:rPr>
        <w:t>The Effect of Sustainable Leadership on Triple Bottom Line Performance</w:t>
      </w:r>
      <w:r w:rsidRPr="00FB3A86">
        <w:rPr>
          <w:rFonts w:ascii="Arial" w:hAnsi="Arial" w:cs="Arial"/>
        </w:rPr>
        <w:t xml:space="preserve">  </w:t>
      </w:r>
    </w:p>
    <w:p w14:paraId="1437DF3F" w14:textId="77777777" w:rsidR="00934FB9" w:rsidRDefault="00934FB9" w:rsidP="00934FB9">
      <w:pPr>
        <w:pStyle w:val="Body"/>
        <w:spacing w:after="0"/>
        <w:rPr>
          <w:rFonts w:ascii="Arial" w:hAnsi="Arial" w:cs="Arial"/>
        </w:rPr>
      </w:pPr>
    </w:p>
    <w:p w14:paraId="0CFFAFD0" w14:textId="77777777" w:rsidR="00934FB9" w:rsidRPr="00934FB9" w:rsidRDefault="00934FB9" w:rsidP="00934FB9">
      <w:pPr>
        <w:pStyle w:val="Body"/>
        <w:rPr>
          <w:rFonts w:ascii="Arial" w:hAnsi="Arial" w:cs="Arial"/>
        </w:rPr>
      </w:pPr>
      <w:r w:rsidRPr="00934FB9">
        <w:rPr>
          <w:rFonts w:ascii="Arial" w:hAnsi="Arial" w:cs="Arial"/>
        </w:rPr>
        <w:t>Sustainable leadership can contribute to triple bottom line performance by embedding economic, social, and environmental considerations into organizational priorities and decision-making. Sustainability-oriented leaders influence resource allocation, organizational values, and stakeholder relationships, enabling firms to pursue economic objectives while simultaneously addressing their social and environmental responsibilities. Sustainable leadership therefore provides an organizational foundation for balancing the three dimensions of TBL rather than prioritizing financial outcomes alone.</w:t>
      </w:r>
    </w:p>
    <w:p w14:paraId="48087064" w14:textId="77777777" w:rsidR="00934FB9" w:rsidRPr="00934FB9" w:rsidRDefault="00934FB9" w:rsidP="00934FB9">
      <w:pPr>
        <w:pStyle w:val="Body"/>
        <w:rPr>
          <w:rFonts w:ascii="Arial" w:hAnsi="Arial" w:cs="Arial"/>
        </w:rPr>
      </w:pPr>
      <w:r w:rsidRPr="00934FB9">
        <w:rPr>
          <w:rFonts w:ascii="Arial" w:hAnsi="Arial" w:cs="Arial"/>
        </w:rPr>
        <w:lastRenderedPageBreak/>
        <w:t>This relationship is supported by the broader sustainability literature. Sustainability-oriented practices can improve cost efficiency and innovation, while greater attention to stakeholder interests can strengthen social value creation and responsible relationships with communities and other stakeholders (</w:t>
      </w:r>
      <w:proofErr w:type="spellStart"/>
      <w:r w:rsidRPr="00934FB9">
        <w:rPr>
          <w:rFonts w:ascii="Arial" w:hAnsi="Arial" w:cs="Arial"/>
        </w:rPr>
        <w:t>Hörisch</w:t>
      </w:r>
      <w:proofErr w:type="spellEnd"/>
      <w:r w:rsidRPr="00934FB9">
        <w:rPr>
          <w:rFonts w:ascii="Arial" w:hAnsi="Arial" w:cs="Arial"/>
        </w:rPr>
        <w:t xml:space="preserve"> et al., 2014). Sustainable leadership can facilitate these outcomes by aligning organizational priorities and practices with economic, social, and environmental objectives.</w:t>
      </w:r>
    </w:p>
    <w:p w14:paraId="06CC7E27" w14:textId="77777777" w:rsidR="00934FB9" w:rsidRPr="00934FB9" w:rsidRDefault="00934FB9" w:rsidP="00934FB9">
      <w:pPr>
        <w:pStyle w:val="Body"/>
        <w:rPr>
          <w:rFonts w:ascii="Arial" w:hAnsi="Arial" w:cs="Arial"/>
        </w:rPr>
      </w:pPr>
      <w:r w:rsidRPr="00934FB9">
        <w:rPr>
          <w:rFonts w:ascii="Arial" w:hAnsi="Arial" w:cs="Arial"/>
        </w:rPr>
        <w:t>This relationship may be particularly important for SMEs, where owners and managers typically exert substantial influence over strategic priorities and resource allocation. Leaders with a strong sustainability orientation can therefore directly shape how economic, social, and environmental objectives are incorporated into organizational decisions. Accordingly, sustainable leadership is expected to contribute positively to TBL performance. Based on these arguments, the following hypothesis is proposed:</w:t>
      </w:r>
    </w:p>
    <w:p w14:paraId="4CED2513" w14:textId="6E105F21" w:rsidR="00934FB9" w:rsidRDefault="00934FB9" w:rsidP="00934FB9">
      <w:pPr>
        <w:pStyle w:val="Body"/>
        <w:spacing w:after="0"/>
        <w:rPr>
          <w:rFonts w:ascii="Arial" w:hAnsi="Arial" w:cs="Arial"/>
        </w:rPr>
      </w:pPr>
      <w:r w:rsidRPr="00934FB9">
        <w:rPr>
          <w:rFonts w:ascii="Arial" w:hAnsi="Arial" w:cs="Arial"/>
        </w:rPr>
        <w:t xml:space="preserve">H2. Sustainable leadership positively influences triple bottom line performance </w:t>
      </w:r>
    </w:p>
    <w:p w14:paraId="6CC94F69" w14:textId="77777777" w:rsidR="00934FB9" w:rsidRDefault="00934FB9" w:rsidP="00934FB9">
      <w:pPr>
        <w:pStyle w:val="Body"/>
        <w:spacing w:after="0"/>
        <w:rPr>
          <w:rFonts w:ascii="Arial" w:hAnsi="Arial" w:cs="Arial"/>
        </w:rPr>
      </w:pPr>
    </w:p>
    <w:p w14:paraId="4816FA5E" w14:textId="33F87462"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3.</w:t>
      </w:r>
      <w:r w:rsidRPr="00902823">
        <w:rPr>
          <w:rFonts w:ascii="Arial" w:hAnsi="Arial" w:cs="Arial"/>
          <w:b/>
          <w:u w:val="single"/>
        </w:rPr>
        <w:t xml:space="preserve"> </w:t>
      </w:r>
      <w:r w:rsidRPr="00934FB9">
        <w:rPr>
          <w:rFonts w:ascii="Arial" w:hAnsi="Arial" w:cs="Arial"/>
          <w:b/>
          <w:u w:val="single"/>
        </w:rPr>
        <w:t>The Effect of Competitive Pressure on Triple Bottom Line Performance</w:t>
      </w:r>
      <w:r w:rsidRPr="00FB3A86">
        <w:rPr>
          <w:rFonts w:ascii="Arial" w:hAnsi="Arial" w:cs="Arial"/>
        </w:rPr>
        <w:t xml:space="preserve">  </w:t>
      </w:r>
    </w:p>
    <w:p w14:paraId="348FCD3A" w14:textId="77777777" w:rsidR="00934FB9" w:rsidRDefault="00934FB9" w:rsidP="00934FB9">
      <w:pPr>
        <w:pStyle w:val="Body"/>
        <w:spacing w:after="0"/>
        <w:rPr>
          <w:rFonts w:ascii="Arial" w:hAnsi="Arial" w:cs="Arial"/>
        </w:rPr>
      </w:pPr>
    </w:p>
    <w:p w14:paraId="0FCF53ED" w14:textId="77777777" w:rsidR="00934FB9" w:rsidRPr="00934FB9" w:rsidRDefault="00934FB9" w:rsidP="00934FB9">
      <w:pPr>
        <w:pStyle w:val="Body"/>
        <w:rPr>
          <w:rFonts w:ascii="Arial" w:hAnsi="Arial" w:cs="Arial"/>
        </w:rPr>
      </w:pPr>
      <w:r w:rsidRPr="00934FB9">
        <w:rPr>
          <w:rFonts w:ascii="Arial" w:hAnsi="Arial" w:cs="Arial"/>
        </w:rPr>
        <w:t>Competitive pressure can encourage firms to pursue sustainability-related outcomes as part of their efforts to maintain competitiveness. Firms facing intense competition are under pressure not only to improve efficiency and economic performance but also to respond to increasing environmental and social expectations from customers and other stakeholders. Consequently, competitive pressure may encourage firms to integrate economic, social, and environmental considerations into their strategies, thereby improving their triple bottom line performance.</w:t>
      </w:r>
    </w:p>
    <w:p w14:paraId="1FD35EE0" w14:textId="77777777" w:rsidR="00934FB9" w:rsidRPr="00934FB9" w:rsidRDefault="00934FB9" w:rsidP="00934FB9">
      <w:pPr>
        <w:pStyle w:val="Body"/>
        <w:rPr>
          <w:rFonts w:ascii="Arial" w:hAnsi="Arial" w:cs="Arial"/>
        </w:rPr>
      </w:pPr>
      <w:r w:rsidRPr="00934FB9">
        <w:rPr>
          <w:rFonts w:ascii="Arial" w:hAnsi="Arial" w:cs="Arial"/>
        </w:rPr>
        <w:t xml:space="preserve">This relationship is supported by previous studies linking competitive conditions with sustainability-oriented organizational responses. Cenci et al. (2025) show that competitive pressure can encourage firms to diversify their investments across environmental initiatives, indicating that competitive conditions may stimulate stronger environmental responses. Similarly, </w:t>
      </w:r>
      <w:proofErr w:type="spellStart"/>
      <w:r w:rsidRPr="00934FB9">
        <w:rPr>
          <w:rFonts w:ascii="Arial" w:hAnsi="Arial" w:cs="Arial"/>
        </w:rPr>
        <w:t>Isdiana</w:t>
      </w:r>
      <w:proofErr w:type="spellEnd"/>
      <w:r w:rsidRPr="00934FB9">
        <w:rPr>
          <w:rFonts w:ascii="Arial" w:hAnsi="Arial" w:cs="Arial"/>
        </w:rPr>
        <w:t>, Sari, and Batu (2025) report a positive relationship between competitive pressure and sustainable firm performance, suggesting that firms facing stronger competitive pressure are more likely to incorporate economic, social, and environmental considerations into their business strategies.</w:t>
      </w:r>
    </w:p>
    <w:p w14:paraId="0AEB7E8F" w14:textId="77777777" w:rsidR="00934FB9" w:rsidRPr="00934FB9" w:rsidRDefault="00934FB9" w:rsidP="00934FB9">
      <w:pPr>
        <w:pStyle w:val="Body"/>
        <w:rPr>
          <w:rFonts w:ascii="Arial" w:hAnsi="Arial" w:cs="Arial"/>
        </w:rPr>
      </w:pPr>
      <w:r w:rsidRPr="00934FB9">
        <w:rPr>
          <w:rFonts w:ascii="Arial" w:hAnsi="Arial" w:cs="Arial"/>
        </w:rPr>
        <w:t>For SMEs, competitive pressure may therefore stimulate efforts to improve efficiency, strengthen social and stakeholder relationships, and enhance environmental performance as complementary sources of competitiveness. Rather than focusing exclusively on short-term economic outcomes, SMEs operating in increasingly sustainability-conscious markets may need to address all three dimensions of performance to maintain their competitive position. Based on these arguments, the following hypothesis is proposed:</w:t>
      </w:r>
    </w:p>
    <w:p w14:paraId="0E77388F" w14:textId="0762FCDC" w:rsidR="00934FB9" w:rsidRDefault="00934FB9" w:rsidP="00934FB9">
      <w:pPr>
        <w:pStyle w:val="Body"/>
        <w:spacing w:after="0"/>
        <w:rPr>
          <w:rFonts w:ascii="Arial" w:hAnsi="Arial" w:cs="Arial"/>
        </w:rPr>
      </w:pPr>
      <w:r w:rsidRPr="00934FB9">
        <w:rPr>
          <w:rFonts w:ascii="Arial" w:hAnsi="Arial" w:cs="Arial"/>
        </w:rPr>
        <w:t xml:space="preserve">H3. Competitive pressure positively influences triple bottom line performance. </w:t>
      </w:r>
    </w:p>
    <w:p w14:paraId="3EB49D8B" w14:textId="77777777" w:rsidR="00934FB9" w:rsidRDefault="00934FB9" w:rsidP="00934FB9">
      <w:pPr>
        <w:pStyle w:val="Body"/>
        <w:spacing w:after="0"/>
        <w:rPr>
          <w:rFonts w:ascii="Arial" w:hAnsi="Arial" w:cs="Arial"/>
        </w:rPr>
      </w:pPr>
    </w:p>
    <w:p w14:paraId="0EA67D89" w14:textId="71A8D971"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4.</w:t>
      </w:r>
      <w:r w:rsidRPr="00902823">
        <w:rPr>
          <w:rFonts w:ascii="Arial" w:hAnsi="Arial" w:cs="Arial"/>
          <w:b/>
          <w:u w:val="single"/>
        </w:rPr>
        <w:t xml:space="preserve"> </w:t>
      </w:r>
      <w:r w:rsidRPr="00934FB9">
        <w:rPr>
          <w:rFonts w:ascii="Arial" w:hAnsi="Arial" w:cs="Arial"/>
          <w:b/>
          <w:u w:val="single"/>
        </w:rPr>
        <w:t>The Effect of Competitive Pressure on Sustainable Procurement</w:t>
      </w:r>
      <w:r w:rsidRPr="00FB3A86">
        <w:rPr>
          <w:rFonts w:ascii="Arial" w:hAnsi="Arial" w:cs="Arial"/>
        </w:rPr>
        <w:t xml:space="preserve">  </w:t>
      </w:r>
    </w:p>
    <w:p w14:paraId="242AB2A2" w14:textId="77777777" w:rsidR="00934FB9" w:rsidRDefault="00934FB9" w:rsidP="00934FB9">
      <w:pPr>
        <w:pStyle w:val="Body"/>
        <w:spacing w:after="0"/>
        <w:rPr>
          <w:rFonts w:ascii="Arial" w:hAnsi="Arial" w:cs="Arial"/>
        </w:rPr>
      </w:pPr>
    </w:p>
    <w:p w14:paraId="08DAF6A3" w14:textId="77777777" w:rsidR="00934FB9" w:rsidRPr="00934FB9" w:rsidRDefault="00934FB9" w:rsidP="00934FB9">
      <w:pPr>
        <w:pStyle w:val="Body"/>
        <w:rPr>
          <w:rFonts w:ascii="Arial" w:hAnsi="Arial" w:cs="Arial"/>
        </w:rPr>
      </w:pPr>
      <w:r w:rsidRPr="00934FB9">
        <w:rPr>
          <w:rFonts w:ascii="Arial" w:hAnsi="Arial" w:cs="Arial"/>
        </w:rPr>
        <w:t>Competitive pressure can encourage firms to reconsider their procurement practices as they respond to changing market expectations and seek to maintain their competitive position. As sustainability becomes increasingly important to customers, regulators, and other stakeholders, firms may face greater pressure to incorporate environmental and social considerations into purchasing and supplier-related decisions. Sustainable procurement can therefore represent an organizational response to competitive conditions by enabling firms to align their procurement activities with emerging sustainability requirements.</w:t>
      </w:r>
    </w:p>
    <w:p w14:paraId="5334846C" w14:textId="77777777" w:rsidR="00934FB9" w:rsidRPr="00934FB9" w:rsidRDefault="00934FB9" w:rsidP="00934FB9">
      <w:pPr>
        <w:pStyle w:val="Body"/>
        <w:rPr>
          <w:rFonts w:ascii="Arial" w:hAnsi="Arial" w:cs="Arial"/>
        </w:rPr>
      </w:pPr>
      <w:r w:rsidRPr="00934FB9">
        <w:rPr>
          <w:rFonts w:ascii="Arial" w:hAnsi="Arial" w:cs="Arial"/>
        </w:rPr>
        <w:lastRenderedPageBreak/>
        <w:t>Prior research supports the role of competitive pressure in shaping sustainability-oriented organizational practices. Cenci et al. (2025) show that competitive pressure encourages firms to increase their engagement in environmental initiatives. In the context of industrial SMEs, Chang and Fong (2025) demonstrate that competitive conditions are relevant to sustainable procurement decisions, although these decisions also depend on organizational and relational factors. Similarly, external competitive pressures can encourage firms to adapt their strategies and operational practices in response to changing sustainability expectations (</w:t>
      </w:r>
      <w:proofErr w:type="spellStart"/>
      <w:r w:rsidRPr="00934FB9">
        <w:rPr>
          <w:rFonts w:ascii="Arial" w:hAnsi="Arial" w:cs="Arial"/>
        </w:rPr>
        <w:t>Hinterhuber</w:t>
      </w:r>
      <w:proofErr w:type="spellEnd"/>
      <w:r w:rsidRPr="00934FB9">
        <w:rPr>
          <w:rFonts w:ascii="Arial" w:hAnsi="Arial" w:cs="Arial"/>
        </w:rPr>
        <w:t>, 2025).</w:t>
      </w:r>
    </w:p>
    <w:p w14:paraId="20C90415" w14:textId="77777777" w:rsidR="00934FB9" w:rsidRPr="00934FB9" w:rsidRDefault="00934FB9" w:rsidP="00934FB9">
      <w:pPr>
        <w:pStyle w:val="Body"/>
        <w:rPr>
          <w:rFonts w:ascii="Arial" w:hAnsi="Arial" w:cs="Arial"/>
        </w:rPr>
      </w:pPr>
      <w:r w:rsidRPr="00934FB9">
        <w:rPr>
          <w:rFonts w:ascii="Arial" w:hAnsi="Arial" w:cs="Arial"/>
        </w:rPr>
        <w:t>For SMEs, competitive pressure may therefore provide an external stimulus for incorporating sustainability criteria into supplier selection, purchasing decisions, and supply chain relationships. As competitive conditions intensify, SMEs are expected to respond by adopting procurement practices that better address market and stakeholder expectations regarding sustainability. Based on these arguments, the following hypothesis is proposed:</w:t>
      </w:r>
    </w:p>
    <w:p w14:paraId="26755DC7" w14:textId="5AAE5785" w:rsidR="00934FB9" w:rsidRDefault="00934FB9" w:rsidP="00934FB9">
      <w:pPr>
        <w:pStyle w:val="Body"/>
        <w:spacing w:after="0"/>
        <w:rPr>
          <w:rFonts w:ascii="Arial" w:hAnsi="Arial" w:cs="Arial"/>
        </w:rPr>
      </w:pPr>
      <w:r w:rsidRPr="00934FB9">
        <w:rPr>
          <w:rFonts w:ascii="Arial" w:hAnsi="Arial" w:cs="Arial"/>
        </w:rPr>
        <w:t xml:space="preserve">H4. Competitive pressure positively influences the implementation of sustainable procurement </w:t>
      </w:r>
    </w:p>
    <w:p w14:paraId="7F6CBD27" w14:textId="77777777" w:rsidR="00934FB9" w:rsidRDefault="00934FB9" w:rsidP="00934FB9">
      <w:pPr>
        <w:pStyle w:val="Body"/>
        <w:spacing w:after="0"/>
        <w:rPr>
          <w:rFonts w:ascii="Arial" w:hAnsi="Arial" w:cs="Arial"/>
        </w:rPr>
      </w:pPr>
    </w:p>
    <w:p w14:paraId="2359EC95" w14:textId="732C24D5"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5.</w:t>
      </w:r>
      <w:r w:rsidRPr="00902823">
        <w:rPr>
          <w:rFonts w:ascii="Arial" w:hAnsi="Arial" w:cs="Arial"/>
          <w:b/>
          <w:u w:val="single"/>
        </w:rPr>
        <w:t xml:space="preserve"> </w:t>
      </w:r>
      <w:r w:rsidRPr="00934FB9">
        <w:rPr>
          <w:rFonts w:ascii="Arial" w:hAnsi="Arial" w:cs="Arial"/>
          <w:b/>
          <w:u w:val="single"/>
        </w:rPr>
        <w:t>The Effect of Triple Bottom Line Performance on Sustainable Procurement</w:t>
      </w:r>
      <w:r w:rsidRPr="00FB3A86">
        <w:rPr>
          <w:rFonts w:ascii="Arial" w:hAnsi="Arial" w:cs="Arial"/>
        </w:rPr>
        <w:t xml:space="preserve">  </w:t>
      </w:r>
    </w:p>
    <w:p w14:paraId="4BD5D92F" w14:textId="77777777" w:rsidR="00934FB9" w:rsidRDefault="00934FB9" w:rsidP="00934FB9">
      <w:pPr>
        <w:pStyle w:val="Body"/>
        <w:spacing w:after="0"/>
        <w:rPr>
          <w:rFonts w:ascii="Arial" w:hAnsi="Arial" w:cs="Arial"/>
        </w:rPr>
      </w:pPr>
    </w:p>
    <w:p w14:paraId="7DB842AE" w14:textId="77777777" w:rsidR="00934FB9" w:rsidRPr="00934FB9" w:rsidRDefault="00934FB9" w:rsidP="00934FB9">
      <w:pPr>
        <w:pStyle w:val="Body"/>
        <w:rPr>
          <w:rFonts w:ascii="Arial" w:hAnsi="Arial" w:cs="Arial"/>
        </w:rPr>
      </w:pPr>
      <w:r w:rsidRPr="00934FB9">
        <w:rPr>
          <w:rFonts w:ascii="Arial" w:hAnsi="Arial" w:cs="Arial"/>
        </w:rPr>
        <w:t>Organizations that emphasize economic, social, and environmental performance are more likely to incorporate these sustainability priorities into their operational decisions, including procurement. When TBL principles become part of organizational priorities, procurement decisions can extend beyond conventional cost and quality considerations to include resource efficiency, environmental impact, supplier responsibility, and social value. Sustainable procurement therefore represents an operational means through which organizations can align purchasing and supplier-related decisions with their broader TBL objectives.</w:t>
      </w:r>
    </w:p>
    <w:p w14:paraId="20E317D5" w14:textId="77777777" w:rsidR="00934FB9" w:rsidRPr="00934FB9" w:rsidRDefault="00934FB9" w:rsidP="00934FB9">
      <w:pPr>
        <w:pStyle w:val="Body"/>
        <w:rPr>
          <w:rFonts w:ascii="Arial" w:hAnsi="Arial" w:cs="Arial"/>
        </w:rPr>
      </w:pPr>
      <w:r w:rsidRPr="00934FB9">
        <w:rPr>
          <w:rFonts w:ascii="Arial" w:hAnsi="Arial" w:cs="Arial"/>
        </w:rPr>
        <w:t>Previous studies demonstrate a close relationship between TBL considerations and sustainability-oriented procurement practices. Sánchez-Flores et al. (2022) highlight the integration of economic, social, and environmental dimensions within sustainable supply chain and procurement practices. Similarly, Foo et al. (2021) demonstrate a significant relationship between green purchasing and firms’ TBL performance, reinforcing the close connection between procurement practices and economic, social, and environmental outcomes. Santos (2025) further identifies the growing incorporation of TBL principles into sustainable procurement research.</w:t>
      </w:r>
    </w:p>
    <w:p w14:paraId="4315FB5A" w14:textId="77777777" w:rsidR="00934FB9" w:rsidRPr="00934FB9" w:rsidRDefault="00934FB9" w:rsidP="00934FB9">
      <w:pPr>
        <w:pStyle w:val="Body"/>
        <w:rPr>
          <w:rFonts w:ascii="Arial" w:hAnsi="Arial" w:cs="Arial"/>
        </w:rPr>
      </w:pPr>
      <w:r w:rsidRPr="00934FB9">
        <w:rPr>
          <w:rFonts w:ascii="Arial" w:hAnsi="Arial" w:cs="Arial"/>
        </w:rPr>
        <w:t>For SMEs, stronger attention to economic viability, social responsibility, and environmental performance can therefore shape supplier selection, resource sourcing, and purchasing decisions. As SMEs increasingly incorporate TBL considerations into organizational priorities, they are expected to adopt procurement practices that are more consistent with sustainability objectives. Accordingly, the following hypothesis is proposed:</w:t>
      </w:r>
    </w:p>
    <w:p w14:paraId="65F9BDBC" w14:textId="3D5895A5" w:rsidR="00934FB9" w:rsidRDefault="00934FB9" w:rsidP="00934FB9">
      <w:pPr>
        <w:pStyle w:val="Body"/>
        <w:spacing w:after="0"/>
        <w:rPr>
          <w:rFonts w:ascii="Arial" w:hAnsi="Arial" w:cs="Arial"/>
        </w:rPr>
      </w:pPr>
      <w:r w:rsidRPr="00934FB9">
        <w:rPr>
          <w:rFonts w:ascii="Arial" w:hAnsi="Arial" w:cs="Arial"/>
        </w:rPr>
        <w:t xml:space="preserve">H5. Triple bottom line performance positively influences the implementation of sustainable procurement </w:t>
      </w:r>
    </w:p>
    <w:p w14:paraId="3EE6D4CF" w14:textId="6A7D75E3" w:rsidR="00934FB9" w:rsidRDefault="00934FB9" w:rsidP="00934FB9">
      <w:pPr>
        <w:pStyle w:val="Body"/>
        <w:spacing w:after="0"/>
        <w:rPr>
          <w:rFonts w:ascii="Arial" w:hAnsi="Arial" w:cs="Arial"/>
        </w:rPr>
      </w:pPr>
    </w:p>
    <w:p w14:paraId="10447BC5" w14:textId="7CEEEB81"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6.</w:t>
      </w:r>
      <w:r w:rsidRPr="00902823">
        <w:rPr>
          <w:rFonts w:ascii="Arial" w:hAnsi="Arial" w:cs="Arial"/>
          <w:b/>
          <w:u w:val="single"/>
        </w:rPr>
        <w:t xml:space="preserve"> </w:t>
      </w:r>
      <w:r w:rsidRPr="00934FB9">
        <w:rPr>
          <w:rFonts w:ascii="Arial" w:hAnsi="Arial" w:cs="Arial"/>
          <w:b/>
          <w:u w:val="single"/>
        </w:rPr>
        <w:t>The Effect of Sustainable Procurement on SME Performance</w:t>
      </w:r>
      <w:r w:rsidRPr="00FB3A86">
        <w:rPr>
          <w:rFonts w:ascii="Arial" w:hAnsi="Arial" w:cs="Arial"/>
        </w:rPr>
        <w:t xml:space="preserve">  </w:t>
      </w:r>
    </w:p>
    <w:p w14:paraId="2E4CFA8D" w14:textId="77777777" w:rsidR="00934FB9" w:rsidRDefault="00934FB9" w:rsidP="00934FB9">
      <w:pPr>
        <w:pStyle w:val="Body"/>
        <w:spacing w:after="0"/>
        <w:rPr>
          <w:rFonts w:ascii="Arial" w:hAnsi="Arial" w:cs="Arial"/>
        </w:rPr>
      </w:pPr>
    </w:p>
    <w:p w14:paraId="003F436E" w14:textId="77777777" w:rsidR="00A32649" w:rsidRPr="00A32649" w:rsidRDefault="00A32649" w:rsidP="00A32649">
      <w:pPr>
        <w:pStyle w:val="Body"/>
        <w:rPr>
          <w:rFonts w:ascii="Arial" w:hAnsi="Arial" w:cs="Arial"/>
        </w:rPr>
      </w:pPr>
      <w:r w:rsidRPr="00A32649">
        <w:rPr>
          <w:rFonts w:ascii="Arial" w:hAnsi="Arial" w:cs="Arial"/>
        </w:rPr>
        <w:t xml:space="preserve">Sustainable procurement can enhance SME performance by generating both operational and strategic benefits. Integrating environmental and social considerations into procurement decisions can improve resource efficiency, reduce supply-related risks, strengthen supplier relationships, and enhance organizational reputation. These practices may also foster </w:t>
      </w:r>
      <w:r w:rsidRPr="00A32649">
        <w:rPr>
          <w:rFonts w:ascii="Arial" w:hAnsi="Arial" w:cs="Arial"/>
        </w:rPr>
        <w:lastRenderedPageBreak/>
        <w:t>innovation and long-term value creation, thereby strengthening firms’ competitiveness. In SMEs, where resources are often limited, improvements in procurement and supply chain practices can be particularly important for enhancing efficiency, product and service quality, and responsiveness to customer needs (</w:t>
      </w:r>
      <w:proofErr w:type="spellStart"/>
      <w:r w:rsidRPr="00A32649">
        <w:rPr>
          <w:rFonts w:ascii="Arial" w:hAnsi="Arial" w:cs="Arial"/>
        </w:rPr>
        <w:t>Mukhsin</w:t>
      </w:r>
      <w:proofErr w:type="spellEnd"/>
      <w:r w:rsidRPr="00A32649">
        <w:rPr>
          <w:rFonts w:ascii="Arial" w:hAnsi="Arial" w:cs="Arial"/>
        </w:rPr>
        <w:t xml:space="preserve"> and </w:t>
      </w:r>
      <w:proofErr w:type="spellStart"/>
      <w:r w:rsidRPr="00A32649">
        <w:rPr>
          <w:rFonts w:ascii="Arial" w:hAnsi="Arial" w:cs="Arial"/>
        </w:rPr>
        <w:t>Suryanto</w:t>
      </w:r>
      <w:proofErr w:type="spellEnd"/>
      <w:r w:rsidRPr="00A32649">
        <w:rPr>
          <w:rFonts w:ascii="Arial" w:hAnsi="Arial" w:cs="Arial"/>
        </w:rPr>
        <w:t>, 2022).</w:t>
      </w:r>
    </w:p>
    <w:p w14:paraId="160A7C40" w14:textId="77777777" w:rsidR="00A32649" w:rsidRPr="00A32649" w:rsidRDefault="00A32649" w:rsidP="00A32649">
      <w:pPr>
        <w:pStyle w:val="Body"/>
        <w:rPr>
          <w:rFonts w:ascii="Arial" w:hAnsi="Arial" w:cs="Arial"/>
        </w:rPr>
      </w:pPr>
      <w:r w:rsidRPr="00A32649">
        <w:rPr>
          <w:rFonts w:ascii="Arial" w:hAnsi="Arial" w:cs="Arial"/>
        </w:rPr>
        <w:t xml:space="preserve">Empirical evidence supports the positive relationship between sustainable procurement and SME performance. </w:t>
      </w:r>
      <w:proofErr w:type="spellStart"/>
      <w:r w:rsidRPr="00A32649">
        <w:rPr>
          <w:rFonts w:ascii="Arial" w:hAnsi="Arial" w:cs="Arial"/>
        </w:rPr>
        <w:t>Nangpiire</w:t>
      </w:r>
      <w:proofErr w:type="spellEnd"/>
      <w:r w:rsidRPr="00A32649">
        <w:rPr>
          <w:rFonts w:ascii="Arial" w:hAnsi="Arial" w:cs="Arial"/>
        </w:rPr>
        <w:t xml:space="preserve"> et al. (2024) demonstrate that sustainable procurement practices contribute significantly to SME performance. Similarly, </w:t>
      </w:r>
      <w:proofErr w:type="spellStart"/>
      <w:r w:rsidRPr="00A32649">
        <w:rPr>
          <w:rFonts w:ascii="Arial" w:hAnsi="Arial" w:cs="Arial"/>
        </w:rPr>
        <w:t>Mukhsin</w:t>
      </w:r>
      <w:proofErr w:type="spellEnd"/>
      <w:r w:rsidRPr="00A32649">
        <w:rPr>
          <w:rFonts w:ascii="Arial" w:hAnsi="Arial" w:cs="Arial"/>
        </w:rPr>
        <w:t xml:space="preserve"> and </w:t>
      </w:r>
      <w:proofErr w:type="spellStart"/>
      <w:r w:rsidRPr="00A32649">
        <w:rPr>
          <w:rFonts w:ascii="Arial" w:hAnsi="Arial" w:cs="Arial"/>
        </w:rPr>
        <w:t>Suryanto</w:t>
      </w:r>
      <w:proofErr w:type="spellEnd"/>
      <w:r w:rsidRPr="00A32649">
        <w:rPr>
          <w:rFonts w:ascii="Arial" w:hAnsi="Arial" w:cs="Arial"/>
        </w:rPr>
        <w:t xml:space="preserve"> (2022) find that sustainable supply chain management practices, including sustainable procurement, are positively associated with business performance and competitiveness among SMEs. Evidence from SMEs in the culinary sector also indicates that green purchasing, as a component of sustainable procurement, positively contributes to operational performance. </w:t>
      </w:r>
    </w:p>
    <w:p w14:paraId="2B4D59F3" w14:textId="77777777" w:rsidR="00A32649" w:rsidRPr="00A32649" w:rsidRDefault="00A32649" w:rsidP="00A32649">
      <w:pPr>
        <w:pStyle w:val="Body"/>
        <w:rPr>
          <w:rFonts w:ascii="Arial" w:hAnsi="Arial" w:cs="Arial"/>
        </w:rPr>
      </w:pPr>
      <w:r w:rsidRPr="00A32649">
        <w:rPr>
          <w:rFonts w:ascii="Arial" w:hAnsi="Arial" w:cs="Arial"/>
        </w:rPr>
        <w:t>Taken together, these findings suggest that sustainable procurement enables SMEs to translate sustainability-oriented purchasing decisions into operational efficiency, stronger supply chain relationships, innovation, and competitive benefits. Sustainable procurement is therefore expected to contribute positively to SME performance. Accordingly, the following hypothesis is proposed:</w:t>
      </w:r>
    </w:p>
    <w:p w14:paraId="5A34BFB9" w14:textId="5180980C" w:rsidR="00934FB9" w:rsidRDefault="00A32649" w:rsidP="00A32649">
      <w:pPr>
        <w:pStyle w:val="Body"/>
        <w:spacing w:after="0"/>
        <w:rPr>
          <w:rFonts w:ascii="Arial" w:hAnsi="Arial" w:cs="Arial"/>
        </w:rPr>
      </w:pPr>
      <w:r w:rsidRPr="00A32649">
        <w:rPr>
          <w:rFonts w:ascii="Arial" w:hAnsi="Arial" w:cs="Arial"/>
        </w:rPr>
        <w:t>H6. Sustainable procurement positively influences SME performance.</w:t>
      </w:r>
      <w:r w:rsidR="00934FB9" w:rsidRPr="00934FB9">
        <w:rPr>
          <w:rFonts w:ascii="Arial" w:hAnsi="Arial" w:cs="Arial"/>
        </w:rPr>
        <w:t xml:space="preserve"> </w:t>
      </w:r>
    </w:p>
    <w:p w14:paraId="727BFE96" w14:textId="77777777" w:rsidR="00934FB9" w:rsidRDefault="00934FB9" w:rsidP="00934FB9">
      <w:pPr>
        <w:pStyle w:val="Body"/>
        <w:spacing w:after="0"/>
        <w:rPr>
          <w:rFonts w:ascii="Arial" w:hAnsi="Arial" w:cs="Arial"/>
        </w:rPr>
      </w:pPr>
    </w:p>
    <w:p w14:paraId="3E52B246" w14:textId="18B5A1E3"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sidR="00A32649">
        <w:rPr>
          <w:rFonts w:ascii="Arial" w:hAnsi="Arial" w:cs="Arial"/>
          <w:b/>
          <w:u w:val="single"/>
        </w:rPr>
        <w:t>7</w:t>
      </w:r>
      <w:r>
        <w:rPr>
          <w:rFonts w:ascii="Arial" w:hAnsi="Arial" w:cs="Arial"/>
          <w:b/>
          <w:u w:val="single"/>
        </w:rPr>
        <w:t>.</w:t>
      </w:r>
      <w:r w:rsidRPr="00902823">
        <w:rPr>
          <w:rFonts w:ascii="Arial" w:hAnsi="Arial" w:cs="Arial"/>
          <w:b/>
          <w:u w:val="single"/>
        </w:rPr>
        <w:t xml:space="preserve"> </w:t>
      </w:r>
      <w:r w:rsidR="00A32649" w:rsidRPr="00A32649">
        <w:rPr>
          <w:rFonts w:ascii="Arial" w:hAnsi="Arial" w:cs="Arial"/>
          <w:b/>
          <w:u w:val="single"/>
        </w:rPr>
        <w:t>The Mediating Role of Sustainable Procurement in the Relationship between Sustainable Leadership and SME Performance</w:t>
      </w:r>
      <w:r w:rsidRPr="00FB3A86">
        <w:rPr>
          <w:rFonts w:ascii="Arial" w:hAnsi="Arial" w:cs="Arial"/>
        </w:rPr>
        <w:t xml:space="preserve">  </w:t>
      </w:r>
    </w:p>
    <w:p w14:paraId="058E095D" w14:textId="77777777" w:rsidR="00934FB9" w:rsidRDefault="00934FB9" w:rsidP="00934FB9">
      <w:pPr>
        <w:pStyle w:val="Body"/>
        <w:spacing w:after="0"/>
        <w:rPr>
          <w:rFonts w:ascii="Arial" w:hAnsi="Arial" w:cs="Arial"/>
        </w:rPr>
      </w:pPr>
    </w:p>
    <w:p w14:paraId="13303B6D" w14:textId="77777777" w:rsidR="00A32649" w:rsidRPr="00A32649" w:rsidRDefault="00A32649" w:rsidP="00A32649">
      <w:pPr>
        <w:pStyle w:val="Body"/>
        <w:rPr>
          <w:rFonts w:ascii="Arial" w:hAnsi="Arial" w:cs="Arial"/>
        </w:rPr>
      </w:pPr>
      <w:r w:rsidRPr="00A32649">
        <w:rPr>
          <w:rFonts w:ascii="Arial" w:hAnsi="Arial" w:cs="Arial"/>
        </w:rPr>
        <w:t xml:space="preserve">Sustainable leadership reflects a leader’s ability to integrate economic, social, and environmental considerations into organizational decision-making while maintaining the long-term viability of the organization (Avery and </w:t>
      </w:r>
      <w:proofErr w:type="spellStart"/>
      <w:r w:rsidRPr="00A32649">
        <w:rPr>
          <w:rFonts w:ascii="Arial" w:hAnsi="Arial" w:cs="Arial"/>
        </w:rPr>
        <w:t>Bergsteiner</w:t>
      </w:r>
      <w:proofErr w:type="spellEnd"/>
      <w:r w:rsidRPr="00A32649">
        <w:rPr>
          <w:rFonts w:ascii="Arial" w:hAnsi="Arial" w:cs="Arial"/>
        </w:rPr>
        <w:t>, 2011). Sustainability-oriented leaders can shape organizational values, allocate resources, engage stakeholders, and establish priorities that support responsible business practices. However, leadership orientation alone may not automatically translate into improved organizational performance. Its performance implications depend on the extent to which sustainability commitments are embedded in concrete organizational practices.</w:t>
      </w:r>
    </w:p>
    <w:p w14:paraId="3C648DE1" w14:textId="77777777" w:rsidR="00A32649" w:rsidRPr="00A32649" w:rsidRDefault="00A32649" w:rsidP="00A32649">
      <w:pPr>
        <w:pStyle w:val="Body"/>
        <w:rPr>
          <w:rFonts w:ascii="Arial" w:hAnsi="Arial" w:cs="Arial"/>
        </w:rPr>
      </w:pPr>
      <w:r w:rsidRPr="00A32649">
        <w:rPr>
          <w:rFonts w:ascii="Arial" w:hAnsi="Arial" w:cs="Arial"/>
        </w:rPr>
        <w:t>Sustainable procurement provides an operational mechanism through which sustainability-oriented leadership can be translated into organizational action. Leaders who prioritize sustainability can encourage the incorporation of environmental and social criteria into supplier selection, resource sourcing, purchasing decisions, and supplier relationships. In this way, sustainable procurement transforms broader leadership commitments into practices that influence how organizational resources and supply chain relationships are managed. This argument is consistent with the view that sustainability-oriented leadership facilitates the adoption and institutionalization of sustainable organizational practices (</w:t>
      </w:r>
      <w:proofErr w:type="spellStart"/>
      <w:r w:rsidRPr="00A32649">
        <w:rPr>
          <w:rFonts w:ascii="Arial" w:hAnsi="Arial" w:cs="Arial"/>
        </w:rPr>
        <w:t>Kantabutra</w:t>
      </w:r>
      <w:proofErr w:type="spellEnd"/>
      <w:r w:rsidRPr="00A32649">
        <w:rPr>
          <w:rFonts w:ascii="Arial" w:hAnsi="Arial" w:cs="Arial"/>
        </w:rPr>
        <w:t>, 2020).</w:t>
      </w:r>
    </w:p>
    <w:p w14:paraId="78A3BCF0" w14:textId="77777777" w:rsidR="00A32649" w:rsidRPr="00A32649" w:rsidRDefault="00A32649" w:rsidP="00A32649">
      <w:pPr>
        <w:pStyle w:val="Body"/>
        <w:rPr>
          <w:rFonts w:ascii="Arial" w:hAnsi="Arial" w:cs="Arial"/>
        </w:rPr>
      </w:pPr>
      <w:r w:rsidRPr="00A32649">
        <w:rPr>
          <w:rFonts w:ascii="Arial" w:hAnsi="Arial" w:cs="Arial"/>
        </w:rPr>
        <w:t>These procurement practices, in turn, can generate benefits relevant to SME performance. Sustainable procurement can improve resource efficiency, reduce supply-related risks, strengthen supplier relationships, enhance organizational reputation, and support innovation and long-term value creation. Prior studies indicate that sustainable procurement and sustainable supply chain practices can contribute positively to SME performance and competitiveness (</w:t>
      </w:r>
      <w:proofErr w:type="spellStart"/>
      <w:r w:rsidRPr="00A32649">
        <w:rPr>
          <w:rFonts w:ascii="Arial" w:hAnsi="Arial" w:cs="Arial"/>
        </w:rPr>
        <w:t>Mukhsin</w:t>
      </w:r>
      <w:proofErr w:type="spellEnd"/>
      <w:r w:rsidRPr="00A32649">
        <w:rPr>
          <w:rFonts w:ascii="Arial" w:hAnsi="Arial" w:cs="Arial"/>
        </w:rPr>
        <w:t xml:space="preserve"> and </w:t>
      </w:r>
      <w:proofErr w:type="spellStart"/>
      <w:r w:rsidRPr="00A32649">
        <w:rPr>
          <w:rFonts w:ascii="Arial" w:hAnsi="Arial" w:cs="Arial"/>
        </w:rPr>
        <w:t>Suryanto</w:t>
      </w:r>
      <w:proofErr w:type="spellEnd"/>
      <w:r w:rsidRPr="00A32649">
        <w:rPr>
          <w:rFonts w:ascii="Arial" w:hAnsi="Arial" w:cs="Arial"/>
        </w:rPr>
        <w:t xml:space="preserve">, 2022; </w:t>
      </w:r>
      <w:proofErr w:type="spellStart"/>
      <w:r w:rsidRPr="00A32649">
        <w:rPr>
          <w:rFonts w:ascii="Arial" w:hAnsi="Arial" w:cs="Arial"/>
        </w:rPr>
        <w:t>Nangpiire</w:t>
      </w:r>
      <w:proofErr w:type="spellEnd"/>
      <w:r w:rsidRPr="00A32649">
        <w:rPr>
          <w:rFonts w:ascii="Arial" w:hAnsi="Arial" w:cs="Arial"/>
        </w:rPr>
        <w:t xml:space="preserve"> et al., 2024). Thus, sustainable procurement provides a mechanism through which the strategic sustainability orientation established by leaders can be converted into operational and performance benefits.</w:t>
      </w:r>
    </w:p>
    <w:p w14:paraId="3C9438FA" w14:textId="77777777" w:rsidR="00A32649" w:rsidRPr="00A32649" w:rsidRDefault="00A32649" w:rsidP="00A32649">
      <w:pPr>
        <w:pStyle w:val="Body"/>
        <w:rPr>
          <w:rFonts w:ascii="Arial" w:hAnsi="Arial" w:cs="Arial"/>
        </w:rPr>
      </w:pPr>
      <w:r w:rsidRPr="00A32649">
        <w:rPr>
          <w:rFonts w:ascii="Arial" w:hAnsi="Arial" w:cs="Arial"/>
        </w:rPr>
        <w:lastRenderedPageBreak/>
        <w:t>This mediating mechanism may be particularly important for SMEs because owners and managers often have substantial influence over organizational priorities and resource allocation, while the realization of those priorities depends on their implementation in day-to-day business practices. Sustainable leadership is therefore expected to enhance SME performance by encouraging sustainable procurement practices that translate leadership commitments into tangible organizational outcomes. Based on these arguments, the following hypothesis is proposed:</w:t>
      </w:r>
    </w:p>
    <w:p w14:paraId="3509F7C6" w14:textId="1D5A96FB" w:rsidR="00934FB9" w:rsidRDefault="00A32649" w:rsidP="00A32649">
      <w:pPr>
        <w:pStyle w:val="Body"/>
        <w:spacing w:after="0"/>
        <w:rPr>
          <w:rFonts w:ascii="Arial" w:hAnsi="Arial" w:cs="Arial"/>
        </w:rPr>
      </w:pPr>
      <w:r w:rsidRPr="00A32649">
        <w:rPr>
          <w:rFonts w:ascii="Arial" w:hAnsi="Arial" w:cs="Arial"/>
        </w:rPr>
        <w:t>H7. Sustainable procurement mediates the positive relationship between sustainable leadership and SME performance</w:t>
      </w:r>
      <w:r w:rsidR="00934FB9" w:rsidRPr="00934FB9">
        <w:rPr>
          <w:rFonts w:ascii="Arial" w:hAnsi="Arial" w:cs="Arial"/>
        </w:rPr>
        <w:t xml:space="preserve"> </w:t>
      </w:r>
    </w:p>
    <w:p w14:paraId="27BA7BAD" w14:textId="77777777" w:rsidR="00934FB9" w:rsidRDefault="00934FB9" w:rsidP="00934FB9">
      <w:pPr>
        <w:pStyle w:val="Body"/>
        <w:spacing w:after="0"/>
        <w:rPr>
          <w:rFonts w:ascii="Arial" w:hAnsi="Arial" w:cs="Arial"/>
        </w:rPr>
      </w:pPr>
    </w:p>
    <w:p w14:paraId="38276A4C" w14:textId="3BD044FE" w:rsidR="00934FB9" w:rsidRDefault="00934FB9" w:rsidP="00934FB9">
      <w:pPr>
        <w:pStyle w:val="Body"/>
        <w:spacing w:after="0"/>
        <w:rPr>
          <w:rFonts w:ascii="Arial" w:hAnsi="Arial" w:cs="Arial"/>
        </w:rPr>
      </w:pPr>
      <w:r>
        <w:rPr>
          <w:rFonts w:ascii="Arial" w:hAnsi="Arial" w:cs="Arial"/>
          <w:b/>
          <w:u w:val="single"/>
        </w:rPr>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sidR="00A32649">
        <w:rPr>
          <w:rFonts w:ascii="Arial" w:hAnsi="Arial" w:cs="Arial"/>
          <w:b/>
          <w:u w:val="single"/>
        </w:rPr>
        <w:t>8</w:t>
      </w:r>
      <w:r>
        <w:rPr>
          <w:rFonts w:ascii="Arial" w:hAnsi="Arial" w:cs="Arial"/>
          <w:b/>
          <w:u w:val="single"/>
        </w:rPr>
        <w:t>.</w:t>
      </w:r>
      <w:r w:rsidRPr="00902823">
        <w:rPr>
          <w:rFonts w:ascii="Arial" w:hAnsi="Arial" w:cs="Arial"/>
          <w:b/>
          <w:u w:val="single"/>
        </w:rPr>
        <w:t xml:space="preserve"> </w:t>
      </w:r>
      <w:r w:rsidR="00A32649" w:rsidRPr="00A32649">
        <w:rPr>
          <w:rFonts w:ascii="Arial" w:hAnsi="Arial" w:cs="Arial"/>
          <w:b/>
          <w:u w:val="single"/>
        </w:rPr>
        <w:t>The Mediating Role of Sustainable Procurement in the Relationship between Competitive Pressure and SME Performance</w:t>
      </w:r>
      <w:r w:rsidRPr="00FB3A86">
        <w:rPr>
          <w:rFonts w:ascii="Arial" w:hAnsi="Arial" w:cs="Arial"/>
        </w:rPr>
        <w:t xml:space="preserve">  </w:t>
      </w:r>
    </w:p>
    <w:p w14:paraId="5B25C644" w14:textId="77777777" w:rsidR="00934FB9" w:rsidRDefault="00934FB9" w:rsidP="00934FB9">
      <w:pPr>
        <w:pStyle w:val="Body"/>
        <w:spacing w:after="0"/>
        <w:rPr>
          <w:rFonts w:ascii="Arial" w:hAnsi="Arial" w:cs="Arial"/>
        </w:rPr>
      </w:pPr>
    </w:p>
    <w:p w14:paraId="79AB5BFA" w14:textId="77777777" w:rsidR="00A32649" w:rsidRPr="00A32649" w:rsidRDefault="00A32649" w:rsidP="00A32649">
      <w:pPr>
        <w:pStyle w:val="Body"/>
        <w:rPr>
          <w:rFonts w:ascii="Arial" w:hAnsi="Arial" w:cs="Arial"/>
        </w:rPr>
      </w:pPr>
      <w:r w:rsidRPr="00A32649">
        <w:rPr>
          <w:rFonts w:ascii="Arial" w:hAnsi="Arial" w:cs="Arial"/>
        </w:rPr>
        <w:t>Competitive pressure represents an important external force that can shape firms’ strategic and operational responses. Increasing competition may encourage firms to improve efficiency, differentiate their offerings, and adapt their business practices to changing market expectations (Boone, 2000). As customers and other stakeholders increasingly incorporate sustainability considerations into their expectations, competitive pressure can also encourage firms to adopt more environmentally and socially responsible practices. However, competitive pressure alone may not necessarily translate directly into improved firm performance; its performance implications depend on how firms respond to such external pressures.</w:t>
      </w:r>
    </w:p>
    <w:p w14:paraId="3DF48486" w14:textId="77777777" w:rsidR="00A32649" w:rsidRPr="00A32649" w:rsidRDefault="00A32649" w:rsidP="00A32649">
      <w:pPr>
        <w:pStyle w:val="Body"/>
        <w:rPr>
          <w:rFonts w:ascii="Arial" w:hAnsi="Arial" w:cs="Arial"/>
        </w:rPr>
      </w:pPr>
      <w:r w:rsidRPr="00A32649">
        <w:rPr>
          <w:rFonts w:ascii="Arial" w:hAnsi="Arial" w:cs="Arial"/>
        </w:rPr>
        <w:t>Sustainable procurement provides an operational mechanism through which SMEs can respond to competitive pressure. By incorporating environmental and social considerations into supplier selection, purchasing decisions, resource utilization, and supplier relationships, firms can adapt their procurement practices to changing competitive and sustainability expectations. Competitive pressure may therefore stimulate the adoption of sustainable procurement as firms seek to improve efficiency, respond to stakeholder demands, and strengthen their competitive position. This argument is consistent with studies showing that competitive conditions can encourage firms to adopt sustainability-oriented practices and environmental initiatives (Cenci et al., 2025; Chang and Fong, 2025).</w:t>
      </w:r>
    </w:p>
    <w:p w14:paraId="688CE883" w14:textId="77777777" w:rsidR="00A32649" w:rsidRPr="00A32649" w:rsidRDefault="00A32649" w:rsidP="00A32649">
      <w:pPr>
        <w:pStyle w:val="Body"/>
        <w:rPr>
          <w:rFonts w:ascii="Arial" w:hAnsi="Arial" w:cs="Arial"/>
        </w:rPr>
      </w:pPr>
      <w:r w:rsidRPr="00A32649">
        <w:rPr>
          <w:rFonts w:ascii="Arial" w:hAnsi="Arial" w:cs="Arial"/>
        </w:rPr>
        <w:t>These procurement responses can subsequently generate benefits relevant to SME performance. Sustainable procurement can improve resource efficiency, strengthen supplier relationships, reduce supply-related risks, and support differentiation and innovation. Through these benefits, SMEs may transform external competitive pressure into operational improvements and stronger competitive outcomes. Previous studies also indicate that sustainable procurement and sustainable supply chain practices can contribute to SME performance and competitiveness (</w:t>
      </w:r>
      <w:proofErr w:type="spellStart"/>
      <w:r w:rsidRPr="00A32649">
        <w:rPr>
          <w:rFonts w:ascii="Arial" w:hAnsi="Arial" w:cs="Arial"/>
        </w:rPr>
        <w:t>Mukhsin</w:t>
      </w:r>
      <w:proofErr w:type="spellEnd"/>
      <w:r w:rsidRPr="00A32649">
        <w:rPr>
          <w:rFonts w:ascii="Arial" w:hAnsi="Arial" w:cs="Arial"/>
        </w:rPr>
        <w:t xml:space="preserve"> and </w:t>
      </w:r>
      <w:proofErr w:type="spellStart"/>
      <w:r w:rsidRPr="00A32649">
        <w:rPr>
          <w:rFonts w:ascii="Arial" w:hAnsi="Arial" w:cs="Arial"/>
        </w:rPr>
        <w:t>Suryanto</w:t>
      </w:r>
      <w:proofErr w:type="spellEnd"/>
      <w:r w:rsidRPr="00A32649">
        <w:rPr>
          <w:rFonts w:ascii="Arial" w:hAnsi="Arial" w:cs="Arial"/>
        </w:rPr>
        <w:t xml:space="preserve">, 2022; </w:t>
      </w:r>
      <w:proofErr w:type="spellStart"/>
      <w:r w:rsidRPr="00A32649">
        <w:rPr>
          <w:rFonts w:ascii="Arial" w:hAnsi="Arial" w:cs="Arial"/>
        </w:rPr>
        <w:t>Nangpiire</w:t>
      </w:r>
      <w:proofErr w:type="spellEnd"/>
      <w:r w:rsidRPr="00A32649">
        <w:rPr>
          <w:rFonts w:ascii="Arial" w:hAnsi="Arial" w:cs="Arial"/>
        </w:rPr>
        <w:t xml:space="preserve"> et al., 2024).</w:t>
      </w:r>
    </w:p>
    <w:p w14:paraId="00C0CFA5" w14:textId="77777777" w:rsidR="00A32649" w:rsidRPr="00A32649" w:rsidRDefault="00A32649" w:rsidP="00A32649">
      <w:pPr>
        <w:pStyle w:val="Body"/>
        <w:rPr>
          <w:rFonts w:ascii="Arial" w:hAnsi="Arial" w:cs="Arial"/>
        </w:rPr>
      </w:pPr>
      <w:r w:rsidRPr="00A32649">
        <w:rPr>
          <w:rFonts w:ascii="Arial" w:hAnsi="Arial" w:cs="Arial"/>
        </w:rPr>
        <w:t>Sustainable procurement may therefore serve as an organizational response mechanism that translates competitive pressure into performance outcomes. Rather than competitive pressure directly improving SME performance, firms may need to respond to such pressure by adapting their procurement practices in ways that create operational and strategic value. Based on these arguments, the following hypothesis is proposed:</w:t>
      </w:r>
    </w:p>
    <w:p w14:paraId="533404AE" w14:textId="7FEAAF8D" w:rsidR="00934FB9" w:rsidRDefault="00A32649" w:rsidP="00A32649">
      <w:pPr>
        <w:pStyle w:val="Body"/>
        <w:spacing w:after="0"/>
        <w:rPr>
          <w:rFonts w:ascii="Arial" w:hAnsi="Arial" w:cs="Arial"/>
        </w:rPr>
      </w:pPr>
      <w:r w:rsidRPr="00A32649">
        <w:rPr>
          <w:rFonts w:ascii="Arial" w:hAnsi="Arial" w:cs="Arial"/>
        </w:rPr>
        <w:t>H8. Sustainable procurement mediates the positive relationship between competitive pressure and SME performance</w:t>
      </w:r>
      <w:r w:rsidR="00934FB9" w:rsidRPr="00934FB9">
        <w:rPr>
          <w:rFonts w:ascii="Arial" w:hAnsi="Arial" w:cs="Arial"/>
        </w:rPr>
        <w:t xml:space="preserve"> </w:t>
      </w:r>
    </w:p>
    <w:p w14:paraId="0DA46938" w14:textId="77777777" w:rsidR="00934FB9" w:rsidRDefault="00934FB9" w:rsidP="00934FB9">
      <w:pPr>
        <w:pStyle w:val="Body"/>
        <w:spacing w:after="0"/>
        <w:rPr>
          <w:rFonts w:ascii="Arial" w:hAnsi="Arial" w:cs="Arial"/>
        </w:rPr>
      </w:pPr>
    </w:p>
    <w:p w14:paraId="5CD93ED3" w14:textId="77777777" w:rsidR="00934FB9" w:rsidRDefault="00934FB9" w:rsidP="00934FB9">
      <w:pPr>
        <w:pStyle w:val="Body"/>
        <w:spacing w:after="0"/>
        <w:rPr>
          <w:rFonts w:ascii="Arial" w:hAnsi="Arial" w:cs="Arial"/>
        </w:rPr>
      </w:pPr>
    </w:p>
    <w:p w14:paraId="77912BDA" w14:textId="77777777" w:rsidR="00A32649" w:rsidRDefault="00A32649" w:rsidP="00A32649">
      <w:pPr>
        <w:pStyle w:val="Body"/>
        <w:spacing w:after="0"/>
        <w:rPr>
          <w:rFonts w:ascii="Arial" w:hAnsi="Arial" w:cs="Arial"/>
        </w:rPr>
      </w:pPr>
    </w:p>
    <w:p w14:paraId="174C3126" w14:textId="1138ADD8" w:rsidR="00A32649" w:rsidRDefault="00A32649" w:rsidP="00A32649">
      <w:pPr>
        <w:pStyle w:val="Body"/>
        <w:spacing w:after="0"/>
        <w:rPr>
          <w:rFonts w:ascii="Arial" w:hAnsi="Arial" w:cs="Arial"/>
        </w:rPr>
      </w:pPr>
      <w:r>
        <w:rPr>
          <w:rFonts w:ascii="Arial" w:hAnsi="Arial" w:cs="Arial"/>
          <w:b/>
          <w:u w:val="single"/>
        </w:rPr>
        <w:lastRenderedPageBreak/>
        <w:t>2</w:t>
      </w:r>
      <w:r w:rsidRPr="00902823">
        <w:rPr>
          <w:rFonts w:ascii="Arial" w:hAnsi="Arial" w:cs="Arial"/>
          <w:b/>
          <w:u w:val="single"/>
        </w:rPr>
        <w:t>.</w:t>
      </w:r>
      <w:r>
        <w:rPr>
          <w:rFonts w:ascii="Arial" w:hAnsi="Arial" w:cs="Arial"/>
          <w:b/>
          <w:u w:val="single"/>
        </w:rPr>
        <w:t>3</w:t>
      </w:r>
      <w:r w:rsidRPr="00902823">
        <w:rPr>
          <w:rFonts w:ascii="Arial" w:hAnsi="Arial" w:cs="Arial"/>
          <w:b/>
          <w:u w:val="single"/>
        </w:rPr>
        <w:t>.</w:t>
      </w:r>
      <w:r>
        <w:rPr>
          <w:rFonts w:ascii="Arial" w:hAnsi="Arial" w:cs="Arial"/>
          <w:b/>
          <w:u w:val="single"/>
        </w:rPr>
        <w:t>9.</w:t>
      </w:r>
      <w:r w:rsidRPr="00902823">
        <w:rPr>
          <w:rFonts w:ascii="Arial" w:hAnsi="Arial" w:cs="Arial"/>
          <w:b/>
          <w:u w:val="single"/>
        </w:rPr>
        <w:t xml:space="preserve"> </w:t>
      </w:r>
      <w:r w:rsidRPr="00A32649">
        <w:rPr>
          <w:rFonts w:ascii="Arial" w:hAnsi="Arial" w:cs="Arial"/>
          <w:b/>
          <w:u w:val="single"/>
        </w:rPr>
        <w:t>The Mediating Role of Sustainable Procurement in the Relationship between Triple Bottom Line Performance and SME Performance</w:t>
      </w:r>
      <w:r w:rsidRPr="00FB3A86">
        <w:rPr>
          <w:rFonts w:ascii="Arial" w:hAnsi="Arial" w:cs="Arial"/>
        </w:rPr>
        <w:t xml:space="preserve">  </w:t>
      </w:r>
    </w:p>
    <w:p w14:paraId="61064875" w14:textId="77777777" w:rsidR="00A32649" w:rsidRDefault="00A32649" w:rsidP="00A32649">
      <w:pPr>
        <w:pStyle w:val="Body"/>
        <w:spacing w:after="0"/>
        <w:rPr>
          <w:rFonts w:ascii="Arial" w:hAnsi="Arial" w:cs="Arial"/>
        </w:rPr>
      </w:pPr>
    </w:p>
    <w:p w14:paraId="5A79FEC8" w14:textId="77777777" w:rsidR="00A32649" w:rsidRPr="00A32649" w:rsidRDefault="00A32649" w:rsidP="00A32649">
      <w:pPr>
        <w:pStyle w:val="Body"/>
        <w:rPr>
          <w:rFonts w:ascii="Arial" w:hAnsi="Arial" w:cs="Arial"/>
        </w:rPr>
      </w:pPr>
      <w:r w:rsidRPr="00A32649">
        <w:rPr>
          <w:rFonts w:ascii="Arial" w:hAnsi="Arial" w:cs="Arial"/>
        </w:rPr>
        <w:t xml:space="preserve">The triple bottom line perspective emphasizes the simultaneous consideration of economic, social, and environmental dimensions in organizational sustainability (Elkington, 1997, 1998; </w:t>
      </w:r>
      <w:proofErr w:type="spellStart"/>
      <w:r w:rsidRPr="00A32649">
        <w:rPr>
          <w:rFonts w:ascii="Arial" w:hAnsi="Arial" w:cs="Arial"/>
        </w:rPr>
        <w:t>Alhaddi</w:t>
      </w:r>
      <w:proofErr w:type="spellEnd"/>
      <w:r w:rsidRPr="00A32649">
        <w:rPr>
          <w:rFonts w:ascii="Arial" w:hAnsi="Arial" w:cs="Arial"/>
        </w:rPr>
        <w:t>, 2015). Firms that place greater emphasis on these dimensions are expected to align their organizational decisions and practices with broader sustainability objectives. However, stronger TBL performance may not automatically translate into improved overall SME performance unless sustainability priorities are reflected in operational practices that generate tangible organizational value.</w:t>
      </w:r>
    </w:p>
    <w:p w14:paraId="15301ABF" w14:textId="77777777" w:rsidR="00A32649" w:rsidRPr="00A32649" w:rsidRDefault="00A32649" w:rsidP="00A32649">
      <w:pPr>
        <w:pStyle w:val="Body"/>
        <w:rPr>
          <w:rFonts w:ascii="Arial" w:hAnsi="Arial" w:cs="Arial"/>
        </w:rPr>
      </w:pPr>
      <w:r w:rsidRPr="00A32649">
        <w:rPr>
          <w:rFonts w:ascii="Arial" w:hAnsi="Arial" w:cs="Arial"/>
        </w:rPr>
        <w:t>Sustainable procurement can provide an operational mechanism through which TBL-related priorities are embedded in purchasing and supply chain decisions. By incorporating economic, social, and environmental considerations into supplier selection, resource sourcing, purchasing decisions, and supplier relationships, sustainable procurement enables firms to align their operational activities with broader sustainability objectives. Previous research highlights the close integration of economic, social, and environmental dimensions within sustainable supply chain and procurement practices (Sánchez-Flores et al., 2022), indicating that procurement represents an important organizational domain through which TBL considerations can be operationalized.</w:t>
      </w:r>
    </w:p>
    <w:p w14:paraId="717ECDED" w14:textId="77777777" w:rsidR="00A32649" w:rsidRPr="00A32649" w:rsidRDefault="00A32649" w:rsidP="00A32649">
      <w:pPr>
        <w:pStyle w:val="Body"/>
        <w:rPr>
          <w:rFonts w:ascii="Arial" w:hAnsi="Arial" w:cs="Arial"/>
        </w:rPr>
      </w:pPr>
      <w:r w:rsidRPr="00A32649">
        <w:rPr>
          <w:rFonts w:ascii="Arial" w:hAnsi="Arial" w:cs="Arial"/>
        </w:rPr>
        <w:t>These procurement practices can subsequently contribute to SME performance by improving resource efficiency, mitigating supply chain risks, strengthening stakeholder and supplier relationships, and supporting innovation and long-term value creation. Effective supply chain practices are particularly important for SMEs because they can enhance operational efficiency, responsiveness to customer needs, product and service quality, and competitiveness (</w:t>
      </w:r>
      <w:proofErr w:type="spellStart"/>
      <w:r w:rsidRPr="00A32649">
        <w:rPr>
          <w:rFonts w:ascii="Arial" w:hAnsi="Arial" w:cs="Arial"/>
        </w:rPr>
        <w:t>Mukhsin</w:t>
      </w:r>
      <w:proofErr w:type="spellEnd"/>
      <w:r w:rsidRPr="00A32649">
        <w:rPr>
          <w:rFonts w:ascii="Arial" w:hAnsi="Arial" w:cs="Arial"/>
        </w:rPr>
        <w:t xml:space="preserve"> and </w:t>
      </w:r>
      <w:proofErr w:type="spellStart"/>
      <w:r w:rsidRPr="00A32649">
        <w:rPr>
          <w:rFonts w:ascii="Arial" w:hAnsi="Arial" w:cs="Arial"/>
        </w:rPr>
        <w:t>Suryanto</w:t>
      </w:r>
      <w:proofErr w:type="spellEnd"/>
      <w:r w:rsidRPr="00A32649">
        <w:rPr>
          <w:rFonts w:ascii="Arial" w:hAnsi="Arial" w:cs="Arial"/>
        </w:rPr>
        <w:t>, 2022). Sustainable procurement therefore provides a pathway through which sustainability-related economic, social, and environmental achievements can be translated into broader operational and competitive benefits.</w:t>
      </w:r>
    </w:p>
    <w:p w14:paraId="28AEF44F" w14:textId="77777777" w:rsidR="00A32649" w:rsidRPr="00A32649" w:rsidRDefault="00A32649" w:rsidP="00A32649">
      <w:pPr>
        <w:pStyle w:val="Body"/>
        <w:rPr>
          <w:rFonts w:ascii="Arial" w:hAnsi="Arial" w:cs="Arial"/>
        </w:rPr>
      </w:pPr>
      <w:r w:rsidRPr="00A32649">
        <w:rPr>
          <w:rFonts w:ascii="Arial" w:hAnsi="Arial" w:cs="Arial"/>
        </w:rPr>
        <w:t>Accordingly, sustainable procurement may serve as an operational mechanism linking TBL performance with SME performance. SMEs that demonstrate stronger economic, social, and environmental performance are more likely to incorporate these sustainability considerations into procurement practices, which can subsequently generate operational and strategic benefits. Based on these arguments, the following hypothesis is proposed:</w:t>
      </w:r>
    </w:p>
    <w:p w14:paraId="49169F8C" w14:textId="5ADF543D" w:rsidR="00A32649" w:rsidRDefault="00A32649" w:rsidP="00A32649">
      <w:pPr>
        <w:pStyle w:val="Body"/>
        <w:spacing w:after="0"/>
        <w:rPr>
          <w:rFonts w:ascii="Arial" w:hAnsi="Arial" w:cs="Arial"/>
        </w:rPr>
      </w:pPr>
      <w:r w:rsidRPr="00A32649">
        <w:rPr>
          <w:rFonts w:ascii="Arial" w:hAnsi="Arial" w:cs="Arial"/>
        </w:rPr>
        <w:t>H9. Sustainable procurement mediates the positive relationship between triple bottom line performance and SME performance.</w:t>
      </w:r>
      <w:r w:rsidRPr="00934FB9">
        <w:rPr>
          <w:rFonts w:ascii="Arial" w:hAnsi="Arial" w:cs="Arial"/>
        </w:rPr>
        <w:t xml:space="preserve"> </w:t>
      </w:r>
    </w:p>
    <w:p w14:paraId="03F39F0C" w14:textId="77777777" w:rsidR="00A32649" w:rsidRDefault="00A32649" w:rsidP="00A32649">
      <w:pPr>
        <w:pStyle w:val="Body"/>
        <w:spacing w:after="0"/>
        <w:rPr>
          <w:rFonts w:ascii="Arial" w:hAnsi="Arial" w:cs="Arial"/>
        </w:rPr>
      </w:pPr>
    </w:p>
    <w:p w14:paraId="232D9C4E" w14:textId="77777777" w:rsidR="00A32649" w:rsidRDefault="00A32649" w:rsidP="00A32649">
      <w:r w:rsidRPr="003C3B2F">
        <w:t>The overall hypotheses are graphically presented in Figure 1.</w:t>
      </w:r>
    </w:p>
    <w:p w14:paraId="27D22E02" w14:textId="29A5902B" w:rsidR="00A32649" w:rsidRDefault="00A32649" w:rsidP="00A32649">
      <w:pPr>
        <w:jc w:val="center"/>
        <w:rPr>
          <w:szCs w:val="24"/>
          <w:highlight w:val="white"/>
        </w:rPr>
      </w:pPr>
    </w:p>
    <w:p w14:paraId="48A9FB0A" w14:textId="29D2BBF4" w:rsidR="009B06B6" w:rsidRDefault="009B06B6" w:rsidP="00A32649">
      <w:pPr>
        <w:jc w:val="center"/>
        <w:rPr>
          <w:szCs w:val="24"/>
          <w:highlight w:val="white"/>
        </w:rPr>
      </w:pPr>
      <w:r>
        <w:rPr>
          <w:noProof/>
        </w:rPr>
        <w:lastRenderedPageBreak/>
        <w:drawing>
          <wp:inline distT="0" distB="0" distL="0" distR="0" wp14:anchorId="7CBEEECD" wp14:editId="214A2C71">
            <wp:extent cx="5212080" cy="2200910"/>
            <wp:effectExtent l="0" t="0" r="0" b="0"/>
            <wp:docPr id="114773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2080" cy="2200910"/>
                    </a:xfrm>
                    <a:prstGeom prst="rect">
                      <a:avLst/>
                    </a:prstGeom>
                    <a:noFill/>
                    <a:ln>
                      <a:noFill/>
                    </a:ln>
                  </pic:spPr>
                </pic:pic>
              </a:graphicData>
            </a:graphic>
          </wp:inline>
        </w:drawing>
      </w:r>
    </w:p>
    <w:p w14:paraId="73EA6F8C" w14:textId="77777777" w:rsidR="009B06B6" w:rsidRDefault="009B06B6" w:rsidP="00A32649">
      <w:pPr>
        <w:jc w:val="center"/>
        <w:rPr>
          <w:szCs w:val="24"/>
          <w:highlight w:val="white"/>
        </w:rPr>
      </w:pPr>
    </w:p>
    <w:p w14:paraId="453BDC1E" w14:textId="77777777" w:rsidR="00A32649" w:rsidRDefault="00A32649" w:rsidP="00A32649">
      <w:pPr>
        <w:jc w:val="center"/>
        <w:rPr>
          <w:szCs w:val="24"/>
        </w:rPr>
      </w:pPr>
      <w:r>
        <w:rPr>
          <w:szCs w:val="24"/>
          <w:highlight w:val="white"/>
        </w:rPr>
        <w:t xml:space="preserve">Source: </w:t>
      </w:r>
      <w:r>
        <w:rPr>
          <w:szCs w:val="24"/>
        </w:rPr>
        <w:t>adapted from Nsiah-Sarfo et al. (2023)</w:t>
      </w:r>
    </w:p>
    <w:p w14:paraId="059CB9DC" w14:textId="77777777" w:rsidR="00A32649" w:rsidRDefault="00A32649" w:rsidP="00A32649">
      <w:pPr>
        <w:jc w:val="center"/>
        <w:rPr>
          <w:szCs w:val="24"/>
          <w:highlight w:val="white"/>
        </w:rPr>
      </w:pPr>
    </w:p>
    <w:p w14:paraId="24783920" w14:textId="1C7CFB16" w:rsidR="00A32649" w:rsidRDefault="00A32649" w:rsidP="00A32649">
      <w:pPr>
        <w:jc w:val="center"/>
      </w:pPr>
      <w:r>
        <w:rPr>
          <w:highlight w:val="white"/>
        </w:rPr>
        <w:t>Figure 1. Research framework</w:t>
      </w:r>
    </w:p>
    <w:p w14:paraId="2B5ED684" w14:textId="77777777" w:rsidR="00934FB9" w:rsidRDefault="00934FB9" w:rsidP="00934FB9">
      <w:pPr>
        <w:pStyle w:val="Body"/>
        <w:spacing w:after="0"/>
        <w:rPr>
          <w:rFonts w:ascii="Arial" w:hAnsi="Arial" w:cs="Arial"/>
        </w:rPr>
      </w:pPr>
    </w:p>
    <w:p w14:paraId="2633C722" w14:textId="527F0058" w:rsidR="00A32649" w:rsidRDefault="00A32649" w:rsidP="00934FB9">
      <w:pPr>
        <w:pStyle w:val="Body"/>
        <w:spacing w:after="0"/>
        <w:rPr>
          <w:rFonts w:ascii="Arial" w:hAnsi="Arial" w:cs="Arial"/>
        </w:rPr>
      </w:pPr>
    </w:p>
    <w:p w14:paraId="6AA59A8A" w14:textId="258F035A" w:rsidR="00A32649" w:rsidRDefault="00A32649" w:rsidP="00A32649">
      <w:pPr>
        <w:pStyle w:val="Head1"/>
        <w:spacing w:after="0"/>
        <w:jc w:val="both"/>
        <w:rPr>
          <w:rFonts w:ascii="Arial" w:hAnsi="Arial" w:cs="Arial"/>
        </w:rPr>
      </w:pPr>
      <w:r>
        <w:rPr>
          <w:rFonts w:ascii="Arial" w:hAnsi="Arial" w:cs="Arial"/>
        </w:rPr>
        <w:t xml:space="preserve">3. </w:t>
      </w:r>
      <w:r w:rsidR="00280794" w:rsidRPr="00280794">
        <w:rPr>
          <w:rFonts w:ascii="Arial" w:hAnsi="Arial" w:cs="Arial"/>
        </w:rPr>
        <w:t>Methodology</w:t>
      </w:r>
    </w:p>
    <w:p w14:paraId="6E268E5A" w14:textId="77777777" w:rsidR="00A32649" w:rsidRPr="00FB3A86" w:rsidRDefault="00A32649" w:rsidP="00A32649">
      <w:pPr>
        <w:pStyle w:val="Body"/>
        <w:spacing w:after="0"/>
        <w:rPr>
          <w:rFonts w:ascii="Arial" w:hAnsi="Arial" w:cs="Arial"/>
        </w:rPr>
      </w:pPr>
    </w:p>
    <w:p w14:paraId="445E8E46" w14:textId="0C2A73C2" w:rsidR="00280794" w:rsidRDefault="00280794" w:rsidP="00280794">
      <w:pPr>
        <w:pStyle w:val="Body"/>
        <w:spacing w:after="0"/>
        <w:rPr>
          <w:rFonts w:ascii="Arial" w:hAnsi="Arial" w:cs="Arial"/>
          <w:b/>
          <w:sz w:val="22"/>
        </w:rPr>
      </w:pPr>
      <w:r>
        <w:rPr>
          <w:rFonts w:ascii="Arial" w:hAnsi="Arial" w:cs="Arial"/>
          <w:b/>
          <w:caps/>
          <w:sz w:val="22"/>
        </w:rPr>
        <w:t>3</w:t>
      </w:r>
      <w:r w:rsidRPr="00C30A0F">
        <w:rPr>
          <w:rFonts w:ascii="Arial" w:hAnsi="Arial" w:cs="Arial"/>
          <w:b/>
          <w:caps/>
          <w:sz w:val="22"/>
        </w:rPr>
        <w:t>.</w:t>
      </w:r>
      <w:r w:rsidR="00792175">
        <w:rPr>
          <w:rFonts w:ascii="Arial" w:hAnsi="Arial" w:cs="Arial"/>
          <w:b/>
          <w:caps/>
          <w:sz w:val="22"/>
        </w:rPr>
        <w:t>1</w:t>
      </w:r>
      <w:r w:rsidRPr="00280794">
        <w:rPr>
          <w:rFonts w:ascii="Arial" w:hAnsi="Arial" w:cs="Arial"/>
          <w:b/>
          <w:caps/>
          <w:sz w:val="22"/>
        </w:rPr>
        <w:t xml:space="preserve"> </w:t>
      </w:r>
      <w:r w:rsidRPr="00280794">
        <w:rPr>
          <w:rFonts w:ascii="Arial" w:hAnsi="Arial" w:cs="Arial"/>
          <w:b/>
          <w:sz w:val="22"/>
        </w:rPr>
        <w:t xml:space="preserve">Sample </w:t>
      </w:r>
      <w:r>
        <w:rPr>
          <w:rFonts w:ascii="Arial" w:hAnsi="Arial" w:cs="Arial"/>
          <w:b/>
          <w:sz w:val="22"/>
        </w:rPr>
        <w:t>a</w:t>
      </w:r>
      <w:r w:rsidRPr="00280794">
        <w:rPr>
          <w:rFonts w:ascii="Arial" w:hAnsi="Arial" w:cs="Arial"/>
          <w:b/>
          <w:sz w:val="22"/>
        </w:rPr>
        <w:t>nd Data Collection</w:t>
      </w:r>
      <w:r>
        <w:rPr>
          <w:rFonts w:ascii="Arial" w:hAnsi="Arial" w:cs="Arial"/>
          <w:b/>
          <w:caps/>
          <w:sz w:val="22"/>
        </w:rPr>
        <w:t xml:space="preserve"> </w:t>
      </w:r>
      <w:r>
        <w:rPr>
          <w:rFonts w:ascii="Arial" w:hAnsi="Arial" w:cs="Arial"/>
          <w:b/>
          <w:sz w:val="22"/>
        </w:rPr>
        <w:t xml:space="preserve"> </w:t>
      </w:r>
    </w:p>
    <w:p w14:paraId="7A84F3C9" w14:textId="77777777" w:rsidR="00280794" w:rsidRPr="00280794" w:rsidRDefault="00280794" w:rsidP="00280794">
      <w:pPr>
        <w:pStyle w:val="Body"/>
        <w:spacing w:after="0"/>
        <w:rPr>
          <w:rFonts w:ascii="Arial" w:hAnsi="Arial" w:cs="Arial"/>
          <w:bCs/>
          <w:sz w:val="22"/>
        </w:rPr>
      </w:pPr>
    </w:p>
    <w:p w14:paraId="5CFA624E" w14:textId="77777777" w:rsidR="00507427" w:rsidRPr="00507427" w:rsidRDefault="00507427" w:rsidP="00507427">
      <w:pPr>
        <w:pStyle w:val="Body"/>
        <w:rPr>
          <w:rFonts w:ascii="Arial" w:hAnsi="Arial" w:cs="Arial"/>
          <w:bCs/>
        </w:rPr>
      </w:pPr>
      <w:r w:rsidRPr="00507427">
        <w:rPr>
          <w:rFonts w:ascii="Arial" w:hAnsi="Arial" w:cs="Arial"/>
          <w:bCs/>
        </w:rPr>
        <w:t>The study employed purposive sampling to select SME owners, executives, or managers in the Special Region of Yogyakarta, Indonesia. Respondents were required to: (1) hold an ownership or managerial position; (2) be directly involved in procurement and/or business strategy decisions; (3) represent an SME that had operated for at least two years; and (4) have sufficient knowledge of the firm’s procurement and operational activities. These criteria ensured that respondents were able to provide relevant information on the constructs examined in this study.</w:t>
      </w:r>
    </w:p>
    <w:p w14:paraId="15418C48" w14:textId="77777777" w:rsidR="00507427" w:rsidRPr="00507427" w:rsidRDefault="00507427" w:rsidP="00507427">
      <w:pPr>
        <w:pStyle w:val="Body"/>
        <w:rPr>
          <w:rFonts w:ascii="Arial" w:hAnsi="Arial" w:cs="Arial"/>
          <w:bCs/>
        </w:rPr>
      </w:pPr>
      <w:r w:rsidRPr="00507427">
        <w:rPr>
          <w:rFonts w:ascii="Arial" w:hAnsi="Arial" w:cs="Arial"/>
          <w:bCs/>
        </w:rPr>
        <w:t>Data were collected using a structured questionnaire adapted from previous studies and contextualized for SMEs. Prior to the main survey, the questionnaire was reviewed by experts in management and procurement and pilot-tested with 20 potential respondents to assess its clarity, readability, and relevance. Feedback from the pilot test was used to refine the questionnaire before the main data collection.</w:t>
      </w:r>
    </w:p>
    <w:p w14:paraId="7C051FDE" w14:textId="77777777" w:rsidR="00507427" w:rsidRPr="00507427" w:rsidRDefault="00507427" w:rsidP="00507427">
      <w:pPr>
        <w:pStyle w:val="Body"/>
        <w:rPr>
          <w:rFonts w:ascii="Arial" w:hAnsi="Arial" w:cs="Arial"/>
          <w:bCs/>
        </w:rPr>
      </w:pPr>
      <w:r w:rsidRPr="00507427">
        <w:rPr>
          <w:rFonts w:ascii="Arial" w:hAnsi="Arial" w:cs="Arial"/>
          <w:bCs/>
        </w:rPr>
        <w:t>The questionnaire was subsequently distributed to respondents who met the eligibility criteria. All constructs were measured using a five-point Likert scale ranging from 1 (strongly disagree) to 5 (strongly agree). The selection of owners and managerial-level respondents was intended to ensure adequate knowledge of the firms’ procurement practices, competitive conditions, sustainability activities, and organizational performance.</w:t>
      </w:r>
    </w:p>
    <w:p w14:paraId="6A22D7F6" w14:textId="77777777" w:rsidR="00280794" w:rsidRDefault="00280794" w:rsidP="00280794">
      <w:pPr>
        <w:pStyle w:val="Body"/>
        <w:spacing w:after="0"/>
        <w:rPr>
          <w:rFonts w:ascii="Arial" w:hAnsi="Arial" w:cs="Arial"/>
          <w:bCs/>
        </w:rPr>
      </w:pPr>
    </w:p>
    <w:p w14:paraId="55C3E9A8" w14:textId="1723D96D" w:rsidR="00280794" w:rsidRDefault="00280794" w:rsidP="00280794">
      <w:pPr>
        <w:pStyle w:val="Body"/>
        <w:spacing w:after="0"/>
        <w:rPr>
          <w:rFonts w:ascii="Arial" w:hAnsi="Arial" w:cs="Arial"/>
          <w:b/>
          <w:sz w:val="22"/>
        </w:rPr>
      </w:pPr>
      <w:r>
        <w:rPr>
          <w:rFonts w:ascii="Arial" w:hAnsi="Arial" w:cs="Arial"/>
          <w:b/>
          <w:caps/>
          <w:sz w:val="22"/>
        </w:rPr>
        <w:t>3</w:t>
      </w:r>
      <w:r w:rsidRPr="00C30A0F">
        <w:rPr>
          <w:rFonts w:ascii="Arial" w:hAnsi="Arial" w:cs="Arial"/>
          <w:b/>
          <w:caps/>
          <w:sz w:val="22"/>
        </w:rPr>
        <w:t>.</w:t>
      </w:r>
      <w:r w:rsidR="00792175">
        <w:rPr>
          <w:rFonts w:ascii="Arial" w:hAnsi="Arial" w:cs="Arial"/>
          <w:b/>
          <w:caps/>
          <w:sz w:val="22"/>
        </w:rPr>
        <w:t>2</w:t>
      </w:r>
      <w:r w:rsidRPr="00280794">
        <w:rPr>
          <w:rFonts w:ascii="Arial" w:hAnsi="Arial" w:cs="Arial"/>
          <w:b/>
          <w:caps/>
          <w:sz w:val="22"/>
        </w:rPr>
        <w:t xml:space="preserve"> </w:t>
      </w:r>
      <w:r>
        <w:rPr>
          <w:rFonts w:ascii="Arial" w:hAnsi="Arial" w:cs="Arial"/>
          <w:b/>
          <w:sz w:val="22"/>
        </w:rPr>
        <w:t>Measurement</w:t>
      </w:r>
      <w:r>
        <w:rPr>
          <w:rFonts w:ascii="Arial" w:hAnsi="Arial" w:cs="Arial"/>
          <w:b/>
          <w:caps/>
          <w:sz w:val="22"/>
        </w:rPr>
        <w:t xml:space="preserve"> </w:t>
      </w:r>
      <w:r>
        <w:rPr>
          <w:rFonts w:ascii="Arial" w:hAnsi="Arial" w:cs="Arial"/>
          <w:b/>
          <w:sz w:val="22"/>
        </w:rPr>
        <w:t xml:space="preserve"> </w:t>
      </w:r>
    </w:p>
    <w:p w14:paraId="57E7C472" w14:textId="77777777" w:rsidR="00280794" w:rsidRPr="00280794" w:rsidRDefault="00280794" w:rsidP="00280794">
      <w:pPr>
        <w:pStyle w:val="Body"/>
        <w:spacing w:after="0"/>
        <w:rPr>
          <w:rFonts w:ascii="Arial" w:hAnsi="Arial" w:cs="Arial"/>
          <w:bCs/>
          <w:sz w:val="22"/>
        </w:rPr>
      </w:pPr>
    </w:p>
    <w:p w14:paraId="4EF45464" w14:textId="77777777" w:rsidR="00280794" w:rsidRPr="00280794" w:rsidRDefault="00280794" w:rsidP="00280794">
      <w:pPr>
        <w:pStyle w:val="Body"/>
        <w:rPr>
          <w:rFonts w:ascii="Arial" w:hAnsi="Arial" w:cs="Arial"/>
          <w:bCs/>
        </w:rPr>
      </w:pPr>
      <w:r w:rsidRPr="00280794">
        <w:rPr>
          <w:rFonts w:ascii="Arial" w:hAnsi="Arial" w:cs="Arial"/>
          <w:bCs/>
        </w:rPr>
        <w:t>This study examines five reflective constructs: sustainable leadership, competitive pressure, sustainable procurement, TBL performance, and SME performance. All constructs were measured using multi-item scales adapted from prior studies and contextualized for SMEs.</w:t>
      </w:r>
    </w:p>
    <w:p w14:paraId="0AD17B05" w14:textId="5211882F" w:rsidR="00522339" w:rsidRDefault="00522339" w:rsidP="00280794">
      <w:pPr>
        <w:pStyle w:val="Body"/>
        <w:rPr>
          <w:rFonts w:ascii="Arial" w:hAnsi="Arial" w:cs="Arial"/>
          <w:bCs/>
        </w:rPr>
      </w:pPr>
      <w:r w:rsidRPr="00522339">
        <w:rPr>
          <w:rFonts w:ascii="Arial" w:hAnsi="Arial" w:cs="Arial"/>
        </w:rPr>
        <w:lastRenderedPageBreak/>
        <w:t>Sustainable leadership re</w:t>
      </w:r>
      <w:r w:rsidRPr="00522339">
        <w:rPr>
          <w:rFonts w:ascii="Arial" w:hAnsi="Arial" w:cs="Arial"/>
          <w:bCs/>
        </w:rPr>
        <w:t xml:space="preserve">fers to the extent to which organizational leaders integrate economic, social, and environmental considerations into organizational policies and decision-making. The measurement items were developed and contextualized based on established sustainable leadership literature, particularly McCann and Holt (2010) and Avery and </w:t>
      </w:r>
      <w:proofErr w:type="spellStart"/>
      <w:r w:rsidRPr="00522339">
        <w:rPr>
          <w:rFonts w:ascii="Arial" w:hAnsi="Arial" w:cs="Arial"/>
          <w:bCs/>
        </w:rPr>
        <w:t>Bergsteiner</w:t>
      </w:r>
      <w:proofErr w:type="spellEnd"/>
      <w:r w:rsidRPr="00522339">
        <w:rPr>
          <w:rFonts w:ascii="Arial" w:hAnsi="Arial" w:cs="Arial"/>
          <w:bCs/>
        </w:rPr>
        <w:t xml:space="preserve"> (2011). The eight items capture sustainability-oriented vision and policies, employee involvement, social and environmental considerations in strategic decision-making, ethical and socially responsible behavior, sustainability-oriented innovation, resource allocation, employee participation, and organizational commitment to sustainability. The items were further contextualized to reflect the characteristics of SMEs.</w:t>
      </w:r>
    </w:p>
    <w:p w14:paraId="3A0951CC" w14:textId="77777777" w:rsidR="00280794" w:rsidRPr="00280794" w:rsidRDefault="00280794" w:rsidP="00280794">
      <w:pPr>
        <w:pStyle w:val="Body"/>
        <w:rPr>
          <w:rFonts w:ascii="Arial" w:hAnsi="Arial" w:cs="Arial"/>
          <w:bCs/>
        </w:rPr>
      </w:pPr>
      <w:r w:rsidRPr="00280794">
        <w:rPr>
          <w:rFonts w:ascii="Arial" w:hAnsi="Arial" w:cs="Arial"/>
          <w:bCs/>
        </w:rPr>
        <w:t>Competitive pressure refers to the intensity of market competition that encourages firms to adjust their strategies and business practices to maintain their competitive position. It reflects competitive intensity in terms of price and quality, changes in competitors’ strategies, and pressures to improve efficiency and innovation (Jaworski and Kohli, 1993). Operationally, the construct captures SME owners’ or managers’ perceptions of competitive intensity and the extent to which such conditions encourage adjustments in business practices. The measures were adapted from Jaworski and Kohli (1993) and contextualized for SMEs and sustainable procurement.</w:t>
      </w:r>
    </w:p>
    <w:p w14:paraId="69859B09" w14:textId="6EBAAC6F" w:rsidR="0085290E" w:rsidRPr="00232B07" w:rsidRDefault="0085290E" w:rsidP="00280794">
      <w:pPr>
        <w:pStyle w:val="Body"/>
        <w:rPr>
          <w:rFonts w:ascii="Arial" w:hAnsi="Arial" w:cs="Arial"/>
          <w:bCs/>
          <w:color w:val="00B0F0"/>
        </w:rPr>
      </w:pPr>
      <w:r w:rsidRPr="00232B07">
        <w:rPr>
          <w:rFonts w:ascii="Arial" w:hAnsi="Arial" w:cs="Arial"/>
          <w:color w:val="00B0F0"/>
        </w:rPr>
        <w:t>Sustainable procurement r</w:t>
      </w:r>
      <w:r w:rsidRPr="00232B07">
        <w:rPr>
          <w:rFonts w:ascii="Arial" w:hAnsi="Arial" w:cs="Arial"/>
          <w:bCs/>
          <w:color w:val="00B0F0"/>
        </w:rPr>
        <w:t>efers to procurement practices that integrate economic, social, and environmental considerations into supplier selection and purchasing decisions. The construct was measured using eight items covering environmental considerations, environmentally responsible suppliers, environmentally friendly materials, supplier working conditions and safety, support for local suppliers, the balance between cost, quality, and sustainability, long-term efficiency, and the consistent application of sustainability principles in procurement activities (Liu et al. 2019). The measurement items were contextualized for the SME setting based on the sustainable procurement literature.</w:t>
      </w:r>
    </w:p>
    <w:p w14:paraId="38596C79" w14:textId="47C490FF" w:rsidR="00232B07" w:rsidRPr="00232B07" w:rsidRDefault="00232B07" w:rsidP="00280794">
      <w:pPr>
        <w:pStyle w:val="Body"/>
        <w:rPr>
          <w:rFonts w:ascii="Arial" w:hAnsi="Arial" w:cs="Arial"/>
          <w:bCs/>
          <w:color w:val="00B0F0"/>
        </w:rPr>
      </w:pPr>
      <w:r w:rsidRPr="00232B07">
        <w:rPr>
          <w:rFonts w:ascii="Arial" w:hAnsi="Arial" w:cs="Arial"/>
          <w:color w:val="00B0F0"/>
        </w:rPr>
        <w:t>TBL performance refers</w:t>
      </w:r>
      <w:r w:rsidRPr="00232B07">
        <w:rPr>
          <w:rFonts w:ascii="Arial" w:hAnsi="Arial" w:cs="Arial"/>
          <w:bCs/>
          <w:color w:val="00B0F0"/>
        </w:rPr>
        <w:t xml:space="preserve"> to organizational sustainability outcomes across the economic, social, and environmental dimensions. The construct was measured using eight items reflecting economic performance, social contribution, employee and community well-being, resource efficiency, reduction of waste and environmental impacts, and the balance among economic, social, and environmental objectives (Liu et al. 2019). The measurement items were contextualized for the SME setting based on the triple bottom line literature.</w:t>
      </w:r>
    </w:p>
    <w:p w14:paraId="6333BB3A" w14:textId="740E9D13" w:rsidR="00AD6682" w:rsidRDefault="00AD6682" w:rsidP="00280794">
      <w:pPr>
        <w:pStyle w:val="Body"/>
        <w:spacing w:after="0"/>
        <w:rPr>
          <w:rFonts w:ascii="Arial" w:hAnsi="Arial" w:cs="Arial"/>
          <w:bCs/>
        </w:rPr>
      </w:pPr>
      <w:r w:rsidRPr="00AD6682">
        <w:rPr>
          <w:rFonts w:ascii="Arial" w:hAnsi="Arial" w:cs="Arial"/>
          <w:bCs/>
        </w:rPr>
        <w:t>SME performance refers to the extent to which an SME achieves its business objectives and maintains its ability to operate and grow. Rather than relying exclusively on financial outcomes, the construct was operationalized using both financial and non-financial dimensions of firm performance. The eight items assess revenue growth, operating cost efficiency, the ability to meet customer demand, operational effectiveness, competitiveness, customer retention, business growth, and future growth prospects</w:t>
      </w:r>
      <w:r>
        <w:rPr>
          <w:rFonts w:ascii="Arial" w:hAnsi="Arial" w:cs="Arial"/>
          <w:bCs/>
        </w:rPr>
        <w:t xml:space="preserve"> (</w:t>
      </w:r>
      <w:r w:rsidRPr="00280794">
        <w:rPr>
          <w:rFonts w:ascii="Arial" w:hAnsi="Arial" w:cs="Arial"/>
          <w:bCs/>
        </w:rPr>
        <w:t>Brammer and Walker</w:t>
      </w:r>
      <w:r>
        <w:rPr>
          <w:rFonts w:ascii="Arial" w:hAnsi="Arial" w:cs="Arial"/>
          <w:bCs/>
        </w:rPr>
        <w:t>,</w:t>
      </w:r>
      <w:r w:rsidRPr="00280794">
        <w:rPr>
          <w:rFonts w:ascii="Arial" w:hAnsi="Arial" w:cs="Arial"/>
          <w:bCs/>
        </w:rPr>
        <w:t xml:space="preserve"> 2011)</w:t>
      </w:r>
      <w:r w:rsidRPr="00AD6682">
        <w:rPr>
          <w:rFonts w:ascii="Arial" w:hAnsi="Arial" w:cs="Arial"/>
          <w:bCs/>
        </w:rPr>
        <w:t>. The items were contextualized to the SME setting and refined through expert review and pilot testing prior to the main survey.</w:t>
      </w:r>
    </w:p>
    <w:p w14:paraId="45AC48DB" w14:textId="77777777" w:rsidR="00280794" w:rsidRDefault="00280794" w:rsidP="00280794">
      <w:pPr>
        <w:pStyle w:val="Body"/>
        <w:spacing w:after="0"/>
        <w:rPr>
          <w:rFonts w:ascii="Arial" w:hAnsi="Arial" w:cs="Arial"/>
          <w:bCs/>
        </w:rPr>
      </w:pPr>
    </w:p>
    <w:p w14:paraId="795938B8" w14:textId="787BCFED" w:rsidR="00280794" w:rsidRDefault="00280794" w:rsidP="00280794">
      <w:pPr>
        <w:pStyle w:val="Body"/>
        <w:spacing w:after="0"/>
        <w:rPr>
          <w:rFonts w:ascii="Arial" w:hAnsi="Arial" w:cs="Arial"/>
          <w:b/>
          <w:sz w:val="22"/>
        </w:rPr>
      </w:pPr>
      <w:r>
        <w:rPr>
          <w:rFonts w:ascii="Arial" w:hAnsi="Arial" w:cs="Arial"/>
          <w:b/>
          <w:caps/>
          <w:sz w:val="22"/>
        </w:rPr>
        <w:t>3</w:t>
      </w:r>
      <w:r w:rsidRPr="00C30A0F">
        <w:rPr>
          <w:rFonts w:ascii="Arial" w:hAnsi="Arial" w:cs="Arial"/>
          <w:b/>
          <w:caps/>
          <w:sz w:val="22"/>
        </w:rPr>
        <w:t>.</w:t>
      </w:r>
      <w:r w:rsidR="00792175">
        <w:rPr>
          <w:rFonts w:ascii="Arial" w:hAnsi="Arial" w:cs="Arial"/>
          <w:b/>
          <w:caps/>
          <w:sz w:val="22"/>
        </w:rPr>
        <w:t>3</w:t>
      </w:r>
      <w:r w:rsidRPr="00280794">
        <w:rPr>
          <w:rFonts w:ascii="Arial" w:hAnsi="Arial" w:cs="Arial"/>
          <w:b/>
          <w:caps/>
          <w:sz w:val="22"/>
        </w:rPr>
        <w:t xml:space="preserve"> </w:t>
      </w:r>
      <w:r>
        <w:rPr>
          <w:rFonts w:ascii="Arial" w:hAnsi="Arial" w:cs="Arial"/>
          <w:b/>
          <w:sz w:val="22"/>
        </w:rPr>
        <w:t>Data analysis</w:t>
      </w:r>
    </w:p>
    <w:p w14:paraId="6EE1E7AC" w14:textId="77777777" w:rsidR="00280794" w:rsidRPr="00280794" w:rsidRDefault="00280794" w:rsidP="00280794">
      <w:pPr>
        <w:pStyle w:val="Body"/>
        <w:spacing w:after="0"/>
        <w:rPr>
          <w:rFonts w:ascii="Arial" w:hAnsi="Arial" w:cs="Arial"/>
          <w:bCs/>
          <w:sz w:val="22"/>
        </w:rPr>
      </w:pPr>
    </w:p>
    <w:p w14:paraId="7ED28FB4" w14:textId="77777777" w:rsidR="00280794" w:rsidRPr="00280794" w:rsidRDefault="00280794" w:rsidP="00280794">
      <w:pPr>
        <w:pStyle w:val="Body"/>
        <w:rPr>
          <w:rFonts w:ascii="Arial" w:hAnsi="Arial" w:cs="Arial"/>
          <w:bCs/>
        </w:rPr>
      </w:pPr>
      <w:r w:rsidRPr="00280794">
        <w:rPr>
          <w:rFonts w:ascii="Arial" w:hAnsi="Arial" w:cs="Arial"/>
          <w:bCs/>
        </w:rPr>
        <w:t>Data were analyzed using Partial Least Squares Structural Equation Modeling (PLS-SEM). PLS-SEM was selected because the study focuses on examining predictive relationships among latent constructs within a model involving multiple structural relationships simultaneously (Hair et al., 2019). The analysis involved two stages: assessment of the measurement model and evaluation of the structural model.</w:t>
      </w:r>
    </w:p>
    <w:p w14:paraId="6EDFD6A3" w14:textId="77777777" w:rsidR="00280794" w:rsidRPr="00280794" w:rsidRDefault="00280794" w:rsidP="00280794">
      <w:pPr>
        <w:pStyle w:val="Body"/>
        <w:rPr>
          <w:rFonts w:ascii="Arial" w:hAnsi="Arial" w:cs="Arial"/>
          <w:bCs/>
        </w:rPr>
      </w:pPr>
      <w:r w:rsidRPr="00280794">
        <w:rPr>
          <w:rFonts w:ascii="Arial" w:hAnsi="Arial" w:cs="Arial"/>
          <w:bCs/>
        </w:rPr>
        <w:lastRenderedPageBreak/>
        <w:t>First, the reflective measurement model was assessed for indicator reliability, internal consistency reliability, convergent validity, and discriminant validity. Internal consistency was evaluated using Cronbach’s alpha and composite reliability, while convergent validity was assessed based on outer loadings and average variance extracted (AVE). Discriminant validity was examined to ensure that the constructs were empirically distinct.</w:t>
      </w:r>
    </w:p>
    <w:p w14:paraId="1C3A1AEF" w14:textId="77777777" w:rsidR="00280794" w:rsidRPr="00280794" w:rsidRDefault="00280794" w:rsidP="00280794">
      <w:pPr>
        <w:pStyle w:val="Body"/>
        <w:rPr>
          <w:rFonts w:ascii="Arial" w:hAnsi="Arial" w:cs="Arial"/>
          <w:bCs/>
        </w:rPr>
      </w:pPr>
      <w:r w:rsidRPr="00280794">
        <w:rPr>
          <w:rFonts w:ascii="Arial" w:hAnsi="Arial" w:cs="Arial"/>
          <w:bCs/>
        </w:rPr>
        <w:t>Second, the structural model was evaluated to test the hypothesized relationships among sustainable leadership, competitive pressure, sustainable procurement, TBL performance, and SME performance. The assessment included collinearity, path coefficients, coefficient of determination (R²), and predictive relevance. The significance of the structural relationships was assessed using a bootstrapping procedure.</w:t>
      </w:r>
    </w:p>
    <w:p w14:paraId="6B81A300" w14:textId="0A459D3A" w:rsidR="00280794" w:rsidRPr="00280794" w:rsidRDefault="00280794" w:rsidP="00280794">
      <w:pPr>
        <w:pStyle w:val="Body"/>
        <w:rPr>
          <w:rFonts w:ascii="Arial" w:hAnsi="Arial" w:cs="Arial"/>
          <w:bCs/>
        </w:rPr>
      </w:pPr>
      <w:r w:rsidRPr="00280794">
        <w:rPr>
          <w:rFonts w:ascii="Arial" w:hAnsi="Arial" w:cs="Arial"/>
          <w:bCs/>
        </w:rPr>
        <w:t>In addition to direct effects, indirect effects were examined to assess the mediating role of sustainable procurement in the relationships between sustainable leadership, competitive pressure, and TBL performance with SME performance. This analysis allows the study to determine how these antecedents are translated into SME performance through sustainable procurement.</w:t>
      </w:r>
    </w:p>
    <w:p w14:paraId="23FFD373" w14:textId="77777777" w:rsidR="00280794" w:rsidRDefault="00280794" w:rsidP="00280794">
      <w:pPr>
        <w:pStyle w:val="Body"/>
        <w:spacing w:after="0"/>
        <w:rPr>
          <w:rFonts w:ascii="Arial" w:hAnsi="Arial" w:cs="Arial"/>
          <w:bCs/>
        </w:rPr>
      </w:pPr>
    </w:p>
    <w:p w14:paraId="2B176F1D" w14:textId="51AC72D4" w:rsidR="00773831" w:rsidRDefault="00773831" w:rsidP="00773831">
      <w:pPr>
        <w:pStyle w:val="Head1"/>
        <w:spacing w:after="0"/>
        <w:jc w:val="both"/>
        <w:rPr>
          <w:rFonts w:ascii="Arial" w:hAnsi="Arial" w:cs="Arial"/>
        </w:rPr>
      </w:pPr>
      <w:r>
        <w:rPr>
          <w:rFonts w:ascii="Arial" w:hAnsi="Arial" w:cs="Arial"/>
        </w:rPr>
        <w:t xml:space="preserve">4. </w:t>
      </w:r>
      <w:r w:rsidRPr="00773831">
        <w:rPr>
          <w:rFonts w:ascii="Arial" w:hAnsi="Arial" w:cs="Arial"/>
        </w:rPr>
        <w:t>Empirical Findings</w:t>
      </w:r>
    </w:p>
    <w:p w14:paraId="3D0E7A6F" w14:textId="77777777" w:rsidR="00773831" w:rsidRPr="00FB3A86" w:rsidRDefault="00773831" w:rsidP="00773831">
      <w:pPr>
        <w:pStyle w:val="Body"/>
        <w:spacing w:after="0"/>
        <w:rPr>
          <w:rFonts w:ascii="Arial" w:hAnsi="Arial" w:cs="Arial"/>
        </w:rPr>
      </w:pPr>
    </w:p>
    <w:p w14:paraId="6F7BD86D" w14:textId="169E4E5F" w:rsidR="00773831" w:rsidRDefault="00690AA7" w:rsidP="00773831">
      <w:pPr>
        <w:pStyle w:val="Body"/>
        <w:spacing w:after="0"/>
        <w:rPr>
          <w:rFonts w:ascii="Arial" w:hAnsi="Arial" w:cs="Arial"/>
        </w:rPr>
      </w:pPr>
      <w:r>
        <w:rPr>
          <w:rFonts w:ascii="Arial" w:hAnsi="Arial" w:cs="Arial"/>
          <w:b/>
          <w:caps/>
          <w:sz w:val="22"/>
        </w:rPr>
        <w:t>4</w:t>
      </w:r>
      <w:r w:rsidR="00773831" w:rsidRPr="00C30A0F">
        <w:rPr>
          <w:rFonts w:ascii="Arial" w:hAnsi="Arial" w:cs="Arial"/>
          <w:b/>
          <w:caps/>
          <w:sz w:val="22"/>
        </w:rPr>
        <w:t xml:space="preserve">.1 </w:t>
      </w:r>
      <w:r w:rsidRPr="00690AA7">
        <w:rPr>
          <w:rFonts w:ascii="Arial" w:hAnsi="Arial" w:cs="Arial"/>
          <w:b/>
          <w:sz w:val="22"/>
        </w:rPr>
        <w:t>Descriptive Statistics</w:t>
      </w:r>
      <w:r w:rsidR="00773831" w:rsidRPr="00FB3A86">
        <w:rPr>
          <w:rFonts w:ascii="Arial" w:hAnsi="Arial" w:cs="Arial"/>
        </w:rPr>
        <w:t xml:space="preserve">  </w:t>
      </w:r>
    </w:p>
    <w:p w14:paraId="5EB93FD7" w14:textId="77777777" w:rsidR="00280794" w:rsidRDefault="00280794" w:rsidP="00280794">
      <w:pPr>
        <w:pStyle w:val="Body"/>
        <w:spacing w:after="0"/>
        <w:rPr>
          <w:rFonts w:ascii="Arial" w:hAnsi="Arial" w:cs="Arial"/>
          <w:bCs/>
        </w:rPr>
      </w:pPr>
    </w:p>
    <w:p w14:paraId="3D632EEB" w14:textId="6FBCA209" w:rsidR="00690AA7" w:rsidRPr="00690AA7" w:rsidRDefault="00690AA7" w:rsidP="00690AA7">
      <w:pPr>
        <w:pStyle w:val="Body"/>
        <w:rPr>
          <w:rFonts w:ascii="Arial" w:hAnsi="Arial" w:cs="Arial"/>
          <w:bCs/>
        </w:rPr>
      </w:pPr>
      <w:r w:rsidRPr="00690AA7">
        <w:rPr>
          <w:rFonts w:ascii="Arial" w:hAnsi="Arial" w:cs="Arial"/>
          <w:bCs/>
        </w:rPr>
        <w:t xml:space="preserve">Table </w:t>
      </w:r>
      <w:r w:rsidR="00E84BEA">
        <w:rPr>
          <w:rFonts w:ascii="Arial" w:hAnsi="Arial" w:cs="Arial"/>
          <w:bCs/>
        </w:rPr>
        <w:t>1</w:t>
      </w:r>
      <w:r w:rsidRPr="00690AA7">
        <w:rPr>
          <w:rFonts w:ascii="Arial" w:hAnsi="Arial" w:cs="Arial"/>
          <w:bCs/>
        </w:rPr>
        <w:t xml:space="preserve"> presents the descriptive statistics for the five constructs included in the study. Overall, respondents reported relatively high scores across all constructs, with mean values ranging from 4.36 to 4.39 on a five-point Likert scale.</w:t>
      </w:r>
    </w:p>
    <w:p w14:paraId="71BDA404" w14:textId="4521E090" w:rsidR="00690AA7" w:rsidRPr="00690AA7" w:rsidRDefault="00690AA7" w:rsidP="00690AA7">
      <w:pPr>
        <w:pStyle w:val="Body"/>
        <w:jc w:val="center"/>
        <w:rPr>
          <w:rFonts w:ascii="Arial" w:hAnsi="Arial" w:cs="Arial"/>
          <w:lang w:val="en"/>
        </w:rPr>
      </w:pPr>
      <w:r w:rsidRPr="00690AA7">
        <w:rPr>
          <w:rFonts w:ascii="Arial" w:hAnsi="Arial" w:cs="Arial"/>
          <w:lang w:val="en"/>
        </w:rPr>
        <w:t xml:space="preserve">Table </w:t>
      </w:r>
      <w:r w:rsidR="00E84BEA">
        <w:rPr>
          <w:rFonts w:ascii="Arial" w:hAnsi="Arial" w:cs="Arial"/>
          <w:lang w:val="en"/>
        </w:rPr>
        <w:t>1</w:t>
      </w:r>
      <w:r w:rsidRPr="00690AA7">
        <w:rPr>
          <w:rFonts w:ascii="Arial" w:hAnsi="Arial" w:cs="Arial"/>
          <w:lang w:val="en"/>
        </w:rPr>
        <w:t>. Descriptive Statistics of the Constructs</w:t>
      </w:r>
    </w:p>
    <w:tbl>
      <w:tblPr>
        <w:tblW w:w="6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060"/>
      </w:tblGrid>
      <w:tr w:rsidR="00690AA7" w:rsidRPr="00690AA7" w14:paraId="68840343" w14:textId="77777777" w:rsidTr="00690AA7">
        <w:trPr>
          <w:trHeight w:val="20"/>
          <w:jc w:val="center"/>
        </w:trPr>
        <w:tc>
          <w:tcPr>
            <w:tcW w:w="3510" w:type="dxa"/>
            <w:vAlign w:val="center"/>
            <w:hideMark/>
          </w:tcPr>
          <w:p w14:paraId="134A13E2"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Construct</w:t>
            </w:r>
          </w:p>
        </w:tc>
        <w:tc>
          <w:tcPr>
            <w:tcW w:w="3060" w:type="dxa"/>
            <w:vAlign w:val="center"/>
            <w:hideMark/>
          </w:tcPr>
          <w:p w14:paraId="1BE98445"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Mean</w:t>
            </w:r>
          </w:p>
        </w:tc>
      </w:tr>
      <w:tr w:rsidR="00690AA7" w:rsidRPr="00690AA7" w14:paraId="1FF68917" w14:textId="77777777" w:rsidTr="00690AA7">
        <w:trPr>
          <w:trHeight w:val="20"/>
          <w:jc w:val="center"/>
        </w:trPr>
        <w:tc>
          <w:tcPr>
            <w:tcW w:w="3510" w:type="dxa"/>
            <w:vAlign w:val="center"/>
            <w:hideMark/>
          </w:tcPr>
          <w:p w14:paraId="2B7E0406"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Sustainable leadership</w:t>
            </w:r>
          </w:p>
        </w:tc>
        <w:tc>
          <w:tcPr>
            <w:tcW w:w="3060" w:type="dxa"/>
            <w:vAlign w:val="center"/>
            <w:hideMark/>
          </w:tcPr>
          <w:p w14:paraId="1C6D1620"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4.36</w:t>
            </w:r>
          </w:p>
        </w:tc>
      </w:tr>
      <w:tr w:rsidR="00690AA7" w:rsidRPr="00690AA7" w14:paraId="6BDA1D8C" w14:textId="77777777" w:rsidTr="00690AA7">
        <w:trPr>
          <w:trHeight w:val="20"/>
          <w:jc w:val="center"/>
        </w:trPr>
        <w:tc>
          <w:tcPr>
            <w:tcW w:w="3510" w:type="dxa"/>
            <w:vAlign w:val="center"/>
            <w:hideMark/>
          </w:tcPr>
          <w:p w14:paraId="4FF60B6D"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Competitive pressure</w:t>
            </w:r>
          </w:p>
        </w:tc>
        <w:tc>
          <w:tcPr>
            <w:tcW w:w="3060" w:type="dxa"/>
            <w:vAlign w:val="center"/>
            <w:hideMark/>
          </w:tcPr>
          <w:p w14:paraId="2D2126CC"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4.38</w:t>
            </w:r>
          </w:p>
        </w:tc>
      </w:tr>
      <w:tr w:rsidR="00690AA7" w:rsidRPr="00690AA7" w14:paraId="3407585F" w14:textId="77777777" w:rsidTr="00690AA7">
        <w:trPr>
          <w:trHeight w:val="20"/>
          <w:jc w:val="center"/>
        </w:trPr>
        <w:tc>
          <w:tcPr>
            <w:tcW w:w="3510" w:type="dxa"/>
            <w:vAlign w:val="center"/>
            <w:hideMark/>
          </w:tcPr>
          <w:p w14:paraId="29AC81F7"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Sustainable procurement</w:t>
            </w:r>
          </w:p>
        </w:tc>
        <w:tc>
          <w:tcPr>
            <w:tcW w:w="3060" w:type="dxa"/>
            <w:vAlign w:val="center"/>
            <w:hideMark/>
          </w:tcPr>
          <w:p w14:paraId="5A02AF2E"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4.38</w:t>
            </w:r>
          </w:p>
        </w:tc>
      </w:tr>
      <w:tr w:rsidR="00690AA7" w:rsidRPr="00690AA7" w14:paraId="115F7DCF" w14:textId="77777777" w:rsidTr="00690AA7">
        <w:trPr>
          <w:trHeight w:val="20"/>
          <w:jc w:val="center"/>
        </w:trPr>
        <w:tc>
          <w:tcPr>
            <w:tcW w:w="3510" w:type="dxa"/>
            <w:vAlign w:val="center"/>
            <w:hideMark/>
          </w:tcPr>
          <w:p w14:paraId="18D5F421"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Triple bottom line performance</w:t>
            </w:r>
          </w:p>
        </w:tc>
        <w:tc>
          <w:tcPr>
            <w:tcW w:w="3060" w:type="dxa"/>
            <w:vAlign w:val="center"/>
            <w:hideMark/>
          </w:tcPr>
          <w:p w14:paraId="630351A1"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4.39</w:t>
            </w:r>
          </w:p>
        </w:tc>
      </w:tr>
      <w:tr w:rsidR="00690AA7" w:rsidRPr="00690AA7" w14:paraId="2D6DDD12" w14:textId="77777777" w:rsidTr="00690AA7">
        <w:trPr>
          <w:trHeight w:val="20"/>
          <w:jc w:val="center"/>
        </w:trPr>
        <w:tc>
          <w:tcPr>
            <w:tcW w:w="3510" w:type="dxa"/>
            <w:vAlign w:val="center"/>
            <w:hideMark/>
          </w:tcPr>
          <w:p w14:paraId="176A2C64" w14:textId="77777777" w:rsidR="00690AA7" w:rsidRPr="00690AA7" w:rsidRDefault="00690AA7" w:rsidP="00690AA7">
            <w:pPr>
              <w:pStyle w:val="Body"/>
              <w:spacing w:after="0"/>
              <w:rPr>
                <w:rFonts w:ascii="Arial" w:hAnsi="Arial" w:cs="Arial"/>
                <w:bCs/>
                <w:lang w:val="en"/>
              </w:rPr>
            </w:pPr>
            <w:r w:rsidRPr="00690AA7">
              <w:rPr>
                <w:rFonts w:ascii="Arial" w:hAnsi="Arial" w:cs="Arial"/>
                <w:bCs/>
                <w:lang w:val="en"/>
              </w:rPr>
              <w:t>SME performance</w:t>
            </w:r>
          </w:p>
        </w:tc>
        <w:tc>
          <w:tcPr>
            <w:tcW w:w="3060" w:type="dxa"/>
            <w:vAlign w:val="center"/>
            <w:hideMark/>
          </w:tcPr>
          <w:p w14:paraId="5F35C906" w14:textId="77777777" w:rsidR="00690AA7" w:rsidRPr="00690AA7" w:rsidRDefault="00690AA7" w:rsidP="00F65091">
            <w:pPr>
              <w:pStyle w:val="Body"/>
              <w:spacing w:after="0"/>
              <w:jc w:val="center"/>
              <w:rPr>
                <w:rFonts w:ascii="Arial" w:hAnsi="Arial" w:cs="Arial"/>
                <w:bCs/>
                <w:lang w:val="en"/>
              </w:rPr>
            </w:pPr>
            <w:r w:rsidRPr="00690AA7">
              <w:rPr>
                <w:rFonts w:ascii="Arial" w:hAnsi="Arial" w:cs="Arial"/>
                <w:bCs/>
                <w:lang w:val="en"/>
              </w:rPr>
              <w:t>4.38</w:t>
            </w:r>
          </w:p>
        </w:tc>
      </w:tr>
    </w:tbl>
    <w:p w14:paraId="7D2F28CD" w14:textId="77777777" w:rsidR="00690AA7" w:rsidRDefault="00690AA7" w:rsidP="00690AA7">
      <w:pPr>
        <w:pStyle w:val="Body"/>
        <w:spacing w:after="0"/>
        <w:rPr>
          <w:rFonts w:ascii="Arial" w:hAnsi="Arial" w:cs="Arial"/>
          <w:bCs/>
        </w:rPr>
      </w:pPr>
    </w:p>
    <w:p w14:paraId="462A4DB6" w14:textId="2291E78A" w:rsidR="00F65091" w:rsidRDefault="00F65091" w:rsidP="00690AA7">
      <w:pPr>
        <w:pStyle w:val="Body"/>
        <w:spacing w:after="0"/>
        <w:rPr>
          <w:rFonts w:ascii="Arial" w:hAnsi="Arial" w:cs="Arial"/>
          <w:bCs/>
        </w:rPr>
      </w:pPr>
      <w:r w:rsidRPr="00F65091">
        <w:rPr>
          <w:rFonts w:ascii="Arial" w:hAnsi="Arial" w:cs="Arial"/>
          <w:bCs/>
        </w:rPr>
        <w:t>The descriptive results show relatively high and homogeneous mean scores across all constructs, ranging from 4.36 to 4.39 on a five-point scale. This pattern indicates that respondents generally reported favorable perceptions of the sustainability-related practices and performance examined in this study. However, the concentration of responses at the upper end of the scale, together with the high internal consistency values, should be interpreted with caution. The relatively homogeneous responses may indicate limited response variability and potential common method effects, while the high reliability coefficients may also suggest some degree of similarity among measurement items. These characteristics are therefore acknowledged as a limitation of the measurement approach and should be considered when interpreting the findings.</w:t>
      </w:r>
    </w:p>
    <w:p w14:paraId="73B1938C" w14:textId="77777777" w:rsidR="00F65091" w:rsidRDefault="00F65091" w:rsidP="00690AA7">
      <w:pPr>
        <w:pStyle w:val="Body"/>
        <w:spacing w:after="0"/>
        <w:rPr>
          <w:rFonts w:ascii="Arial" w:hAnsi="Arial" w:cs="Arial"/>
          <w:bCs/>
        </w:rPr>
      </w:pPr>
    </w:p>
    <w:p w14:paraId="1F4A82AD" w14:textId="77777777" w:rsidR="00F65091" w:rsidRPr="00492CD9" w:rsidRDefault="00F65091" w:rsidP="00F65091">
      <w:pPr>
        <w:pStyle w:val="Body"/>
        <w:spacing w:after="0"/>
        <w:rPr>
          <w:rFonts w:ascii="Arial" w:hAnsi="Arial" w:cs="Arial"/>
          <w:bCs/>
          <w:color w:val="00B0F0"/>
        </w:rPr>
      </w:pPr>
      <w:r w:rsidRPr="00492CD9">
        <w:rPr>
          <w:rFonts w:ascii="Arial" w:hAnsi="Arial" w:cs="Arial"/>
          <w:bCs/>
          <w:color w:val="00B0F0"/>
        </w:rPr>
        <w:t xml:space="preserve">Among the five constructs, triple bottom line performance recorded the highest mean (4.39), followed by competitive pressure, sustainable procurement, and SME performance (4.38 each), while sustainable leadership recorded a mean of 4.36. The relatively small variation in mean scores indicates consistently high respondent assessments across the constructs. These descriptive results provide an initial overview of the data; however, conclusions </w:t>
      </w:r>
      <w:r w:rsidRPr="00492CD9">
        <w:rPr>
          <w:rFonts w:ascii="Arial" w:hAnsi="Arial" w:cs="Arial"/>
          <w:bCs/>
          <w:color w:val="00B0F0"/>
        </w:rPr>
        <w:lastRenderedPageBreak/>
        <w:t>regarding the relationships among the constructs are based on the subsequent PLS-SEM analysis.</w:t>
      </w:r>
    </w:p>
    <w:p w14:paraId="3A4177BE" w14:textId="77777777" w:rsidR="00690AA7" w:rsidRDefault="00690AA7" w:rsidP="00280794">
      <w:pPr>
        <w:pStyle w:val="Body"/>
        <w:spacing w:after="0"/>
        <w:rPr>
          <w:rFonts w:ascii="Arial" w:hAnsi="Arial" w:cs="Arial"/>
          <w:bCs/>
        </w:rPr>
      </w:pPr>
    </w:p>
    <w:p w14:paraId="6B800C13" w14:textId="6EF19DCF" w:rsidR="0044174C" w:rsidRDefault="0044174C" w:rsidP="0044174C">
      <w:pPr>
        <w:pStyle w:val="Body"/>
        <w:spacing w:after="0"/>
        <w:rPr>
          <w:rFonts w:ascii="Arial" w:hAnsi="Arial" w:cs="Arial"/>
        </w:rPr>
      </w:pPr>
      <w:r>
        <w:rPr>
          <w:rFonts w:ascii="Arial" w:hAnsi="Arial" w:cs="Arial"/>
          <w:b/>
          <w:caps/>
          <w:sz w:val="22"/>
        </w:rPr>
        <w:t>4</w:t>
      </w:r>
      <w:r w:rsidRPr="00C30A0F">
        <w:rPr>
          <w:rFonts w:ascii="Arial" w:hAnsi="Arial" w:cs="Arial"/>
          <w:b/>
          <w:caps/>
          <w:sz w:val="22"/>
        </w:rPr>
        <w:t>.</w:t>
      </w:r>
      <w:r>
        <w:rPr>
          <w:rFonts w:ascii="Arial" w:hAnsi="Arial" w:cs="Arial"/>
          <w:b/>
          <w:caps/>
          <w:sz w:val="22"/>
        </w:rPr>
        <w:t>2</w:t>
      </w:r>
      <w:r w:rsidRPr="00C30A0F">
        <w:rPr>
          <w:rFonts w:ascii="Arial" w:hAnsi="Arial" w:cs="Arial"/>
          <w:b/>
          <w:caps/>
          <w:sz w:val="22"/>
        </w:rPr>
        <w:t xml:space="preserve"> </w:t>
      </w:r>
      <w:r w:rsidRPr="0044174C">
        <w:rPr>
          <w:rFonts w:ascii="Arial" w:hAnsi="Arial" w:cs="Arial"/>
          <w:b/>
          <w:sz w:val="22"/>
        </w:rPr>
        <w:t>Measurement Model Assessment</w:t>
      </w:r>
      <w:r>
        <w:rPr>
          <w:rFonts w:ascii="Arial" w:hAnsi="Arial" w:cs="Arial"/>
          <w:b/>
          <w:sz w:val="22"/>
        </w:rPr>
        <w:t xml:space="preserve"> </w:t>
      </w:r>
      <w:r w:rsidRPr="00FB3A86">
        <w:rPr>
          <w:rFonts w:ascii="Arial" w:hAnsi="Arial" w:cs="Arial"/>
        </w:rPr>
        <w:t xml:space="preserve"> </w:t>
      </w:r>
    </w:p>
    <w:p w14:paraId="7A7C18B2" w14:textId="77777777" w:rsidR="0044174C" w:rsidRDefault="0044174C" w:rsidP="0044174C">
      <w:pPr>
        <w:pStyle w:val="Body"/>
        <w:spacing w:after="0"/>
        <w:rPr>
          <w:rFonts w:ascii="Arial" w:hAnsi="Arial" w:cs="Arial"/>
        </w:rPr>
      </w:pPr>
    </w:p>
    <w:p w14:paraId="36C263D5" w14:textId="6CF231B1" w:rsidR="0044174C" w:rsidRDefault="0044174C" w:rsidP="0044174C">
      <w:pPr>
        <w:pStyle w:val="Body"/>
        <w:rPr>
          <w:rFonts w:ascii="Arial" w:hAnsi="Arial" w:cs="Arial"/>
          <w:bCs/>
        </w:rPr>
      </w:pPr>
      <w:r w:rsidRPr="0044174C">
        <w:rPr>
          <w:rFonts w:ascii="Arial" w:hAnsi="Arial" w:cs="Arial"/>
          <w:bCs/>
        </w:rPr>
        <w:t xml:space="preserve">The measurement model was evaluated to assess the reliability and convergent validity of the constructs. The assessment included indicator loadings, Cronbach’s alpha, composite reliability (CR), and average variance extracted (AVE). Figure </w:t>
      </w:r>
      <w:r w:rsidR="00792E08">
        <w:rPr>
          <w:rFonts w:ascii="Arial" w:hAnsi="Arial" w:cs="Arial"/>
          <w:bCs/>
        </w:rPr>
        <w:t>2</w:t>
      </w:r>
      <w:r w:rsidRPr="0044174C">
        <w:rPr>
          <w:rFonts w:ascii="Arial" w:hAnsi="Arial" w:cs="Arial"/>
          <w:bCs/>
        </w:rPr>
        <w:t xml:space="preserve"> presents the measurement model results, including the outer loadings of the indicators and the coefficient of determination (R²) for the endogenous constructs. All indicators exhibited satisfactory outer loadings, exceeding the recommended threshold of 0.70. The detailed assessment of construct reliability and convergent validity is presented in Table </w:t>
      </w:r>
      <w:r w:rsidR="00E84BEA">
        <w:rPr>
          <w:rFonts w:ascii="Arial" w:hAnsi="Arial" w:cs="Arial"/>
          <w:bCs/>
        </w:rPr>
        <w:t>2</w:t>
      </w:r>
      <w:r w:rsidRPr="0044174C">
        <w:rPr>
          <w:rFonts w:ascii="Arial" w:hAnsi="Arial" w:cs="Arial"/>
          <w:bCs/>
        </w:rPr>
        <w:t>.</w:t>
      </w:r>
    </w:p>
    <w:p w14:paraId="6E38F674" w14:textId="77777777" w:rsidR="0044174C" w:rsidRDefault="0044174C" w:rsidP="0044174C">
      <w:pPr>
        <w:pStyle w:val="Body"/>
        <w:rPr>
          <w:rFonts w:ascii="Arial" w:hAnsi="Arial" w:cs="Arial"/>
          <w:bCs/>
        </w:rPr>
      </w:pPr>
    </w:p>
    <w:p w14:paraId="56A92005" w14:textId="77777777" w:rsidR="0044174C" w:rsidRDefault="0044174C" w:rsidP="0044174C">
      <w:pPr>
        <w:spacing w:after="160" w:line="259" w:lineRule="auto"/>
        <w:jc w:val="center"/>
        <w:rPr>
          <w:lang w:val="en-ID"/>
        </w:rPr>
      </w:pPr>
      <w:r>
        <w:rPr>
          <w:noProof/>
          <w:szCs w:val="24"/>
          <w:highlight w:val="white"/>
        </w:rPr>
        <w:drawing>
          <wp:inline distT="114300" distB="114300" distL="114300" distR="114300" wp14:anchorId="313E3E61" wp14:editId="3BEBCB8E">
            <wp:extent cx="3806240" cy="2903144"/>
            <wp:effectExtent l="0" t="0" r="3810" b="0"/>
            <wp:docPr id="67998595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3816061" cy="2910634"/>
                    </a:xfrm>
                    <a:prstGeom prst="rect">
                      <a:avLst/>
                    </a:prstGeom>
                    <a:ln/>
                  </pic:spPr>
                </pic:pic>
              </a:graphicData>
            </a:graphic>
          </wp:inline>
        </w:drawing>
      </w:r>
    </w:p>
    <w:p w14:paraId="6E1FB777" w14:textId="406F3F50" w:rsidR="0044174C" w:rsidRDefault="00792E08" w:rsidP="00792E08">
      <w:pPr>
        <w:pStyle w:val="Body"/>
        <w:jc w:val="center"/>
        <w:rPr>
          <w:rFonts w:ascii="Arial" w:hAnsi="Arial" w:cs="Arial"/>
          <w:bCs/>
        </w:rPr>
      </w:pPr>
      <w:r w:rsidRPr="00792E08">
        <w:rPr>
          <w:rFonts w:ascii="Arial" w:hAnsi="Arial" w:cs="Arial"/>
          <w:bCs/>
        </w:rPr>
        <w:t xml:space="preserve">Figure </w:t>
      </w:r>
      <w:r>
        <w:rPr>
          <w:rFonts w:ascii="Arial" w:hAnsi="Arial" w:cs="Arial"/>
          <w:bCs/>
        </w:rPr>
        <w:t>2</w:t>
      </w:r>
      <w:r w:rsidRPr="00792E08">
        <w:rPr>
          <w:rFonts w:ascii="Arial" w:hAnsi="Arial" w:cs="Arial"/>
          <w:bCs/>
        </w:rPr>
        <w:t>. Results of the PLS-SEM Model Estimation</w:t>
      </w:r>
    </w:p>
    <w:p w14:paraId="7EDCA0D9" w14:textId="77777777" w:rsidR="00792E08" w:rsidRDefault="00792E08" w:rsidP="00792E08">
      <w:pPr>
        <w:pStyle w:val="Body"/>
        <w:jc w:val="center"/>
        <w:rPr>
          <w:rFonts w:ascii="Arial" w:hAnsi="Arial" w:cs="Arial"/>
          <w:bCs/>
        </w:rPr>
      </w:pPr>
    </w:p>
    <w:p w14:paraId="1816BA1C" w14:textId="2D943DC2" w:rsidR="0044174C" w:rsidRPr="00792E08" w:rsidRDefault="0044174C" w:rsidP="00792E08">
      <w:pPr>
        <w:spacing w:after="160" w:line="259" w:lineRule="auto"/>
        <w:jc w:val="center"/>
        <w:rPr>
          <w:lang w:val="en-ID"/>
        </w:rPr>
      </w:pPr>
      <w:r w:rsidRPr="00792E08">
        <w:rPr>
          <w:lang w:val="en-ID"/>
        </w:rPr>
        <w:t xml:space="preserve">Table </w:t>
      </w:r>
      <w:r w:rsidR="00E84BEA">
        <w:rPr>
          <w:lang w:val="en-ID"/>
        </w:rPr>
        <w:t>2</w:t>
      </w:r>
      <w:r w:rsidRPr="00792E08">
        <w:rPr>
          <w:lang w:val="en-ID"/>
        </w:rPr>
        <w:t>. Measurement Model Assessment</w:t>
      </w:r>
    </w:p>
    <w:tbl>
      <w:tblPr>
        <w:tblW w:w="8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2152"/>
        <w:gridCol w:w="1417"/>
        <w:gridCol w:w="1310"/>
        <w:gridCol w:w="756"/>
      </w:tblGrid>
      <w:tr w:rsidR="0044174C" w:rsidRPr="00D024ED" w14:paraId="513D0D66" w14:textId="77777777" w:rsidTr="00792E08">
        <w:trPr>
          <w:trHeight w:val="20"/>
          <w:jc w:val="center"/>
        </w:trPr>
        <w:tc>
          <w:tcPr>
            <w:tcW w:w="2491" w:type="dxa"/>
            <w:vAlign w:val="center"/>
            <w:hideMark/>
          </w:tcPr>
          <w:p w14:paraId="3AEE757A" w14:textId="77777777" w:rsidR="0044174C" w:rsidRPr="00D024ED" w:rsidRDefault="0044174C" w:rsidP="003308E1">
            <w:pPr>
              <w:rPr>
                <w:b/>
                <w:bCs/>
                <w:color w:val="000000"/>
                <w:szCs w:val="24"/>
                <w:lang w:val="en-ID"/>
              </w:rPr>
            </w:pPr>
            <w:r w:rsidRPr="00D024ED">
              <w:rPr>
                <w:b/>
                <w:bCs/>
                <w:color w:val="000000"/>
                <w:szCs w:val="24"/>
                <w:lang w:val="en-ID"/>
              </w:rPr>
              <w:t>Construct</w:t>
            </w:r>
          </w:p>
        </w:tc>
        <w:tc>
          <w:tcPr>
            <w:tcW w:w="2152" w:type="dxa"/>
            <w:vAlign w:val="center"/>
            <w:hideMark/>
          </w:tcPr>
          <w:p w14:paraId="691D90BA" w14:textId="77777777" w:rsidR="0044174C" w:rsidRPr="00D024ED" w:rsidRDefault="0044174C" w:rsidP="003308E1">
            <w:pPr>
              <w:rPr>
                <w:b/>
                <w:bCs/>
                <w:color w:val="000000"/>
                <w:szCs w:val="24"/>
                <w:lang w:val="en-ID"/>
              </w:rPr>
            </w:pPr>
            <w:r w:rsidRPr="00D024ED">
              <w:rPr>
                <w:b/>
                <w:bCs/>
                <w:color w:val="000000"/>
                <w:szCs w:val="24"/>
                <w:lang w:val="en-ID"/>
              </w:rPr>
              <w:t>Outer Loading Range</w:t>
            </w:r>
          </w:p>
        </w:tc>
        <w:tc>
          <w:tcPr>
            <w:tcW w:w="1417" w:type="dxa"/>
            <w:vAlign w:val="center"/>
            <w:hideMark/>
          </w:tcPr>
          <w:p w14:paraId="2E460D62" w14:textId="77777777" w:rsidR="0044174C" w:rsidRPr="00D024ED" w:rsidRDefault="0044174C" w:rsidP="003308E1">
            <w:pPr>
              <w:rPr>
                <w:b/>
                <w:bCs/>
                <w:color w:val="000000"/>
                <w:szCs w:val="24"/>
                <w:lang w:val="en-ID"/>
              </w:rPr>
            </w:pPr>
            <w:r w:rsidRPr="00D024ED">
              <w:rPr>
                <w:b/>
                <w:bCs/>
                <w:color w:val="000000"/>
                <w:szCs w:val="24"/>
                <w:lang w:val="en-ID"/>
              </w:rPr>
              <w:t>Cronbach’s Alpha</w:t>
            </w:r>
          </w:p>
        </w:tc>
        <w:tc>
          <w:tcPr>
            <w:tcW w:w="1310" w:type="dxa"/>
            <w:vAlign w:val="center"/>
            <w:hideMark/>
          </w:tcPr>
          <w:p w14:paraId="507C2BF6" w14:textId="77777777" w:rsidR="0044174C" w:rsidRPr="00D024ED" w:rsidRDefault="0044174C" w:rsidP="003308E1">
            <w:pPr>
              <w:rPr>
                <w:b/>
                <w:bCs/>
                <w:color w:val="000000"/>
                <w:szCs w:val="24"/>
                <w:lang w:val="en-ID"/>
              </w:rPr>
            </w:pPr>
            <w:r w:rsidRPr="00D024ED">
              <w:rPr>
                <w:b/>
                <w:bCs/>
                <w:color w:val="000000"/>
                <w:szCs w:val="24"/>
                <w:lang w:val="en-ID"/>
              </w:rPr>
              <w:t>Composite Reliability (CR)</w:t>
            </w:r>
          </w:p>
        </w:tc>
        <w:tc>
          <w:tcPr>
            <w:tcW w:w="756" w:type="dxa"/>
            <w:vAlign w:val="center"/>
            <w:hideMark/>
          </w:tcPr>
          <w:p w14:paraId="46AF6185" w14:textId="77777777" w:rsidR="0044174C" w:rsidRPr="00D024ED" w:rsidRDefault="0044174C" w:rsidP="003308E1">
            <w:pPr>
              <w:rPr>
                <w:b/>
                <w:bCs/>
                <w:color w:val="000000"/>
                <w:szCs w:val="24"/>
                <w:lang w:val="en-ID"/>
              </w:rPr>
            </w:pPr>
            <w:r w:rsidRPr="00D024ED">
              <w:rPr>
                <w:b/>
                <w:bCs/>
                <w:color w:val="000000"/>
                <w:szCs w:val="24"/>
                <w:lang w:val="en-ID"/>
              </w:rPr>
              <w:t>AVE</w:t>
            </w:r>
          </w:p>
        </w:tc>
      </w:tr>
      <w:tr w:rsidR="0044174C" w:rsidRPr="00D024ED" w14:paraId="1FAB9A25" w14:textId="77777777" w:rsidTr="00792E08">
        <w:trPr>
          <w:trHeight w:val="20"/>
          <w:jc w:val="center"/>
        </w:trPr>
        <w:tc>
          <w:tcPr>
            <w:tcW w:w="2491" w:type="dxa"/>
            <w:vAlign w:val="center"/>
            <w:hideMark/>
          </w:tcPr>
          <w:p w14:paraId="2E37D2FB" w14:textId="77777777" w:rsidR="0044174C" w:rsidRPr="00D024ED" w:rsidRDefault="0044174C" w:rsidP="003308E1">
            <w:pPr>
              <w:rPr>
                <w:color w:val="000000"/>
                <w:szCs w:val="24"/>
                <w:lang w:val="en-ID"/>
              </w:rPr>
            </w:pPr>
            <w:r w:rsidRPr="00D024ED">
              <w:rPr>
                <w:color w:val="000000"/>
                <w:szCs w:val="24"/>
                <w:lang w:val="en-ID"/>
              </w:rPr>
              <w:t xml:space="preserve">Sustainable </w:t>
            </w:r>
            <w:r>
              <w:rPr>
                <w:color w:val="000000"/>
                <w:szCs w:val="24"/>
                <w:lang w:val="en-ID"/>
              </w:rPr>
              <w:t>l</w:t>
            </w:r>
            <w:r w:rsidRPr="00D024ED">
              <w:rPr>
                <w:color w:val="000000"/>
                <w:szCs w:val="24"/>
                <w:lang w:val="en-ID"/>
              </w:rPr>
              <w:t>eadership</w:t>
            </w:r>
          </w:p>
        </w:tc>
        <w:tc>
          <w:tcPr>
            <w:tcW w:w="2152" w:type="dxa"/>
            <w:vAlign w:val="center"/>
            <w:hideMark/>
          </w:tcPr>
          <w:p w14:paraId="2EA5A141" w14:textId="77777777" w:rsidR="0044174C" w:rsidRPr="00D024ED" w:rsidRDefault="0044174C" w:rsidP="003308E1">
            <w:pPr>
              <w:rPr>
                <w:color w:val="000000"/>
                <w:szCs w:val="24"/>
                <w:lang w:val="en-ID"/>
              </w:rPr>
            </w:pPr>
            <w:r w:rsidRPr="00D024ED">
              <w:rPr>
                <w:color w:val="000000"/>
                <w:szCs w:val="24"/>
                <w:lang w:val="en-ID"/>
              </w:rPr>
              <w:t>0.910–0.930</w:t>
            </w:r>
          </w:p>
        </w:tc>
        <w:tc>
          <w:tcPr>
            <w:tcW w:w="1417" w:type="dxa"/>
            <w:vAlign w:val="center"/>
            <w:hideMark/>
          </w:tcPr>
          <w:p w14:paraId="23280BB0" w14:textId="77777777" w:rsidR="0044174C" w:rsidRPr="00D024ED" w:rsidRDefault="0044174C" w:rsidP="003308E1">
            <w:pPr>
              <w:rPr>
                <w:color w:val="000000"/>
                <w:szCs w:val="24"/>
                <w:lang w:val="en-ID"/>
              </w:rPr>
            </w:pPr>
            <w:r w:rsidRPr="00D024ED">
              <w:rPr>
                <w:color w:val="000000"/>
                <w:szCs w:val="24"/>
                <w:lang w:val="en-ID"/>
              </w:rPr>
              <w:t>0.974</w:t>
            </w:r>
          </w:p>
        </w:tc>
        <w:tc>
          <w:tcPr>
            <w:tcW w:w="1310" w:type="dxa"/>
            <w:vAlign w:val="center"/>
            <w:hideMark/>
          </w:tcPr>
          <w:p w14:paraId="525526F1" w14:textId="77777777" w:rsidR="0044174C" w:rsidRPr="00D024ED" w:rsidRDefault="0044174C" w:rsidP="003308E1">
            <w:pPr>
              <w:rPr>
                <w:color w:val="000000"/>
                <w:szCs w:val="24"/>
                <w:lang w:val="en-ID"/>
              </w:rPr>
            </w:pPr>
            <w:r w:rsidRPr="00D024ED">
              <w:rPr>
                <w:color w:val="000000"/>
                <w:szCs w:val="24"/>
                <w:lang w:val="en-ID"/>
              </w:rPr>
              <w:t>0.978</w:t>
            </w:r>
          </w:p>
        </w:tc>
        <w:tc>
          <w:tcPr>
            <w:tcW w:w="756" w:type="dxa"/>
            <w:vAlign w:val="center"/>
            <w:hideMark/>
          </w:tcPr>
          <w:p w14:paraId="27C3DABF" w14:textId="77777777" w:rsidR="0044174C" w:rsidRPr="00D024ED" w:rsidRDefault="0044174C" w:rsidP="003308E1">
            <w:pPr>
              <w:rPr>
                <w:color w:val="000000"/>
                <w:szCs w:val="24"/>
                <w:lang w:val="en-ID"/>
              </w:rPr>
            </w:pPr>
            <w:r w:rsidRPr="00D024ED">
              <w:rPr>
                <w:color w:val="000000"/>
                <w:szCs w:val="24"/>
                <w:lang w:val="en-ID"/>
              </w:rPr>
              <w:t>0.848</w:t>
            </w:r>
          </w:p>
        </w:tc>
      </w:tr>
      <w:tr w:rsidR="0044174C" w:rsidRPr="00D024ED" w14:paraId="4D5F9D90" w14:textId="77777777" w:rsidTr="00792E08">
        <w:trPr>
          <w:trHeight w:val="20"/>
          <w:jc w:val="center"/>
        </w:trPr>
        <w:tc>
          <w:tcPr>
            <w:tcW w:w="2491" w:type="dxa"/>
            <w:vAlign w:val="center"/>
            <w:hideMark/>
          </w:tcPr>
          <w:p w14:paraId="15453F3B" w14:textId="77777777" w:rsidR="0044174C" w:rsidRPr="00D024ED" w:rsidRDefault="0044174C" w:rsidP="003308E1">
            <w:pPr>
              <w:rPr>
                <w:color w:val="000000"/>
                <w:szCs w:val="24"/>
                <w:lang w:val="en-ID"/>
              </w:rPr>
            </w:pPr>
            <w:r w:rsidRPr="00D024ED">
              <w:rPr>
                <w:color w:val="000000"/>
                <w:szCs w:val="24"/>
                <w:lang w:val="en-ID"/>
              </w:rPr>
              <w:t xml:space="preserve">Competitive </w:t>
            </w:r>
            <w:r>
              <w:rPr>
                <w:color w:val="000000"/>
                <w:szCs w:val="24"/>
                <w:lang w:val="en-ID"/>
              </w:rPr>
              <w:t>p</w:t>
            </w:r>
            <w:r w:rsidRPr="00D024ED">
              <w:rPr>
                <w:color w:val="000000"/>
                <w:szCs w:val="24"/>
                <w:lang w:val="en-ID"/>
              </w:rPr>
              <w:t>ressure</w:t>
            </w:r>
          </w:p>
        </w:tc>
        <w:tc>
          <w:tcPr>
            <w:tcW w:w="2152" w:type="dxa"/>
            <w:vAlign w:val="center"/>
            <w:hideMark/>
          </w:tcPr>
          <w:p w14:paraId="1C978058" w14:textId="77777777" w:rsidR="0044174C" w:rsidRPr="00D024ED" w:rsidRDefault="0044174C" w:rsidP="003308E1">
            <w:pPr>
              <w:rPr>
                <w:color w:val="000000"/>
                <w:szCs w:val="24"/>
                <w:lang w:val="en-ID"/>
              </w:rPr>
            </w:pPr>
            <w:r w:rsidRPr="00D024ED">
              <w:rPr>
                <w:color w:val="000000"/>
                <w:szCs w:val="24"/>
                <w:lang w:val="en-ID"/>
              </w:rPr>
              <w:t>0.916–0.946</w:t>
            </w:r>
          </w:p>
        </w:tc>
        <w:tc>
          <w:tcPr>
            <w:tcW w:w="1417" w:type="dxa"/>
            <w:vAlign w:val="center"/>
            <w:hideMark/>
          </w:tcPr>
          <w:p w14:paraId="7B237580" w14:textId="77777777" w:rsidR="0044174C" w:rsidRPr="00D024ED" w:rsidRDefault="0044174C" w:rsidP="003308E1">
            <w:pPr>
              <w:rPr>
                <w:color w:val="000000"/>
                <w:szCs w:val="24"/>
                <w:lang w:val="en-ID"/>
              </w:rPr>
            </w:pPr>
            <w:r w:rsidRPr="00D024ED">
              <w:rPr>
                <w:color w:val="000000"/>
                <w:szCs w:val="24"/>
                <w:lang w:val="en-ID"/>
              </w:rPr>
              <w:t>0.978</w:t>
            </w:r>
          </w:p>
        </w:tc>
        <w:tc>
          <w:tcPr>
            <w:tcW w:w="1310" w:type="dxa"/>
            <w:vAlign w:val="center"/>
            <w:hideMark/>
          </w:tcPr>
          <w:p w14:paraId="1A5F9EEC" w14:textId="77777777" w:rsidR="0044174C" w:rsidRPr="00D024ED" w:rsidRDefault="0044174C" w:rsidP="003308E1">
            <w:pPr>
              <w:rPr>
                <w:color w:val="000000"/>
                <w:szCs w:val="24"/>
                <w:lang w:val="en-ID"/>
              </w:rPr>
            </w:pPr>
            <w:r w:rsidRPr="00D024ED">
              <w:rPr>
                <w:color w:val="000000"/>
                <w:szCs w:val="24"/>
                <w:lang w:val="en-ID"/>
              </w:rPr>
              <w:t>0.981</w:t>
            </w:r>
          </w:p>
        </w:tc>
        <w:tc>
          <w:tcPr>
            <w:tcW w:w="756" w:type="dxa"/>
            <w:vAlign w:val="center"/>
            <w:hideMark/>
          </w:tcPr>
          <w:p w14:paraId="61607B1B" w14:textId="77777777" w:rsidR="0044174C" w:rsidRPr="00D024ED" w:rsidRDefault="0044174C" w:rsidP="003308E1">
            <w:pPr>
              <w:rPr>
                <w:color w:val="000000"/>
                <w:szCs w:val="24"/>
                <w:lang w:val="en-ID"/>
              </w:rPr>
            </w:pPr>
            <w:r w:rsidRPr="00D024ED">
              <w:rPr>
                <w:color w:val="000000"/>
                <w:szCs w:val="24"/>
                <w:lang w:val="en-ID"/>
              </w:rPr>
              <w:t>0.866</w:t>
            </w:r>
          </w:p>
        </w:tc>
      </w:tr>
      <w:tr w:rsidR="0044174C" w:rsidRPr="00D024ED" w14:paraId="1BD2BED7" w14:textId="77777777" w:rsidTr="00792E08">
        <w:trPr>
          <w:trHeight w:val="20"/>
          <w:jc w:val="center"/>
        </w:trPr>
        <w:tc>
          <w:tcPr>
            <w:tcW w:w="2491" w:type="dxa"/>
            <w:vAlign w:val="center"/>
            <w:hideMark/>
          </w:tcPr>
          <w:p w14:paraId="682C8696" w14:textId="77777777" w:rsidR="0044174C" w:rsidRPr="00D024ED" w:rsidRDefault="0044174C" w:rsidP="003308E1">
            <w:pPr>
              <w:rPr>
                <w:color w:val="000000"/>
                <w:szCs w:val="24"/>
                <w:lang w:val="en-ID"/>
              </w:rPr>
            </w:pPr>
            <w:r w:rsidRPr="00D024ED">
              <w:rPr>
                <w:color w:val="000000"/>
                <w:szCs w:val="24"/>
                <w:lang w:val="en-ID"/>
              </w:rPr>
              <w:t xml:space="preserve">Sustainable </w:t>
            </w:r>
            <w:r>
              <w:rPr>
                <w:color w:val="000000"/>
                <w:szCs w:val="24"/>
                <w:lang w:val="en-ID"/>
              </w:rPr>
              <w:t>p</w:t>
            </w:r>
            <w:r w:rsidRPr="00D024ED">
              <w:rPr>
                <w:color w:val="000000"/>
                <w:szCs w:val="24"/>
                <w:lang w:val="en-ID"/>
              </w:rPr>
              <w:t>rocurement</w:t>
            </w:r>
          </w:p>
        </w:tc>
        <w:tc>
          <w:tcPr>
            <w:tcW w:w="2152" w:type="dxa"/>
            <w:vAlign w:val="center"/>
            <w:hideMark/>
          </w:tcPr>
          <w:p w14:paraId="0F340A34" w14:textId="77777777" w:rsidR="0044174C" w:rsidRPr="00D024ED" w:rsidRDefault="0044174C" w:rsidP="003308E1">
            <w:pPr>
              <w:rPr>
                <w:color w:val="000000"/>
                <w:szCs w:val="24"/>
                <w:lang w:val="en-ID"/>
              </w:rPr>
            </w:pPr>
            <w:r w:rsidRPr="00D024ED">
              <w:rPr>
                <w:color w:val="000000"/>
                <w:szCs w:val="24"/>
                <w:lang w:val="en-ID"/>
              </w:rPr>
              <w:t>0.886–0.926</w:t>
            </w:r>
          </w:p>
        </w:tc>
        <w:tc>
          <w:tcPr>
            <w:tcW w:w="1417" w:type="dxa"/>
            <w:vAlign w:val="center"/>
            <w:hideMark/>
          </w:tcPr>
          <w:p w14:paraId="5A781AF8" w14:textId="77777777" w:rsidR="0044174C" w:rsidRPr="00D024ED" w:rsidRDefault="0044174C" w:rsidP="003308E1">
            <w:pPr>
              <w:rPr>
                <w:color w:val="000000"/>
                <w:szCs w:val="24"/>
                <w:lang w:val="en-ID"/>
              </w:rPr>
            </w:pPr>
            <w:r w:rsidRPr="00D024ED">
              <w:rPr>
                <w:color w:val="000000"/>
                <w:szCs w:val="24"/>
                <w:lang w:val="en-ID"/>
              </w:rPr>
              <w:t>0.97</w:t>
            </w:r>
          </w:p>
        </w:tc>
        <w:tc>
          <w:tcPr>
            <w:tcW w:w="1310" w:type="dxa"/>
            <w:vAlign w:val="center"/>
            <w:hideMark/>
          </w:tcPr>
          <w:p w14:paraId="4CAF9122" w14:textId="77777777" w:rsidR="0044174C" w:rsidRPr="00D024ED" w:rsidRDefault="0044174C" w:rsidP="003308E1">
            <w:pPr>
              <w:rPr>
                <w:color w:val="000000"/>
                <w:szCs w:val="24"/>
                <w:lang w:val="en-ID"/>
              </w:rPr>
            </w:pPr>
            <w:r w:rsidRPr="00D024ED">
              <w:rPr>
                <w:color w:val="000000"/>
                <w:szCs w:val="24"/>
                <w:lang w:val="en-ID"/>
              </w:rPr>
              <w:t>0.974</w:t>
            </w:r>
          </w:p>
        </w:tc>
        <w:tc>
          <w:tcPr>
            <w:tcW w:w="756" w:type="dxa"/>
            <w:vAlign w:val="center"/>
            <w:hideMark/>
          </w:tcPr>
          <w:p w14:paraId="065F948E" w14:textId="77777777" w:rsidR="0044174C" w:rsidRPr="00D024ED" w:rsidRDefault="0044174C" w:rsidP="003308E1">
            <w:pPr>
              <w:rPr>
                <w:color w:val="000000"/>
                <w:szCs w:val="24"/>
                <w:lang w:val="en-ID"/>
              </w:rPr>
            </w:pPr>
            <w:r w:rsidRPr="00D024ED">
              <w:rPr>
                <w:color w:val="000000"/>
                <w:szCs w:val="24"/>
                <w:lang w:val="en-ID"/>
              </w:rPr>
              <w:t>0.825</w:t>
            </w:r>
          </w:p>
        </w:tc>
      </w:tr>
      <w:tr w:rsidR="0044174C" w:rsidRPr="00D024ED" w14:paraId="374F10D3" w14:textId="77777777" w:rsidTr="00792E08">
        <w:trPr>
          <w:trHeight w:val="20"/>
          <w:jc w:val="center"/>
        </w:trPr>
        <w:tc>
          <w:tcPr>
            <w:tcW w:w="2491" w:type="dxa"/>
            <w:vAlign w:val="center"/>
            <w:hideMark/>
          </w:tcPr>
          <w:p w14:paraId="7EEFFADE" w14:textId="77777777" w:rsidR="0044174C" w:rsidRPr="00D024ED" w:rsidRDefault="0044174C" w:rsidP="003308E1">
            <w:pPr>
              <w:rPr>
                <w:color w:val="000000"/>
                <w:szCs w:val="24"/>
                <w:lang w:val="en-ID"/>
              </w:rPr>
            </w:pPr>
            <w:r w:rsidRPr="00D024ED">
              <w:rPr>
                <w:color w:val="000000"/>
                <w:szCs w:val="24"/>
                <w:lang w:val="en-ID"/>
              </w:rPr>
              <w:t xml:space="preserve">Triple </w:t>
            </w:r>
            <w:r>
              <w:rPr>
                <w:color w:val="000000"/>
                <w:szCs w:val="24"/>
                <w:lang w:val="en-ID"/>
              </w:rPr>
              <w:t>b</w:t>
            </w:r>
            <w:r w:rsidRPr="00D024ED">
              <w:rPr>
                <w:color w:val="000000"/>
                <w:szCs w:val="24"/>
                <w:lang w:val="en-ID"/>
              </w:rPr>
              <w:t xml:space="preserve">ottom </w:t>
            </w:r>
            <w:r>
              <w:rPr>
                <w:color w:val="000000"/>
                <w:szCs w:val="24"/>
                <w:lang w:val="en-ID"/>
              </w:rPr>
              <w:t>l</w:t>
            </w:r>
            <w:r w:rsidRPr="00D024ED">
              <w:rPr>
                <w:color w:val="000000"/>
                <w:szCs w:val="24"/>
                <w:lang w:val="en-ID"/>
              </w:rPr>
              <w:t>ine</w:t>
            </w:r>
          </w:p>
        </w:tc>
        <w:tc>
          <w:tcPr>
            <w:tcW w:w="2152" w:type="dxa"/>
            <w:vAlign w:val="center"/>
            <w:hideMark/>
          </w:tcPr>
          <w:p w14:paraId="577822C3" w14:textId="77777777" w:rsidR="0044174C" w:rsidRPr="00D024ED" w:rsidRDefault="0044174C" w:rsidP="003308E1">
            <w:pPr>
              <w:rPr>
                <w:color w:val="000000"/>
                <w:szCs w:val="24"/>
                <w:lang w:val="en-ID"/>
              </w:rPr>
            </w:pPr>
            <w:r w:rsidRPr="00D024ED">
              <w:rPr>
                <w:color w:val="000000"/>
                <w:szCs w:val="24"/>
                <w:lang w:val="en-ID"/>
              </w:rPr>
              <w:t>0.905–0.930</w:t>
            </w:r>
          </w:p>
        </w:tc>
        <w:tc>
          <w:tcPr>
            <w:tcW w:w="1417" w:type="dxa"/>
            <w:vAlign w:val="center"/>
            <w:hideMark/>
          </w:tcPr>
          <w:p w14:paraId="36DA8675" w14:textId="77777777" w:rsidR="0044174C" w:rsidRPr="00D024ED" w:rsidRDefault="0044174C" w:rsidP="003308E1">
            <w:pPr>
              <w:rPr>
                <w:color w:val="000000"/>
                <w:szCs w:val="24"/>
                <w:lang w:val="en-ID"/>
              </w:rPr>
            </w:pPr>
            <w:r w:rsidRPr="00D024ED">
              <w:rPr>
                <w:color w:val="000000"/>
                <w:szCs w:val="24"/>
                <w:lang w:val="en-ID"/>
              </w:rPr>
              <w:t>0.972</w:t>
            </w:r>
          </w:p>
        </w:tc>
        <w:tc>
          <w:tcPr>
            <w:tcW w:w="1310" w:type="dxa"/>
            <w:vAlign w:val="center"/>
            <w:hideMark/>
          </w:tcPr>
          <w:p w14:paraId="7864F464" w14:textId="77777777" w:rsidR="0044174C" w:rsidRPr="00D024ED" w:rsidRDefault="0044174C" w:rsidP="003308E1">
            <w:pPr>
              <w:rPr>
                <w:color w:val="000000"/>
                <w:szCs w:val="24"/>
                <w:lang w:val="en-ID"/>
              </w:rPr>
            </w:pPr>
            <w:r w:rsidRPr="00D024ED">
              <w:rPr>
                <w:color w:val="000000"/>
                <w:szCs w:val="24"/>
                <w:lang w:val="en-ID"/>
              </w:rPr>
              <w:t>0.976</w:t>
            </w:r>
          </w:p>
        </w:tc>
        <w:tc>
          <w:tcPr>
            <w:tcW w:w="756" w:type="dxa"/>
            <w:vAlign w:val="center"/>
            <w:hideMark/>
          </w:tcPr>
          <w:p w14:paraId="5400A1E1" w14:textId="77777777" w:rsidR="0044174C" w:rsidRPr="00D024ED" w:rsidRDefault="0044174C" w:rsidP="003308E1">
            <w:pPr>
              <w:rPr>
                <w:color w:val="000000"/>
                <w:szCs w:val="24"/>
                <w:lang w:val="en-ID"/>
              </w:rPr>
            </w:pPr>
            <w:r w:rsidRPr="00D024ED">
              <w:rPr>
                <w:color w:val="000000"/>
                <w:szCs w:val="24"/>
                <w:lang w:val="en-ID"/>
              </w:rPr>
              <w:t>0.836</w:t>
            </w:r>
          </w:p>
        </w:tc>
      </w:tr>
      <w:tr w:rsidR="0044174C" w:rsidRPr="00D024ED" w14:paraId="41028989" w14:textId="77777777" w:rsidTr="00792E08">
        <w:trPr>
          <w:trHeight w:val="20"/>
          <w:jc w:val="center"/>
        </w:trPr>
        <w:tc>
          <w:tcPr>
            <w:tcW w:w="2491" w:type="dxa"/>
            <w:vAlign w:val="center"/>
            <w:hideMark/>
          </w:tcPr>
          <w:p w14:paraId="6F45518E" w14:textId="77777777" w:rsidR="0044174C" w:rsidRPr="00D024ED" w:rsidRDefault="0044174C" w:rsidP="003308E1">
            <w:pPr>
              <w:rPr>
                <w:color w:val="000000"/>
                <w:szCs w:val="24"/>
                <w:lang w:val="en-ID"/>
              </w:rPr>
            </w:pPr>
            <w:r w:rsidRPr="00D024ED">
              <w:rPr>
                <w:color w:val="000000"/>
                <w:szCs w:val="24"/>
                <w:lang w:val="en-ID"/>
              </w:rPr>
              <w:t xml:space="preserve">SME </w:t>
            </w:r>
            <w:r>
              <w:rPr>
                <w:color w:val="000000"/>
                <w:szCs w:val="24"/>
                <w:lang w:val="en-ID"/>
              </w:rPr>
              <w:t>p</w:t>
            </w:r>
            <w:r w:rsidRPr="00D024ED">
              <w:rPr>
                <w:color w:val="000000"/>
                <w:szCs w:val="24"/>
                <w:lang w:val="en-ID"/>
              </w:rPr>
              <w:t>erformance</w:t>
            </w:r>
          </w:p>
        </w:tc>
        <w:tc>
          <w:tcPr>
            <w:tcW w:w="2152" w:type="dxa"/>
            <w:vAlign w:val="center"/>
            <w:hideMark/>
          </w:tcPr>
          <w:p w14:paraId="5156ABCC" w14:textId="77777777" w:rsidR="0044174C" w:rsidRPr="00D024ED" w:rsidRDefault="0044174C" w:rsidP="003308E1">
            <w:pPr>
              <w:rPr>
                <w:color w:val="000000"/>
                <w:szCs w:val="24"/>
                <w:lang w:val="en-ID"/>
              </w:rPr>
            </w:pPr>
            <w:r w:rsidRPr="00D024ED">
              <w:rPr>
                <w:color w:val="000000"/>
                <w:szCs w:val="24"/>
                <w:lang w:val="en-ID"/>
              </w:rPr>
              <w:t>0.897–0.928</w:t>
            </w:r>
          </w:p>
        </w:tc>
        <w:tc>
          <w:tcPr>
            <w:tcW w:w="1417" w:type="dxa"/>
            <w:vAlign w:val="center"/>
            <w:hideMark/>
          </w:tcPr>
          <w:p w14:paraId="05098AA7" w14:textId="77777777" w:rsidR="0044174C" w:rsidRPr="00D024ED" w:rsidRDefault="0044174C" w:rsidP="003308E1">
            <w:pPr>
              <w:rPr>
                <w:color w:val="000000"/>
                <w:szCs w:val="24"/>
                <w:lang w:val="en-ID"/>
              </w:rPr>
            </w:pPr>
            <w:r w:rsidRPr="00D024ED">
              <w:rPr>
                <w:color w:val="000000"/>
                <w:szCs w:val="24"/>
                <w:lang w:val="en-ID"/>
              </w:rPr>
              <w:t>0.972</w:t>
            </w:r>
          </w:p>
        </w:tc>
        <w:tc>
          <w:tcPr>
            <w:tcW w:w="1310" w:type="dxa"/>
            <w:vAlign w:val="center"/>
            <w:hideMark/>
          </w:tcPr>
          <w:p w14:paraId="5A18DE77" w14:textId="77777777" w:rsidR="0044174C" w:rsidRPr="00D024ED" w:rsidRDefault="0044174C" w:rsidP="003308E1">
            <w:pPr>
              <w:rPr>
                <w:color w:val="000000"/>
                <w:szCs w:val="24"/>
                <w:lang w:val="en-ID"/>
              </w:rPr>
            </w:pPr>
            <w:r w:rsidRPr="00D024ED">
              <w:rPr>
                <w:color w:val="000000"/>
                <w:szCs w:val="24"/>
                <w:lang w:val="en-ID"/>
              </w:rPr>
              <w:t>0.976</w:t>
            </w:r>
          </w:p>
        </w:tc>
        <w:tc>
          <w:tcPr>
            <w:tcW w:w="756" w:type="dxa"/>
            <w:vAlign w:val="center"/>
            <w:hideMark/>
          </w:tcPr>
          <w:p w14:paraId="071B651C" w14:textId="77777777" w:rsidR="0044174C" w:rsidRPr="00D024ED" w:rsidRDefault="0044174C" w:rsidP="003308E1">
            <w:pPr>
              <w:rPr>
                <w:color w:val="000000"/>
                <w:szCs w:val="24"/>
                <w:lang w:val="en-ID"/>
              </w:rPr>
            </w:pPr>
            <w:r w:rsidRPr="00D024ED">
              <w:rPr>
                <w:color w:val="000000"/>
                <w:szCs w:val="24"/>
                <w:lang w:val="en-ID"/>
              </w:rPr>
              <w:t>0.837</w:t>
            </w:r>
          </w:p>
        </w:tc>
      </w:tr>
    </w:tbl>
    <w:p w14:paraId="1963269C" w14:textId="77777777" w:rsidR="0044174C" w:rsidRPr="00EA6BD0" w:rsidRDefault="0044174C" w:rsidP="0044174C">
      <w:pPr>
        <w:spacing w:after="160" w:line="259" w:lineRule="auto"/>
        <w:jc w:val="both"/>
        <w:rPr>
          <w:lang w:val="en-ID"/>
        </w:rPr>
      </w:pPr>
    </w:p>
    <w:p w14:paraId="2CE5804C" w14:textId="11E02A92" w:rsidR="0044174C" w:rsidRPr="0044174C" w:rsidRDefault="0044174C" w:rsidP="0044174C">
      <w:pPr>
        <w:pStyle w:val="Body"/>
        <w:rPr>
          <w:rFonts w:ascii="Arial" w:hAnsi="Arial" w:cs="Arial"/>
          <w:bCs/>
        </w:rPr>
      </w:pPr>
      <w:r w:rsidRPr="0044174C">
        <w:rPr>
          <w:rFonts w:ascii="Arial" w:hAnsi="Arial" w:cs="Arial"/>
          <w:bCs/>
        </w:rPr>
        <w:t xml:space="preserve">As shown in Table </w:t>
      </w:r>
      <w:r w:rsidR="00E84BEA">
        <w:rPr>
          <w:rFonts w:ascii="Arial" w:hAnsi="Arial" w:cs="Arial"/>
          <w:bCs/>
        </w:rPr>
        <w:t>2</w:t>
      </w:r>
      <w:r w:rsidRPr="0044174C">
        <w:rPr>
          <w:rFonts w:ascii="Arial" w:hAnsi="Arial" w:cs="Arial"/>
          <w:bCs/>
        </w:rPr>
        <w:t xml:space="preserve">, all indicator loadings exceeded 0.70, ranging from 0.886 to 0.946. Cronbach’s alpha values ranged from 0.970 to 0.978, while composite reliability values </w:t>
      </w:r>
      <w:r w:rsidRPr="0044174C">
        <w:rPr>
          <w:rFonts w:ascii="Arial" w:hAnsi="Arial" w:cs="Arial"/>
          <w:bCs/>
        </w:rPr>
        <w:lastRenderedPageBreak/>
        <w:t>ranged from 0.974 to 0.981, indicating satisfactory internal consistency reliability. In addition, the AVE values ranged from 0.825 to 0.866, exceeding the recommended threshold of 0.50. Therefore, the measurement model demonstrated satisfactory indicator reliability, internal consistency reliability, and convergent validity.</w:t>
      </w:r>
    </w:p>
    <w:p w14:paraId="7B77A851" w14:textId="542B12AC" w:rsidR="0044174C" w:rsidRPr="0044174C" w:rsidRDefault="0044174C" w:rsidP="0044174C">
      <w:pPr>
        <w:pStyle w:val="Body"/>
        <w:rPr>
          <w:rFonts w:ascii="Arial" w:hAnsi="Arial" w:cs="Arial"/>
          <w:bCs/>
        </w:rPr>
      </w:pPr>
      <w:r w:rsidRPr="0044174C">
        <w:rPr>
          <w:rFonts w:ascii="Arial" w:hAnsi="Arial" w:cs="Arial"/>
          <w:bCs/>
        </w:rPr>
        <w:t xml:space="preserve">Discriminant validity was subsequently assessed using the </w:t>
      </w:r>
      <w:proofErr w:type="spellStart"/>
      <w:r w:rsidRPr="0044174C">
        <w:rPr>
          <w:rFonts w:ascii="Arial" w:hAnsi="Arial" w:cs="Arial"/>
          <w:bCs/>
        </w:rPr>
        <w:t>heterotrait-monotrait</w:t>
      </w:r>
      <w:proofErr w:type="spellEnd"/>
      <w:r w:rsidRPr="0044174C">
        <w:rPr>
          <w:rFonts w:ascii="Arial" w:hAnsi="Arial" w:cs="Arial"/>
          <w:bCs/>
        </w:rPr>
        <w:t xml:space="preserve"> ratio (HTMT). The results are presented in Table </w:t>
      </w:r>
      <w:r w:rsidR="00E84BEA">
        <w:rPr>
          <w:rFonts w:ascii="Arial" w:hAnsi="Arial" w:cs="Arial"/>
          <w:bCs/>
        </w:rPr>
        <w:t>3</w:t>
      </w:r>
      <w:r w:rsidRPr="0044174C">
        <w:rPr>
          <w:rFonts w:ascii="Arial" w:hAnsi="Arial" w:cs="Arial"/>
          <w:bCs/>
        </w:rPr>
        <w:t>.</w:t>
      </w:r>
    </w:p>
    <w:p w14:paraId="38811AEB" w14:textId="77777777" w:rsidR="0044174C" w:rsidRPr="0044174C" w:rsidRDefault="0044174C" w:rsidP="0044174C">
      <w:pPr>
        <w:pStyle w:val="Body"/>
        <w:rPr>
          <w:rFonts w:ascii="Arial" w:hAnsi="Arial" w:cs="Arial"/>
          <w:bCs/>
        </w:rPr>
      </w:pPr>
    </w:p>
    <w:p w14:paraId="2F564C36" w14:textId="2F25ABA7" w:rsidR="0044174C" w:rsidRPr="00524109" w:rsidRDefault="0044174C" w:rsidP="00792E08">
      <w:pPr>
        <w:spacing w:after="160" w:line="259" w:lineRule="auto"/>
        <w:jc w:val="center"/>
        <w:rPr>
          <w:lang w:val="en-ID"/>
        </w:rPr>
      </w:pPr>
      <w:r w:rsidRPr="00524109">
        <w:rPr>
          <w:lang w:val="en-ID"/>
        </w:rPr>
        <w:t xml:space="preserve">Table </w:t>
      </w:r>
      <w:r w:rsidR="00E84BEA">
        <w:rPr>
          <w:lang w:val="en-ID"/>
        </w:rPr>
        <w:t>3</w:t>
      </w:r>
      <w:r w:rsidRPr="00524109">
        <w:rPr>
          <w:lang w:val="en-ID"/>
        </w:rPr>
        <w:t>. Discriminant Validity Assessment Using HTMT</w:t>
      </w:r>
    </w:p>
    <w:tbl>
      <w:tblPr>
        <w:tblW w:w="8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934"/>
        <w:gridCol w:w="967"/>
        <w:gridCol w:w="935"/>
        <w:gridCol w:w="935"/>
        <w:gridCol w:w="920"/>
      </w:tblGrid>
      <w:tr w:rsidR="0044174C" w:rsidRPr="00D024ED" w14:paraId="1A88C3DC" w14:textId="77777777" w:rsidTr="00792E08">
        <w:trPr>
          <w:trHeight w:val="20"/>
          <w:jc w:val="center"/>
        </w:trPr>
        <w:tc>
          <w:tcPr>
            <w:tcW w:w="3330" w:type="dxa"/>
            <w:vAlign w:val="center"/>
            <w:hideMark/>
          </w:tcPr>
          <w:p w14:paraId="1E4FE1DD" w14:textId="77777777" w:rsidR="0044174C" w:rsidRPr="00D024ED" w:rsidRDefault="0044174C" w:rsidP="003308E1">
            <w:pPr>
              <w:rPr>
                <w:b/>
                <w:bCs/>
                <w:color w:val="000000"/>
                <w:szCs w:val="24"/>
                <w:lang w:val="en-ID"/>
              </w:rPr>
            </w:pPr>
            <w:r w:rsidRPr="00D024ED">
              <w:rPr>
                <w:b/>
                <w:bCs/>
                <w:color w:val="000000"/>
                <w:szCs w:val="24"/>
                <w:lang w:val="en-ID"/>
              </w:rPr>
              <w:t>Construct</w:t>
            </w:r>
          </w:p>
        </w:tc>
        <w:tc>
          <w:tcPr>
            <w:tcW w:w="934" w:type="dxa"/>
            <w:vAlign w:val="center"/>
            <w:hideMark/>
          </w:tcPr>
          <w:p w14:paraId="7998AC34" w14:textId="77777777" w:rsidR="0044174C" w:rsidRPr="00D024ED" w:rsidRDefault="0044174C" w:rsidP="003308E1">
            <w:pPr>
              <w:rPr>
                <w:b/>
                <w:bCs/>
                <w:color w:val="000000"/>
                <w:szCs w:val="24"/>
                <w:lang w:val="en-ID"/>
              </w:rPr>
            </w:pPr>
            <w:r w:rsidRPr="00D024ED">
              <w:rPr>
                <w:b/>
                <w:bCs/>
                <w:color w:val="000000"/>
                <w:szCs w:val="24"/>
                <w:lang w:val="en-ID"/>
              </w:rPr>
              <w:t>SP</w:t>
            </w:r>
          </w:p>
        </w:tc>
        <w:tc>
          <w:tcPr>
            <w:tcW w:w="967" w:type="dxa"/>
            <w:vAlign w:val="center"/>
            <w:hideMark/>
          </w:tcPr>
          <w:p w14:paraId="71134DAF" w14:textId="77777777" w:rsidR="0044174C" w:rsidRPr="00D024ED" w:rsidRDefault="0044174C" w:rsidP="003308E1">
            <w:pPr>
              <w:rPr>
                <w:b/>
                <w:bCs/>
                <w:color w:val="000000"/>
                <w:szCs w:val="24"/>
                <w:lang w:val="en-ID"/>
              </w:rPr>
            </w:pPr>
            <w:r w:rsidRPr="00D024ED">
              <w:rPr>
                <w:b/>
                <w:bCs/>
                <w:color w:val="000000"/>
                <w:szCs w:val="24"/>
                <w:lang w:val="en-ID"/>
              </w:rPr>
              <w:t>SMEP</w:t>
            </w:r>
          </w:p>
        </w:tc>
        <w:tc>
          <w:tcPr>
            <w:tcW w:w="935" w:type="dxa"/>
            <w:vAlign w:val="center"/>
            <w:hideMark/>
          </w:tcPr>
          <w:p w14:paraId="0C982A17" w14:textId="77777777" w:rsidR="0044174C" w:rsidRPr="00D024ED" w:rsidRDefault="0044174C" w:rsidP="003308E1">
            <w:pPr>
              <w:rPr>
                <w:b/>
                <w:bCs/>
                <w:color w:val="000000"/>
                <w:szCs w:val="24"/>
                <w:lang w:val="en-ID"/>
              </w:rPr>
            </w:pPr>
            <w:r w:rsidRPr="00D024ED">
              <w:rPr>
                <w:b/>
                <w:bCs/>
                <w:color w:val="000000"/>
                <w:szCs w:val="24"/>
                <w:lang w:val="en-ID"/>
              </w:rPr>
              <w:t>SL</w:t>
            </w:r>
          </w:p>
        </w:tc>
        <w:tc>
          <w:tcPr>
            <w:tcW w:w="935" w:type="dxa"/>
            <w:vAlign w:val="center"/>
            <w:hideMark/>
          </w:tcPr>
          <w:p w14:paraId="44935D0B" w14:textId="77777777" w:rsidR="0044174C" w:rsidRPr="00D024ED" w:rsidRDefault="0044174C" w:rsidP="003308E1">
            <w:pPr>
              <w:rPr>
                <w:b/>
                <w:bCs/>
                <w:color w:val="000000"/>
                <w:szCs w:val="24"/>
                <w:lang w:val="en-ID"/>
              </w:rPr>
            </w:pPr>
            <w:r w:rsidRPr="00D024ED">
              <w:rPr>
                <w:b/>
                <w:bCs/>
                <w:color w:val="000000"/>
                <w:szCs w:val="24"/>
                <w:lang w:val="en-ID"/>
              </w:rPr>
              <w:t>CP</w:t>
            </w:r>
          </w:p>
        </w:tc>
        <w:tc>
          <w:tcPr>
            <w:tcW w:w="920" w:type="dxa"/>
            <w:vAlign w:val="center"/>
            <w:hideMark/>
          </w:tcPr>
          <w:p w14:paraId="64653AAC" w14:textId="77777777" w:rsidR="0044174C" w:rsidRPr="00D024ED" w:rsidRDefault="0044174C" w:rsidP="003308E1">
            <w:pPr>
              <w:rPr>
                <w:b/>
                <w:bCs/>
                <w:color w:val="000000"/>
                <w:szCs w:val="24"/>
                <w:lang w:val="en-ID"/>
              </w:rPr>
            </w:pPr>
            <w:r w:rsidRPr="00D024ED">
              <w:rPr>
                <w:b/>
                <w:bCs/>
                <w:color w:val="000000"/>
                <w:szCs w:val="24"/>
                <w:lang w:val="en-ID"/>
              </w:rPr>
              <w:t>TBL</w:t>
            </w:r>
          </w:p>
        </w:tc>
      </w:tr>
      <w:tr w:rsidR="0044174C" w:rsidRPr="00D024ED" w14:paraId="47027B38" w14:textId="77777777" w:rsidTr="00792E08">
        <w:trPr>
          <w:trHeight w:val="20"/>
          <w:jc w:val="center"/>
        </w:trPr>
        <w:tc>
          <w:tcPr>
            <w:tcW w:w="3330" w:type="dxa"/>
            <w:vAlign w:val="center"/>
            <w:hideMark/>
          </w:tcPr>
          <w:p w14:paraId="0BCE8D91" w14:textId="77777777" w:rsidR="0044174C" w:rsidRPr="00D024ED" w:rsidRDefault="0044174C" w:rsidP="003308E1">
            <w:pPr>
              <w:rPr>
                <w:color w:val="000000"/>
                <w:szCs w:val="24"/>
                <w:lang w:val="en-ID"/>
              </w:rPr>
            </w:pPr>
            <w:r w:rsidRPr="00D024ED">
              <w:rPr>
                <w:color w:val="000000"/>
                <w:szCs w:val="24"/>
                <w:lang w:val="en-ID"/>
              </w:rPr>
              <w:t xml:space="preserve">Sustainable </w:t>
            </w:r>
            <w:r>
              <w:rPr>
                <w:color w:val="000000"/>
                <w:szCs w:val="24"/>
                <w:lang w:val="en-ID"/>
              </w:rPr>
              <w:t>p</w:t>
            </w:r>
            <w:r w:rsidRPr="00D024ED">
              <w:rPr>
                <w:color w:val="000000"/>
                <w:szCs w:val="24"/>
                <w:lang w:val="en-ID"/>
              </w:rPr>
              <w:t>rocurement (SP)</w:t>
            </w:r>
          </w:p>
        </w:tc>
        <w:tc>
          <w:tcPr>
            <w:tcW w:w="934" w:type="dxa"/>
            <w:vAlign w:val="center"/>
            <w:hideMark/>
          </w:tcPr>
          <w:p w14:paraId="0E19A176" w14:textId="77777777" w:rsidR="0044174C" w:rsidRPr="00D024ED" w:rsidRDefault="0044174C" w:rsidP="003308E1">
            <w:pPr>
              <w:rPr>
                <w:color w:val="000000"/>
                <w:szCs w:val="24"/>
                <w:lang w:val="en-ID"/>
              </w:rPr>
            </w:pPr>
            <w:r w:rsidRPr="00D024ED">
              <w:rPr>
                <w:color w:val="000000"/>
                <w:szCs w:val="24"/>
                <w:lang w:val="en-ID"/>
              </w:rPr>
              <w:t>—</w:t>
            </w:r>
          </w:p>
        </w:tc>
        <w:tc>
          <w:tcPr>
            <w:tcW w:w="967" w:type="dxa"/>
            <w:vAlign w:val="center"/>
            <w:hideMark/>
          </w:tcPr>
          <w:p w14:paraId="0853DEAC" w14:textId="77777777" w:rsidR="0044174C" w:rsidRPr="00D024ED" w:rsidRDefault="0044174C" w:rsidP="003308E1">
            <w:pPr>
              <w:rPr>
                <w:color w:val="000000"/>
                <w:szCs w:val="24"/>
                <w:lang w:val="en-ID"/>
              </w:rPr>
            </w:pPr>
          </w:p>
        </w:tc>
        <w:tc>
          <w:tcPr>
            <w:tcW w:w="935" w:type="dxa"/>
            <w:vAlign w:val="center"/>
            <w:hideMark/>
          </w:tcPr>
          <w:p w14:paraId="149225CF" w14:textId="77777777" w:rsidR="0044174C" w:rsidRPr="00D024ED" w:rsidRDefault="0044174C" w:rsidP="003308E1">
            <w:pPr>
              <w:rPr>
                <w:lang w:val="en-ID"/>
              </w:rPr>
            </w:pPr>
          </w:p>
        </w:tc>
        <w:tc>
          <w:tcPr>
            <w:tcW w:w="935" w:type="dxa"/>
            <w:vAlign w:val="center"/>
            <w:hideMark/>
          </w:tcPr>
          <w:p w14:paraId="45C127F4" w14:textId="77777777" w:rsidR="0044174C" w:rsidRPr="00D024ED" w:rsidRDefault="0044174C" w:rsidP="003308E1">
            <w:pPr>
              <w:rPr>
                <w:lang w:val="en-ID"/>
              </w:rPr>
            </w:pPr>
          </w:p>
        </w:tc>
        <w:tc>
          <w:tcPr>
            <w:tcW w:w="920" w:type="dxa"/>
            <w:vAlign w:val="center"/>
            <w:hideMark/>
          </w:tcPr>
          <w:p w14:paraId="1E26867F" w14:textId="77777777" w:rsidR="0044174C" w:rsidRPr="00D024ED" w:rsidRDefault="0044174C" w:rsidP="003308E1">
            <w:pPr>
              <w:rPr>
                <w:lang w:val="en-ID"/>
              </w:rPr>
            </w:pPr>
          </w:p>
        </w:tc>
      </w:tr>
      <w:tr w:rsidR="0044174C" w:rsidRPr="00D024ED" w14:paraId="49EA577E" w14:textId="77777777" w:rsidTr="00792E08">
        <w:trPr>
          <w:trHeight w:val="20"/>
          <w:jc w:val="center"/>
        </w:trPr>
        <w:tc>
          <w:tcPr>
            <w:tcW w:w="3330" w:type="dxa"/>
            <w:vAlign w:val="center"/>
            <w:hideMark/>
          </w:tcPr>
          <w:p w14:paraId="453DFF51" w14:textId="77777777" w:rsidR="0044174C" w:rsidRPr="00D024ED" w:rsidRDefault="0044174C" w:rsidP="003308E1">
            <w:pPr>
              <w:rPr>
                <w:color w:val="000000"/>
                <w:szCs w:val="24"/>
                <w:lang w:val="en-ID"/>
              </w:rPr>
            </w:pPr>
            <w:r w:rsidRPr="00D024ED">
              <w:rPr>
                <w:color w:val="000000"/>
                <w:szCs w:val="24"/>
                <w:lang w:val="en-ID"/>
              </w:rPr>
              <w:t xml:space="preserve">SME </w:t>
            </w:r>
            <w:r>
              <w:rPr>
                <w:color w:val="000000"/>
                <w:szCs w:val="24"/>
                <w:lang w:val="en-ID"/>
              </w:rPr>
              <w:t>p</w:t>
            </w:r>
            <w:r w:rsidRPr="00D024ED">
              <w:rPr>
                <w:color w:val="000000"/>
                <w:szCs w:val="24"/>
                <w:lang w:val="en-ID"/>
              </w:rPr>
              <w:t>erformance (SMEP)</w:t>
            </w:r>
          </w:p>
        </w:tc>
        <w:tc>
          <w:tcPr>
            <w:tcW w:w="934" w:type="dxa"/>
            <w:vAlign w:val="center"/>
            <w:hideMark/>
          </w:tcPr>
          <w:p w14:paraId="76789672" w14:textId="77777777" w:rsidR="0044174C" w:rsidRPr="00D024ED" w:rsidRDefault="0044174C" w:rsidP="003308E1">
            <w:pPr>
              <w:rPr>
                <w:color w:val="000000"/>
                <w:szCs w:val="24"/>
                <w:lang w:val="en-ID"/>
              </w:rPr>
            </w:pPr>
            <w:r w:rsidRPr="00D024ED">
              <w:rPr>
                <w:color w:val="000000"/>
                <w:szCs w:val="24"/>
                <w:lang w:val="en-ID"/>
              </w:rPr>
              <w:t>0.591</w:t>
            </w:r>
          </w:p>
        </w:tc>
        <w:tc>
          <w:tcPr>
            <w:tcW w:w="967" w:type="dxa"/>
            <w:vAlign w:val="center"/>
            <w:hideMark/>
          </w:tcPr>
          <w:p w14:paraId="0B309352" w14:textId="77777777" w:rsidR="0044174C" w:rsidRPr="00D024ED" w:rsidRDefault="0044174C" w:rsidP="003308E1">
            <w:pPr>
              <w:rPr>
                <w:color w:val="000000"/>
                <w:szCs w:val="24"/>
                <w:lang w:val="en-ID"/>
              </w:rPr>
            </w:pPr>
            <w:r w:rsidRPr="00D024ED">
              <w:rPr>
                <w:color w:val="000000"/>
                <w:szCs w:val="24"/>
                <w:lang w:val="en-ID"/>
              </w:rPr>
              <w:t>—</w:t>
            </w:r>
          </w:p>
        </w:tc>
        <w:tc>
          <w:tcPr>
            <w:tcW w:w="935" w:type="dxa"/>
            <w:vAlign w:val="center"/>
            <w:hideMark/>
          </w:tcPr>
          <w:p w14:paraId="619066A9" w14:textId="77777777" w:rsidR="0044174C" w:rsidRPr="00D024ED" w:rsidRDefault="0044174C" w:rsidP="003308E1">
            <w:pPr>
              <w:rPr>
                <w:color w:val="000000"/>
                <w:szCs w:val="24"/>
                <w:lang w:val="en-ID"/>
              </w:rPr>
            </w:pPr>
          </w:p>
        </w:tc>
        <w:tc>
          <w:tcPr>
            <w:tcW w:w="935" w:type="dxa"/>
            <w:vAlign w:val="center"/>
            <w:hideMark/>
          </w:tcPr>
          <w:p w14:paraId="7BBF523C" w14:textId="77777777" w:rsidR="0044174C" w:rsidRPr="00D024ED" w:rsidRDefault="0044174C" w:rsidP="003308E1">
            <w:pPr>
              <w:rPr>
                <w:lang w:val="en-ID"/>
              </w:rPr>
            </w:pPr>
          </w:p>
        </w:tc>
        <w:tc>
          <w:tcPr>
            <w:tcW w:w="920" w:type="dxa"/>
            <w:vAlign w:val="center"/>
            <w:hideMark/>
          </w:tcPr>
          <w:p w14:paraId="75C2B6C3" w14:textId="77777777" w:rsidR="0044174C" w:rsidRPr="00D024ED" w:rsidRDefault="0044174C" w:rsidP="003308E1">
            <w:pPr>
              <w:rPr>
                <w:lang w:val="en-ID"/>
              </w:rPr>
            </w:pPr>
          </w:p>
        </w:tc>
      </w:tr>
      <w:tr w:rsidR="0044174C" w:rsidRPr="00D024ED" w14:paraId="40F88400" w14:textId="77777777" w:rsidTr="00792E08">
        <w:trPr>
          <w:trHeight w:val="20"/>
          <w:jc w:val="center"/>
        </w:trPr>
        <w:tc>
          <w:tcPr>
            <w:tcW w:w="3330" w:type="dxa"/>
            <w:vAlign w:val="center"/>
            <w:hideMark/>
          </w:tcPr>
          <w:p w14:paraId="3E2B51F8" w14:textId="77777777" w:rsidR="0044174C" w:rsidRPr="00D024ED" w:rsidRDefault="0044174C" w:rsidP="003308E1">
            <w:pPr>
              <w:rPr>
                <w:color w:val="000000"/>
                <w:szCs w:val="24"/>
                <w:lang w:val="en-ID"/>
              </w:rPr>
            </w:pPr>
            <w:r w:rsidRPr="00D024ED">
              <w:rPr>
                <w:color w:val="000000"/>
                <w:szCs w:val="24"/>
                <w:lang w:val="en-ID"/>
              </w:rPr>
              <w:t xml:space="preserve">Sustainable </w:t>
            </w:r>
            <w:r>
              <w:rPr>
                <w:color w:val="000000"/>
                <w:szCs w:val="24"/>
                <w:lang w:val="en-ID"/>
              </w:rPr>
              <w:t>l</w:t>
            </w:r>
            <w:r w:rsidRPr="00D024ED">
              <w:rPr>
                <w:color w:val="000000"/>
                <w:szCs w:val="24"/>
                <w:lang w:val="en-ID"/>
              </w:rPr>
              <w:t>eadership (SL)</w:t>
            </w:r>
          </w:p>
        </w:tc>
        <w:tc>
          <w:tcPr>
            <w:tcW w:w="934" w:type="dxa"/>
            <w:vAlign w:val="center"/>
            <w:hideMark/>
          </w:tcPr>
          <w:p w14:paraId="1EF45EBA" w14:textId="77777777" w:rsidR="0044174C" w:rsidRPr="00D024ED" w:rsidRDefault="0044174C" w:rsidP="003308E1">
            <w:pPr>
              <w:rPr>
                <w:color w:val="000000"/>
                <w:szCs w:val="24"/>
                <w:lang w:val="en-ID"/>
              </w:rPr>
            </w:pPr>
            <w:r w:rsidRPr="00D024ED">
              <w:rPr>
                <w:color w:val="000000"/>
                <w:szCs w:val="24"/>
                <w:lang w:val="en-ID"/>
              </w:rPr>
              <w:t>0.775</w:t>
            </w:r>
          </w:p>
        </w:tc>
        <w:tc>
          <w:tcPr>
            <w:tcW w:w="967" w:type="dxa"/>
            <w:vAlign w:val="center"/>
            <w:hideMark/>
          </w:tcPr>
          <w:p w14:paraId="1FE2D1ED" w14:textId="77777777" w:rsidR="0044174C" w:rsidRPr="00D024ED" w:rsidRDefault="0044174C" w:rsidP="003308E1">
            <w:pPr>
              <w:rPr>
                <w:color w:val="000000"/>
                <w:szCs w:val="24"/>
                <w:lang w:val="en-ID"/>
              </w:rPr>
            </w:pPr>
            <w:r w:rsidRPr="00D024ED">
              <w:rPr>
                <w:color w:val="000000"/>
                <w:szCs w:val="24"/>
                <w:lang w:val="en-ID"/>
              </w:rPr>
              <w:t>0.603</w:t>
            </w:r>
          </w:p>
        </w:tc>
        <w:tc>
          <w:tcPr>
            <w:tcW w:w="935" w:type="dxa"/>
            <w:vAlign w:val="center"/>
            <w:hideMark/>
          </w:tcPr>
          <w:p w14:paraId="5B9C2818" w14:textId="77777777" w:rsidR="0044174C" w:rsidRPr="00D024ED" w:rsidRDefault="0044174C" w:rsidP="003308E1">
            <w:pPr>
              <w:rPr>
                <w:color w:val="000000"/>
                <w:szCs w:val="24"/>
                <w:lang w:val="en-ID"/>
              </w:rPr>
            </w:pPr>
            <w:r w:rsidRPr="00D024ED">
              <w:rPr>
                <w:color w:val="000000"/>
                <w:szCs w:val="24"/>
                <w:lang w:val="en-ID"/>
              </w:rPr>
              <w:t>—</w:t>
            </w:r>
          </w:p>
        </w:tc>
        <w:tc>
          <w:tcPr>
            <w:tcW w:w="935" w:type="dxa"/>
            <w:vAlign w:val="center"/>
            <w:hideMark/>
          </w:tcPr>
          <w:p w14:paraId="10BB0700" w14:textId="77777777" w:rsidR="0044174C" w:rsidRPr="00D024ED" w:rsidRDefault="0044174C" w:rsidP="003308E1">
            <w:pPr>
              <w:rPr>
                <w:color w:val="000000"/>
                <w:szCs w:val="24"/>
                <w:lang w:val="en-ID"/>
              </w:rPr>
            </w:pPr>
          </w:p>
        </w:tc>
        <w:tc>
          <w:tcPr>
            <w:tcW w:w="920" w:type="dxa"/>
            <w:vAlign w:val="center"/>
            <w:hideMark/>
          </w:tcPr>
          <w:p w14:paraId="72083C26" w14:textId="77777777" w:rsidR="0044174C" w:rsidRPr="00D024ED" w:rsidRDefault="0044174C" w:rsidP="003308E1">
            <w:pPr>
              <w:rPr>
                <w:lang w:val="en-ID"/>
              </w:rPr>
            </w:pPr>
          </w:p>
        </w:tc>
      </w:tr>
      <w:tr w:rsidR="0044174C" w:rsidRPr="00D024ED" w14:paraId="202FEB93" w14:textId="77777777" w:rsidTr="00792E08">
        <w:trPr>
          <w:trHeight w:val="20"/>
          <w:jc w:val="center"/>
        </w:trPr>
        <w:tc>
          <w:tcPr>
            <w:tcW w:w="3330" w:type="dxa"/>
            <w:vAlign w:val="center"/>
            <w:hideMark/>
          </w:tcPr>
          <w:p w14:paraId="18ECDA21" w14:textId="77777777" w:rsidR="0044174C" w:rsidRPr="00D024ED" w:rsidRDefault="0044174C" w:rsidP="003308E1">
            <w:pPr>
              <w:rPr>
                <w:color w:val="000000"/>
                <w:szCs w:val="24"/>
                <w:lang w:val="en-ID"/>
              </w:rPr>
            </w:pPr>
            <w:r w:rsidRPr="00D024ED">
              <w:rPr>
                <w:color w:val="000000"/>
                <w:szCs w:val="24"/>
                <w:lang w:val="en-ID"/>
              </w:rPr>
              <w:t xml:space="preserve">Competitive </w:t>
            </w:r>
            <w:r>
              <w:rPr>
                <w:color w:val="000000"/>
                <w:szCs w:val="24"/>
                <w:lang w:val="en-ID"/>
              </w:rPr>
              <w:t>p</w:t>
            </w:r>
            <w:r w:rsidRPr="00D024ED">
              <w:rPr>
                <w:color w:val="000000"/>
                <w:szCs w:val="24"/>
                <w:lang w:val="en-ID"/>
              </w:rPr>
              <w:t>ressure (CP)</w:t>
            </w:r>
          </w:p>
        </w:tc>
        <w:tc>
          <w:tcPr>
            <w:tcW w:w="934" w:type="dxa"/>
            <w:vAlign w:val="center"/>
            <w:hideMark/>
          </w:tcPr>
          <w:p w14:paraId="5178ED91" w14:textId="77777777" w:rsidR="0044174C" w:rsidRPr="00D024ED" w:rsidRDefault="0044174C" w:rsidP="003308E1">
            <w:pPr>
              <w:rPr>
                <w:color w:val="000000"/>
                <w:szCs w:val="24"/>
                <w:lang w:val="en-ID"/>
              </w:rPr>
            </w:pPr>
            <w:r w:rsidRPr="00D024ED">
              <w:rPr>
                <w:color w:val="000000"/>
                <w:szCs w:val="24"/>
                <w:lang w:val="en-ID"/>
              </w:rPr>
              <w:t>0.222</w:t>
            </w:r>
          </w:p>
        </w:tc>
        <w:tc>
          <w:tcPr>
            <w:tcW w:w="967" w:type="dxa"/>
            <w:vAlign w:val="center"/>
            <w:hideMark/>
          </w:tcPr>
          <w:p w14:paraId="273EBBC1" w14:textId="77777777" w:rsidR="0044174C" w:rsidRPr="00D024ED" w:rsidRDefault="0044174C" w:rsidP="003308E1">
            <w:pPr>
              <w:rPr>
                <w:color w:val="000000"/>
                <w:szCs w:val="24"/>
                <w:lang w:val="en-ID"/>
              </w:rPr>
            </w:pPr>
            <w:r w:rsidRPr="00D024ED">
              <w:rPr>
                <w:color w:val="000000"/>
                <w:szCs w:val="24"/>
                <w:lang w:val="en-ID"/>
              </w:rPr>
              <w:t>0.273</w:t>
            </w:r>
          </w:p>
        </w:tc>
        <w:tc>
          <w:tcPr>
            <w:tcW w:w="935" w:type="dxa"/>
            <w:vAlign w:val="center"/>
            <w:hideMark/>
          </w:tcPr>
          <w:p w14:paraId="2CB59A0E" w14:textId="77777777" w:rsidR="0044174C" w:rsidRPr="00D024ED" w:rsidRDefault="0044174C" w:rsidP="003308E1">
            <w:pPr>
              <w:rPr>
                <w:color w:val="000000"/>
                <w:szCs w:val="24"/>
                <w:lang w:val="en-ID"/>
              </w:rPr>
            </w:pPr>
            <w:r w:rsidRPr="00D024ED">
              <w:rPr>
                <w:color w:val="000000"/>
                <w:szCs w:val="24"/>
                <w:lang w:val="en-ID"/>
              </w:rPr>
              <w:t>0.041</w:t>
            </w:r>
          </w:p>
        </w:tc>
        <w:tc>
          <w:tcPr>
            <w:tcW w:w="935" w:type="dxa"/>
            <w:vAlign w:val="center"/>
            <w:hideMark/>
          </w:tcPr>
          <w:p w14:paraId="4DE3D4BD" w14:textId="77777777" w:rsidR="0044174C" w:rsidRPr="00D024ED" w:rsidRDefault="0044174C" w:rsidP="003308E1">
            <w:pPr>
              <w:rPr>
                <w:color w:val="000000"/>
                <w:szCs w:val="24"/>
                <w:lang w:val="en-ID"/>
              </w:rPr>
            </w:pPr>
            <w:r w:rsidRPr="00D024ED">
              <w:rPr>
                <w:color w:val="000000"/>
                <w:szCs w:val="24"/>
                <w:lang w:val="en-ID"/>
              </w:rPr>
              <w:t>—</w:t>
            </w:r>
          </w:p>
        </w:tc>
        <w:tc>
          <w:tcPr>
            <w:tcW w:w="920" w:type="dxa"/>
            <w:vAlign w:val="center"/>
            <w:hideMark/>
          </w:tcPr>
          <w:p w14:paraId="386545B4" w14:textId="77777777" w:rsidR="0044174C" w:rsidRPr="00D024ED" w:rsidRDefault="0044174C" w:rsidP="003308E1">
            <w:pPr>
              <w:rPr>
                <w:color w:val="000000"/>
                <w:szCs w:val="24"/>
                <w:lang w:val="en-ID"/>
              </w:rPr>
            </w:pPr>
          </w:p>
        </w:tc>
      </w:tr>
      <w:tr w:rsidR="0044174C" w:rsidRPr="00D024ED" w14:paraId="11CC4DB7" w14:textId="77777777" w:rsidTr="00792E08">
        <w:trPr>
          <w:trHeight w:val="20"/>
          <w:jc w:val="center"/>
        </w:trPr>
        <w:tc>
          <w:tcPr>
            <w:tcW w:w="3330" w:type="dxa"/>
            <w:vAlign w:val="center"/>
            <w:hideMark/>
          </w:tcPr>
          <w:p w14:paraId="696D306E" w14:textId="77777777" w:rsidR="0044174C" w:rsidRPr="00D024ED" w:rsidRDefault="0044174C" w:rsidP="003308E1">
            <w:pPr>
              <w:rPr>
                <w:color w:val="000000"/>
                <w:szCs w:val="24"/>
                <w:lang w:val="en-ID"/>
              </w:rPr>
            </w:pPr>
            <w:r w:rsidRPr="00D024ED">
              <w:rPr>
                <w:color w:val="000000"/>
                <w:szCs w:val="24"/>
                <w:lang w:val="en-ID"/>
              </w:rPr>
              <w:t>Triple Bottom Line (TBL)</w:t>
            </w:r>
          </w:p>
        </w:tc>
        <w:tc>
          <w:tcPr>
            <w:tcW w:w="934" w:type="dxa"/>
            <w:vAlign w:val="center"/>
            <w:hideMark/>
          </w:tcPr>
          <w:p w14:paraId="1CE7D77C" w14:textId="77777777" w:rsidR="0044174C" w:rsidRPr="00D024ED" w:rsidRDefault="0044174C" w:rsidP="003308E1">
            <w:pPr>
              <w:rPr>
                <w:color w:val="000000"/>
                <w:szCs w:val="24"/>
                <w:lang w:val="en-ID"/>
              </w:rPr>
            </w:pPr>
            <w:r w:rsidRPr="00D024ED">
              <w:rPr>
                <w:color w:val="000000"/>
                <w:szCs w:val="24"/>
                <w:lang w:val="en-ID"/>
              </w:rPr>
              <w:t>0.653</w:t>
            </w:r>
          </w:p>
        </w:tc>
        <w:tc>
          <w:tcPr>
            <w:tcW w:w="967" w:type="dxa"/>
            <w:vAlign w:val="center"/>
            <w:hideMark/>
          </w:tcPr>
          <w:p w14:paraId="05427CA1" w14:textId="77777777" w:rsidR="0044174C" w:rsidRPr="00D024ED" w:rsidRDefault="0044174C" w:rsidP="003308E1">
            <w:pPr>
              <w:rPr>
                <w:color w:val="000000"/>
                <w:szCs w:val="24"/>
                <w:lang w:val="en-ID"/>
              </w:rPr>
            </w:pPr>
            <w:r w:rsidRPr="00D024ED">
              <w:rPr>
                <w:color w:val="000000"/>
                <w:szCs w:val="24"/>
                <w:lang w:val="en-ID"/>
              </w:rPr>
              <w:t>0.747</w:t>
            </w:r>
          </w:p>
        </w:tc>
        <w:tc>
          <w:tcPr>
            <w:tcW w:w="935" w:type="dxa"/>
            <w:vAlign w:val="center"/>
            <w:hideMark/>
          </w:tcPr>
          <w:p w14:paraId="62B3D207" w14:textId="77777777" w:rsidR="0044174C" w:rsidRPr="00D024ED" w:rsidRDefault="0044174C" w:rsidP="003308E1">
            <w:pPr>
              <w:rPr>
                <w:color w:val="000000"/>
                <w:szCs w:val="24"/>
                <w:lang w:val="en-ID"/>
              </w:rPr>
            </w:pPr>
            <w:r w:rsidRPr="00D024ED">
              <w:rPr>
                <w:color w:val="000000"/>
                <w:szCs w:val="24"/>
                <w:lang w:val="en-ID"/>
              </w:rPr>
              <w:t>0.692</w:t>
            </w:r>
          </w:p>
        </w:tc>
        <w:tc>
          <w:tcPr>
            <w:tcW w:w="935" w:type="dxa"/>
            <w:vAlign w:val="center"/>
            <w:hideMark/>
          </w:tcPr>
          <w:p w14:paraId="278D3075" w14:textId="77777777" w:rsidR="0044174C" w:rsidRPr="00D024ED" w:rsidRDefault="0044174C" w:rsidP="003308E1">
            <w:pPr>
              <w:rPr>
                <w:color w:val="000000"/>
                <w:szCs w:val="24"/>
                <w:lang w:val="en-ID"/>
              </w:rPr>
            </w:pPr>
            <w:r w:rsidRPr="00D024ED">
              <w:rPr>
                <w:color w:val="000000"/>
                <w:szCs w:val="24"/>
                <w:lang w:val="en-ID"/>
              </w:rPr>
              <w:t>0.398</w:t>
            </w:r>
          </w:p>
        </w:tc>
        <w:tc>
          <w:tcPr>
            <w:tcW w:w="920" w:type="dxa"/>
            <w:vAlign w:val="center"/>
            <w:hideMark/>
          </w:tcPr>
          <w:p w14:paraId="6E88D124" w14:textId="77777777" w:rsidR="0044174C" w:rsidRPr="00D024ED" w:rsidRDefault="0044174C" w:rsidP="003308E1">
            <w:pPr>
              <w:rPr>
                <w:color w:val="000000"/>
                <w:szCs w:val="24"/>
                <w:lang w:val="en-ID"/>
              </w:rPr>
            </w:pPr>
            <w:r w:rsidRPr="00D024ED">
              <w:rPr>
                <w:color w:val="000000"/>
                <w:szCs w:val="24"/>
                <w:lang w:val="en-ID"/>
              </w:rPr>
              <w:t>—</w:t>
            </w:r>
          </w:p>
        </w:tc>
      </w:tr>
    </w:tbl>
    <w:p w14:paraId="2E740372" w14:textId="77777777" w:rsidR="0044174C" w:rsidRDefault="0044174C" w:rsidP="0044174C">
      <w:pPr>
        <w:pStyle w:val="Body"/>
        <w:rPr>
          <w:rFonts w:ascii="Arial" w:hAnsi="Arial" w:cs="Arial"/>
          <w:bCs/>
        </w:rPr>
      </w:pPr>
    </w:p>
    <w:p w14:paraId="33B4E583" w14:textId="77777777" w:rsidR="0044174C" w:rsidRPr="0044174C" w:rsidRDefault="0044174C" w:rsidP="0044174C">
      <w:pPr>
        <w:pStyle w:val="Body"/>
        <w:rPr>
          <w:rFonts w:ascii="Arial" w:hAnsi="Arial" w:cs="Arial"/>
          <w:bCs/>
        </w:rPr>
      </w:pPr>
      <w:r w:rsidRPr="0044174C">
        <w:rPr>
          <w:rFonts w:ascii="Arial" w:hAnsi="Arial" w:cs="Arial"/>
          <w:bCs/>
        </w:rPr>
        <w:t>All HTMT values were below the recommended threshold of 0.90, with values ranging from 0.041 to 0.775. The highest HTMT value was observed between sustainable leadership and sustainable procurement (0.775), which remained below the threshold. These results confirm satisfactory discriminant validity among the constructs. Overall, the results indicate that the measurement model demonstrates adequate reliability, convergent validity, and discriminant validity, supporting its use in the subsequent structural model assessment.</w:t>
      </w:r>
    </w:p>
    <w:p w14:paraId="3781E6CB" w14:textId="33D26E7C" w:rsidR="00817D93" w:rsidRDefault="00817D93" w:rsidP="00817D93">
      <w:pPr>
        <w:pStyle w:val="Body"/>
        <w:spacing w:after="0"/>
        <w:rPr>
          <w:rFonts w:ascii="Arial" w:hAnsi="Arial" w:cs="Arial"/>
        </w:rPr>
      </w:pPr>
      <w:r>
        <w:rPr>
          <w:rFonts w:ascii="Arial" w:hAnsi="Arial" w:cs="Arial"/>
          <w:b/>
          <w:caps/>
          <w:sz w:val="22"/>
        </w:rPr>
        <w:t>4</w:t>
      </w:r>
      <w:r w:rsidRPr="00C30A0F">
        <w:rPr>
          <w:rFonts w:ascii="Arial" w:hAnsi="Arial" w:cs="Arial"/>
          <w:b/>
          <w:caps/>
          <w:sz w:val="22"/>
        </w:rPr>
        <w:t>.</w:t>
      </w:r>
      <w:r w:rsidR="00C6347C">
        <w:rPr>
          <w:rFonts w:ascii="Arial" w:hAnsi="Arial" w:cs="Arial"/>
          <w:b/>
          <w:caps/>
          <w:sz w:val="22"/>
        </w:rPr>
        <w:t>3</w:t>
      </w:r>
      <w:r w:rsidRPr="00C30A0F">
        <w:rPr>
          <w:rFonts w:ascii="Arial" w:hAnsi="Arial" w:cs="Arial"/>
          <w:b/>
          <w:caps/>
          <w:sz w:val="22"/>
        </w:rPr>
        <w:t xml:space="preserve"> </w:t>
      </w:r>
      <w:r w:rsidRPr="00817D93">
        <w:rPr>
          <w:rFonts w:ascii="Arial" w:hAnsi="Arial" w:cs="Arial"/>
          <w:b/>
          <w:sz w:val="22"/>
        </w:rPr>
        <w:t>Structural Model Assessment</w:t>
      </w:r>
      <w:r>
        <w:rPr>
          <w:rFonts w:ascii="Arial" w:hAnsi="Arial" w:cs="Arial"/>
          <w:b/>
          <w:sz w:val="22"/>
        </w:rPr>
        <w:t xml:space="preserve"> </w:t>
      </w:r>
      <w:r w:rsidRPr="00FB3A86">
        <w:rPr>
          <w:rFonts w:ascii="Arial" w:hAnsi="Arial" w:cs="Arial"/>
        </w:rPr>
        <w:t xml:space="preserve"> </w:t>
      </w:r>
    </w:p>
    <w:p w14:paraId="0D7FD589" w14:textId="77777777" w:rsidR="00817D93" w:rsidRDefault="00817D93" w:rsidP="00817D93">
      <w:pPr>
        <w:pStyle w:val="Body"/>
        <w:spacing w:after="0"/>
        <w:rPr>
          <w:rFonts w:ascii="Arial" w:hAnsi="Arial" w:cs="Arial"/>
        </w:rPr>
      </w:pPr>
    </w:p>
    <w:p w14:paraId="077E22E4" w14:textId="77777777" w:rsidR="00817D93" w:rsidRPr="00817D93" w:rsidRDefault="00817D93" w:rsidP="00817D93">
      <w:pPr>
        <w:pStyle w:val="Body"/>
        <w:rPr>
          <w:rFonts w:ascii="Arial" w:hAnsi="Arial" w:cs="Arial"/>
          <w:bCs/>
        </w:rPr>
      </w:pPr>
      <w:r w:rsidRPr="00817D93">
        <w:rPr>
          <w:rFonts w:ascii="Arial" w:hAnsi="Arial" w:cs="Arial"/>
          <w:bCs/>
        </w:rPr>
        <w:t>Following the assessment of the measurement model, the structural model was evaluated in terms of collinearity, explanatory power, effect size, and predictive relevance. The assessment included the variance inflation factor (VIF), coefficient of determination (R²), effect size (f²), and predictive relevance (Q²).</w:t>
      </w:r>
    </w:p>
    <w:p w14:paraId="3DD595CD" w14:textId="737D56EA" w:rsidR="0044174C" w:rsidRPr="0044174C" w:rsidRDefault="00817D93" w:rsidP="00817D93">
      <w:pPr>
        <w:pStyle w:val="Body"/>
        <w:rPr>
          <w:rFonts w:ascii="Arial" w:hAnsi="Arial" w:cs="Arial"/>
          <w:bCs/>
        </w:rPr>
      </w:pPr>
      <w:r w:rsidRPr="00817D93">
        <w:rPr>
          <w:rFonts w:ascii="Arial" w:hAnsi="Arial" w:cs="Arial"/>
          <w:bCs/>
        </w:rPr>
        <w:t xml:space="preserve">Collinearity was first examined using the VIF. As shown in Table </w:t>
      </w:r>
      <w:r w:rsidR="00E84BEA">
        <w:rPr>
          <w:rFonts w:ascii="Arial" w:hAnsi="Arial" w:cs="Arial"/>
          <w:bCs/>
        </w:rPr>
        <w:t>4</w:t>
      </w:r>
      <w:r w:rsidRPr="00817D93">
        <w:rPr>
          <w:rFonts w:ascii="Arial" w:hAnsi="Arial" w:cs="Arial"/>
          <w:bCs/>
        </w:rPr>
        <w:t>, the VIF values ranged from 1.389 to 2.545, with all values below the threshold of 5.0. These results indicate that collinearity was not a concern in the structural model.</w:t>
      </w:r>
      <w:r w:rsidRPr="0044174C">
        <w:rPr>
          <w:rFonts w:ascii="Arial" w:hAnsi="Arial" w:cs="Arial"/>
          <w:bCs/>
        </w:rPr>
        <w:t xml:space="preserve"> </w:t>
      </w:r>
    </w:p>
    <w:p w14:paraId="6ADD70FB" w14:textId="77777777" w:rsidR="00817D93" w:rsidRPr="00817D93" w:rsidRDefault="00817D93" w:rsidP="00817D93">
      <w:pPr>
        <w:pStyle w:val="Body"/>
        <w:rPr>
          <w:rFonts w:ascii="Arial" w:hAnsi="Arial" w:cs="Arial"/>
          <w:bCs/>
        </w:rPr>
      </w:pPr>
    </w:p>
    <w:p w14:paraId="29FCB1DC" w14:textId="07E59049" w:rsidR="00817D93" w:rsidRPr="00E84BEA" w:rsidRDefault="00817D93" w:rsidP="00817D93">
      <w:pPr>
        <w:spacing w:after="160" w:line="259" w:lineRule="auto"/>
        <w:jc w:val="center"/>
        <w:rPr>
          <w:lang w:val="en-ID"/>
        </w:rPr>
      </w:pPr>
      <w:r w:rsidRPr="00E84BEA">
        <w:rPr>
          <w:lang w:val="en-ID"/>
        </w:rPr>
        <w:t xml:space="preserve">Table </w:t>
      </w:r>
      <w:r w:rsidR="00E84BEA" w:rsidRPr="00E84BEA">
        <w:rPr>
          <w:lang w:val="en-ID"/>
        </w:rPr>
        <w:t>4</w:t>
      </w:r>
      <w:r w:rsidRPr="00E84BEA">
        <w:rPr>
          <w:lang w:val="en-ID"/>
        </w:rPr>
        <w:t>. Collinearity Assessment</w:t>
      </w:r>
    </w:p>
    <w:tbl>
      <w:tblPr>
        <w:tblW w:w="6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1980"/>
      </w:tblGrid>
      <w:tr w:rsidR="00817D93" w:rsidRPr="00817D93" w14:paraId="346FB19D" w14:textId="77777777" w:rsidTr="00DB0422">
        <w:trPr>
          <w:trHeight w:val="20"/>
          <w:jc w:val="center"/>
        </w:trPr>
        <w:tc>
          <w:tcPr>
            <w:tcW w:w="4941" w:type="dxa"/>
            <w:vAlign w:val="center"/>
            <w:hideMark/>
          </w:tcPr>
          <w:p w14:paraId="5E400F53" w14:textId="77777777" w:rsidR="00817D93" w:rsidRPr="00817D93" w:rsidRDefault="00817D93" w:rsidP="003308E1">
            <w:pPr>
              <w:rPr>
                <w:color w:val="000000"/>
                <w:szCs w:val="24"/>
                <w:lang w:val="en-ID"/>
              </w:rPr>
            </w:pPr>
            <w:r w:rsidRPr="00817D93">
              <w:rPr>
                <w:color w:val="000000"/>
                <w:szCs w:val="24"/>
                <w:lang w:val="en-ID"/>
              </w:rPr>
              <w:t>Structural Relationship</w:t>
            </w:r>
          </w:p>
        </w:tc>
        <w:tc>
          <w:tcPr>
            <w:tcW w:w="1980" w:type="dxa"/>
            <w:vAlign w:val="center"/>
            <w:hideMark/>
          </w:tcPr>
          <w:p w14:paraId="5A98D6A7" w14:textId="77777777" w:rsidR="00817D93" w:rsidRPr="00817D93" w:rsidRDefault="00817D93" w:rsidP="003308E1">
            <w:pPr>
              <w:rPr>
                <w:color w:val="000000"/>
                <w:szCs w:val="24"/>
                <w:lang w:val="en-ID"/>
              </w:rPr>
            </w:pPr>
            <w:r w:rsidRPr="00817D93">
              <w:rPr>
                <w:color w:val="000000"/>
                <w:szCs w:val="24"/>
                <w:lang w:val="en-ID"/>
              </w:rPr>
              <w:t>VIF</w:t>
            </w:r>
          </w:p>
        </w:tc>
      </w:tr>
      <w:tr w:rsidR="00DB0422" w:rsidRPr="009E7F3D" w14:paraId="165AC7D9" w14:textId="77777777" w:rsidTr="00DB0422">
        <w:trPr>
          <w:trHeight w:val="20"/>
          <w:jc w:val="center"/>
        </w:trPr>
        <w:tc>
          <w:tcPr>
            <w:tcW w:w="4941" w:type="dxa"/>
            <w:vAlign w:val="center"/>
            <w:hideMark/>
          </w:tcPr>
          <w:p w14:paraId="3BFDB1EC" w14:textId="37DA750C" w:rsidR="00DB0422" w:rsidRPr="00DB0422" w:rsidRDefault="00DB0422" w:rsidP="00DB0422">
            <w:pPr>
              <w:rPr>
                <w:rFonts w:cs="Helvetica"/>
                <w:color w:val="000000"/>
                <w:lang w:val="en-ID"/>
              </w:rPr>
            </w:pPr>
            <w:r w:rsidRPr="00DB0422">
              <w:rPr>
                <w:rFonts w:cs="Helvetica"/>
                <w:color w:val="000000"/>
              </w:rPr>
              <w:t>Sustainable Leadership → Sustainable Procurement</w:t>
            </w:r>
          </w:p>
        </w:tc>
        <w:tc>
          <w:tcPr>
            <w:tcW w:w="1980" w:type="dxa"/>
            <w:vAlign w:val="center"/>
            <w:hideMark/>
          </w:tcPr>
          <w:p w14:paraId="0E9F7511" w14:textId="77777777" w:rsidR="00DB0422" w:rsidRPr="009E7F3D" w:rsidRDefault="00DB0422" w:rsidP="00DB0422">
            <w:pPr>
              <w:rPr>
                <w:color w:val="000000"/>
                <w:szCs w:val="24"/>
                <w:lang w:val="en-ID"/>
              </w:rPr>
            </w:pPr>
            <w:r w:rsidRPr="009E7F3D">
              <w:rPr>
                <w:color w:val="000000"/>
                <w:szCs w:val="24"/>
                <w:lang w:val="en-ID"/>
              </w:rPr>
              <w:t>2.157</w:t>
            </w:r>
          </w:p>
        </w:tc>
      </w:tr>
      <w:tr w:rsidR="00DB0422" w:rsidRPr="009E7F3D" w14:paraId="06B88A55" w14:textId="77777777" w:rsidTr="00DB0422">
        <w:trPr>
          <w:trHeight w:val="20"/>
          <w:jc w:val="center"/>
        </w:trPr>
        <w:tc>
          <w:tcPr>
            <w:tcW w:w="4941" w:type="dxa"/>
            <w:vAlign w:val="center"/>
            <w:hideMark/>
          </w:tcPr>
          <w:p w14:paraId="33B18BED" w14:textId="07485FDA" w:rsidR="00DB0422" w:rsidRPr="00DB0422" w:rsidRDefault="00DB0422" w:rsidP="00DB0422">
            <w:pPr>
              <w:rPr>
                <w:rFonts w:cs="Helvetica"/>
                <w:color w:val="000000"/>
                <w:lang w:val="en-ID"/>
              </w:rPr>
            </w:pPr>
            <w:r w:rsidRPr="00DB0422">
              <w:rPr>
                <w:rFonts w:cs="Helvetica"/>
                <w:color w:val="000000"/>
              </w:rPr>
              <w:t>Sustainable Leadership → TBL Performance</w:t>
            </w:r>
          </w:p>
        </w:tc>
        <w:tc>
          <w:tcPr>
            <w:tcW w:w="1980" w:type="dxa"/>
            <w:vAlign w:val="center"/>
            <w:hideMark/>
          </w:tcPr>
          <w:p w14:paraId="3D51D080" w14:textId="77777777" w:rsidR="00DB0422" w:rsidRPr="009E7F3D" w:rsidRDefault="00DB0422" w:rsidP="00DB0422">
            <w:pPr>
              <w:rPr>
                <w:color w:val="000000"/>
                <w:szCs w:val="24"/>
                <w:lang w:val="en-ID"/>
              </w:rPr>
            </w:pPr>
            <w:r w:rsidRPr="009E7F3D">
              <w:rPr>
                <w:color w:val="000000"/>
                <w:szCs w:val="24"/>
                <w:lang w:val="en-ID"/>
              </w:rPr>
              <w:t>2.157</w:t>
            </w:r>
          </w:p>
        </w:tc>
      </w:tr>
      <w:tr w:rsidR="00DB0422" w:rsidRPr="009E7F3D" w14:paraId="69C29788" w14:textId="77777777" w:rsidTr="00DB0422">
        <w:trPr>
          <w:trHeight w:val="20"/>
          <w:jc w:val="center"/>
        </w:trPr>
        <w:tc>
          <w:tcPr>
            <w:tcW w:w="4941" w:type="dxa"/>
            <w:vAlign w:val="center"/>
            <w:hideMark/>
          </w:tcPr>
          <w:p w14:paraId="709F8B75" w14:textId="401D978A" w:rsidR="00DB0422" w:rsidRPr="00DB0422" w:rsidRDefault="00DB0422" w:rsidP="00DB0422">
            <w:pPr>
              <w:rPr>
                <w:rFonts w:cs="Helvetica"/>
                <w:color w:val="000000"/>
                <w:lang w:val="en-ID"/>
              </w:rPr>
            </w:pPr>
            <w:r w:rsidRPr="00DB0422">
              <w:rPr>
                <w:rFonts w:cs="Helvetica"/>
                <w:color w:val="000000"/>
              </w:rPr>
              <w:t>Competitive Pressure → TBL Performance</w:t>
            </w:r>
          </w:p>
        </w:tc>
        <w:tc>
          <w:tcPr>
            <w:tcW w:w="1980" w:type="dxa"/>
            <w:vAlign w:val="center"/>
            <w:hideMark/>
          </w:tcPr>
          <w:p w14:paraId="33B60AA1" w14:textId="77777777" w:rsidR="00DB0422" w:rsidRPr="009E7F3D" w:rsidRDefault="00DB0422" w:rsidP="00DB0422">
            <w:pPr>
              <w:rPr>
                <w:color w:val="000000"/>
                <w:szCs w:val="24"/>
                <w:lang w:val="en-ID"/>
              </w:rPr>
            </w:pPr>
            <w:r w:rsidRPr="009E7F3D">
              <w:rPr>
                <w:color w:val="000000"/>
                <w:szCs w:val="24"/>
                <w:lang w:val="en-ID"/>
              </w:rPr>
              <w:t>1.389</w:t>
            </w:r>
          </w:p>
        </w:tc>
      </w:tr>
      <w:tr w:rsidR="00DB0422" w:rsidRPr="009E7F3D" w14:paraId="6743DC43" w14:textId="77777777" w:rsidTr="00DB0422">
        <w:trPr>
          <w:trHeight w:val="20"/>
          <w:jc w:val="center"/>
        </w:trPr>
        <w:tc>
          <w:tcPr>
            <w:tcW w:w="4941" w:type="dxa"/>
            <w:vAlign w:val="center"/>
            <w:hideMark/>
          </w:tcPr>
          <w:p w14:paraId="693C1C76" w14:textId="4B5FA243" w:rsidR="00DB0422" w:rsidRPr="00DB0422" w:rsidRDefault="00DB0422" w:rsidP="00DB0422">
            <w:pPr>
              <w:rPr>
                <w:rFonts w:cs="Helvetica"/>
                <w:color w:val="000000"/>
                <w:lang w:val="en-ID"/>
              </w:rPr>
            </w:pPr>
            <w:r w:rsidRPr="00DB0422">
              <w:rPr>
                <w:rFonts w:cs="Helvetica"/>
                <w:color w:val="000000"/>
              </w:rPr>
              <w:t>Competitive Pressure → Sustainable Procurement</w:t>
            </w:r>
          </w:p>
        </w:tc>
        <w:tc>
          <w:tcPr>
            <w:tcW w:w="1980" w:type="dxa"/>
            <w:vAlign w:val="center"/>
            <w:hideMark/>
          </w:tcPr>
          <w:p w14:paraId="421CD5D3" w14:textId="77777777" w:rsidR="00DB0422" w:rsidRPr="009E7F3D" w:rsidRDefault="00DB0422" w:rsidP="00DB0422">
            <w:pPr>
              <w:rPr>
                <w:color w:val="000000"/>
                <w:szCs w:val="24"/>
                <w:lang w:val="en-ID"/>
              </w:rPr>
            </w:pPr>
            <w:r w:rsidRPr="009E7F3D">
              <w:rPr>
                <w:color w:val="000000"/>
                <w:szCs w:val="24"/>
                <w:lang w:val="en-ID"/>
              </w:rPr>
              <w:t>1.389</w:t>
            </w:r>
          </w:p>
        </w:tc>
      </w:tr>
      <w:tr w:rsidR="00DB0422" w:rsidRPr="009E7F3D" w14:paraId="014C8291" w14:textId="77777777" w:rsidTr="00DB0422">
        <w:trPr>
          <w:trHeight w:val="20"/>
          <w:jc w:val="center"/>
        </w:trPr>
        <w:tc>
          <w:tcPr>
            <w:tcW w:w="4941" w:type="dxa"/>
            <w:vAlign w:val="center"/>
            <w:hideMark/>
          </w:tcPr>
          <w:p w14:paraId="3165E3A9" w14:textId="01D25B05" w:rsidR="00DB0422" w:rsidRPr="00DB0422" w:rsidRDefault="00DB0422" w:rsidP="00DB0422">
            <w:pPr>
              <w:rPr>
                <w:rFonts w:cs="Helvetica"/>
                <w:color w:val="000000"/>
                <w:lang w:val="en-ID"/>
              </w:rPr>
            </w:pPr>
            <w:r w:rsidRPr="00DB0422">
              <w:rPr>
                <w:rFonts w:cs="Helvetica"/>
                <w:color w:val="000000"/>
              </w:rPr>
              <w:t>TBL Performance → Sustainable Procurement</w:t>
            </w:r>
          </w:p>
        </w:tc>
        <w:tc>
          <w:tcPr>
            <w:tcW w:w="1980" w:type="dxa"/>
            <w:vAlign w:val="center"/>
            <w:hideMark/>
          </w:tcPr>
          <w:p w14:paraId="2CDBA4C2" w14:textId="77777777" w:rsidR="00DB0422" w:rsidRPr="009E7F3D" w:rsidRDefault="00DB0422" w:rsidP="00DB0422">
            <w:pPr>
              <w:rPr>
                <w:color w:val="000000"/>
                <w:szCs w:val="24"/>
                <w:lang w:val="en-ID"/>
              </w:rPr>
            </w:pPr>
            <w:r w:rsidRPr="009E7F3D">
              <w:rPr>
                <w:color w:val="000000"/>
                <w:szCs w:val="24"/>
                <w:lang w:val="en-ID"/>
              </w:rPr>
              <w:t>2.545</w:t>
            </w:r>
          </w:p>
        </w:tc>
      </w:tr>
      <w:tr w:rsidR="00DB0422" w:rsidRPr="009E7F3D" w14:paraId="129F76E2" w14:textId="77777777" w:rsidTr="00DB0422">
        <w:trPr>
          <w:trHeight w:val="20"/>
          <w:jc w:val="center"/>
        </w:trPr>
        <w:tc>
          <w:tcPr>
            <w:tcW w:w="4941" w:type="dxa"/>
            <w:vAlign w:val="center"/>
            <w:hideMark/>
          </w:tcPr>
          <w:p w14:paraId="6F39B137" w14:textId="0FF7B6D1" w:rsidR="00DB0422" w:rsidRPr="00DB0422" w:rsidRDefault="00DB0422" w:rsidP="00DB0422">
            <w:pPr>
              <w:rPr>
                <w:rFonts w:cs="Helvetica"/>
                <w:color w:val="000000"/>
                <w:lang w:val="en-ID"/>
              </w:rPr>
            </w:pPr>
            <w:r w:rsidRPr="00DB0422">
              <w:rPr>
                <w:rFonts w:cs="Helvetica"/>
                <w:color w:val="000000"/>
              </w:rPr>
              <w:t>Sustainable Procurement → SME Performance</w:t>
            </w:r>
          </w:p>
        </w:tc>
        <w:tc>
          <w:tcPr>
            <w:tcW w:w="1980" w:type="dxa"/>
            <w:vAlign w:val="center"/>
            <w:hideMark/>
          </w:tcPr>
          <w:p w14:paraId="13508232" w14:textId="77777777" w:rsidR="00DB0422" w:rsidRPr="009E7F3D" w:rsidRDefault="00DB0422" w:rsidP="00DB0422">
            <w:pPr>
              <w:rPr>
                <w:color w:val="000000"/>
                <w:szCs w:val="24"/>
                <w:lang w:val="en-ID"/>
              </w:rPr>
            </w:pPr>
            <w:r w:rsidRPr="009E7F3D">
              <w:rPr>
                <w:color w:val="000000"/>
                <w:szCs w:val="24"/>
                <w:lang w:val="en-ID"/>
              </w:rPr>
              <w:t>2.545</w:t>
            </w:r>
          </w:p>
        </w:tc>
      </w:tr>
    </w:tbl>
    <w:p w14:paraId="129ED17B" w14:textId="77777777" w:rsidR="00817D93" w:rsidRPr="00817D93" w:rsidRDefault="00817D93" w:rsidP="00817D93">
      <w:pPr>
        <w:pStyle w:val="Body"/>
        <w:rPr>
          <w:rFonts w:ascii="Arial" w:hAnsi="Arial" w:cs="Arial"/>
          <w:bCs/>
        </w:rPr>
      </w:pPr>
    </w:p>
    <w:p w14:paraId="71D7238A" w14:textId="77777777" w:rsidR="00817D93" w:rsidRDefault="00817D93" w:rsidP="00817D93">
      <w:pPr>
        <w:pStyle w:val="Body"/>
        <w:rPr>
          <w:rFonts w:ascii="Arial" w:hAnsi="Arial" w:cs="Arial"/>
          <w:bCs/>
        </w:rPr>
      </w:pPr>
      <w:r w:rsidRPr="00817D93">
        <w:rPr>
          <w:rFonts w:ascii="Arial" w:hAnsi="Arial" w:cs="Arial"/>
          <w:bCs/>
        </w:rPr>
        <w:t xml:space="preserve">The explanatory power of the structural model was assessed using the coefficient of determination (R²). The R² value for sustainable procurement was 0.623, indicating that </w:t>
      </w:r>
      <w:r w:rsidRPr="00817D93">
        <w:rPr>
          <w:rFonts w:ascii="Arial" w:hAnsi="Arial" w:cs="Arial"/>
          <w:bCs/>
        </w:rPr>
        <w:lastRenderedPageBreak/>
        <w:t>62.3% of its variance was explained by the predictor constructs included in the model. Meanwhile, the R² value for SME performance was 0.547, indicating that the model explained 54.7% of the variance in SME performance. Thus, the model demonstrates adequate explanatory power for both endogenous constructs.</w:t>
      </w:r>
    </w:p>
    <w:p w14:paraId="46B9E084" w14:textId="77777777" w:rsidR="00817D93" w:rsidRDefault="00817D93" w:rsidP="00817D93">
      <w:pPr>
        <w:pStyle w:val="Body"/>
        <w:rPr>
          <w:rFonts w:ascii="Arial" w:hAnsi="Arial" w:cs="Arial"/>
          <w:bCs/>
        </w:rPr>
      </w:pPr>
    </w:p>
    <w:p w14:paraId="725F3D96" w14:textId="544582E4" w:rsidR="00817D93" w:rsidRPr="00E84BEA" w:rsidRDefault="00817D93" w:rsidP="00817D93">
      <w:pPr>
        <w:spacing w:after="160" w:line="259" w:lineRule="auto"/>
        <w:jc w:val="center"/>
        <w:rPr>
          <w:lang w:val="en-ID"/>
        </w:rPr>
      </w:pPr>
      <w:r w:rsidRPr="00E84BEA">
        <w:rPr>
          <w:lang w:val="en-ID"/>
        </w:rPr>
        <w:t xml:space="preserve">Table </w:t>
      </w:r>
      <w:r w:rsidR="00E84BEA" w:rsidRPr="00E84BEA">
        <w:rPr>
          <w:lang w:val="en-ID"/>
        </w:rPr>
        <w:t>5</w:t>
      </w:r>
      <w:r w:rsidRPr="00E84BEA">
        <w:rPr>
          <w:lang w:val="en-ID"/>
        </w:rPr>
        <w:t>. Explanatory Power and Predictive Relevance</w:t>
      </w:r>
    </w:p>
    <w:tbl>
      <w:tblPr>
        <w:tblW w:w="4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795"/>
        <w:gridCol w:w="795"/>
      </w:tblGrid>
      <w:tr w:rsidR="00817D93" w:rsidRPr="00E84BEA" w14:paraId="3A2CE139" w14:textId="77777777" w:rsidTr="00817D93">
        <w:trPr>
          <w:trHeight w:val="20"/>
          <w:jc w:val="center"/>
        </w:trPr>
        <w:tc>
          <w:tcPr>
            <w:tcW w:w="2965" w:type="dxa"/>
            <w:vAlign w:val="center"/>
            <w:hideMark/>
          </w:tcPr>
          <w:p w14:paraId="5AF6B569" w14:textId="77777777" w:rsidR="00817D93" w:rsidRPr="00E84BEA" w:rsidRDefault="00817D93" w:rsidP="003308E1">
            <w:pPr>
              <w:rPr>
                <w:color w:val="000000"/>
                <w:szCs w:val="24"/>
                <w:lang w:val="en-ID"/>
              </w:rPr>
            </w:pPr>
            <w:r w:rsidRPr="00E84BEA">
              <w:rPr>
                <w:color w:val="000000"/>
                <w:szCs w:val="24"/>
                <w:lang w:val="en-ID"/>
              </w:rPr>
              <w:t>Endogenous Construct</w:t>
            </w:r>
          </w:p>
        </w:tc>
        <w:tc>
          <w:tcPr>
            <w:tcW w:w="795" w:type="dxa"/>
            <w:vAlign w:val="center"/>
            <w:hideMark/>
          </w:tcPr>
          <w:p w14:paraId="459A5D81" w14:textId="77777777" w:rsidR="00817D93" w:rsidRPr="00E84BEA" w:rsidRDefault="00817D93" w:rsidP="003308E1">
            <w:pPr>
              <w:rPr>
                <w:color w:val="000000"/>
                <w:szCs w:val="24"/>
                <w:lang w:val="en-ID"/>
              </w:rPr>
            </w:pPr>
            <w:r w:rsidRPr="00E84BEA">
              <w:rPr>
                <w:color w:val="000000"/>
                <w:szCs w:val="24"/>
                <w:lang w:val="en-ID"/>
              </w:rPr>
              <w:t>R²</w:t>
            </w:r>
          </w:p>
        </w:tc>
        <w:tc>
          <w:tcPr>
            <w:tcW w:w="795" w:type="dxa"/>
            <w:vAlign w:val="center"/>
            <w:hideMark/>
          </w:tcPr>
          <w:p w14:paraId="4E01E7F8" w14:textId="77777777" w:rsidR="00817D93" w:rsidRPr="00E84BEA" w:rsidRDefault="00817D93" w:rsidP="003308E1">
            <w:pPr>
              <w:rPr>
                <w:color w:val="000000"/>
                <w:szCs w:val="24"/>
                <w:lang w:val="en-ID"/>
              </w:rPr>
            </w:pPr>
            <w:r w:rsidRPr="00E84BEA">
              <w:rPr>
                <w:color w:val="000000"/>
                <w:szCs w:val="24"/>
                <w:lang w:val="en-ID"/>
              </w:rPr>
              <w:t>Q²</w:t>
            </w:r>
          </w:p>
        </w:tc>
      </w:tr>
      <w:tr w:rsidR="00817D93" w:rsidRPr="009E7F3D" w14:paraId="338B944B" w14:textId="77777777" w:rsidTr="00357ADB">
        <w:trPr>
          <w:trHeight w:val="20"/>
          <w:jc w:val="center"/>
        </w:trPr>
        <w:tc>
          <w:tcPr>
            <w:tcW w:w="2965" w:type="dxa"/>
            <w:vAlign w:val="center"/>
          </w:tcPr>
          <w:p w14:paraId="66C91029" w14:textId="50266295" w:rsidR="00817D93" w:rsidRPr="009E7F3D" w:rsidRDefault="00357ADB" w:rsidP="003308E1">
            <w:pPr>
              <w:rPr>
                <w:color w:val="000000"/>
                <w:szCs w:val="24"/>
                <w:lang w:val="en-ID"/>
              </w:rPr>
            </w:pPr>
            <w:r w:rsidRPr="00357ADB">
              <w:rPr>
                <w:color w:val="000000"/>
                <w:szCs w:val="24"/>
              </w:rPr>
              <w:t>TBL Performance</w:t>
            </w:r>
          </w:p>
        </w:tc>
        <w:tc>
          <w:tcPr>
            <w:tcW w:w="795" w:type="dxa"/>
            <w:vAlign w:val="center"/>
          </w:tcPr>
          <w:p w14:paraId="4A7DE789" w14:textId="618048A8" w:rsidR="00817D93" w:rsidRPr="009E7F3D" w:rsidRDefault="00357ADB" w:rsidP="003308E1">
            <w:pPr>
              <w:rPr>
                <w:color w:val="000000"/>
                <w:szCs w:val="24"/>
                <w:lang w:val="en-ID"/>
              </w:rPr>
            </w:pPr>
            <w:r>
              <w:rPr>
                <w:color w:val="000000"/>
                <w:szCs w:val="24"/>
                <w:lang w:val="en-ID"/>
              </w:rPr>
              <w:t>0.721</w:t>
            </w:r>
          </w:p>
        </w:tc>
        <w:tc>
          <w:tcPr>
            <w:tcW w:w="795" w:type="dxa"/>
            <w:vAlign w:val="center"/>
          </w:tcPr>
          <w:p w14:paraId="5B284929" w14:textId="5EE63DE9" w:rsidR="00817D93" w:rsidRPr="009E7F3D" w:rsidRDefault="00357ADB" w:rsidP="003308E1">
            <w:pPr>
              <w:rPr>
                <w:color w:val="000000"/>
                <w:szCs w:val="24"/>
                <w:lang w:val="en-ID"/>
              </w:rPr>
            </w:pPr>
            <w:r>
              <w:rPr>
                <w:color w:val="000000"/>
                <w:szCs w:val="24"/>
                <w:lang w:val="en-ID"/>
              </w:rPr>
              <w:t>0.541</w:t>
            </w:r>
          </w:p>
        </w:tc>
      </w:tr>
      <w:tr w:rsidR="00357ADB" w:rsidRPr="009E7F3D" w14:paraId="1E7046E8" w14:textId="77777777" w:rsidTr="00817D93">
        <w:trPr>
          <w:trHeight w:val="20"/>
          <w:jc w:val="center"/>
        </w:trPr>
        <w:tc>
          <w:tcPr>
            <w:tcW w:w="2965" w:type="dxa"/>
            <w:vAlign w:val="center"/>
          </w:tcPr>
          <w:p w14:paraId="15AA1992" w14:textId="52B671D7" w:rsidR="00357ADB" w:rsidRPr="009E7F3D" w:rsidRDefault="00357ADB" w:rsidP="00357ADB">
            <w:pPr>
              <w:rPr>
                <w:color w:val="000000"/>
                <w:szCs w:val="24"/>
                <w:lang w:val="en-ID"/>
              </w:rPr>
            </w:pPr>
            <w:r w:rsidRPr="009E7F3D">
              <w:rPr>
                <w:color w:val="000000"/>
                <w:szCs w:val="24"/>
                <w:lang w:val="en-ID"/>
              </w:rPr>
              <w:t xml:space="preserve">Sustainable </w:t>
            </w:r>
            <w:r>
              <w:rPr>
                <w:color w:val="000000"/>
                <w:szCs w:val="24"/>
                <w:lang w:val="en-ID"/>
              </w:rPr>
              <w:t>p</w:t>
            </w:r>
            <w:r w:rsidRPr="009E7F3D">
              <w:rPr>
                <w:color w:val="000000"/>
                <w:szCs w:val="24"/>
                <w:lang w:val="en-ID"/>
              </w:rPr>
              <w:t>rocurement</w:t>
            </w:r>
          </w:p>
        </w:tc>
        <w:tc>
          <w:tcPr>
            <w:tcW w:w="795" w:type="dxa"/>
            <w:vAlign w:val="center"/>
          </w:tcPr>
          <w:p w14:paraId="39A3A731" w14:textId="3C3A180D" w:rsidR="00357ADB" w:rsidRPr="009E7F3D" w:rsidRDefault="00357ADB" w:rsidP="00357ADB">
            <w:pPr>
              <w:rPr>
                <w:color w:val="000000"/>
                <w:szCs w:val="24"/>
                <w:lang w:val="en-ID"/>
              </w:rPr>
            </w:pPr>
            <w:r w:rsidRPr="009E7F3D">
              <w:rPr>
                <w:color w:val="000000"/>
                <w:szCs w:val="24"/>
                <w:lang w:val="en-ID"/>
              </w:rPr>
              <w:t>0.623</w:t>
            </w:r>
          </w:p>
        </w:tc>
        <w:tc>
          <w:tcPr>
            <w:tcW w:w="795" w:type="dxa"/>
            <w:vAlign w:val="center"/>
          </w:tcPr>
          <w:p w14:paraId="5651E2A2" w14:textId="1BB9877D" w:rsidR="00357ADB" w:rsidRPr="009E7F3D" w:rsidRDefault="00357ADB" w:rsidP="00357ADB">
            <w:pPr>
              <w:rPr>
                <w:color w:val="000000"/>
                <w:szCs w:val="24"/>
                <w:lang w:val="en-ID"/>
              </w:rPr>
            </w:pPr>
            <w:r w:rsidRPr="009E7F3D">
              <w:rPr>
                <w:color w:val="000000"/>
                <w:szCs w:val="24"/>
                <w:lang w:val="en-ID"/>
              </w:rPr>
              <w:t>0.467</w:t>
            </w:r>
          </w:p>
        </w:tc>
      </w:tr>
      <w:tr w:rsidR="00357ADB" w:rsidRPr="009E7F3D" w14:paraId="05956BCF" w14:textId="77777777" w:rsidTr="00817D93">
        <w:trPr>
          <w:trHeight w:val="20"/>
          <w:jc w:val="center"/>
        </w:trPr>
        <w:tc>
          <w:tcPr>
            <w:tcW w:w="2965" w:type="dxa"/>
            <w:vAlign w:val="center"/>
            <w:hideMark/>
          </w:tcPr>
          <w:p w14:paraId="0CC4D864" w14:textId="77777777" w:rsidR="00357ADB" w:rsidRPr="009E7F3D" w:rsidRDefault="00357ADB" w:rsidP="00357ADB">
            <w:pPr>
              <w:rPr>
                <w:color w:val="000000"/>
                <w:szCs w:val="24"/>
                <w:lang w:val="en-ID"/>
              </w:rPr>
            </w:pPr>
            <w:r w:rsidRPr="009E7F3D">
              <w:rPr>
                <w:color w:val="000000"/>
                <w:szCs w:val="24"/>
                <w:lang w:val="en-ID"/>
              </w:rPr>
              <w:t>SME Performance</w:t>
            </w:r>
          </w:p>
        </w:tc>
        <w:tc>
          <w:tcPr>
            <w:tcW w:w="795" w:type="dxa"/>
            <w:vAlign w:val="center"/>
            <w:hideMark/>
          </w:tcPr>
          <w:p w14:paraId="76AE3151" w14:textId="77777777" w:rsidR="00357ADB" w:rsidRPr="009E7F3D" w:rsidRDefault="00357ADB" w:rsidP="00357ADB">
            <w:pPr>
              <w:rPr>
                <w:color w:val="000000"/>
                <w:szCs w:val="24"/>
                <w:lang w:val="en-ID"/>
              </w:rPr>
            </w:pPr>
            <w:r w:rsidRPr="009E7F3D">
              <w:rPr>
                <w:color w:val="000000"/>
                <w:szCs w:val="24"/>
                <w:lang w:val="en-ID"/>
              </w:rPr>
              <w:t>0.547</w:t>
            </w:r>
          </w:p>
        </w:tc>
        <w:tc>
          <w:tcPr>
            <w:tcW w:w="795" w:type="dxa"/>
            <w:vAlign w:val="center"/>
            <w:hideMark/>
          </w:tcPr>
          <w:p w14:paraId="13A6EB16" w14:textId="77777777" w:rsidR="00357ADB" w:rsidRPr="009E7F3D" w:rsidRDefault="00357ADB" w:rsidP="00357ADB">
            <w:pPr>
              <w:rPr>
                <w:color w:val="000000"/>
                <w:szCs w:val="24"/>
                <w:lang w:val="en-ID"/>
              </w:rPr>
            </w:pPr>
            <w:r w:rsidRPr="009E7F3D">
              <w:rPr>
                <w:color w:val="000000"/>
                <w:szCs w:val="24"/>
                <w:lang w:val="en-ID"/>
              </w:rPr>
              <w:t>0.299</w:t>
            </w:r>
          </w:p>
        </w:tc>
      </w:tr>
    </w:tbl>
    <w:p w14:paraId="50559C3F" w14:textId="77777777" w:rsidR="00817D93" w:rsidRPr="00C208FE" w:rsidRDefault="00817D93" w:rsidP="00817D93">
      <w:pPr>
        <w:spacing w:after="160" w:line="259" w:lineRule="auto"/>
        <w:jc w:val="both"/>
        <w:rPr>
          <w:lang w:val="en-ID"/>
        </w:rPr>
      </w:pPr>
    </w:p>
    <w:p w14:paraId="737CBD8E" w14:textId="5F4676BB" w:rsidR="00817D93" w:rsidRPr="00817D93" w:rsidRDefault="00817D93" w:rsidP="00817D93">
      <w:pPr>
        <w:pStyle w:val="Body"/>
        <w:rPr>
          <w:rFonts w:ascii="Arial" w:hAnsi="Arial" w:cs="Arial"/>
          <w:bCs/>
        </w:rPr>
      </w:pPr>
      <w:r w:rsidRPr="00817D93">
        <w:rPr>
          <w:rFonts w:ascii="Arial" w:hAnsi="Arial" w:cs="Arial"/>
          <w:bCs/>
        </w:rPr>
        <w:t xml:space="preserve">The effect size (f²) was subsequently examined to assess the relative contribution of each predictor to the endogenous constructs. The results are presented in Table </w:t>
      </w:r>
      <w:r w:rsidR="00357ADB">
        <w:rPr>
          <w:rFonts w:ascii="Arial" w:hAnsi="Arial" w:cs="Arial"/>
          <w:bCs/>
        </w:rPr>
        <w:t>6</w:t>
      </w:r>
      <w:r w:rsidRPr="00817D93">
        <w:rPr>
          <w:rFonts w:ascii="Arial" w:hAnsi="Arial" w:cs="Arial"/>
          <w:bCs/>
        </w:rPr>
        <w:t>.</w:t>
      </w:r>
    </w:p>
    <w:p w14:paraId="6C5266B1" w14:textId="0CEC5D0B" w:rsidR="00817D93" w:rsidRPr="00E84BEA" w:rsidRDefault="00817D93" w:rsidP="00817D93">
      <w:pPr>
        <w:spacing w:after="160" w:line="259" w:lineRule="auto"/>
        <w:jc w:val="center"/>
        <w:rPr>
          <w:lang w:val="en-ID"/>
        </w:rPr>
      </w:pPr>
      <w:r w:rsidRPr="00E84BEA">
        <w:rPr>
          <w:lang w:val="en-ID"/>
        </w:rPr>
        <w:t xml:space="preserve">Table </w:t>
      </w:r>
      <w:r w:rsidR="00E84BEA" w:rsidRPr="00E84BEA">
        <w:rPr>
          <w:lang w:val="en-ID"/>
        </w:rPr>
        <w:t>6</w:t>
      </w:r>
      <w:r w:rsidRPr="00E84BEA">
        <w:rPr>
          <w:lang w:val="en-ID"/>
        </w:rPr>
        <w:t>. Effect Size (f²)</w:t>
      </w:r>
    </w:p>
    <w:tbl>
      <w:tblPr>
        <w:tblW w:w="8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1620"/>
        <w:gridCol w:w="1620"/>
      </w:tblGrid>
      <w:tr w:rsidR="00817D93" w:rsidRPr="00E84BEA" w14:paraId="4C60DA76" w14:textId="77777777" w:rsidTr="00DA3816">
        <w:trPr>
          <w:trHeight w:val="20"/>
          <w:jc w:val="center"/>
        </w:trPr>
        <w:tc>
          <w:tcPr>
            <w:tcW w:w="4896" w:type="dxa"/>
            <w:vAlign w:val="center"/>
            <w:hideMark/>
          </w:tcPr>
          <w:p w14:paraId="303A8B10" w14:textId="77777777" w:rsidR="00817D93" w:rsidRPr="00E84BEA" w:rsidRDefault="00817D93" w:rsidP="003308E1">
            <w:pPr>
              <w:rPr>
                <w:color w:val="000000"/>
                <w:szCs w:val="24"/>
                <w:lang w:val="en-ID"/>
              </w:rPr>
            </w:pPr>
            <w:r w:rsidRPr="00E84BEA">
              <w:rPr>
                <w:color w:val="000000"/>
                <w:szCs w:val="24"/>
                <w:lang w:val="en-ID"/>
              </w:rPr>
              <w:t>Structural Relationship</w:t>
            </w:r>
          </w:p>
        </w:tc>
        <w:tc>
          <w:tcPr>
            <w:tcW w:w="1620" w:type="dxa"/>
            <w:vAlign w:val="center"/>
            <w:hideMark/>
          </w:tcPr>
          <w:p w14:paraId="50F5BAE8" w14:textId="77777777" w:rsidR="00817D93" w:rsidRPr="00E84BEA" w:rsidRDefault="00817D93" w:rsidP="003308E1">
            <w:pPr>
              <w:rPr>
                <w:color w:val="000000"/>
                <w:szCs w:val="24"/>
                <w:lang w:val="en-ID"/>
              </w:rPr>
            </w:pPr>
            <w:r w:rsidRPr="00E84BEA">
              <w:rPr>
                <w:color w:val="000000"/>
                <w:szCs w:val="24"/>
                <w:lang w:val="en-ID"/>
              </w:rPr>
              <w:t>f²</w:t>
            </w:r>
          </w:p>
        </w:tc>
        <w:tc>
          <w:tcPr>
            <w:tcW w:w="1620" w:type="dxa"/>
            <w:vAlign w:val="center"/>
            <w:hideMark/>
          </w:tcPr>
          <w:p w14:paraId="7E1024CD" w14:textId="77777777" w:rsidR="00817D93" w:rsidRPr="00E84BEA" w:rsidRDefault="00817D93" w:rsidP="003308E1">
            <w:pPr>
              <w:rPr>
                <w:color w:val="000000"/>
                <w:szCs w:val="24"/>
                <w:lang w:val="en-ID"/>
              </w:rPr>
            </w:pPr>
            <w:r w:rsidRPr="00E84BEA">
              <w:rPr>
                <w:color w:val="000000"/>
                <w:szCs w:val="24"/>
                <w:lang w:val="en-ID"/>
              </w:rPr>
              <w:t>Effect Size</w:t>
            </w:r>
          </w:p>
        </w:tc>
      </w:tr>
      <w:tr w:rsidR="00DA3816" w:rsidRPr="00E84BEA" w14:paraId="58BC1F08" w14:textId="77777777" w:rsidTr="00DA3816">
        <w:trPr>
          <w:trHeight w:val="20"/>
          <w:jc w:val="center"/>
        </w:trPr>
        <w:tc>
          <w:tcPr>
            <w:tcW w:w="4896" w:type="dxa"/>
            <w:hideMark/>
          </w:tcPr>
          <w:p w14:paraId="3AA9C2CD" w14:textId="393FB2C9" w:rsidR="00DA3816" w:rsidRPr="00E84BEA" w:rsidRDefault="00DA3816" w:rsidP="00DA3816">
            <w:pPr>
              <w:rPr>
                <w:color w:val="000000"/>
                <w:szCs w:val="24"/>
                <w:lang w:val="en-ID"/>
              </w:rPr>
            </w:pPr>
            <w:r w:rsidRPr="00B162E4">
              <w:t>Sustainable Leadership → Sustainable Procurement</w:t>
            </w:r>
          </w:p>
        </w:tc>
        <w:tc>
          <w:tcPr>
            <w:tcW w:w="1620" w:type="dxa"/>
            <w:vAlign w:val="center"/>
            <w:hideMark/>
          </w:tcPr>
          <w:p w14:paraId="1DA2F576" w14:textId="77777777" w:rsidR="00DA3816" w:rsidRPr="00E84BEA" w:rsidRDefault="00DA3816" w:rsidP="00DA3816">
            <w:pPr>
              <w:rPr>
                <w:color w:val="000000"/>
                <w:szCs w:val="24"/>
                <w:lang w:val="en-ID"/>
              </w:rPr>
            </w:pPr>
            <w:r w:rsidRPr="00E84BEA">
              <w:rPr>
                <w:color w:val="000000"/>
                <w:szCs w:val="24"/>
                <w:lang w:val="en-ID"/>
              </w:rPr>
              <w:t>0.579</w:t>
            </w:r>
          </w:p>
        </w:tc>
        <w:tc>
          <w:tcPr>
            <w:tcW w:w="1620" w:type="dxa"/>
            <w:vAlign w:val="center"/>
            <w:hideMark/>
          </w:tcPr>
          <w:p w14:paraId="0FAF722F" w14:textId="77777777" w:rsidR="00DA3816" w:rsidRPr="00E84BEA" w:rsidRDefault="00DA3816" w:rsidP="00DA3816">
            <w:pPr>
              <w:rPr>
                <w:color w:val="000000"/>
                <w:szCs w:val="24"/>
                <w:lang w:val="en-ID"/>
              </w:rPr>
            </w:pPr>
            <w:r w:rsidRPr="00E84BEA">
              <w:rPr>
                <w:color w:val="000000"/>
                <w:szCs w:val="24"/>
                <w:lang w:val="en-ID"/>
              </w:rPr>
              <w:t>Large</w:t>
            </w:r>
          </w:p>
        </w:tc>
      </w:tr>
      <w:tr w:rsidR="00DA3816" w:rsidRPr="009E7F3D" w14:paraId="0C974CF4" w14:textId="77777777" w:rsidTr="00DA3816">
        <w:trPr>
          <w:trHeight w:val="20"/>
          <w:jc w:val="center"/>
        </w:trPr>
        <w:tc>
          <w:tcPr>
            <w:tcW w:w="4896" w:type="dxa"/>
            <w:hideMark/>
          </w:tcPr>
          <w:p w14:paraId="43FF6B52" w14:textId="209C73E4" w:rsidR="00DA3816" w:rsidRPr="009E7F3D" w:rsidRDefault="00DA3816" w:rsidP="00DA3816">
            <w:pPr>
              <w:rPr>
                <w:color w:val="000000"/>
                <w:szCs w:val="24"/>
                <w:lang w:val="en-ID"/>
              </w:rPr>
            </w:pPr>
            <w:r w:rsidRPr="00B162E4">
              <w:t>Sustainable Leadership → TBL Performance</w:t>
            </w:r>
          </w:p>
        </w:tc>
        <w:tc>
          <w:tcPr>
            <w:tcW w:w="1620" w:type="dxa"/>
            <w:vAlign w:val="center"/>
            <w:hideMark/>
          </w:tcPr>
          <w:p w14:paraId="38C4F478" w14:textId="77777777" w:rsidR="00DA3816" w:rsidRPr="009E7F3D" w:rsidRDefault="00DA3816" w:rsidP="00DA3816">
            <w:pPr>
              <w:rPr>
                <w:color w:val="000000"/>
                <w:szCs w:val="24"/>
                <w:lang w:val="en-ID"/>
              </w:rPr>
            </w:pPr>
            <w:r w:rsidRPr="009E7F3D">
              <w:rPr>
                <w:color w:val="000000"/>
                <w:szCs w:val="24"/>
                <w:lang w:val="en-ID"/>
              </w:rPr>
              <w:t>0.041</w:t>
            </w:r>
          </w:p>
        </w:tc>
        <w:tc>
          <w:tcPr>
            <w:tcW w:w="1620" w:type="dxa"/>
            <w:vAlign w:val="center"/>
            <w:hideMark/>
          </w:tcPr>
          <w:p w14:paraId="76E3649A" w14:textId="77777777" w:rsidR="00DA3816" w:rsidRPr="009E7F3D" w:rsidRDefault="00DA3816" w:rsidP="00DA3816">
            <w:pPr>
              <w:rPr>
                <w:color w:val="000000"/>
                <w:szCs w:val="24"/>
                <w:lang w:val="en-ID"/>
              </w:rPr>
            </w:pPr>
            <w:r w:rsidRPr="009E7F3D">
              <w:rPr>
                <w:color w:val="000000"/>
                <w:szCs w:val="24"/>
                <w:lang w:val="en-ID"/>
              </w:rPr>
              <w:t>Small</w:t>
            </w:r>
          </w:p>
        </w:tc>
      </w:tr>
      <w:tr w:rsidR="00DA3816" w:rsidRPr="009E7F3D" w14:paraId="14863CC7" w14:textId="77777777" w:rsidTr="00DA3816">
        <w:trPr>
          <w:trHeight w:val="20"/>
          <w:jc w:val="center"/>
        </w:trPr>
        <w:tc>
          <w:tcPr>
            <w:tcW w:w="4896" w:type="dxa"/>
            <w:hideMark/>
          </w:tcPr>
          <w:p w14:paraId="236FDA6D" w14:textId="5BD2D059" w:rsidR="00DA3816" w:rsidRPr="009E7F3D" w:rsidRDefault="00DA3816" w:rsidP="00DA3816">
            <w:pPr>
              <w:rPr>
                <w:color w:val="000000"/>
                <w:szCs w:val="24"/>
                <w:lang w:val="en-ID"/>
              </w:rPr>
            </w:pPr>
            <w:r w:rsidRPr="00B162E4">
              <w:t>Competitive Pressure → TBL Performance</w:t>
            </w:r>
          </w:p>
        </w:tc>
        <w:tc>
          <w:tcPr>
            <w:tcW w:w="1620" w:type="dxa"/>
            <w:vAlign w:val="center"/>
            <w:hideMark/>
          </w:tcPr>
          <w:p w14:paraId="151B3A67" w14:textId="77777777" w:rsidR="00DA3816" w:rsidRPr="009E7F3D" w:rsidRDefault="00DA3816" w:rsidP="00DA3816">
            <w:pPr>
              <w:rPr>
                <w:color w:val="000000"/>
                <w:szCs w:val="24"/>
                <w:lang w:val="en-ID"/>
              </w:rPr>
            </w:pPr>
            <w:r w:rsidRPr="009E7F3D">
              <w:rPr>
                <w:color w:val="000000"/>
                <w:szCs w:val="24"/>
                <w:lang w:val="en-ID"/>
              </w:rPr>
              <w:t>0.063</w:t>
            </w:r>
          </w:p>
        </w:tc>
        <w:tc>
          <w:tcPr>
            <w:tcW w:w="1620" w:type="dxa"/>
            <w:vAlign w:val="center"/>
            <w:hideMark/>
          </w:tcPr>
          <w:p w14:paraId="509C3ABD" w14:textId="77777777" w:rsidR="00DA3816" w:rsidRPr="009E7F3D" w:rsidRDefault="00DA3816" w:rsidP="00DA3816">
            <w:pPr>
              <w:rPr>
                <w:color w:val="000000"/>
                <w:szCs w:val="24"/>
                <w:lang w:val="en-ID"/>
              </w:rPr>
            </w:pPr>
            <w:r w:rsidRPr="009E7F3D">
              <w:rPr>
                <w:color w:val="000000"/>
                <w:szCs w:val="24"/>
                <w:lang w:val="en-ID"/>
              </w:rPr>
              <w:t>Small</w:t>
            </w:r>
          </w:p>
        </w:tc>
      </w:tr>
      <w:tr w:rsidR="00DA3816" w:rsidRPr="009E7F3D" w14:paraId="5CA53B73" w14:textId="77777777" w:rsidTr="00DA3816">
        <w:trPr>
          <w:trHeight w:val="20"/>
          <w:jc w:val="center"/>
        </w:trPr>
        <w:tc>
          <w:tcPr>
            <w:tcW w:w="4896" w:type="dxa"/>
            <w:hideMark/>
          </w:tcPr>
          <w:p w14:paraId="7CD66925" w14:textId="43F15C77" w:rsidR="00DA3816" w:rsidRPr="009E7F3D" w:rsidRDefault="00DA3816" w:rsidP="00DA3816">
            <w:pPr>
              <w:rPr>
                <w:color w:val="000000"/>
                <w:szCs w:val="24"/>
                <w:lang w:val="en-ID"/>
              </w:rPr>
            </w:pPr>
            <w:r w:rsidRPr="00B162E4">
              <w:t>Competitive Pressure → Sustainable Procurement</w:t>
            </w:r>
          </w:p>
        </w:tc>
        <w:tc>
          <w:tcPr>
            <w:tcW w:w="1620" w:type="dxa"/>
            <w:vAlign w:val="center"/>
            <w:hideMark/>
          </w:tcPr>
          <w:p w14:paraId="488C9BE3" w14:textId="77777777" w:rsidR="00DA3816" w:rsidRPr="009E7F3D" w:rsidRDefault="00DA3816" w:rsidP="00DA3816">
            <w:pPr>
              <w:rPr>
                <w:color w:val="000000"/>
                <w:szCs w:val="24"/>
                <w:lang w:val="en-ID"/>
              </w:rPr>
            </w:pPr>
            <w:r w:rsidRPr="009E7F3D">
              <w:rPr>
                <w:color w:val="000000"/>
                <w:szCs w:val="24"/>
                <w:lang w:val="en-ID"/>
              </w:rPr>
              <w:t>0.003</w:t>
            </w:r>
          </w:p>
        </w:tc>
        <w:tc>
          <w:tcPr>
            <w:tcW w:w="1620" w:type="dxa"/>
            <w:vAlign w:val="center"/>
            <w:hideMark/>
          </w:tcPr>
          <w:p w14:paraId="55453F96" w14:textId="77777777" w:rsidR="00DA3816" w:rsidRPr="009E7F3D" w:rsidRDefault="00DA3816" w:rsidP="00DA3816">
            <w:pPr>
              <w:rPr>
                <w:color w:val="000000"/>
                <w:szCs w:val="24"/>
                <w:lang w:val="en-ID"/>
              </w:rPr>
            </w:pPr>
            <w:r w:rsidRPr="009E7F3D">
              <w:rPr>
                <w:color w:val="000000"/>
                <w:szCs w:val="24"/>
                <w:lang w:val="en-ID"/>
              </w:rPr>
              <w:t>Negligible</w:t>
            </w:r>
          </w:p>
        </w:tc>
      </w:tr>
      <w:tr w:rsidR="00DA3816" w:rsidRPr="009E7F3D" w14:paraId="3627F363" w14:textId="77777777" w:rsidTr="00DA3816">
        <w:trPr>
          <w:trHeight w:val="20"/>
          <w:jc w:val="center"/>
        </w:trPr>
        <w:tc>
          <w:tcPr>
            <w:tcW w:w="4896" w:type="dxa"/>
            <w:hideMark/>
          </w:tcPr>
          <w:p w14:paraId="49E6A270" w14:textId="30CA5125" w:rsidR="00DA3816" w:rsidRPr="009E7F3D" w:rsidRDefault="00DA3816" w:rsidP="00DA3816">
            <w:pPr>
              <w:rPr>
                <w:color w:val="000000"/>
                <w:szCs w:val="24"/>
                <w:lang w:val="en-ID"/>
              </w:rPr>
            </w:pPr>
            <w:r w:rsidRPr="00B162E4">
              <w:t>TBL Performance → Sustainable Procurement</w:t>
            </w:r>
          </w:p>
        </w:tc>
        <w:tc>
          <w:tcPr>
            <w:tcW w:w="1620" w:type="dxa"/>
            <w:vAlign w:val="center"/>
            <w:hideMark/>
          </w:tcPr>
          <w:p w14:paraId="2FF27F9A" w14:textId="77777777" w:rsidR="00DA3816" w:rsidRPr="009E7F3D" w:rsidRDefault="00DA3816" w:rsidP="00DA3816">
            <w:pPr>
              <w:rPr>
                <w:color w:val="000000"/>
                <w:szCs w:val="24"/>
                <w:lang w:val="en-ID"/>
              </w:rPr>
            </w:pPr>
            <w:r w:rsidRPr="009E7F3D">
              <w:rPr>
                <w:color w:val="000000"/>
                <w:szCs w:val="24"/>
                <w:lang w:val="en-ID"/>
              </w:rPr>
              <w:t>0.011</w:t>
            </w:r>
          </w:p>
        </w:tc>
        <w:tc>
          <w:tcPr>
            <w:tcW w:w="1620" w:type="dxa"/>
            <w:vAlign w:val="center"/>
            <w:hideMark/>
          </w:tcPr>
          <w:p w14:paraId="0515F36B" w14:textId="77777777" w:rsidR="00DA3816" w:rsidRPr="009E7F3D" w:rsidRDefault="00DA3816" w:rsidP="00DA3816">
            <w:pPr>
              <w:rPr>
                <w:color w:val="000000"/>
                <w:szCs w:val="24"/>
                <w:lang w:val="en-ID"/>
              </w:rPr>
            </w:pPr>
            <w:r w:rsidRPr="009E7F3D">
              <w:rPr>
                <w:color w:val="000000"/>
                <w:szCs w:val="24"/>
                <w:lang w:val="en-ID"/>
              </w:rPr>
              <w:t>Negligible</w:t>
            </w:r>
          </w:p>
        </w:tc>
      </w:tr>
      <w:tr w:rsidR="00DA3816" w:rsidRPr="009E7F3D" w14:paraId="5C24A7C3" w14:textId="77777777" w:rsidTr="00DA3816">
        <w:trPr>
          <w:trHeight w:val="20"/>
          <w:jc w:val="center"/>
        </w:trPr>
        <w:tc>
          <w:tcPr>
            <w:tcW w:w="4896" w:type="dxa"/>
            <w:hideMark/>
          </w:tcPr>
          <w:p w14:paraId="35B0FA8D" w14:textId="4337D632" w:rsidR="00DA3816" w:rsidRPr="009E7F3D" w:rsidRDefault="00DA3816" w:rsidP="00DA3816">
            <w:pPr>
              <w:rPr>
                <w:color w:val="000000"/>
                <w:szCs w:val="24"/>
                <w:lang w:val="en-ID"/>
              </w:rPr>
            </w:pPr>
            <w:r w:rsidRPr="00B162E4">
              <w:t>Sustainable Procurement → SME Performance</w:t>
            </w:r>
          </w:p>
        </w:tc>
        <w:tc>
          <w:tcPr>
            <w:tcW w:w="1620" w:type="dxa"/>
            <w:vAlign w:val="center"/>
            <w:hideMark/>
          </w:tcPr>
          <w:p w14:paraId="6188C80A" w14:textId="77777777" w:rsidR="00DA3816" w:rsidRPr="009E7F3D" w:rsidRDefault="00DA3816" w:rsidP="00DA3816">
            <w:pPr>
              <w:rPr>
                <w:color w:val="000000"/>
                <w:szCs w:val="24"/>
                <w:lang w:val="en-ID"/>
              </w:rPr>
            </w:pPr>
            <w:r w:rsidRPr="009E7F3D">
              <w:rPr>
                <w:color w:val="000000"/>
                <w:szCs w:val="24"/>
                <w:lang w:val="en-ID"/>
              </w:rPr>
              <w:t>0.286</w:t>
            </w:r>
          </w:p>
        </w:tc>
        <w:tc>
          <w:tcPr>
            <w:tcW w:w="1620" w:type="dxa"/>
            <w:vAlign w:val="center"/>
            <w:hideMark/>
          </w:tcPr>
          <w:p w14:paraId="576F1926" w14:textId="77777777" w:rsidR="00DA3816" w:rsidRPr="009E7F3D" w:rsidRDefault="00DA3816" w:rsidP="00DA3816">
            <w:pPr>
              <w:rPr>
                <w:color w:val="000000"/>
                <w:szCs w:val="24"/>
                <w:lang w:val="en-ID"/>
              </w:rPr>
            </w:pPr>
            <w:r w:rsidRPr="009E7F3D">
              <w:rPr>
                <w:color w:val="000000"/>
                <w:szCs w:val="24"/>
                <w:lang w:val="en-ID"/>
              </w:rPr>
              <w:t>Medium</w:t>
            </w:r>
          </w:p>
        </w:tc>
      </w:tr>
    </w:tbl>
    <w:p w14:paraId="0544BF55" w14:textId="77777777" w:rsidR="00817D93" w:rsidRDefault="00817D93" w:rsidP="00817D93">
      <w:pPr>
        <w:spacing w:after="160" w:line="259" w:lineRule="auto"/>
        <w:rPr>
          <w:lang w:val="en-ID"/>
        </w:rPr>
      </w:pPr>
    </w:p>
    <w:p w14:paraId="7894F81C" w14:textId="77777777" w:rsidR="00817D93" w:rsidRPr="00817D93" w:rsidRDefault="00817D93" w:rsidP="00817D93">
      <w:pPr>
        <w:pStyle w:val="Body"/>
        <w:rPr>
          <w:rFonts w:ascii="Arial" w:hAnsi="Arial" w:cs="Arial"/>
          <w:bCs/>
        </w:rPr>
      </w:pPr>
      <w:r w:rsidRPr="00817D93">
        <w:rPr>
          <w:rFonts w:ascii="Arial" w:hAnsi="Arial" w:cs="Arial"/>
          <w:bCs/>
        </w:rPr>
        <w:t>The f² results indicate considerable variation in the contribution of the predictor constructs. Sustainable leadership had a large effect on sustainable procurement (f² = 0.579), representing the largest effect in the structural model. Triple bottom line had a medium effect on SME performance (f² = 0.286). Sustainable leadership and competitive pressure had small effects on SME performance (f² = 0.041) and sustainable procurement (f² = 0.063), respectively. In contrast, competitive pressure had a negligible effect on SME performance (f² = 0.003), while triple bottom line had a negligible effect on sustainable procurement (f² = 0.011).</w:t>
      </w:r>
    </w:p>
    <w:p w14:paraId="05FF3A91" w14:textId="77777777" w:rsidR="00817D93" w:rsidRPr="00817D93" w:rsidRDefault="00817D93" w:rsidP="00817D93">
      <w:pPr>
        <w:pStyle w:val="Body"/>
        <w:rPr>
          <w:rFonts w:ascii="Arial" w:hAnsi="Arial" w:cs="Arial"/>
          <w:bCs/>
        </w:rPr>
      </w:pPr>
      <w:r w:rsidRPr="00817D93">
        <w:rPr>
          <w:rFonts w:ascii="Arial" w:hAnsi="Arial" w:cs="Arial"/>
          <w:bCs/>
        </w:rPr>
        <w:t>Finally, the predictive relevance of the model was assessed using Q². The Q² values were 0.467 for sustainable procurement and 0.299 for SME performance. Both values were greater than zero, indicating that the structural model possesses predictive relevance for the two endogenous constructs.</w:t>
      </w:r>
    </w:p>
    <w:p w14:paraId="45E0B0B0" w14:textId="2B7691D6" w:rsidR="0044174C" w:rsidRPr="0044174C" w:rsidRDefault="00817D93" w:rsidP="00817D93">
      <w:pPr>
        <w:pStyle w:val="Body"/>
        <w:rPr>
          <w:rFonts w:ascii="Arial" w:hAnsi="Arial" w:cs="Arial"/>
          <w:bCs/>
        </w:rPr>
      </w:pPr>
      <w:r w:rsidRPr="00817D93">
        <w:rPr>
          <w:rFonts w:ascii="Arial" w:hAnsi="Arial" w:cs="Arial"/>
          <w:bCs/>
        </w:rPr>
        <w:t>Overall, the structural model assessment indicates the absence of critical collinearity problems and demonstrates adequate explanatory and predictive capability. The results therefore provide a basis for examining the hypothesized relationships among sustainable leadership, competitive pressure, sustainable procurement, triple bottom line, and SME performance.</w:t>
      </w:r>
    </w:p>
    <w:p w14:paraId="70DFF1C7" w14:textId="5939A40C" w:rsidR="00C6347C" w:rsidRDefault="00C6347C" w:rsidP="00C6347C">
      <w:pPr>
        <w:pStyle w:val="Body"/>
        <w:spacing w:after="0"/>
        <w:rPr>
          <w:rFonts w:ascii="Arial" w:hAnsi="Arial" w:cs="Arial"/>
        </w:rPr>
      </w:pPr>
      <w:r>
        <w:rPr>
          <w:rFonts w:ascii="Arial" w:hAnsi="Arial" w:cs="Arial"/>
          <w:b/>
          <w:caps/>
          <w:sz w:val="22"/>
        </w:rPr>
        <w:t>4</w:t>
      </w:r>
      <w:r w:rsidRPr="00C30A0F">
        <w:rPr>
          <w:rFonts w:ascii="Arial" w:hAnsi="Arial" w:cs="Arial"/>
          <w:b/>
          <w:caps/>
          <w:sz w:val="22"/>
        </w:rPr>
        <w:t>.</w:t>
      </w:r>
      <w:r>
        <w:rPr>
          <w:rFonts w:ascii="Arial" w:hAnsi="Arial" w:cs="Arial"/>
          <w:b/>
          <w:caps/>
          <w:sz w:val="22"/>
        </w:rPr>
        <w:t>4</w:t>
      </w:r>
      <w:r w:rsidRPr="00C30A0F">
        <w:rPr>
          <w:rFonts w:ascii="Arial" w:hAnsi="Arial" w:cs="Arial"/>
          <w:b/>
          <w:caps/>
          <w:sz w:val="22"/>
        </w:rPr>
        <w:t xml:space="preserve"> </w:t>
      </w:r>
      <w:r>
        <w:rPr>
          <w:rFonts w:ascii="Arial" w:hAnsi="Arial" w:cs="Arial"/>
          <w:b/>
          <w:sz w:val="22"/>
        </w:rPr>
        <w:t xml:space="preserve">Hypothesis testing </w:t>
      </w:r>
      <w:r w:rsidRPr="00FB3A86">
        <w:rPr>
          <w:rFonts w:ascii="Arial" w:hAnsi="Arial" w:cs="Arial"/>
        </w:rPr>
        <w:t xml:space="preserve"> </w:t>
      </w:r>
    </w:p>
    <w:p w14:paraId="5A4B5C7F" w14:textId="77777777" w:rsidR="00C6347C" w:rsidRDefault="00C6347C" w:rsidP="00C6347C">
      <w:pPr>
        <w:pStyle w:val="Body"/>
        <w:spacing w:after="0"/>
        <w:rPr>
          <w:rFonts w:ascii="Arial" w:hAnsi="Arial" w:cs="Arial"/>
        </w:rPr>
      </w:pPr>
    </w:p>
    <w:p w14:paraId="1828620F" w14:textId="11C9CCF6" w:rsidR="00C6347C" w:rsidRPr="00817D93" w:rsidRDefault="00C6347C" w:rsidP="00C6347C">
      <w:pPr>
        <w:pStyle w:val="Body"/>
        <w:rPr>
          <w:rFonts w:ascii="Arial" w:hAnsi="Arial" w:cs="Arial"/>
          <w:bCs/>
        </w:rPr>
      </w:pPr>
      <w:r w:rsidRPr="00C6347C">
        <w:rPr>
          <w:rFonts w:ascii="Arial" w:hAnsi="Arial" w:cs="Arial"/>
          <w:bCs/>
        </w:rPr>
        <w:t>The hypothesized relationships were examined using bootstrapping in PLS-SEM. The significance of the structural paths was evaluated based on the path coefficients (β), t-</w:t>
      </w:r>
      <w:r w:rsidRPr="00C6347C">
        <w:rPr>
          <w:rFonts w:ascii="Arial" w:hAnsi="Arial" w:cs="Arial"/>
          <w:bCs/>
        </w:rPr>
        <w:lastRenderedPageBreak/>
        <w:t xml:space="preserve">statistics, and p-values. The results of the direct-effect hypothesis testing are presented in Table </w:t>
      </w:r>
      <w:r w:rsidR="00E84BEA">
        <w:rPr>
          <w:rFonts w:ascii="Arial" w:hAnsi="Arial" w:cs="Arial"/>
          <w:bCs/>
        </w:rPr>
        <w:t>7</w:t>
      </w:r>
      <w:r w:rsidRPr="00817D93">
        <w:rPr>
          <w:rFonts w:ascii="Arial" w:hAnsi="Arial" w:cs="Arial"/>
          <w:bCs/>
        </w:rPr>
        <w:t>.</w:t>
      </w:r>
    </w:p>
    <w:p w14:paraId="2E7B3180" w14:textId="2ACED040" w:rsidR="00C6347C" w:rsidRPr="00792E08" w:rsidRDefault="00C6347C" w:rsidP="00C6347C">
      <w:pPr>
        <w:spacing w:after="160" w:line="259" w:lineRule="auto"/>
        <w:jc w:val="center"/>
        <w:rPr>
          <w:lang w:val="en-ID"/>
        </w:rPr>
      </w:pPr>
      <w:r w:rsidRPr="00792E08">
        <w:rPr>
          <w:lang w:val="en-ID"/>
        </w:rPr>
        <w:t xml:space="preserve">Table </w:t>
      </w:r>
      <w:r w:rsidR="00E84BEA">
        <w:rPr>
          <w:lang w:val="en-ID"/>
        </w:rPr>
        <w:t>7</w:t>
      </w:r>
      <w:r w:rsidRPr="00792E08">
        <w:rPr>
          <w:lang w:val="en-ID"/>
        </w:rPr>
        <w:t>. Direct Effect Hypothesis Testing</w:t>
      </w:r>
    </w:p>
    <w:tbl>
      <w:tblPr>
        <w:tblW w:w="8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258"/>
        <w:gridCol w:w="756"/>
        <w:gridCol w:w="1003"/>
        <w:gridCol w:w="763"/>
        <w:gridCol w:w="1203"/>
      </w:tblGrid>
      <w:tr w:rsidR="00C6347C" w:rsidRPr="00BF0820" w14:paraId="6913F103" w14:textId="77777777" w:rsidTr="00C6347C">
        <w:trPr>
          <w:trHeight w:val="20"/>
        </w:trPr>
        <w:tc>
          <w:tcPr>
            <w:tcW w:w="1350" w:type="dxa"/>
            <w:vAlign w:val="center"/>
            <w:hideMark/>
          </w:tcPr>
          <w:p w14:paraId="4726C767" w14:textId="77777777" w:rsidR="00C6347C" w:rsidRPr="00C6347C" w:rsidRDefault="00C6347C" w:rsidP="003308E1">
            <w:pPr>
              <w:rPr>
                <w:color w:val="000000"/>
                <w:szCs w:val="24"/>
                <w:lang w:val="en-ID"/>
              </w:rPr>
            </w:pPr>
            <w:r w:rsidRPr="00C6347C">
              <w:rPr>
                <w:color w:val="000000"/>
                <w:szCs w:val="24"/>
                <w:lang w:val="en-ID"/>
              </w:rPr>
              <w:t>Hypothesis</w:t>
            </w:r>
          </w:p>
        </w:tc>
        <w:tc>
          <w:tcPr>
            <w:tcW w:w="3258" w:type="dxa"/>
            <w:vAlign w:val="center"/>
            <w:hideMark/>
          </w:tcPr>
          <w:p w14:paraId="35BC9455" w14:textId="77777777" w:rsidR="00C6347C" w:rsidRPr="008170D8" w:rsidRDefault="00C6347C" w:rsidP="003308E1">
            <w:pPr>
              <w:rPr>
                <w:rFonts w:cs="Helvetica"/>
                <w:color w:val="000000"/>
                <w:szCs w:val="24"/>
                <w:lang w:val="en-ID"/>
              </w:rPr>
            </w:pPr>
            <w:r w:rsidRPr="008170D8">
              <w:rPr>
                <w:rFonts w:cs="Helvetica"/>
                <w:color w:val="000000"/>
                <w:szCs w:val="24"/>
                <w:lang w:val="en-ID"/>
              </w:rPr>
              <w:t>Structural Relationship</w:t>
            </w:r>
          </w:p>
        </w:tc>
        <w:tc>
          <w:tcPr>
            <w:tcW w:w="756" w:type="dxa"/>
            <w:vAlign w:val="center"/>
            <w:hideMark/>
          </w:tcPr>
          <w:p w14:paraId="1E935985" w14:textId="77777777" w:rsidR="00C6347C" w:rsidRPr="00C6347C" w:rsidRDefault="00C6347C" w:rsidP="003308E1">
            <w:pPr>
              <w:rPr>
                <w:color w:val="000000"/>
                <w:szCs w:val="24"/>
                <w:lang w:val="en-ID"/>
              </w:rPr>
            </w:pPr>
            <w:r w:rsidRPr="00C6347C">
              <w:rPr>
                <w:color w:val="000000"/>
                <w:szCs w:val="24"/>
                <w:lang w:val="en-ID"/>
              </w:rPr>
              <w:t>β</w:t>
            </w:r>
          </w:p>
        </w:tc>
        <w:tc>
          <w:tcPr>
            <w:tcW w:w="1003" w:type="dxa"/>
            <w:vAlign w:val="center"/>
            <w:hideMark/>
          </w:tcPr>
          <w:p w14:paraId="15DE1896" w14:textId="77777777" w:rsidR="00C6347C" w:rsidRPr="00C6347C" w:rsidRDefault="00C6347C" w:rsidP="003308E1">
            <w:pPr>
              <w:rPr>
                <w:color w:val="000000"/>
                <w:szCs w:val="24"/>
                <w:lang w:val="en-ID"/>
              </w:rPr>
            </w:pPr>
            <w:r w:rsidRPr="00C6347C">
              <w:rPr>
                <w:color w:val="000000"/>
                <w:szCs w:val="24"/>
                <w:lang w:val="en-ID"/>
              </w:rPr>
              <w:t>t-statistic</w:t>
            </w:r>
          </w:p>
        </w:tc>
        <w:tc>
          <w:tcPr>
            <w:tcW w:w="763" w:type="dxa"/>
            <w:vAlign w:val="center"/>
            <w:hideMark/>
          </w:tcPr>
          <w:p w14:paraId="04620119" w14:textId="77777777" w:rsidR="00C6347C" w:rsidRPr="00C6347C" w:rsidRDefault="00C6347C" w:rsidP="003308E1">
            <w:pPr>
              <w:rPr>
                <w:color w:val="000000"/>
                <w:szCs w:val="24"/>
                <w:lang w:val="en-ID"/>
              </w:rPr>
            </w:pPr>
            <w:r w:rsidRPr="00C6347C">
              <w:rPr>
                <w:color w:val="000000"/>
                <w:szCs w:val="24"/>
                <w:lang w:val="en-ID"/>
              </w:rPr>
              <w:t>p-value</w:t>
            </w:r>
          </w:p>
        </w:tc>
        <w:tc>
          <w:tcPr>
            <w:tcW w:w="1203" w:type="dxa"/>
            <w:vAlign w:val="center"/>
            <w:hideMark/>
          </w:tcPr>
          <w:p w14:paraId="3ED0BDF3" w14:textId="77777777" w:rsidR="00C6347C" w:rsidRPr="00C6347C" w:rsidRDefault="00C6347C" w:rsidP="003308E1">
            <w:pPr>
              <w:rPr>
                <w:color w:val="000000"/>
                <w:szCs w:val="24"/>
                <w:lang w:val="en-ID"/>
              </w:rPr>
            </w:pPr>
            <w:r w:rsidRPr="00C6347C">
              <w:rPr>
                <w:color w:val="000000"/>
                <w:szCs w:val="24"/>
                <w:lang w:val="en-ID"/>
              </w:rPr>
              <w:t>Result</w:t>
            </w:r>
          </w:p>
        </w:tc>
      </w:tr>
      <w:tr w:rsidR="008170D8" w:rsidRPr="00BF0820" w14:paraId="29346CC3" w14:textId="77777777" w:rsidTr="00C6347C">
        <w:trPr>
          <w:trHeight w:val="20"/>
        </w:trPr>
        <w:tc>
          <w:tcPr>
            <w:tcW w:w="1350" w:type="dxa"/>
            <w:vAlign w:val="center"/>
            <w:hideMark/>
          </w:tcPr>
          <w:p w14:paraId="3D11E2D9" w14:textId="77777777" w:rsidR="008170D8" w:rsidRPr="00BF0820" w:rsidRDefault="008170D8" w:rsidP="008170D8">
            <w:pPr>
              <w:rPr>
                <w:color w:val="000000"/>
                <w:szCs w:val="24"/>
                <w:lang w:val="en-ID"/>
              </w:rPr>
            </w:pPr>
            <w:r w:rsidRPr="00BF0820">
              <w:rPr>
                <w:color w:val="000000"/>
                <w:szCs w:val="24"/>
                <w:lang w:val="en-ID"/>
              </w:rPr>
              <w:t>H1</w:t>
            </w:r>
          </w:p>
        </w:tc>
        <w:tc>
          <w:tcPr>
            <w:tcW w:w="3258" w:type="dxa"/>
            <w:vAlign w:val="center"/>
            <w:hideMark/>
          </w:tcPr>
          <w:p w14:paraId="723861BE" w14:textId="53136C9E" w:rsidR="008170D8" w:rsidRPr="008170D8" w:rsidRDefault="008170D8" w:rsidP="008170D8">
            <w:pPr>
              <w:rPr>
                <w:rFonts w:cs="Helvetica"/>
                <w:color w:val="000000"/>
                <w:lang w:val="en-ID"/>
              </w:rPr>
            </w:pPr>
            <w:r w:rsidRPr="008170D8">
              <w:rPr>
                <w:rFonts w:cs="Helvetica"/>
                <w:color w:val="000000"/>
              </w:rPr>
              <w:t>Sustainable Leadership → Sustainable Procurement</w:t>
            </w:r>
          </w:p>
        </w:tc>
        <w:tc>
          <w:tcPr>
            <w:tcW w:w="756" w:type="dxa"/>
            <w:vAlign w:val="center"/>
            <w:hideMark/>
          </w:tcPr>
          <w:p w14:paraId="780A97BA" w14:textId="77777777" w:rsidR="008170D8" w:rsidRPr="00BF0820" w:rsidRDefault="008170D8" w:rsidP="008170D8">
            <w:pPr>
              <w:rPr>
                <w:color w:val="000000"/>
                <w:szCs w:val="24"/>
                <w:lang w:val="en-ID"/>
              </w:rPr>
            </w:pPr>
            <w:r w:rsidRPr="00BF0820">
              <w:rPr>
                <w:color w:val="000000"/>
                <w:szCs w:val="24"/>
                <w:lang w:val="en-ID"/>
              </w:rPr>
              <w:t>0.177</w:t>
            </w:r>
          </w:p>
        </w:tc>
        <w:tc>
          <w:tcPr>
            <w:tcW w:w="1003" w:type="dxa"/>
            <w:vAlign w:val="center"/>
            <w:hideMark/>
          </w:tcPr>
          <w:p w14:paraId="496BB561" w14:textId="77777777" w:rsidR="008170D8" w:rsidRPr="00BF0820" w:rsidRDefault="008170D8" w:rsidP="008170D8">
            <w:pPr>
              <w:rPr>
                <w:color w:val="000000"/>
                <w:szCs w:val="24"/>
                <w:lang w:val="en-ID"/>
              </w:rPr>
            </w:pPr>
            <w:r w:rsidRPr="00BF0820">
              <w:rPr>
                <w:color w:val="000000"/>
                <w:szCs w:val="24"/>
                <w:lang w:val="en-ID"/>
              </w:rPr>
              <w:t>1.964</w:t>
            </w:r>
          </w:p>
        </w:tc>
        <w:tc>
          <w:tcPr>
            <w:tcW w:w="763" w:type="dxa"/>
            <w:vAlign w:val="center"/>
            <w:hideMark/>
          </w:tcPr>
          <w:p w14:paraId="441A18FD" w14:textId="77777777" w:rsidR="008170D8" w:rsidRPr="00BF0820" w:rsidRDefault="008170D8" w:rsidP="008170D8">
            <w:pPr>
              <w:rPr>
                <w:color w:val="000000"/>
                <w:szCs w:val="24"/>
                <w:lang w:val="en-ID"/>
              </w:rPr>
            </w:pPr>
            <w:r w:rsidRPr="00BF0820">
              <w:rPr>
                <w:color w:val="000000"/>
                <w:szCs w:val="24"/>
                <w:lang w:val="en-ID"/>
              </w:rPr>
              <w:t>0.05</w:t>
            </w:r>
          </w:p>
        </w:tc>
        <w:tc>
          <w:tcPr>
            <w:tcW w:w="1203" w:type="dxa"/>
            <w:vAlign w:val="center"/>
            <w:hideMark/>
          </w:tcPr>
          <w:p w14:paraId="383D7814" w14:textId="77777777" w:rsidR="008170D8" w:rsidRPr="00BF0820" w:rsidRDefault="008170D8" w:rsidP="008170D8">
            <w:pPr>
              <w:rPr>
                <w:color w:val="000000"/>
                <w:szCs w:val="24"/>
                <w:lang w:val="en-ID"/>
              </w:rPr>
            </w:pPr>
            <w:r w:rsidRPr="00BF0820">
              <w:rPr>
                <w:color w:val="000000"/>
                <w:szCs w:val="24"/>
                <w:lang w:val="en-ID"/>
              </w:rPr>
              <w:t>Marginal</w:t>
            </w:r>
          </w:p>
        </w:tc>
      </w:tr>
      <w:tr w:rsidR="008170D8" w:rsidRPr="00BF0820" w14:paraId="49179C15" w14:textId="77777777" w:rsidTr="00C6347C">
        <w:trPr>
          <w:trHeight w:val="20"/>
        </w:trPr>
        <w:tc>
          <w:tcPr>
            <w:tcW w:w="1350" w:type="dxa"/>
            <w:vAlign w:val="center"/>
            <w:hideMark/>
          </w:tcPr>
          <w:p w14:paraId="5B3D31FB" w14:textId="77777777" w:rsidR="008170D8" w:rsidRPr="00BF0820" w:rsidRDefault="008170D8" w:rsidP="008170D8">
            <w:pPr>
              <w:rPr>
                <w:color w:val="000000"/>
                <w:szCs w:val="24"/>
                <w:lang w:val="en-ID"/>
              </w:rPr>
            </w:pPr>
            <w:r w:rsidRPr="00BF0820">
              <w:rPr>
                <w:color w:val="000000"/>
                <w:szCs w:val="24"/>
                <w:lang w:val="en-ID"/>
              </w:rPr>
              <w:t>H2</w:t>
            </w:r>
          </w:p>
        </w:tc>
        <w:tc>
          <w:tcPr>
            <w:tcW w:w="3258" w:type="dxa"/>
            <w:vAlign w:val="center"/>
            <w:hideMark/>
          </w:tcPr>
          <w:p w14:paraId="55B34C6A" w14:textId="0AE4AFDE" w:rsidR="008170D8" w:rsidRPr="008170D8" w:rsidRDefault="008170D8" w:rsidP="008170D8">
            <w:pPr>
              <w:rPr>
                <w:rFonts w:cs="Helvetica"/>
                <w:color w:val="000000"/>
                <w:lang w:val="en-ID"/>
              </w:rPr>
            </w:pPr>
            <w:r w:rsidRPr="008170D8">
              <w:rPr>
                <w:rFonts w:cs="Helvetica"/>
                <w:color w:val="000000"/>
              </w:rPr>
              <w:t>Sustainable Leadership → TBL Performance</w:t>
            </w:r>
          </w:p>
        </w:tc>
        <w:tc>
          <w:tcPr>
            <w:tcW w:w="756" w:type="dxa"/>
            <w:vAlign w:val="center"/>
            <w:hideMark/>
          </w:tcPr>
          <w:p w14:paraId="5A875D5E" w14:textId="77777777" w:rsidR="008170D8" w:rsidRPr="00BF0820" w:rsidRDefault="008170D8" w:rsidP="008170D8">
            <w:pPr>
              <w:rPr>
                <w:color w:val="000000"/>
                <w:szCs w:val="24"/>
                <w:lang w:val="en-ID"/>
              </w:rPr>
            </w:pPr>
            <w:r w:rsidRPr="00BF0820">
              <w:rPr>
                <w:color w:val="000000"/>
                <w:szCs w:val="24"/>
                <w:lang w:val="en-ID"/>
              </w:rPr>
              <w:t>0.346</w:t>
            </w:r>
          </w:p>
        </w:tc>
        <w:tc>
          <w:tcPr>
            <w:tcW w:w="1003" w:type="dxa"/>
            <w:vAlign w:val="center"/>
            <w:hideMark/>
          </w:tcPr>
          <w:p w14:paraId="1615B758" w14:textId="77777777" w:rsidR="008170D8" w:rsidRPr="00BF0820" w:rsidRDefault="008170D8" w:rsidP="008170D8">
            <w:pPr>
              <w:rPr>
                <w:color w:val="000000"/>
                <w:szCs w:val="24"/>
                <w:lang w:val="en-ID"/>
              </w:rPr>
            </w:pPr>
            <w:r w:rsidRPr="00BF0820">
              <w:rPr>
                <w:color w:val="000000"/>
                <w:szCs w:val="24"/>
                <w:lang w:val="en-ID"/>
              </w:rPr>
              <w:t>4.039</w:t>
            </w:r>
          </w:p>
        </w:tc>
        <w:tc>
          <w:tcPr>
            <w:tcW w:w="763" w:type="dxa"/>
            <w:vAlign w:val="center"/>
            <w:hideMark/>
          </w:tcPr>
          <w:p w14:paraId="5A27566D" w14:textId="77777777" w:rsidR="008170D8" w:rsidRPr="00BF0820" w:rsidRDefault="008170D8" w:rsidP="008170D8">
            <w:pPr>
              <w:rPr>
                <w:color w:val="000000"/>
                <w:szCs w:val="24"/>
                <w:lang w:val="en-ID"/>
              </w:rPr>
            </w:pPr>
            <w:r w:rsidRPr="00BF0820">
              <w:rPr>
                <w:color w:val="000000"/>
                <w:szCs w:val="24"/>
                <w:lang w:val="en-ID"/>
              </w:rPr>
              <w:t>&lt; 0.001</w:t>
            </w:r>
          </w:p>
        </w:tc>
        <w:tc>
          <w:tcPr>
            <w:tcW w:w="1203" w:type="dxa"/>
            <w:vAlign w:val="center"/>
            <w:hideMark/>
          </w:tcPr>
          <w:p w14:paraId="322B7AED" w14:textId="77777777" w:rsidR="008170D8" w:rsidRPr="00BF0820" w:rsidRDefault="008170D8" w:rsidP="008170D8">
            <w:pPr>
              <w:rPr>
                <w:color w:val="000000"/>
                <w:szCs w:val="24"/>
                <w:lang w:val="en-ID"/>
              </w:rPr>
            </w:pPr>
            <w:r w:rsidRPr="00BF0820">
              <w:rPr>
                <w:color w:val="000000"/>
                <w:szCs w:val="24"/>
                <w:lang w:val="en-ID"/>
              </w:rPr>
              <w:t>Supported</w:t>
            </w:r>
          </w:p>
        </w:tc>
      </w:tr>
      <w:tr w:rsidR="008170D8" w:rsidRPr="00BF0820" w14:paraId="5CF58B57" w14:textId="77777777" w:rsidTr="00C6347C">
        <w:trPr>
          <w:trHeight w:val="20"/>
        </w:trPr>
        <w:tc>
          <w:tcPr>
            <w:tcW w:w="1350" w:type="dxa"/>
            <w:vAlign w:val="center"/>
            <w:hideMark/>
          </w:tcPr>
          <w:p w14:paraId="29CB9E22" w14:textId="77777777" w:rsidR="008170D8" w:rsidRPr="00BF0820" w:rsidRDefault="008170D8" w:rsidP="008170D8">
            <w:pPr>
              <w:rPr>
                <w:color w:val="000000"/>
                <w:szCs w:val="24"/>
                <w:lang w:val="en-ID"/>
              </w:rPr>
            </w:pPr>
            <w:r w:rsidRPr="00BF0820">
              <w:rPr>
                <w:color w:val="000000"/>
                <w:szCs w:val="24"/>
                <w:lang w:val="en-ID"/>
              </w:rPr>
              <w:t>H3</w:t>
            </w:r>
          </w:p>
        </w:tc>
        <w:tc>
          <w:tcPr>
            <w:tcW w:w="3258" w:type="dxa"/>
            <w:vAlign w:val="center"/>
            <w:hideMark/>
          </w:tcPr>
          <w:p w14:paraId="037E434A" w14:textId="40E7E136" w:rsidR="008170D8" w:rsidRPr="008170D8" w:rsidRDefault="008170D8" w:rsidP="008170D8">
            <w:pPr>
              <w:rPr>
                <w:rFonts w:cs="Helvetica"/>
                <w:color w:val="000000"/>
                <w:lang w:val="en-ID"/>
              </w:rPr>
            </w:pPr>
            <w:r w:rsidRPr="008170D8">
              <w:rPr>
                <w:rFonts w:cs="Helvetica"/>
                <w:color w:val="000000"/>
              </w:rPr>
              <w:t>Competitive Pressure → TBL Performance</w:t>
            </w:r>
          </w:p>
        </w:tc>
        <w:tc>
          <w:tcPr>
            <w:tcW w:w="756" w:type="dxa"/>
            <w:vAlign w:val="center"/>
            <w:hideMark/>
          </w:tcPr>
          <w:p w14:paraId="1DE8258F" w14:textId="77777777" w:rsidR="008170D8" w:rsidRPr="00BF0820" w:rsidRDefault="008170D8" w:rsidP="008170D8">
            <w:pPr>
              <w:rPr>
                <w:color w:val="000000"/>
                <w:szCs w:val="24"/>
                <w:lang w:val="en-ID"/>
              </w:rPr>
            </w:pPr>
            <w:r w:rsidRPr="00BF0820">
              <w:rPr>
                <w:color w:val="000000"/>
                <w:szCs w:val="24"/>
                <w:lang w:val="en-ID"/>
              </w:rPr>
              <w:t>0.266</w:t>
            </w:r>
          </w:p>
        </w:tc>
        <w:tc>
          <w:tcPr>
            <w:tcW w:w="1003" w:type="dxa"/>
            <w:vAlign w:val="center"/>
            <w:hideMark/>
          </w:tcPr>
          <w:p w14:paraId="6DF590D9" w14:textId="77777777" w:rsidR="008170D8" w:rsidRPr="00BF0820" w:rsidRDefault="008170D8" w:rsidP="008170D8">
            <w:pPr>
              <w:rPr>
                <w:color w:val="000000"/>
                <w:szCs w:val="24"/>
                <w:lang w:val="en-ID"/>
              </w:rPr>
            </w:pPr>
            <w:r w:rsidRPr="00BF0820">
              <w:rPr>
                <w:color w:val="000000"/>
                <w:szCs w:val="24"/>
                <w:lang w:val="en-ID"/>
              </w:rPr>
              <w:t>2.854</w:t>
            </w:r>
          </w:p>
        </w:tc>
        <w:tc>
          <w:tcPr>
            <w:tcW w:w="763" w:type="dxa"/>
            <w:vAlign w:val="center"/>
            <w:hideMark/>
          </w:tcPr>
          <w:p w14:paraId="00C2D3FD" w14:textId="77777777" w:rsidR="008170D8" w:rsidRPr="00BF0820" w:rsidRDefault="008170D8" w:rsidP="008170D8">
            <w:pPr>
              <w:rPr>
                <w:color w:val="000000"/>
                <w:szCs w:val="24"/>
                <w:lang w:val="en-ID"/>
              </w:rPr>
            </w:pPr>
            <w:r w:rsidRPr="00BF0820">
              <w:rPr>
                <w:color w:val="000000"/>
                <w:szCs w:val="24"/>
                <w:lang w:val="en-ID"/>
              </w:rPr>
              <w:t>0.004</w:t>
            </w:r>
          </w:p>
        </w:tc>
        <w:tc>
          <w:tcPr>
            <w:tcW w:w="1203" w:type="dxa"/>
            <w:vAlign w:val="center"/>
            <w:hideMark/>
          </w:tcPr>
          <w:p w14:paraId="4D4B4DD4" w14:textId="77777777" w:rsidR="008170D8" w:rsidRPr="00BF0820" w:rsidRDefault="008170D8" w:rsidP="008170D8">
            <w:pPr>
              <w:rPr>
                <w:color w:val="000000"/>
                <w:szCs w:val="24"/>
                <w:lang w:val="en-ID"/>
              </w:rPr>
            </w:pPr>
            <w:r w:rsidRPr="00BF0820">
              <w:rPr>
                <w:color w:val="000000"/>
                <w:szCs w:val="24"/>
                <w:lang w:val="en-ID"/>
              </w:rPr>
              <w:t>Supported</w:t>
            </w:r>
          </w:p>
        </w:tc>
      </w:tr>
      <w:tr w:rsidR="008170D8" w:rsidRPr="00BF0820" w14:paraId="5C9F40D8" w14:textId="77777777" w:rsidTr="00C6347C">
        <w:trPr>
          <w:trHeight w:val="20"/>
        </w:trPr>
        <w:tc>
          <w:tcPr>
            <w:tcW w:w="1350" w:type="dxa"/>
            <w:vAlign w:val="center"/>
            <w:hideMark/>
          </w:tcPr>
          <w:p w14:paraId="52EF7F4B" w14:textId="77777777" w:rsidR="008170D8" w:rsidRPr="00BF0820" w:rsidRDefault="008170D8" w:rsidP="008170D8">
            <w:pPr>
              <w:rPr>
                <w:color w:val="000000"/>
                <w:szCs w:val="24"/>
                <w:lang w:val="en-ID"/>
              </w:rPr>
            </w:pPr>
            <w:r w:rsidRPr="00BF0820">
              <w:rPr>
                <w:color w:val="000000"/>
                <w:szCs w:val="24"/>
                <w:lang w:val="en-ID"/>
              </w:rPr>
              <w:t>H4</w:t>
            </w:r>
          </w:p>
        </w:tc>
        <w:tc>
          <w:tcPr>
            <w:tcW w:w="3258" w:type="dxa"/>
            <w:vAlign w:val="center"/>
            <w:hideMark/>
          </w:tcPr>
          <w:p w14:paraId="48F32F4C" w14:textId="14142287" w:rsidR="008170D8" w:rsidRPr="008170D8" w:rsidRDefault="008170D8" w:rsidP="008170D8">
            <w:pPr>
              <w:rPr>
                <w:rFonts w:cs="Helvetica"/>
                <w:color w:val="000000"/>
                <w:lang w:val="en-ID"/>
              </w:rPr>
            </w:pPr>
            <w:r w:rsidRPr="008170D8">
              <w:rPr>
                <w:rFonts w:cs="Helvetica"/>
                <w:color w:val="000000"/>
              </w:rPr>
              <w:t>Competitive Pressure → Sustainable Procurement</w:t>
            </w:r>
          </w:p>
        </w:tc>
        <w:tc>
          <w:tcPr>
            <w:tcW w:w="756" w:type="dxa"/>
            <w:vAlign w:val="center"/>
            <w:hideMark/>
          </w:tcPr>
          <w:p w14:paraId="346A424A" w14:textId="77777777" w:rsidR="008170D8" w:rsidRPr="00BF0820" w:rsidRDefault="008170D8" w:rsidP="008170D8">
            <w:pPr>
              <w:rPr>
                <w:color w:val="000000"/>
                <w:szCs w:val="24"/>
                <w:lang w:val="en-ID"/>
              </w:rPr>
            </w:pPr>
            <w:r w:rsidRPr="00BF0820">
              <w:rPr>
                <w:color w:val="000000"/>
                <w:szCs w:val="24"/>
                <w:lang w:val="en-ID"/>
              </w:rPr>
              <w:t>0.151</w:t>
            </w:r>
          </w:p>
        </w:tc>
        <w:tc>
          <w:tcPr>
            <w:tcW w:w="1003" w:type="dxa"/>
            <w:vAlign w:val="center"/>
            <w:hideMark/>
          </w:tcPr>
          <w:p w14:paraId="6B7DD5E4" w14:textId="77777777" w:rsidR="008170D8" w:rsidRPr="00BF0820" w:rsidRDefault="008170D8" w:rsidP="008170D8">
            <w:pPr>
              <w:rPr>
                <w:color w:val="000000"/>
                <w:szCs w:val="24"/>
                <w:lang w:val="en-ID"/>
              </w:rPr>
            </w:pPr>
            <w:r w:rsidRPr="00BF0820">
              <w:rPr>
                <w:color w:val="000000"/>
                <w:szCs w:val="24"/>
                <w:lang w:val="en-ID"/>
              </w:rPr>
              <w:t>1.69</w:t>
            </w:r>
          </w:p>
        </w:tc>
        <w:tc>
          <w:tcPr>
            <w:tcW w:w="763" w:type="dxa"/>
            <w:vAlign w:val="center"/>
            <w:hideMark/>
          </w:tcPr>
          <w:p w14:paraId="558370D5" w14:textId="77777777" w:rsidR="008170D8" w:rsidRPr="00BF0820" w:rsidRDefault="008170D8" w:rsidP="008170D8">
            <w:pPr>
              <w:rPr>
                <w:color w:val="000000"/>
                <w:szCs w:val="24"/>
                <w:lang w:val="en-ID"/>
              </w:rPr>
            </w:pPr>
            <w:r w:rsidRPr="00BF0820">
              <w:rPr>
                <w:color w:val="000000"/>
                <w:szCs w:val="24"/>
                <w:lang w:val="en-ID"/>
              </w:rPr>
              <w:t>0.091</w:t>
            </w:r>
          </w:p>
        </w:tc>
        <w:tc>
          <w:tcPr>
            <w:tcW w:w="1203" w:type="dxa"/>
            <w:vAlign w:val="center"/>
            <w:hideMark/>
          </w:tcPr>
          <w:p w14:paraId="2E8C6F86" w14:textId="77777777" w:rsidR="008170D8" w:rsidRPr="00BF0820" w:rsidRDefault="008170D8" w:rsidP="008170D8">
            <w:pPr>
              <w:rPr>
                <w:color w:val="000000"/>
                <w:szCs w:val="24"/>
                <w:lang w:val="en-ID"/>
              </w:rPr>
            </w:pPr>
            <w:r w:rsidRPr="00BF0820">
              <w:rPr>
                <w:color w:val="000000"/>
                <w:szCs w:val="24"/>
                <w:lang w:val="en-ID"/>
              </w:rPr>
              <w:t>Not supported</w:t>
            </w:r>
          </w:p>
        </w:tc>
      </w:tr>
      <w:tr w:rsidR="008170D8" w:rsidRPr="00BF0820" w14:paraId="042B8F7A" w14:textId="77777777" w:rsidTr="00C6347C">
        <w:trPr>
          <w:trHeight w:val="20"/>
        </w:trPr>
        <w:tc>
          <w:tcPr>
            <w:tcW w:w="1350" w:type="dxa"/>
            <w:vAlign w:val="center"/>
            <w:hideMark/>
          </w:tcPr>
          <w:p w14:paraId="64877E26" w14:textId="77777777" w:rsidR="008170D8" w:rsidRPr="00BF0820" w:rsidRDefault="008170D8" w:rsidP="008170D8">
            <w:pPr>
              <w:rPr>
                <w:color w:val="000000"/>
                <w:szCs w:val="24"/>
                <w:lang w:val="en-ID"/>
              </w:rPr>
            </w:pPr>
            <w:r w:rsidRPr="00BF0820">
              <w:rPr>
                <w:color w:val="000000"/>
                <w:szCs w:val="24"/>
                <w:lang w:val="en-ID"/>
              </w:rPr>
              <w:t>H5</w:t>
            </w:r>
          </w:p>
        </w:tc>
        <w:tc>
          <w:tcPr>
            <w:tcW w:w="3258" w:type="dxa"/>
            <w:vAlign w:val="center"/>
            <w:hideMark/>
          </w:tcPr>
          <w:p w14:paraId="3CFF7649" w14:textId="57AA4F9E" w:rsidR="008170D8" w:rsidRPr="008170D8" w:rsidRDefault="008170D8" w:rsidP="008170D8">
            <w:pPr>
              <w:rPr>
                <w:rFonts w:cs="Helvetica"/>
                <w:color w:val="000000"/>
                <w:lang w:val="en-ID"/>
              </w:rPr>
            </w:pPr>
            <w:r w:rsidRPr="008170D8">
              <w:rPr>
                <w:rFonts w:cs="Helvetica"/>
                <w:color w:val="000000"/>
              </w:rPr>
              <w:t>TBL Performance → Sustainable Procurement</w:t>
            </w:r>
          </w:p>
        </w:tc>
        <w:tc>
          <w:tcPr>
            <w:tcW w:w="756" w:type="dxa"/>
            <w:vAlign w:val="center"/>
            <w:hideMark/>
          </w:tcPr>
          <w:p w14:paraId="2F699960" w14:textId="77777777" w:rsidR="008170D8" w:rsidRPr="00BF0820" w:rsidRDefault="008170D8" w:rsidP="008170D8">
            <w:pPr>
              <w:rPr>
                <w:color w:val="000000"/>
                <w:szCs w:val="24"/>
                <w:lang w:val="en-ID"/>
              </w:rPr>
            </w:pPr>
            <w:r w:rsidRPr="00BF0820">
              <w:rPr>
                <w:color w:val="000000"/>
                <w:szCs w:val="24"/>
                <w:lang w:val="en-ID"/>
              </w:rPr>
              <w:t>0.328</w:t>
            </w:r>
          </w:p>
        </w:tc>
        <w:tc>
          <w:tcPr>
            <w:tcW w:w="1003" w:type="dxa"/>
            <w:vAlign w:val="center"/>
            <w:hideMark/>
          </w:tcPr>
          <w:p w14:paraId="012DBCF7" w14:textId="77777777" w:rsidR="008170D8" w:rsidRPr="00BF0820" w:rsidRDefault="008170D8" w:rsidP="008170D8">
            <w:pPr>
              <w:rPr>
                <w:color w:val="000000"/>
                <w:szCs w:val="24"/>
                <w:lang w:val="en-ID"/>
              </w:rPr>
            </w:pPr>
            <w:r w:rsidRPr="00BF0820">
              <w:rPr>
                <w:color w:val="000000"/>
                <w:szCs w:val="24"/>
                <w:lang w:val="en-ID"/>
              </w:rPr>
              <w:t>3.444</w:t>
            </w:r>
          </w:p>
        </w:tc>
        <w:tc>
          <w:tcPr>
            <w:tcW w:w="763" w:type="dxa"/>
            <w:vAlign w:val="center"/>
            <w:hideMark/>
          </w:tcPr>
          <w:p w14:paraId="52B6EEFA" w14:textId="77777777" w:rsidR="008170D8" w:rsidRPr="00BF0820" w:rsidRDefault="008170D8" w:rsidP="008170D8">
            <w:pPr>
              <w:rPr>
                <w:color w:val="000000"/>
                <w:szCs w:val="24"/>
                <w:lang w:val="en-ID"/>
              </w:rPr>
            </w:pPr>
            <w:r w:rsidRPr="00BF0820">
              <w:rPr>
                <w:color w:val="000000"/>
                <w:szCs w:val="24"/>
                <w:lang w:val="en-ID"/>
              </w:rPr>
              <w:t>0.001</w:t>
            </w:r>
          </w:p>
        </w:tc>
        <w:tc>
          <w:tcPr>
            <w:tcW w:w="1203" w:type="dxa"/>
            <w:vAlign w:val="center"/>
            <w:hideMark/>
          </w:tcPr>
          <w:p w14:paraId="4EFABCD8" w14:textId="77777777" w:rsidR="008170D8" w:rsidRPr="00BF0820" w:rsidRDefault="008170D8" w:rsidP="008170D8">
            <w:pPr>
              <w:rPr>
                <w:color w:val="000000"/>
                <w:szCs w:val="24"/>
                <w:lang w:val="en-ID"/>
              </w:rPr>
            </w:pPr>
            <w:r w:rsidRPr="00BF0820">
              <w:rPr>
                <w:color w:val="000000"/>
                <w:szCs w:val="24"/>
                <w:lang w:val="en-ID"/>
              </w:rPr>
              <w:t>Supported</w:t>
            </w:r>
          </w:p>
        </w:tc>
      </w:tr>
      <w:tr w:rsidR="008170D8" w:rsidRPr="00BF0820" w14:paraId="1DF8EE4D" w14:textId="77777777" w:rsidTr="00C6347C">
        <w:trPr>
          <w:trHeight w:val="20"/>
        </w:trPr>
        <w:tc>
          <w:tcPr>
            <w:tcW w:w="1350" w:type="dxa"/>
            <w:vAlign w:val="center"/>
            <w:hideMark/>
          </w:tcPr>
          <w:p w14:paraId="162BE91B" w14:textId="77777777" w:rsidR="008170D8" w:rsidRPr="00BF0820" w:rsidRDefault="008170D8" w:rsidP="008170D8">
            <w:pPr>
              <w:rPr>
                <w:color w:val="000000"/>
                <w:szCs w:val="24"/>
                <w:lang w:val="en-ID"/>
              </w:rPr>
            </w:pPr>
            <w:r w:rsidRPr="00BF0820">
              <w:rPr>
                <w:color w:val="000000"/>
                <w:szCs w:val="24"/>
                <w:lang w:val="en-ID"/>
              </w:rPr>
              <w:t>H6</w:t>
            </w:r>
          </w:p>
        </w:tc>
        <w:tc>
          <w:tcPr>
            <w:tcW w:w="3258" w:type="dxa"/>
            <w:vAlign w:val="center"/>
            <w:hideMark/>
          </w:tcPr>
          <w:p w14:paraId="2D9A639D" w14:textId="6750123C" w:rsidR="008170D8" w:rsidRPr="008170D8" w:rsidRDefault="008170D8" w:rsidP="008170D8">
            <w:pPr>
              <w:rPr>
                <w:rFonts w:cs="Helvetica"/>
                <w:color w:val="000000"/>
                <w:lang w:val="en-ID"/>
              </w:rPr>
            </w:pPr>
            <w:r w:rsidRPr="008170D8">
              <w:rPr>
                <w:rFonts w:cs="Helvetica"/>
                <w:color w:val="000000"/>
              </w:rPr>
              <w:t>Sustainable Procurement → SME Performance</w:t>
            </w:r>
          </w:p>
        </w:tc>
        <w:tc>
          <w:tcPr>
            <w:tcW w:w="756" w:type="dxa"/>
            <w:vAlign w:val="center"/>
            <w:hideMark/>
          </w:tcPr>
          <w:p w14:paraId="16EC375C" w14:textId="77777777" w:rsidR="008170D8" w:rsidRPr="00BF0820" w:rsidRDefault="008170D8" w:rsidP="008170D8">
            <w:pPr>
              <w:rPr>
                <w:color w:val="000000"/>
                <w:szCs w:val="24"/>
                <w:lang w:val="en-ID"/>
              </w:rPr>
            </w:pPr>
            <w:r w:rsidRPr="00BF0820">
              <w:rPr>
                <w:color w:val="000000"/>
                <w:szCs w:val="24"/>
                <w:lang w:val="en-ID"/>
              </w:rPr>
              <w:t>0.326</w:t>
            </w:r>
          </w:p>
        </w:tc>
        <w:tc>
          <w:tcPr>
            <w:tcW w:w="1003" w:type="dxa"/>
            <w:vAlign w:val="center"/>
            <w:hideMark/>
          </w:tcPr>
          <w:p w14:paraId="7F14762C" w14:textId="77777777" w:rsidR="008170D8" w:rsidRPr="00BF0820" w:rsidRDefault="008170D8" w:rsidP="008170D8">
            <w:pPr>
              <w:rPr>
                <w:color w:val="000000"/>
                <w:szCs w:val="24"/>
                <w:lang w:val="en-ID"/>
              </w:rPr>
            </w:pPr>
            <w:r w:rsidRPr="00BF0820">
              <w:rPr>
                <w:color w:val="000000"/>
                <w:szCs w:val="24"/>
                <w:lang w:val="en-ID"/>
              </w:rPr>
              <w:t>3.398</w:t>
            </w:r>
          </w:p>
        </w:tc>
        <w:tc>
          <w:tcPr>
            <w:tcW w:w="763" w:type="dxa"/>
            <w:vAlign w:val="center"/>
            <w:hideMark/>
          </w:tcPr>
          <w:p w14:paraId="4F066733" w14:textId="77777777" w:rsidR="008170D8" w:rsidRPr="00BF0820" w:rsidRDefault="008170D8" w:rsidP="008170D8">
            <w:pPr>
              <w:rPr>
                <w:color w:val="000000"/>
                <w:szCs w:val="24"/>
                <w:lang w:val="en-ID"/>
              </w:rPr>
            </w:pPr>
            <w:r w:rsidRPr="00BF0820">
              <w:rPr>
                <w:color w:val="000000"/>
                <w:szCs w:val="24"/>
                <w:lang w:val="en-ID"/>
              </w:rPr>
              <w:t>0.001</w:t>
            </w:r>
          </w:p>
        </w:tc>
        <w:tc>
          <w:tcPr>
            <w:tcW w:w="1203" w:type="dxa"/>
            <w:vAlign w:val="center"/>
            <w:hideMark/>
          </w:tcPr>
          <w:p w14:paraId="43B1FB0D" w14:textId="77777777" w:rsidR="008170D8" w:rsidRPr="00BF0820" w:rsidRDefault="008170D8" w:rsidP="008170D8">
            <w:pPr>
              <w:rPr>
                <w:color w:val="000000"/>
                <w:szCs w:val="24"/>
                <w:lang w:val="en-ID"/>
              </w:rPr>
            </w:pPr>
            <w:r w:rsidRPr="00BF0820">
              <w:rPr>
                <w:color w:val="000000"/>
                <w:szCs w:val="24"/>
                <w:lang w:val="en-ID"/>
              </w:rPr>
              <w:t>Supported</w:t>
            </w:r>
          </w:p>
        </w:tc>
      </w:tr>
      <w:tr w:rsidR="008170D8" w:rsidRPr="00C6461F" w14:paraId="1A74011C" w14:textId="77777777" w:rsidTr="00C6347C">
        <w:trPr>
          <w:trHeight w:val="20"/>
        </w:trPr>
        <w:tc>
          <w:tcPr>
            <w:tcW w:w="1350" w:type="dxa"/>
            <w:vAlign w:val="center"/>
          </w:tcPr>
          <w:p w14:paraId="71DACBDF" w14:textId="77777777" w:rsidR="008170D8" w:rsidRPr="00C6461F" w:rsidRDefault="008170D8" w:rsidP="008170D8">
            <w:pPr>
              <w:jc w:val="both"/>
              <w:rPr>
                <w:color w:val="000000"/>
                <w:szCs w:val="24"/>
                <w:lang w:val="en-ID"/>
              </w:rPr>
            </w:pPr>
            <w:r w:rsidRPr="00C6461F">
              <w:rPr>
                <w:color w:val="000000"/>
                <w:szCs w:val="24"/>
                <w:lang w:val="en-ID"/>
              </w:rPr>
              <w:t>H7</w:t>
            </w:r>
          </w:p>
        </w:tc>
        <w:tc>
          <w:tcPr>
            <w:tcW w:w="3258" w:type="dxa"/>
            <w:vAlign w:val="center"/>
          </w:tcPr>
          <w:p w14:paraId="71CC2A49" w14:textId="596E58A7" w:rsidR="008170D8" w:rsidRPr="008170D8" w:rsidRDefault="008170D8" w:rsidP="008170D8">
            <w:pPr>
              <w:rPr>
                <w:rFonts w:cs="Helvetica"/>
                <w:color w:val="000000"/>
                <w:lang w:val="en-ID"/>
              </w:rPr>
            </w:pPr>
            <w:r w:rsidRPr="008170D8">
              <w:rPr>
                <w:rFonts w:cs="Helvetica"/>
                <w:color w:val="000000"/>
              </w:rPr>
              <w:t>Sustainable Leadership → Sustainable Procurement → SME Performance</w:t>
            </w:r>
          </w:p>
        </w:tc>
        <w:tc>
          <w:tcPr>
            <w:tcW w:w="756" w:type="dxa"/>
            <w:vAlign w:val="center"/>
          </w:tcPr>
          <w:p w14:paraId="407F3186" w14:textId="77777777" w:rsidR="008170D8" w:rsidRPr="00C6461F" w:rsidRDefault="008170D8" w:rsidP="008170D8">
            <w:pPr>
              <w:jc w:val="both"/>
              <w:rPr>
                <w:color w:val="000000"/>
                <w:szCs w:val="24"/>
                <w:lang w:val="en-ID"/>
              </w:rPr>
            </w:pPr>
            <w:r w:rsidRPr="00C6461F">
              <w:rPr>
                <w:color w:val="000000"/>
                <w:szCs w:val="24"/>
                <w:lang w:val="en-ID"/>
              </w:rPr>
              <w:t>0.064</w:t>
            </w:r>
          </w:p>
        </w:tc>
        <w:tc>
          <w:tcPr>
            <w:tcW w:w="1003" w:type="dxa"/>
            <w:vAlign w:val="center"/>
          </w:tcPr>
          <w:p w14:paraId="6A9BB705" w14:textId="77777777" w:rsidR="008170D8" w:rsidRPr="00C6461F" w:rsidRDefault="008170D8" w:rsidP="008170D8">
            <w:pPr>
              <w:jc w:val="both"/>
              <w:rPr>
                <w:color w:val="000000"/>
                <w:szCs w:val="24"/>
                <w:lang w:val="en-ID"/>
              </w:rPr>
            </w:pPr>
            <w:r w:rsidRPr="00C6461F">
              <w:rPr>
                <w:color w:val="000000"/>
                <w:szCs w:val="24"/>
                <w:lang w:val="en-ID"/>
              </w:rPr>
              <w:t>1.835</w:t>
            </w:r>
          </w:p>
        </w:tc>
        <w:tc>
          <w:tcPr>
            <w:tcW w:w="763" w:type="dxa"/>
            <w:vAlign w:val="center"/>
          </w:tcPr>
          <w:p w14:paraId="72C936BF" w14:textId="77777777" w:rsidR="008170D8" w:rsidRPr="00C6461F" w:rsidRDefault="008170D8" w:rsidP="008170D8">
            <w:pPr>
              <w:jc w:val="both"/>
              <w:rPr>
                <w:color w:val="000000"/>
                <w:szCs w:val="24"/>
                <w:lang w:val="en-ID"/>
              </w:rPr>
            </w:pPr>
            <w:r w:rsidRPr="00C6461F">
              <w:rPr>
                <w:color w:val="000000"/>
                <w:szCs w:val="24"/>
                <w:lang w:val="en-ID"/>
              </w:rPr>
              <w:t>0.067</w:t>
            </w:r>
          </w:p>
        </w:tc>
        <w:tc>
          <w:tcPr>
            <w:tcW w:w="1203" w:type="dxa"/>
            <w:vAlign w:val="center"/>
          </w:tcPr>
          <w:p w14:paraId="2C4627DD" w14:textId="77777777" w:rsidR="008170D8" w:rsidRPr="00C6461F" w:rsidRDefault="008170D8" w:rsidP="008170D8">
            <w:pPr>
              <w:jc w:val="both"/>
              <w:rPr>
                <w:color w:val="000000"/>
                <w:szCs w:val="24"/>
                <w:lang w:val="en-ID"/>
              </w:rPr>
            </w:pPr>
            <w:r w:rsidRPr="00C6461F">
              <w:rPr>
                <w:color w:val="000000"/>
                <w:szCs w:val="24"/>
                <w:lang w:val="en-ID"/>
              </w:rPr>
              <w:t>Not supported</w:t>
            </w:r>
          </w:p>
        </w:tc>
      </w:tr>
      <w:tr w:rsidR="008170D8" w:rsidRPr="00C6461F" w14:paraId="75221B4F" w14:textId="77777777" w:rsidTr="00C6347C">
        <w:trPr>
          <w:trHeight w:val="20"/>
        </w:trPr>
        <w:tc>
          <w:tcPr>
            <w:tcW w:w="1350" w:type="dxa"/>
            <w:vAlign w:val="center"/>
          </w:tcPr>
          <w:p w14:paraId="6F5B4F02" w14:textId="77777777" w:rsidR="008170D8" w:rsidRPr="00C6461F" w:rsidRDefault="008170D8" w:rsidP="008170D8">
            <w:pPr>
              <w:jc w:val="both"/>
              <w:rPr>
                <w:color w:val="000000"/>
                <w:szCs w:val="24"/>
                <w:lang w:val="en-ID"/>
              </w:rPr>
            </w:pPr>
            <w:r w:rsidRPr="00C6461F">
              <w:rPr>
                <w:color w:val="000000"/>
                <w:szCs w:val="24"/>
                <w:lang w:val="en-ID"/>
              </w:rPr>
              <w:t>H8</w:t>
            </w:r>
          </w:p>
        </w:tc>
        <w:tc>
          <w:tcPr>
            <w:tcW w:w="3258" w:type="dxa"/>
            <w:vAlign w:val="center"/>
          </w:tcPr>
          <w:p w14:paraId="1CF2F6A4" w14:textId="6F7B50DA" w:rsidR="008170D8" w:rsidRPr="008170D8" w:rsidRDefault="008170D8" w:rsidP="008170D8">
            <w:pPr>
              <w:rPr>
                <w:rFonts w:cs="Helvetica"/>
                <w:color w:val="000000"/>
                <w:lang w:val="en-ID"/>
              </w:rPr>
            </w:pPr>
            <w:r w:rsidRPr="008170D8">
              <w:rPr>
                <w:rFonts w:cs="Helvetica"/>
                <w:color w:val="000000"/>
              </w:rPr>
              <w:t>Competitive Pressure → Sustainable Procurement → SME Performance</w:t>
            </w:r>
          </w:p>
        </w:tc>
        <w:tc>
          <w:tcPr>
            <w:tcW w:w="756" w:type="dxa"/>
            <w:vAlign w:val="center"/>
          </w:tcPr>
          <w:p w14:paraId="2FECAF3F" w14:textId="77777777" w:rsidR="008170D8" w:rsidRPr="00C6461F" w:rsidRDefault="008170D8" w:rsidP="008170D8">
            <w:pPr>
              <w:jc w:val="both"/>
              <w:rPr>
                <w:color w:val="000000"/>
                <w:szCs w:val="24"/>
                <w:lang w:val="en-ID"/>
              </w:rPr>
            </w:pPr>
            <w:r w:rsidRPr="00C6461F">
              <w:rPr>
                <w:color w:val="000000"/>
                <w:szCs w:val="24"/>
                <w:lang w:val="en-ID"/>
              </w:rPr>
              <w:t>0.096</w:t>
            </w:r>
          </w:p>
        </w:tc>
        <w:tc>
          <w:tcPr>
            <w:tcW w:w="1003" w:type="dxa"/>
            <w:vAlign w:val="center"/>
          </w:tcPr>
          <w:p w14:paraId="260BCA2C" w14:textId="77777777" w:rsidR="008170D8" w:rsidRPr="00C6461F" w:rsidRDefault="008170D8" w:rsidP="008170D8">
            <w:pPr>
              <w:jc w:val="both"/>
              <w:rPr>
                <w:color w:val="000000"/>
                <w:szCs w:val="24"/>
                <w:lang w:val="en-ID"/>
              </w:rPr>
            </w:pPr>
            <w:r w:rsidRPr="00C6461F">
              <w:rPr>
                <w:color w:val="000000"/>
                <w:szCs w:val="24"/>
                <w:lang w:val="en-ID"/>
              </w:rPr>
              <w:t>2.305</w:t>
            </w:r>
          </w:p>
        </w:tc>
        <w:tc>
          <w:tcPr>
            <w:tcW w:w="763" w:type="dxa"/>
            <w:vAlign w:val="center"/>
          </w:tcPr>
          <w:p w14:paraId="2D57BBFF" w14:textId="77777777" w:rsidR="008170D8" w:rsidRPr="00C6461F" w:rsidRDefault="008170D8" w:rsidP="008170D8">
            <w:pPr>
              <w:jc w:val="both"/>
              <w:rPr>
                <w:color w:val="000000"/>
                <w:szCs w:val="24"/>
                <w:lang w:val="en-ID"/>
              </w:rPr>
            </w:pPr>
            <w:r w:rsidRPr="00C6461F">
              <w:rPr>
                <w:color w:val="000000"/>
                <w:szCs w:val="24"/>
                <w:lang w:val="en-ID"/>
              </w:rPr>
              <w:t>0.021</w:t>
            </w:r>
          </w:p>
        </w:tc>
        <w:tc>
          <w:tcPr>
            <w:tcW w:w="1203" w:type="dxa"/>
            <w:vAlign w:val="center"/>
          </w:tcPr>
          <w:p w14:paraId="19D40074" w14:textId="77777777" w:rsidR="008170D8" w:rsidRPr="00C6461F" w:rsidRDefault="008170D8" w:rsidP="008170D8">
            <w:pPr>
              <w:jc w:val="both"/>
              <w:rPr>
                <w:color w:val="000000"/>
                <w:szCs w:val="24"/>
                <w:lang w:val="en-ID"/>
              </w:rPr>
            </w:pPr>
            <w:r w:rsidRPr="00C6461F">
              <w:rPr>
                <w:color w:val="000000"/>
                <w:szCs w:val="24"/>
                <w:lang w:val="en-ID"/>
              </w:rPr>
              <w:t>Supported</w:t>
            </w:r>
          </w:p>
        </w:tc>
      </w:tr>
      <w:tr w:rsidR="008170D8" w:rsidRPr="00C6461F" w14:paraId="65BA9BA1" w14:textId="77777777" w:rsidTr="00C6347C">
        <w:trPr>
          <w:trHeight w:val="20"/>
        </w:trPr>
        <w:tc>
          <w:tcPr>
            <w:tcW w:w="1350" w:type="dxa"/>
            <w:vAlign w:val="center"/>
          </w:tcPr>
          <w:p w14:paraId="387E963E" w14:textId="77777777" w:rsidR="008170D8" w:rsidRPr="00C6461F" w:rsidRDefault="008170D8" w:rsidP="008170D8">
            <w:pPr>
              <w:jc w:val="both"/>
              <w:rPr>
                <w:color w:val="000000"/>
                <w:szCs w:val="24"/>
                <w:lang w:val="en-ID"/>
              </w:rPr>
            </w:pPr>
            <w:r w:rsidRPr="00C6461F">
              <w:rPr>
                <w:color w:val="000000"/>
                <w:szCs w:val="24"/>
                <w:lang w:val="en-ID"/>
              </w:rPr>
              <w:t>H9</w:t>
            </w:r>
          </w:p>
        </w:tc>
        <w:tc>
          <w:tcPr>
            <w:tcW w:w="3258" w:type="dxa"/>
            <w:vAlign w:val="center"/>
          </w:tcPr>
          <w:p w14:paraId="6B569BC4" w14:textId="002B7585" w:rsidR="008170D8" w:rsidRPr="008170D8" w:rsidRDefault="008170D8" w:rsidP="008170D8">
            <w:pPr>
              <w:rPr>
                <w:rFonts w:cs="Helvetica"/>
                <w:color w:val="000000"/>
                <w:lang w:val="en-ID"/>
              </w:rPr>
            </w:pPr>
            <w:r w:rsidRPr="008170D8">
              <w:rPr>
                <w:rFonts w:cs="Helvetica"/>
                <w:color w:val="000000"/>
              </w:rPr>
              <w:t>TBL Performance → Sustainable Procurement → SME Performance</w:t>
            </w:r>
          </w:p>
        </w:tc>
        <w:tc>
          <w:tcPr>
            <w:tcW w:w="756" w:type="dxa"/>
            <w:vAlign w:val="center"/>
          </w:tcPr>
          <w:p w14:paraId="74A2A6D6" w14:textId="77777777" w:rsidR="008170D8" w:rsidRPr="00C6461F" w:rsidRDefault="008170D8" w:rsidP="008170D8">
            <w:pPr>
              <w:jc w:val="both"/>
              <w:rPr>
                <w:color w:val="000000"/>
                <w:szCs w:val="24"/>
                <w:lang w:val="en-ID"/>
              </w:rPr>
            </w:pPr>
            <w:r w:rsidRPr="00C6461F">
              <w:rPr>
                <w:color w:val="000000"/>
                <w:szCs w:val="24"/>
                <w:lang w:val="en-ID"/>
              </w:rPr>
              <w:t>0.118</w:t>
            </w:r>
          </w:p>
        </w:tc>
        <w:tc>
          <w:tcPr>
            <w:tcW w:w="1003" w:type="dxa"/>
            <w:vAlign w:val="center"/>
          </w:tcPr>
          <w:p w14:paraId="1EE74AAB" w14:textId="77777777" w:rsidR="008170D8" w:rsidRPr="00C6461F" w:rsidRDefault="008170D8" w:rsidP="008170D8">
            <w:pPr>
              <w:jc w:val="both"/>
              <w:rPr>
                <w:color w:val="000000"/>
                <w:szCs w:val="24"/>
                <w:lang w:val="en-ID"/>
              </w:rPr>
            </w:pPr>
            <w:r w:rsidRPr="00C6461F">
              <w:rPr>
                <w:color w:val="000000"/>
                <w:szCs w:val="24"/>
                <w:lang w:val="en-ID"/>
              </w:rPr>
              <w:t>2.532</w:t>
            </w:r>
          </w:p>
        </w:tc>
        <w:tc>
          <w:tcPr>
            <w:tcW w:w="763" w:type="dxa"/>
            <w:vAlign w:val="center"/>
          </w:tcPr>
          <w:p w14:paraId="2A283D64" w14:textId="77777777" w:rsidR="008170D8" w:rsidRPr="00C6461F" w:rsidRDefault="008170D8" w:rsidP="008170D8">
            <w:pPr>
              <w:jc w:val="both"/>
              <w:rPr>
                <w:color w:val="000000"/>
                <w:szCs w:val="24"/>
                <w:lang w:val="en-ID"/>
              </w:rPr>
            </w:pPr>
            <w:r w:rsidRPr="00C6461F">
              <w:rPr>
                <w:color w:val="000000"/>
                <w:szCs w:val="24"/>
                <w:lang w:val="en-ID"/>
              </w:rPr>
              <w:t>0.011</w:t>
            </w:r>
          </w:p>
        </w:tc>
        <w:tc>
          <w:tcPr>
            <w:tcW w:w="1203" w:type="dxa"/>
            <w:vAlign w:val="center"/>
          </w:tcPr>
          <w:p w14:paraId="64C7F2CD" w14:textId="77777777" w:rsidR="008170D8" w:rsidRPr="00C6461F" w:rsidRDefault="008170D8" w:rsidP="008170D8">
            <w:pPr>
              <w:jc w:val="both"/>
              <w:rPr>
                <w:color w:val="000000"/>
                <w:szCs w:val="24"/>
                <w:lang w:val="en-ID"/>
              </w:rPr>
            </w:pPr>
            <w:r w:rsidRPr="00C6461F">
              <w:rPr>
                <w:color w:val="000000"/>
                <w:szCs w:val="24"/>
                <w:lang w:val="en-ID"/>
              </w:rPr>
              <w:t>Supported</w:t>
            </w:r>
          </w:p>
        </w:tc>
      </w:tr>
    </w:tbl>
    <w:p w14:paraId="50B65CCA" w14:textId="77777777" w:rsidR="00C6347C" w:rsidRDefault="00C6347C" w:rsidP="00C6347C">
      <w:pPr>
        <w:pStyle w:val="Body"/>
        <w:spacing w:after="0"/>
        <w:rPr>
          <w:rFonts w:ascii="Arial" w:hAnsi="Arial" w:cs="Arial"/>
        </w:rPr>
      </w:pPr>
    </w:p>
    <w:p w14:paraId="5ED27150" w14:textId="77777777" w:rsidR="008866A1" w:rsidRPr="008866A1" w:rsidRDefault="008866A1" w:rsidP="008866A1">
      <w:pPr>
        <w:pStyle w:val="Body"/>
        <w:rPr>
          <w:rFonts w:ascii="Arial" w:hAnsi="Arial" w:cs="Arial"/>
        </w:rPr>
      </w:pPr>
      <w:r w:rsidRPr="008866A1">
        <w:rPr>
          <w:rFonts w:ascii="Arial" w:hAnsi="Arial" w:cs="Arial"/>
        </w:rPr>
        <w:t>As shown in Table 7, sustainable leadership had a positive relationship with sustainable procurement (β = 0.177, t = 1.964, p = 0.050). This result is at the conventional 5% significance boundary and should therefore be interpreted cautiously. Sustainable leadership had a positive and significant effect on TBL performance (β = 0.346, t = 4.039, p &lt; 0.001), providing support for H2.</w:t>
      </w:r>
    </w:p>
    <w:p w14:paraId="42283A68" w14:textId="77777777" w:rsidR="008866A1" w:rsidRPr="008866A1" w:rsidRDefault="008866A1" w:rsidP="008866A1">
      <w:pPr>
        <w:pStyle w:val="Body"/>
        <w:rPr>
          <w:rFonts w:ascii="Arial" w:hAnsi="Arial" w:cs="Arial"/>
        </w:rPr>
      </w:pPr>
      <w:r w:rsidRPr="008866A1">
        <w:rPr>
          <w:rFonts w:ascii="Arial" w:hAnsi="Arial" w:cs="Arial"/>
        </w:rPr>
        <w:t>Competitive pressure had a positive and significant effect on TBL performance (β = 0.266, t = 2.854, p = 0.004), supporting H3. However, its effect on sustainable procurement was not statistically significant (β = 0.151, t = 1.690, p = 0.091). Therefore, H4 was not supported.</w:t>
      </w:r>
    </w:p>
    <w:p w14:paraId="1982699B" w14:textId="77777777" w:rsidR="008866A1" w:rsidRPr="008866A1" w:rsidRDefault="008866A1" w:rsidP="008866A1">
      <w:pPr>
        <w:pStyle w:val="Body"/>
        <w:rPr>
          <w:rFonts w:ascii="Arial" w:hAnsi="Arial" w:cs="Arial"/>
        </w:rPr>
      </w:pPr>
      <w:r w:rsidRPr="008866A1">
        <w:rPr>
          <w:rFonts w:ascii="Arial" w:hAnsi="Arial" w:cs="Arial"/>
        </w:rPr>
        <w:t>The results also showed that TBL performance had a positive and significant effect on sustainable procurement (β = 0.328, t = 3.444, p = 0.001), supporting H5. Sustainable procurement, in turn, had a positive and significant effect on SME performance (β = 0.326, t = 3.398, p = 0.001), providing support for H6.</w:t>
      </w:r>
    </w:p>
    <w:p w14:paraId="29076246" w14:textId="746622A2" w:rsidR="008866A1" w:rsidRDefault="008866A1" w:rsidP="008866A1">
      <w:pPr>
        <w:pStyle w:val="Body"/>
        <w:rPr>
          <w:rFonts w:ascii="Arial" w:hAnsi="Arial" w:cs="Arial"/>
        </w:rPr>
      </w:pPr>
      <w:r w:rsidRPr="008866A1">
        <w:rPr>
          <w:rFonts w:ascii="Arial" w:hAnsi="Arial" w:cs="Arial"/>
        </w:rPr>
        <w:t>Overall, the direct-effect results indicate that H2, H3, H5, and H6 were supported, whereas H4 was not supported. The H1 relationship was positive but was at the conventional significance boundary (p = 0.050) and should therefore be interpreted cautiously.</w:t>
      </w:r>
    </w:p>
    <w:p w14:paraId="56E785AE" w14:textId="440F24B0" w:rsidR="00C74AAA" w:rsidRDefault="0077596C" w:rsidP="00C74AAA">
      <w:pPr>
        <w:pStyle w:val="Head1"/>
        <w:spacing w:after="0"/>
        <w:jc w:val="both"/>
        <w:rPr>
          <w:rFonts w:ascii="Arial" w:hAnsi="Arial" w:cs="Arial"/>
        </w:rPr>
      </w:pPr>
      <w:r>
        <w:rPr>
          <w:rFonts w:ascii="Arial" w:hAnsi="Arial" w:cs="Arial"/>
        </w:rPr>
        <w:t>5</w:t>
      </w:r>
      <w:r w:rsidR="00C74AAA">
        <w:rPr>
          <w:rFonts w:ascii="Arial" w:hAnsi="Arial" w:cs="Arial"/>
        </w:rPr>
        <w:t xml:space="preserve">. </w:t>
      </w:r>
      <w:r w:rsidR="00C74AAA" w:rsidRPr="00C74AAA">
        <w:rPr>
          <w:rFonts w:ascii="Arial" w:hAnsi="Arial" w:cs="Arial"/>
        </w:rPr>
        <w:t>Discussion: Enfolding with the Literature</w:t>
      </w:r>
      <w:r w:rsidR="00C74AAA">
        <w:rPr>
          <w:rFonts w:ascii="Arial" w:hAnsi="Arial" w:cs="Arial"/>
        </w:rPr>
        <w:t xml:space="preserve"> </w:t>
      </w:r>
    </w:p>
    <w:p w14:paraId="198A1E8F" w14:textId="77777777" w:rsidR="00C74AAA" w:rsidRDefault="00C74AAA" w:rsidP="00C74AAA">
      <w:pPr>
        <w:pStyle w:val="Body"/>
        <w:spacing w:after="0"/>
        <w:rPr>
          <w:rFonts w:ascii="Arial" w:hAnsi="Arial" w:cs="Arial"/>
        </w:rPr>
      </w:pPr>
    </w:p>
    <w:p w14:paraId="2982A18E" w14:textId="69631490" w:rsidR="00C74AAA" w:rsidRDefault="008866A1" w:rsidP="00C74AAA">
      <w:pPr>
        <w:pStyle w:val="Body"/>
        <w:spacing w:after="0"/>
        <w:rPr>
          <w:rFonts w:ascii="Arial" w:hAnsi="Arial" w:cs="Arial"/>
        </w:rPr>
      </w:pPr>
      <w:r w:rsidRPr="008866A1">
        <w:rPr>
          <w:rFonts w:ascii="Arial" w:hAnsi="Arial" w:cs="Arial"/>
        </w:rPr>
        <w:t xml:space="preserve">The findings provide a more differentiated understanding of how sustainable leadership, competitive pressure, TBL performance, and sustainable procurement are related within the SME context. The results indicate that sustainable leadership and competitive pressure </w:t>
      </w:r>
      <w:r w:rsidRPr="008866A1">
        <w:rPr>
          <w:rFonts w:ascii="Arial" w:hAnsi="Arial" w:cs="Arial"/>
        </w:rPr>
        <w:lastRenderedPageBreak/>
        <w:t>contribute to sustainability outcomes through different pathways, while sustainable procurement serves as an important operational mechanism linking sustainability-related antecedents to SME performance. More specifically, sustainable leadership and competitive pressure significantly influence TBL performance, whereas their relationships with sustainable procurement differ. TBL performance positively influences sustainable procurement, which subsequently contributes to SME performance. The mediation results further demonstrate that sustainable procurement significantly transmits the effects of competitive pressure and TBL performance to SME performance, but does not significantly mediate the relationship between sustainable leadership and SME performance</w:t>
      </w:r>
      <w:r w:rsidR="00C74AAA" w:rsidRPr="00502516">
        <w:rPr>
          <w:rFonts w:ascii="Arial" w:hAnsi="Arial" w:cs="Arial"/>
        </w:rPr>
        <w:t>.</w:t>
      </w:r>
    </w:p>
    <w:p w14:paraId="7491521D" w14:textId="77777777" w:rsidR="005757AF" w:rsidRPr="00FB3A86" w:rsidRDefault="005757AF" w:rsidP="005757AF">
      <w:pPr>
        <w:pStyle w:val="Body"/>
        <w:spacing w:after="0"/>
        <w:rPr>
          <w:rFonts w:ascii="Arial" w:hAnsi="Arial" w:cs="Arial"/>
        </w:rPr>
      </w:pPr>
    </w:p>
    <w:p w14:paraId="0608073E" w14:textId="6823E82C" w:rsidR="005757AF" w:rsidRDefault="0077596C" w:rsidP="005757AF">
      <w:pPr>
        <w:pStyle w:val="Body"/>
        <w:spacing w:after="0"/>
        <w:rPr>
          <w:rFonts w:ascii="Arial" w:hAnsi="Arial" w:cs="Arial"/>
        </w:rPr>
      </w:pPr>
      <w:r>
        <w:rPr>
          <w:rFonts w:ascii="Arial" w:hAnsi="Arial" w:cs="Arial"/>
          <w:b/>
          <w:caps/>
          <w:sz w:val="22"/>
        </w:rPr>
        <w:t>5</w:t>
      </w:r>
      <w:r w:rsidR="005757AF" w:rsidRPr="00C30A0F">
        <w:rPr>
          <w:rFonts w:ascii="Arial" w:hAnsi="Arial" w:cs="Arial"/>
          <w:b/>
          <w:caps/>
          <w:sz w:val="22"/>
        </w:rPr>
        <w:t xml:space="preserve">.1 </w:t>
      </w:r>
      <w:r w:rsidR="008866A1" w:rsidRPr="008866A1">
        <w:rPr>
          <w:rFonts w:ascii="Arial" w:hAnsi="Arial" w:cs="Arial"/>
          <w:b/>
          <w:sz w:val="22"/>
        </w:rPr>
        <w:t>Sustainable Leadership, T</w:t>
      </w:r>
      <w:r w:rsidR="008866A1">
        <w:rPr>
          <w:rFonts w:ascii="Arial" w:hAnsi="Arial" w:cs="Arial"/>
          <w:b/>
          <w:sz w:val="22"/>
        </w:rPr>
        <w:t xml:space="preserve">BL </w:t>
      </w:r>
      <w:r w:rsidR="008866A1" w:rsidRPr="008866A1">
        <w:rPr>
          <w:rFonts w:ascii="Arial" w:hAnsi="Arial" w:cs="Arial"/>
          <w:b/>
          <w:sz w:val="22"/>
        </w:rPr>
        <w:t>Performance, and Sustainable Procurement</w:t>
      </w:r>
      <w:r w:rsidR="005757AF" w:rsidRPr="00FB3A86">
        <w:rPr>
          <w:rFonts w:ascii="Arial" w:hAnsi="Arial" w:cs="Arial"/>
        </w:rPr>
        <w:t xml:space="preserve"> </w:t>
      </w:r>
    </w:p>
    <w:p w14:paraId="7D0A8DCB" w14:textId="77777777" w:rsidR="005757AF" w:rsidRDefault="005757AF" w:rsidP="005757AF">
      <w:pPr>
        <w:pStyle w:val="Body"/>
        <w:spacing w:after="0"/>
        <w:rPr>
          <w:rFonts w:ascii="Arial" w:hAnsi="Arial" w:cs="Arial"/>
        </w:rPr>
      </w:pPr>
    </w:p>
    <w:p w14:paraId="17CC5038" w14:textId="77777777" w:rsidR="008866A1" w:rsidRPr="008866A1" w:rsidRDefault="008866A1" w:rsidP="008866A1">
      <w:pPr>
        <w:pStyle w:val="Body"/>
        <w:rPr>
          <w:rFonts w:ascii="Arial" w:hAnsi="Arial" w:cs="Arial"/>
        </w:rPr>
      </w:pPr>
      <w:r w:rsidRPr="008866A1">
        <w:rPr>
          <w:rFonts w:ascii="Arial" w:hAnsi="Arial" w:cs="Arial"/>
        </w:rPr>
        <w:t>The results show that sustainable leadership has a positive relationship with sustainable procurement (β = 0.177, p = 0.050), although this relationship lies at the conventional significance boundary and should therefore be interpreted cautiously. More importantly, sustainable leadership has a positive and significant effect on TBL performance (β = 0.346, p &lt; 0.001). These findings suggest that sustainability-oriented leadership is particularly relevant to the integration of economic, social, and environmental objectives within SMEs.</w:t>
      </w:r>
    </w:p>
    <w:p w14:paraId="495019BF" w14:textId="77777777" w:rsidR="008866A1" w:rsidRPr="008866A1" w:rsidRDefault="008866A1" w:rsidP="008866A1">
      <w:pPr>
        <w:pStyle w:val="Body"/>
        <w:rPr>
          <w:rFonts w:ascii="Arial" w:hAnsi="Arial" w:cs="Arial"/>
        </w:rPr>
      </w:pPr>
      <w:r w:rsidRPr="008866A1">
        <w:rPr>
          <w:rFonts w:ascii="Arial" w:hAnsi="Arial" w:cs="Arial"/>
        </w:rPr>
        <w:t xml:space="preserve">The significant relationship between sustainable leadership and TBL performance is consistent with the broader sustainable leadership literature. Sustainable leaders emphasize long-term organizational viability while considering the interests of multiple stakeholders and the environmental and social consequences of organizational decisions (Avery and </w:t>
      </w:r>
      <w:proofErr w:type="spellStart"/>
      <w:r w:rsidRPr="008866A1">
        <w:rPr>
          <w:rFonts w:ascii="Arial" w:hAnsi="Arial" w:cs="Arial"/>
        </w:rPr>
        <w:t>Bergsteiner</w:t>
      </w:r>
      <w:proofErr w:type="spellEnd"/>
      <w:r w:rsidRPr="008866A1">
        <w:rPr>
          <w:rFonts w:ascii="Arial" w:hAnsi="Arial" w:cs="Arial"/>
        </w:rPr>
        <w:t>, 2011). By shaping organizational priorities, allocating resources, and promoting sustainability-oriented values, leaders can facilitate the simultaneous pursuit of economic, social, and environmental objectives. This interpretation is also consistent with Malik and Mahmood (2022), who emphasize the contribution of sustainable leadership to sustainable organizational growth.</w:t>
      </w:r>
    </w:p>
    <w:p w14:paraId="7A3E7B32" w14:textId="77777777" w:rsidR="008866A1" w:rsidRPr="008866A1" w:rsidRDefault="008866A1" w:rsidP="008866A1">
      <w:pPr>
        <w:pStyle w:val="Body"/>
        <w:rPr>
          <w:rFonts w:ascii="Arial" w:hAnsi="Arial" w:cs="Arial"/>
        </w:rPr>
      </w:pPr>
      <w:r w:rsidRPr="008866A1">
        <w:rPr>
          <w:rFonts w:ascii="Arial" w:hAnsi="Arial" w:cs="Arial"/>
        </w:rPr>
        <w:t>The positive relationship between sustainable leadership and sustainable procurement is also consistent with Nsiah-Sarfo et al. (2023), who highlight the role of sustainable leadership in facilitating sustainable procurement implementation. In SMEs, where owners and managers often exert considerable influence over both strategic and operational decisions, leadership commitment can provide the direction necessary for incorporating sustainability considerations into purchasing and supplier-related decisions. Nevertheless, the marginal significance of this relationship suggests that leadership commitment alone may not always be sufficient to generate substantial changes in procurement practices.</w:t>
      </w:r>
    </w:p>
    <w:p w14:paraId="3643C3AF" w14:textId="5D495F07" w:rsidR="005757AF" w:rsidRDefault="008866A1" w:rsidP="008866A1">
      <w:pPr>
        <w:pStyle w:val="Body"/>
        <w:spacing w:after="0"/>
        <w:rPr>
          <w:rFonts w:ascii="Arial" w:hAnsi="Arial" w:cs="Arial"/>
        </w:rPr>
      </w:pPr>
      <w:r w:rsidRPr="008866A1">
        <w:rPr>
          <w:rFonts w:ascii="Arial" w:hAnsi="Arial" w:cs="Arial"/>
        </w:rPr>
        <w:t xml:space="preserve">This interpretation is further supported by the mediation result. The indirect effect of sustainable leadership on SME performance through sustainable procurement is not statistically significant (β = 0.064, p = 0.067). Thus, although sustainable leadership contributes to TBL performance and shows a positive relationship with sustainable procurement, sustainable procurement does not significantly transmit the effect of sustainable leadership to SME performance in the present study. This finding suggests that the organizational consequences of sustainable leadership may operate through mechanisms other than procurement alone. For example, prior research has identified organizational learning as a mechanism through which sustainable leadership can contribute to sustainable organizational growth (Malik and Mahmood, 2022). Accordingly, the nonsignificant mediation does not necessarily diminish the relevance of sustainable leadership, but indicates that its influence may extend across a broader range of organizational </w:t>
      </w:r>
      <w:proofErr w:type="gramStart"/>
      <w:r w:rsidRPr="008866A1">
        <w:rPr>
          <w:rFonts w:ascii="Arial" w:hAnsi="Arial" w:cs="Arial"/>
        </w:rPr>
        <w:t>processes.</w:t>
      </w:r>
      <w:r w:rsidR="005757AF" w:rsidRPr="00502516">
        <w:rPr>
          <w:rFonts w:ascii="Arial" w:hAnsi="Arial" w:cs="Arial"/>
        </w:rPr>
        <w:t>.</w:t>
      </w:r>
      <w:proofErr w:type="gramEnd"/>
    </w:p>
    <w:p w14:paraId="35983531" w14:textId="77777777" w:rsidR="00BA50B4" w:rsidRPr="00FB3A86" w:rsidRDefault="00BA50B4" w:rsidP="00BA50B4">
      <w:pPr>
        <w:pStyle w:val="Body"/>
        <w:spacing w:after="0"/>
        <w:rPr>
          <w:rFonts w:ascii="Arial" w:hAnsi="Arial" w:cs="Arial"/>
        </w:rPr>
      </w:pPr>
    </w:p>
    <w:p w14:paraId="2B3D738A" w14:textId="5D340A1E" w:rsidR="00BA50B4" w:rsidRDefault="0077596C" w:rsidP="00BA50B4">
      <w:pPr>
        <w:pStyle w:val="Body"/>
        <w:spacing w:after="0"/>
        <w:rPr>
          <w:rFonts w:ascii="Arial" w:hAnsi="Arial" w:cs="Arial"/>
        </w:rPr>
      </w:pPr>
      <w:r>
        <w:rPr>
          <w:rFonts w:ascii="Arial" w:hAnsi="Arial" w:cs="Arial"/>
          <w:b/>
          <w:caps/>
          <w:sz w:val="22"/>
        </w:rPr>
        <w:t>5</w:t>
      </w:r>
      <w:r w:rsidR="00BA50B4" w:rsidRPr="00C30A0F">
        <w:rPr>
          <w:rFonts w:ascii="Arial" w:hAnsi="Arial" w:cs="Arial"/>
          <w:b/>
          <w:caps/>
          <w:sz w:val="22"/>
        </w:rPr>
        <w:t>.</w:t>
      </w:r>
      <w:r w:rsidR="00BA50B4">
        <w:rPr>
          <w:rFonts w:ascii="Arial" w:hAnsi="Arial" w:cs="Arial"/>
          <w:b/>
          <w:caps/>
          <w:sz w:val="22"/>
        </w:rPr>
        <w:t>2</w:t>
      </w:r>
      <w:r w:rsidR="00BA50B4" w:rsidRPr="00C30A0F">
        <w:rPr>
          <w:rFonts w:ascii="Arial" w:hAnsi="Arial" w:cs="Arial"/>
          <w:b/>
          <w:caps/>
          <w:sz w:val="22"/>
        </w:rPr>
        <w:t xml:space="preserve"> </w:t>
      </w:r>
      <w:r w:rsidR="008866A1" w:rsidRPr="008866A1">
        <w:rPr>
          <w:rFonts w:ascii="Arial" w:hAnsi="Arial" w:cs="Arial"/>
          <w:b/>
          <w:sz w:val="22"/>
        </w:rPr>
        <w:t xml:space="preserve">Competitive Pressure, </w:t>
      </w:r>
      <w:r w:rsidR="008866A1">
        <w:rPr>
          <w:rFonts w:ascii="Arial" w:hAnsi="Arial" w:cs="Arial"/>
          <w:b/>
          <w:sz w:val="22"/>
        </w:rPr>
        <w:t>PBL</w:t>
      </w:r>
      <w:r w:rsidR="008866A1" w:rsidRPr="008866A1">
        <w:rPr>
          <w:rFonts w:ascii="Arial" w:hAnsi="Arial" w:cs="Arial"/>
          <w:b/>
          <w:sz w:val="22"/>
        </w:rPr>
        <w:t xml:space="preserve"> Performance, and Sustainable Procurement</w:t>
      </w:r>
      <w:r w:rsidR="00BA50B4" w:rsidRPr="00FB3A86">
        <w:rPr>
          <w:rFonts w:ascii="Arial" w:hAnsi="Arial" w:cs="Arial"/>
        </w:rPr>
        <w:t xml:space="preserve">  </w:t>
      </w:r>
    </w:p>
    <w:p w14:paraId="6F864DB2" w14:textId="77777777" w:rsidR="00BA50B4" w:rsidRDefault="00BA50B4" w:rsidP="00BA50B4">
      <w:pPr>
        <w:pStyle w:val="Body"/>
        <w:spacing w:after="0"/>
        <w:rPr>
          <w:rFonts w:ascii="Arial" w:hAnsi="Arial" w:cs="Arial"/>
        </w:rPr>
      </w:pPr>
    </w:p>
    <w:p w14:paraId="186C2ABF" w14:textId="77777777" w:rsidR="008866A1" w:rsidRPr="008866A1" w:rsidRDefault="008866A1" w:rsidP="008866A1">
      <w:pPr>
        <w:pStyle w:val="Body"/>
        <w:rPr>
          <w:rFonts w:ascii="Arial" w:hAnsi="Arial" w:cs="Arial"/>
        </w:rPr>
      </w:pPr>
      <w:r w:rsidRPr="008866A1">
        <w:rPr>
          <w:rFonts w:ascii="Arial" w:hAnsi="Arial" w:cs="Arial"/>
        </w:rPr>
        <w:t>Competitive pressure demonstrates a different pattern of relationships. The results indicate that competitive pressure has a positive and significant effect on TBL performance (β = 0.266, p = 0.004), supporting the view that competitive conditions can encourage SMEs to respond to economic, social, and environmental expectations. However, the direct relationship between competitive pressure and sustainable procurement is not statistically significant (β = 0.151, p = 0.091). These results suggest that competitive pressure may initially influence broader sustainability outcomes rather than directly inducing changes in procurement practices.</w:t>
      </w:r>
    </w:p>
    <w:p w14:paraId="7AB8C388" w14:textId="77777777" w:rsidR="008866A1" w:rsidRPr="008866A1" w:rsidRDefault="008866A1" w:rsidP="008866A1">
      <w:pPr>
        <w:pStyle w:val="Body"/>
        <w:rPr>
          <w:rFonts w:ascii="Arial" w:hAnsi="Arial" w:cs="Arial"/>
        </w:rPr>
      </w:pPr>
      <w:r w:rsidRPr="008866A1">
        <w:rPr>
          <w:rFonts w:ascii="Arial" w:hAnsi="Arial" w:cs="Arial"/>
        </w:rPr>
        <w:t>The positive relationship between competitive pressure and TBL performance is consistent with research suggesting that competitive conditions can stimulate sustainability-oriented organizational responses. Firms facing greater competition may seek not only greater efficiency and economic performance but also stronger environmental and social performance as sources of differentiation and legitimacy. Cenci et al. (2025), for example, emphasize the relevance of competitive pressure to firms’ environmental strategies, while previous research has similarly shown that competitive conditions can encourage organizations to reconsider their sustainability-related practices.</w:t>
      </w:r>
    </w:p>
    <w:p w14:paraId="26EF95AB" w14:textId="77777777" w:rsidR="008866A1" w:rsidRPr="008866A1" w:rsidRDefault="008866A1" w:rsidP="008866A1">
      <w:pPr>
        <w:pStyle w:val="Body"/>
        <w:rPr>
          <w:rFonts w:ascii="Arial" w:hAnsi="Arial" w:cs="Arial"/>
        </w:rPr>
      </w:pPr>
      <w:r w:rsidRPr="008866A1">
        <w:rPr>
          <w:rFonts w:ascii="Arial" w:hAnsi="Arial" w:cs="Arial"/>
        </w:rPr>
        <w:t>At the same time, the nonsignificant direct relationship between competitive pressure and sustainable procurement indicates that external competitive conditions do not necessarily translate immediately into changes in supplier selection, purchasing criteria, or procurement processes. For SMEs, such changes may require organizational capabilities, managerial commitment, resources, or the prior integration of sustainability considerations into broader organizational objectives. This finding therefore provides a more nuanced interpretation of competitive pressure: external pressure can encourage stronger sustainability performance, but its translation into specific operational practices is not automatic.</w:t>
      </w:r>
    </w:p>
    <w:p w14:paraId="60B6EDC9" w14:textId="4C1942B8" w:rsidR="005757AF" w:rsidRDefault="008866A1" w:rsidP="008866A1">
      <w:pPr>
        <w:pStyle w:val="Body"/>
        <w:rPr>
          <w:rFonts w:ascii="Arial" w:hAnsi="Arial" w:cs="Arial"/>
          <w:bCs/>
        </w:rPr>
      </w:pPr>
      <w:r w:rsidRPr="008866A1">
        <w:rPr>
          <w:rFonts w:ascii="Arial" w:hAnsi="Arial" w:cs="Arial"/>
        </w:rPr>
        <w:t xml:space="preserve">Interestingly, the indirect effect of competitive pressure on SME performance through sustainable procurement is statistically significant (β = 0.096, p = 0.021). This finding indicates that sustainable procurement provides an important pathway through which competitive pressure is associated with SME performance, even though the individual competitive pressure–sustainable procurement path is relatively weak. Sustainable procurement can enable SMEs to respond to market and stakeholder expectations through concrete decisions concerning suppliers, purchasing criteria, resource utilization, and sustainability requirements. This interpretation is consistent with evidence that sustainable procurement practices can contribute to SME performance (Asiedu et al., 2023; </w:t>
      </w:r>
      <w:proofErr w:type="spellStart"/>
      <w:r w:rsidRPr="008866A1">
        <w:rPr>
          <w:rFonts w:ascii="Arial" w:hAnsi="Arial" w:cs="Arial"/>
        </w:rPr>
        <w:t>Nangpiire</w:t>
      </w:r>
      <w:proofErr w:type="spellEnd"/>
      <w:r w:rsidRPr="008866A1">
        <w:rPr>
          <w:rFonts w:ascii="Arial" w:hAnsi="Arial" w:cs="Arial"/>
        </w:rPr>
        <w:t xml:space="preserve"> et al., 2024). Thus, the findings highlight the importance of examining indirect organizational mechanisms rather than assuming that competitive pressure translates directly into performance outcomes.</w:t>
      </w:r>
      <w:r w:rsidR="00BA50B4" w:rsidRPr="00BA50B4">
        <w:rPr>
          <w:rFonts w:ascii="Arial" w:hAnsi="Arial" w:cs="Arial"/>
        </w:rPr>
        <w:t xml:space="preserve"> </w:t>
      </w:r>
    </w:p>
    <w:p w14:paraId="5DAE235A" w14:textId="531033F9" w:rsidR="00BA50B4" w:rsidRDefault="0077596C" w:rsidP="00BA50B4">
      <w:pPr>
        <w:pStyle w:val="Body"/>
        <w:spacing w:after="0"/>
        <w:rPr>
          <w:rFonts w:ascii="Arial" w:hAnsi="Arial" w:cs="Arial"/>
        </w:rPr>
      </w:pPr>
      <w:r>
        <w:rPr>
          <w:rFonts w:ascii="Arial" w:hAnsi="Arial" w:cs="Arial"/>
          <w:b/>
          <w:caps/>
          <w:sz w:val="22"/>
        </w:rPr>
        <w:t>5</w:t>
      </w:r>
      <w:r w:rsidR="00BA50B4" w:rsidRPr="00C30A0F">
        <w:rPr>
          <w:rFonts w:ascii="Arial" w:hAnsi="Arial" w:cs="Arial"/>
          <w:b/>
          <w:caps/>
          <w:sz w:val="22"/>
        </w:rPr>
        <w:t>.</w:t>
      </w:r>
      <w:r w:rsidR="00BA50B4">
        <w:rPr>
          <w:rFonts w:ascii="Arial" w:hAnsi="Arial" w:cs="Arial"/>
          <w:b/>
          <w:caps/>
          <w:sz w:val="22"/>
        </w:rPr>
        <w:t>3</w:t>
      </w:r>
      <w:r w:rsidR="00BA50B4" w:rsidRPr="00C30A0F">
        <w:rPr>
          <w:rFonts w:ascii="Arial" w:hAnsi="Arial" w:cs="Arial"/>
          <w:b/>
          <w:caps/>
          <w:sz w:val="22"/>
        </w:rPr>
        <w:t xml:space="preserve"> </w:t>
      </w:r>
      <w:r w:rsidR="00BA50B4" w:rsidRPr="00BA50B4">
        <w:rPr>
          <w:rFonts w:ascii="Arial" w:hAnsi="Arial" w:cs="Arial"/>
          <w:b/>
          <w:sz w:val="22"/>
        </w:rPr>
        <w:t>T</w:t>
      </w:r>
      <w:r w:rsidR="008866A1">
        <w:rPr>
          <w:rFonts w:ascii="Arial" w:hAnsi="Arial" w:cs="Arial"/>
          <w:b/>
          <w:sz w:val="22"/>
        </w:rPr>
        <w:t>BL</w:t>
      </w:r>
      <w:r w:rsidR="00BA50B4" w:rsidRPr="00BA50B4">
        <w:rPr>
          <w:rFonts w:ascii="Arial" w:hAnsi="Arial" w:cs="Arial"/>
          <w:b/>
          <w:sz w:val="22"/>
        </w:rPr>
        <w:t>, Sustainable Procurement, and SME Performance</w:t>
      </w:r>
      <w:r w:rsidR="00BA50B4" w:rsidRPr="00FB3A86">
        <w:rPr>
          <w:rFonts w:ascii="Arial" w:hAnsi="Arial" w:cs="Arial"/>
        </w:rPr>
        <w:t xml:space="preserve">  </w:t>
      </w:r>
    </w:p>
    <w:p w14:paraId="7C8F1B78" w14:textId="77777777" w:rsidR="00BA50B4" w:rsidRDefault="00BA50B4" w:rsidP="00BA50B4">
      <w:pPr>
        <w:pStyle w:val="Body"/>
        <w:spacing w:after="0"/>
        <w:rPr>
          <w:rFonts w:ascii="Arial" w:hAnsi="Arial" w:cs="Arial"/>
        </w:rPr>
      </w:pPr>
    </w:p>
    <w:p w14:paraId="004EB2D6" w14:textId="77777777" w:rsidR="008866A1" w:rsidRPr="008866A1" w:rsidRDefault="008866A1" w:rsidP="008866A1">
      <w:pPr>
        <w:pStyle w:val="Body"/>
        <w:rPr>
          <w:rFonts w:ascii="Arial" w:hAnsi="Arial" w:cs="Arial"/>
        </w:rPr>
      </w:pPr>
      <w:r w:rsidRPr="008866A1">
        <w:rPr>
          <w:rFonts w:ascii="Arial" w:hAnsi="Arial" w:cs="Arial"/>
        </w:rPr>
        <w:t>The results demonstrate that TBL performance has a positive and significant effect on sustainable procurement (β = 0.328, p = 0.001). Sustainable procurement, in turn, has a positive and significant effect on SME performance (β = 0.326, p = 0.001). In addition, the indirect effect of TBL performance on SME performance through sustainable procurement is positive and significant (β = 0.118, p = 0.011). Taken together, these findings provide evidence that sustainable procurement serves as an important operational pathway through which economic, social, and environmental achievements are translated into broader SME performance.</w:t>
      </w:r>
    </w:p>
    <w:p w14:paraId="437A3826" w14:textId="77777777" w:rsidR="008866A1" w:rsidRPr="008866A1" w:rsidRDefault="008866A1" w:rsidP="008866A1">
      <w:pPr>
        <w:pStyle w:val="Body"/>
        <w:rPr>
          <w:rFonts w:ascii="Arial" w:hAnsi="Arial" w:cs="Arial"/>
        </w:rPr>
      </w:pPr>
      <w:r w:rsidRPr="008866A1">
        <w:rPr>
          <w:rFonts w:ascii="Arial" w:hAnsi="Arial" w:cs="Arial"/>
        </w:rPr>
        <w:lastRenderedPageBreak/>
        <w:t>The positive relationship between TBL performance and sustainable procurement is consistent with the triple bottom line perspective, which emphasizes the simultaneous consideration of economic, social, and environmental dimensions of organizational sustainability (Elkington, 1997, 1998). SMEs that place greater emphasis on these dimensions are more likely to incorporate sustainability considerations into operational decisions, including supplier selection, resource sourcing, and purchasing practices. Sustainable procurement can therefore represent a concrete operational expression of broader TBL priorities.</w:t>
      </w:r>
    </w:p>
    <w:p w14:paraId="2F6D6724" w14:textId="77777777" w:rsidR="008866A1" w:rsidRPr="008866A1" w:rsidRDefault="008866A1" w:rsidP="008866A1">
      <w:pPr>
        <w:pStyle w:val="Body"/>
        <w:rPr>
          <w:rFonts w:ascii="Arial" w:hAnsi="Arial" w:cs="Arial"/>
        </w:rPr>
      </w:pPr>
      <w:r w:rsidRPr="008866A1">
        <w:rPr>
          <w:rFonts w:ascii="Arial" w:hAnsi="Arial" w:cs="Arial"/>
        </w:rPr>
        <w:t>This interpretation is consistent with the sustainable and green purchasing literature, which emphasizes the close connection between procurement practices and multidimensional sustainability outcomes (Foo et al., 2021; Zhu et al., 2008). When economic, environmental, and social considerations become embedded in organizational priorities, procurement provides an important domain through which these considerations can be translated into day-to-day business decisions.</w:t>
      </w:r>
    </w:p>
    <w:p w14:paraId="7F829EB9" w14:textId="77777777" w:rsidR="008866A1" w:rsidRPr="008866A1" w:rsidRDefault="008866A1" w:rsidP="008866A1">
      <w:pPr>
        <w:pStyle w:val="Body"/>
        <w:rPr>
          <w:rFonts w:ascii="Arial" w:hAnsi="Arial" w:cs="Arial"/>
        </w:rPr>
      </w:pPr>
      <w:r w:rsidRPr="008866A1">
        <w:rPr>
          <w:rFonts w:ascii="Arial" w:hAnsi="Arial" w:cs="Arial"/>
        </w:rPr>
        <w:t xml:space="preserve">The significant positive relationship between sustainable procurement and SME performance further demonstrates the organizational relevance of such practices. Sustainable procurement can contribute to performance by improving resource efficiency, strengthening supplier relationships, reducing supply-related risks, supporting innovation, and enhancing responsiveness to stakeholder expectations. This finding is consistent with prior research demonstrating the performance relevance of sustainable procurement and sustainable supply-chain practices among SMEs (Asiedu et al., 2023; </w:t>
      </w:r>
      <w:proofErr w:type="spellStart"/>
      <w:r w:rsidRPr="008866A1">
        <w:rPr>
          <w:rFonts w:ascii="Arial" w:hAnsi="Arial" w:cs="Arial"/>
        </w:rPr>
        <w:t>Nangpiire</w:t>
      </w:r>
      <w:proofErr w:type="spellEnd"/>
      <w:r w:rsidRPr="008866A1">
        <w:rPr>
          <w:rFonts w:ascii="Arial" w:hAnsi="Arial" w:cs="Arial"/>
        </w:rPr>
        <w:t xml:space="preserve"> et al., 2024).</w:t>
      </w:r>
    </w:p>
    <w:p w14:paraId="191DBA64" w14:textId="71AEBB08" w:rsidR="00BA50B4" w:rsidRPr="00BA50B4" w:rsidRDefault="008866A1" w:rsidP="008866A1">
      <w:pPr>
        <w:pStyle w:val="Body"/>
        <w:rPr>
          <w:rFonts w:ascii="Arial" w:hAnsi="Arial" w:cs="Arial"/>
        </w:rPr>
      </w:pPr>
      <w:r w:rsidRPr="008866A1">
        <w:rPr>
          <w:rFonts w:ascii="Arial" w:hAnsi="Arial" w:cs="Arial"/>
        </w:rPr>
        <w:t xml:space="preserve">More importantly, the significant indirect effect of TBL performance on SME performance through sustainable procurement indicates that broader sustainability achievements can contribute to firm performance when they are translated into operational practices. Sustainable procurement therefore connects sustainability outcomes with concrete organizational decisions and provides a mechanism through which TBL performance can generate broader business benefits. This finding reinforces the importance of moving beyond sustainability as a broad strategic orientation toward its implementation in specific organizational </w:t>
      </w:r>
      <w:proofErr w:type="gramStart"/>
      <w:r w:rsidRPr="008866A1">
        <w:rPr>
          <w:rFonts w:ascii="Arial" w:hAnsi="Arial" w:cs="Arial"/>
        </w:rPr>
        <w:t>practices.</w:t>
      </w:r>
      <w:r w:rsidR="00BA50B4" w:rsidRPr="00BA50B4">
        <w:rPr>
          <w:rFonts w:ascii="Arial" w:hAnsi="Arial" w:cs="Arial"/>
        </w:rPr>
        <w:t>.</w:t>
      </w:r>
      <w:proofErr w:type="gramEnd"/>
    </w:p>
    <w:p w14:paraId="4EBC5D3B" w14:textId="3E00EB1C" w:rsidR="00BA50B4" w:rsidRDefault="0077596C" w:rsidP="00BA50B4">
      <w:pPr>
        <w:pStyle w:val="Body"/>
        <w:spacing w:after="0"/>
        <w:rPr>
          <w:rFonts w:ascii="Arial" w:hAnsi="Arial" w:cs="Arial"/>
        </w:rPr>
      </w:pPr>
      <w:r>
        <w:rPr>
          <w:rFonts w:ascii="Arial" w:hAnsi="Arial" w:cs="Arial"/>
          <w:b/>
          <w:caps/>
          <w:sz w:val="22"/>
        </w:rPr>
        <w:t>5</w:t>
      </w:r>
      <w:r w:rsidR="00BA50B4" w:rsidRPr="00C30A0F">
        <w:rPr>
          <w:rFonts w:ascii="Arial" w:hAnsi="Arial" w:cs="Arial"/>
          <w:b/>
          <w:caps/>
          <w:sz w:val="22"/>
        </w:rPr>
        <w:t>.</w:t>
      </w:r>
      <w:r w:rsidR="00BA50B4">
        <w:rPr>
          <w:rFonts w:ascii="Arial" w:hAnsi="Arial" w:cs="Arial"/>
          <w:b/>
          <w:caps/>
          <w:sz w:val="22"/>
        </w:rPr>
        <w:t>4</w:t>
      </w:r>
      <w:r w:rsidR="00BA50B4" w:rsidRPr="00C30A0F">
        <w:rPr>
          <w:rFonts w:ascii="Arial" w:hAnsi="Arial" w:cs="Arial"/>
          <w:b/>
          <w:caps/>
          <w:sz w:val="22"/>
        </w:rPr>
        <w:t xml:space="preserve"> </w:t>
      </w:r>
      <w:r w:rsidR="00BA50B4">
        <w:rPr>
          <w:rFonts w:ascii="Arial" w:hAnsi="Arial" w:cs="Arial"/>
          <w:b/>
          <w:sz w:val="22"/>
        </w:rPr>
        <w:t xml:space="preserve">Integrating the findings </w:t>
      </w:r>
    </w:p>
    <w:p w14:paraId="2B5190C1" w14:textId="77777777" w:rsidR="00BA50B4" w:rsidRDefault="00BA50B4" w:rsidP="00BA50B4">
      <w:pPr>
        <w:pStyle w:val="Body"/>
        <w:spacing w:after="0"/>
        <w:rPr>
          <w:rFonts w:ascii="Arial" w:hAnsi="Arial" w:cs="Arial"/>
        </w:rPr>
      </w:pPr>
    </w:p>
    <w:p w14:paraId="7CA652B5" w14:textId="77777777" w:rsidR="008866A1" w:rsidRPr="008866A1" w:rsidRDefault="008866A1" w:rsidP="008866A1">
      <w:pPr>
        <w:pStyle w:val="Body"/>
        <w:rPr>
          <w:rFonts w:ascii="Arial" w:hAnsi="Arial" w:cs="Arial"/>
        </w:rPr>
      </w:pPr>
      <w:r w:rsidRPr="008866A1">
        <w:rPr>
          <w:rFonts w:ascii="Arial" w:hAnsi="Arial" w:cs="Arial"/>
        </w:rPr>
        <w:t>Taken together, the findings reveal distinct but interconnected pathways linking sustainable leadership, competitive pressure, TBL performance, sustainable procurement, and SME performance. Sustainable leadership and competitive pressure both contribute significantly to TBL performance, indicating that internal leadership orientation and external competitive conditions can strengthen SMEs’ economic, social, and environmental outcomes. TBL performance, in turn, positively influences sustainable procurement, while sustainable procurement contributes positively to SME performance.</w:t>
      </w:r>
    </w:p>
    <w:p w14:paraId="413D9341" w14:textId="77777777" w:rsidR="008866A1" w:rsidRPr="008866A1" w:rsidRDefault="008866A1" w:rsidP="008866A1">
      <w:pPr>
        <w:pStyle w:val="Body"/>
        <w:rPr>
          <w:rFonts w:ascii="Arial" w:hAnsi="Arial" w:cs="Arial"/>
        </w:rPr>
      </w:pPr>
      <w:r w:rsidRPr="008866A1">
        <w:rPr>
          <w:rFonts w:ascii="Arial" w:hAnsi="Arial" w:cs="Arial"/>
        </w:rPr>
        <w:t>The mediation results provide further insight into these relationships. Sustainable procurement does not significantly mediate the relationship between sustainable leadership and SME performance, suggesting that the performance implications of sustainable leadership may operate through organizational mechanisms beyond procurement. In contrast, sustainable procurement significantly mediates the relationships of competitive pressure and TBL performance with SME performance. These findings indicate that sustainable procurement can serve as an operational mechanism through which external competitive conditions and sustainability outcomes are translated into broader organizational performance.</w:t>
      </w:r>
    </w:p>
    <w:p w14:paraId="2A76C47A" w14:textId="77777777" w:rsidR="008866A1" w:rsidRPr="008866A1" w:rsidRDefault="008866A1" w:rsidP="008866A1">
      <w:pPr>
        <w:pStyle w:val="Body"/>
        <w:rPr>
          <w:rFonts w:ascii="Arial" w:hAnsi="Arial" w:cs="Arial"/>
        </w:rPr>
      </w:pPr>
      <w:r w:rsidRPr="008866A1">
        <w:rPr>
          <w:rFonts w:ascii="Arial" w:hAnsi="Arial" w:cs="Arial"/>
        </w:rPr>
        <w:lastRenderedPageBreak/>
        <w:t xml:space="preserve">These different patterns contribute to the literature by positioning sustainable procurement not merely as an isolated purchasing practice, but as an organizational mechanism connecting broader sustainability conditions with firm-level outcomes. This interpretation builds on previous evidence regarding the performance relevance of sustainable procurement (Asiedu et al., 2023; </w:t>
      </w:r>
      <w:proofErr w:type="spellStart"/>
      <w:r w:rsidRPr="008866A1">
        <w:rPr>
          <w:rFonts w:ascii="Arial" w:hAnsi="Arial" w:cs="Arial"/>
        </w:rPr>
        <w:t>Nangpiire</w:t>
      </w:r>
      <w:proofErr w:type="spellEnd"/>
      <w:r w:rsidRPr="008866A1">
        <w:rPr>
          <w:rFonts w:ascii="Arial" w:hAnsi="Arial" w:cs="Arial"/>
        </w:rPr>
        <w:t xml:space="preserve"> et al., 2024) while demonstrating that its mediating role varies depending on the antecedent involved. It also complements research emphasizing that sustainability requires broader organizational intentions and outcomes to be translated into concrete operational capabilities and routines (Yadav et al., 2020; Zhu et al., 2008).</w:t>
      </w:r>
    </w:p>
    <w:p w14:paraId="732AFA4D" w14:textId="30C8219F" w:rsidR="00BA50B4" w:rsidRPr="00BA50B4" w:rsidRDefault="008866A1" w:rsidP="008866A1">
      <w:pPr>
        <w:pStyle w:val="Body"/>
        <w:rPr>
          <w:rFonts w:ascii="Arial" w:hAnsi="Arial" w:cs="Arial"/>
        </w:rPr>
      </w:pPr>
      <w:r w:rsidRPr="008866A1">
        <w:rPr>
          <w:rFonts w:ascii="Arial" w:hAnsi="Arial" w:cs="Arial"/>
        </w:rPr>
        <w:t>For SMEs in particular, this distinction is important because resource constraints may limit the extent to which sustainability priorities can be implemented simultaneously across organizational activities. Sustainable procurement provides a relatively concrete organizational domain in which economic, environmental, and social considerations can be incorporated into day-to-day decisions. Overall, the findings suggest that understanding SME sustainability and performance requires attention not only to whether sustainable leadership, competitive pressure, and TBL performance matter, but also to how these factors are translated into operational practices such as sustainable procurement</w:t>
      </w:r>
      <w:r w:rsidR="00BA50B4" w:rsidRPr="00BA50B4">
        <w:rPr>
          <w:rFonts w:ascii="Arial" w:hAnsi="Arial" w:cs="Arial"/>
        </w:rPr>
        <w:t>.</w:t>
      </w:r>
    </w:p>
    <w:p w14:paraId="6E4BB622" w14:textId="32094DA1" w:rsidR="00BA50B4" w:rsidRDefault="0077596C" w:rsidP="00BA50B4">
      <w:pPr>
        <w:pStyle w:val="Head1"/>
        <w:spacing w:after="0"/>
        <w:jc w:val="both"/>
        <w:rPr>
          <w:rFonts w:ascii="Arial" w:hAnsi="Arial" w:cs="Arial"/>
        </w:rPr>
      </w:pPr>
      <w:r>
        <w:rPr>
          <w:rFonts w:ascii="Arial" w:hAnsi="Arial" w:cs="Arial"/>
        </w:rPr>
        <w:t>6</w:t>
      </w:r>
      <w:r w:rsidR="00BA50B4">
        <w:rPr>
          <w:rFonts w:ascii="Arial" w:hAnsi="Arial" w:cs="Arial"/>
        </w:rPr>
        <w:t xml:space="preserve">. </w:t>
      </w:r>
      <w:r w:rsidR="00BA50B4" w:rsidRPr="00027ECC">
        <w:rPr>
          <w:bCs/>
          <w:lang w:val="en-ID"/>
        </w:rPr>
        <w:t>Conclusion</w:t>
      </w:r>
    </w:p>
    <w:p w14:paraId="0A8FE9B3" w14:textId="77777777" w:rsidR="00A32649" w:rsidRDefault="00A32649" w:rsidP="00A32649">
      <w:pPr>
        <w:pStyle w:val="Body"/>
        <w:spacing w:after="0"/>
        <w:rPr>
          <w:rFonts w:ascii="Arial" w:hAnsi="Arial" w:cs="Arial"/>
        </w:rPr>
      </w:pPr>
    </w:p>
    <w:p w14:paraId="10DBA3BC" w14:textId="317F9C8E" w:rsidR="008866A1" w:rsidRPr="008866A1" w:rsidRDefault="008866A1" w:rsidP="008866A1">
      <w:pPr>
        <w:pStyle w:val="Body"/>
        <w:rPr>
          <w:rFonts w:ascii="Arial" w:hAnsi="Arial" w:cs="Arial"/>
        </w:rPr>
      </w:pPr>
      <w:r w:rsidRPr="008866A1">
        <w:rPr>
          <w:rFonts w:ascii="Arial" w:hAnsi="Arial" w:cs="Arial"/>
        </w:rPr>
        <w:t>This study examined the relationships among sustainable leadership, competitive pressure, TBL performance, sustainable procurement, and SME performance. The findings show that sustainable leadership positively influences TBL performance and has a marginal positive relationship with sustainable procurement. Competitive pressure positively influences TBL performance but does not have a significant direct effect on sustainable procurement. TBL performance positively influences sustainable procurement, which in turn positively contributes to SME performance. The mediation analysis further shows that sustainable procurement significantly mediates the effects of competitive pressure and TBL performance on SME performance, but does not significantly mediate the relationship between sustainable leadership and SME performance. These results highlight the different pathways through which sustainability-related factors contribute to SME performance.</w:t>
      </w:r>
    </w:p>
    <w:p w14:paraId="0C8848DA" w14:textId="77777777" w:rsidR="008866A1" w:rsidRPr="008866A1" w:rsidRDefault="008866A1" w:rsidP="008866A1">
      <w:pPr>
        <w:pStyle w:val="Body"/>
        <w:rPr>
          <w:rFonts w:ascii="Arial" w:hAnsi="Arial" w:cs="Arial"/>
        </w:rPr>
      </w:pPr>
      <w:r w:rsidRPr="008866A1">
        <w:rPr>
          <w:rFonts w:ascii="Arial" w:hAnsi="Arial" w:cs="Arial"/>
        </w:rPr>
        <w:t>Theoretically, this study contributes to the sustainability and SME literature by positioning sustainable procurement as an operational mechanism connecting broader sustainability-related conditions with firm-level outcomes. The findings also demonstrate that sustainable leadership and competitive pressure operate through different pathways, suggesting that sustainability-oriented antecedents should not be assumed to influence SME performance through identical mechanisms.</w:t>
      </w:r>
    </w:p>
    <w:p w14:paraId="651CCADE" w14:textId="77777777" w:rsidR="008866A1" w:rsidRPr="008866A1" w:rsidRDefault="008866A1" w:rsidP="008866A1">
      <w:pPr>
        <w:pStyle w:val="Body"/>
        <w:rPr>
          <w:rFonts w:ascii="Arial" w:hAnsi="Arial" w:cs="Arial"/>
        </w:rPr>
      </w:pPr>
      <w:r w:rsidRPr="008866A1">
        <w:rPr>
          <w:rFonts w:ascii="Arial" w:hAnsi="Arial" w:cs="Arial"/>
        </w:rPr>
        <w:t>From a practical perspective, SME owners and managers should translate sustainability commitments into concrete operational practices, particularly procurement decisions that incorporate economic, environmental, and social considerations. Strengthening sustainable procurement can help SMEs convert sustainability achievements and external competitive pressures into improved organizational outcomes.</w:t>
      </w:r>
    </w:p>
    <w:p w14:paraId="545641C4" w14:textId="484E1030" w:rsidR="00A32649" w:rsidRDefault="008866A1" w:rsidP="008866A1">
      <w:pPr>
        <w:pStyle w:val="Body"/>
        <w:spacing w:after="0"/>
        <w:rPr>
          <w:rFonts w:ascii="Arial" w:hAnsi="Arial" w:cs="Arial"/>
        </w:rPr>
      </w:pPr>
      <w:r w:rsidRPr="008866A1">
        <w:rPr>
          <w:rFonts w:ascii="Arial" w:hAnsi="Arial" w:cs="Arial"/>
        </w:rPr>
        <w:t>This study is limited by its cross-sectional design and its focus on SMEs in the Special Region of Yogyakarta, Indonesia. Future research could employ longitudinal and cross-regional designs and examine additional mechanisms, such as organizational learning, green innovation, dynamic capabilities, or stakeholder engagement, to provide a more comprehensive understanding of how sustainability-oriented practices contribute to SME performance</w:t>
      </w:r>
      <w:r w:rsidR="00BA50B4" w:rsidRPr="00BA50B4">
        <w:rPr>
          <w:rFonts w:ascii="Arial" w:hAnsi="Arial" w:cs="Arial"/>
        </w:rPr>
        <w:t>.</w:t>
      </w:r>
    </w:p>
    <w:p w14:paraId="042CE9F0" w14:textId="77777777" w:rsidR="00394422" w:rsidRPr="00FB3A86" w:rsidRDefault="00394422" w:rsidP="00394422">
      <w:pPr>
        <w:pStyle w:val="Body"/>
        <w:spacing w:after="0"/>
        <w:rPr>
          <w:rFonts w:ascii="Arial" w:hAnsi="Arial" w:cs="Arial"/>
        </w:rPr>
      </w:pPr>
    </w:p>
    <w:p w14:paraId="4DE20505" w14:textId="77777777" w:rsidR="00316214" w:rsidRDefault="00316214" w:rsidP="00316214">
      <w:pPr>
        <w:rPr>
          <w:rFonts w:ascii="Times New Roman" w:hAnsi="Times New Roman"/>
          <w:b/>
        </w:rPr>
      </w:pPr>
      <w:r w:rsidRPr="000839CE">
        <w:rPr>
          <w:rFonts w:ascii="Times New Roman" w:hAnsi="Times New Roman"/>
          <w:b/>
        </w:rPr>
        <w:lastRenderedPageBreak/>
        <w:t>Declaration of AI Use</w:t>
      </w:r>
    </w:p>
    <w:p w14:paraId="72E7749E" w14:textId="77777777" w:rsidR="00316214" w:rsidRDefault="00316214" w:rsidP="00316214">
      <w:pPr>
        <w:rPr>
          <w:rFonts w:ascii="Times New Roman" w:hAnsi="Times New Roman"/>
          <w:b/>
        </w:rPr>
      </w:pPr>
    </w:p>
    <w:p w14:paraId="3471CF81" w14:textId="77777777" w:rsidR="00316214" w:rsidRDefault="00316214" w:rsidP="00316214">
      <w:pPr>
        <w:rPr>
          <w:rFonts w:ascii="Times New Roman" w:hAnsi="Times New Roman"/>
          <w:b/>
        </w:rPr>
      </w:pPr>
    </w:p>
    <w:p w14:paraId="0D325651" w14:textId="77777777" w:rsidR="00316214" w:rsidRDefault="00316214" w:rsidP="00316214">
      <w:pPr>
        <w:rPr>
          <w:rFonts w:ascii="Times New Roman" w:hAnsi="Times New Roman"/>
          <w:b/>
        </w:rPr>
      </w:pPr>
    </w:p>
    <w:p w14:paraId="5F261BB8" w14:textId="77777777" w:rsidR="00316214" w:rsidRPr="002D08AC" w:rsidRDefault="00316214" w:rsidP="0031621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5CCAEF" w14:textId="77777777" w:rsidR="00316214" w:rsidRPr="00394422" w:rsidRDefault="00316214" w:rsidP="00BA50B4">
      <w:pPr>
        <w:pStyle w:val="Body"/>
        <w:spacing w:after="0"/>
        <w:rPr>
          <w:rFonts w:ascii="Arial" w:hAnsi="Arial" w:cs="Arial"/>
        </w:rPr>
      </w:pPr>
    </w:p>
    <w:p w14:paraId="0EC70BDE" w14:textId="77777777" w:rsidR="00A32649" w:rsidRPr="00FB3A86" w:rsidRDefault="00A32649" w:rsidP="00934FB9">
      <w:pPr>
        <w:pStyle w:val="Body"/>
        <w:spacing w:after="0"/>
        <w:rPr>
          <w:rFonts w:ascii="Arial" w:hAnsi="Arial" w:cs="Arial"/>
        </w:rPr>
      </w:pPr>
    </w:p>
    <w:p w14:paraId="1AD3D3ED" w14:textId="77523803" w:rsidR="00934FB9" w:rsidRDefault="00934FB9" w:rsidP="00934FB9">
      <w:pPr>
        <w:pStyle w:val="Head1"/>
        <w:spacing w:after="0"/>
        <w:jc w:val="both"/>
        <w:rPr>
          <w:rFonts w:ascii="Arial" w:hAnsi="Arial" w:cs="Arial"/>
        </w:rPr>
      </w:pPr>
      <w:r>
        <w:rPr>
          <w:rFonts w:ascii="Arial" w:hAnsi="Arial" w:cs="Arial"/>
        </w:rPr>
        <w:t>re</w:t>
      </w:r>
      <w:r w:rsidR="00BA50B4">
        <w:rPr>
          <w:rFonts w:ascii="Arial" w:hAnsi="Arial" w:cs="Arial"/>
        </w:rPr>
        <w:t xml:space="preserve">FERENCES </w:t>
      </w:r>
    </w:p>
    <w:p w14:paraId="708FA489" w14:textId="77777777" w:rsidR="00934FB9" w:rsidRDefault="00934FB9" w:rsidP="00934FB9">
      <w:pPr>
        <w:pStyle w:val="Body"/>
        <w:spacing w:after="0"/>
        <w:rPr>
          <w:rFonts w:ascii="Arial" w:hAnsi="Arial" w:cs="Arial"/>
        </w:rPr>
      </w:pPr>
    </w:p>
    <w:p w14:paraId="03C1AF15" w14:textId="77777777" w:rsidR="00BA50B4" w:rsidRPr="00BA50B4" w:rsidRDefault="00BA50B4" w:rsidP="00BA50B4">
      <w:pPr>
        <w:pStyle w:val="Body"/>
        <w:rPr>
          <w:rFonts w:ascii="Arial" w:hAnsi="Arial" w:cs="Arial"/>
        </w:rPr>
      </w:pPr>
      <w:r w:rsidRPr="00BA50B4">
        <w:rPr>
          <w:rFonts w:ascii="Arial" w:hAnsi="Arial" w:cs="Arial"/>
        </w:rPr>
        <w:t xml:space="preserve">Abbas, A., Saud, M., </w:t>
      </w:r>
      <w:proofErr w:type="spellStart"/>
      <w:r w:rsidRPr="00BA50B4">
        <w:rPr>
          <w:rFonts w:ascii="Arial" w:hAnsi="Arial" w:cs="Arial"/>
        </w:rPr>
        <w:t>Ekowati</w:t>
      </w:r>
      <w:proofErr w:type="spellEnd"/>
      <w:r w:rsidRPr="00BA50B4">
        <w:rPr>
          <w:rFonts w:ascii="Arial" w:hAnsi="Arial" w:cs="Arial"/>
        </w:rPr>
        <w:t xml:space="preserve">, D., Usman, I. and </w:t>
      </w:r>
      <w:proofErr w:type="spellStart"/>
      <w:r w:rsidRPr="00BA50B4">
        <w:rPr>
          <w:rFonts w:ascii="Arial" w:hAnsi="Arial" w:cs="Arial"/>
        </w:rPr>
        <w:t>Suhariadi</w:t>
      </w:r>
      <w:proofErr w:type="spellEnd"/>
      <w:r w:rsidRPr="00BA50B4">
        <w:rPr>
          <w:rFonts w:ascii="Arial" w:hAnsi="Arial" w:cs="Arial"/>
        </w:rPr>
        <w:t xml:space="preserve">, F. (2021) ‘Servant leadership: A strategic choice for </w:t>
      </w:r>
      <w:proofErr w:type="spellStart"/>
      <w:r w:rsidRPr="00BA50B4">
        <w:rPr>
          <w:rFonts w:ascii="Arial" w:hAnsi="Arial" w:cs="Arial"/>
        </w:rPr>
        <w:t>organisational</w:t>
      </w:r>
      <w:proofErr w:type="spellEnd"/>
      <w:r w:rsidRPr="00BA50B4">
        <w:rPr>
          <w:rFonts w:ascii="Arial" w:hAnsi="Arial" w:cs="Arial"/>
        </w:rPr>
        <w:t xml:space="preserve"> performance. An empirical discussion from Pakistan’, International Journal of Productivity and Quality Management, 34, p. 468. </w:t>
      </w:r>
      <w:proofErr w:type="spellStart"/>
      <w:r w:rsidRPr="00BA50B4">
        <w:rPr>
          <w:rFonts w:ascii="Arial" w:hAnsi="Arial" w:cs="Arial"/>
        </w:rPr>
        <w:t>doi</w:t>
      </w:r>
      <w:proofErr w:type="spellEnd"/>
      <w:r w:rsidRPr="00BA50B4">
        <w:rPr>
          <w:rFonts w:ascii="Arial" w:hAnsi="Arial" w:cs="Arial"/>
        </w:rPr>
        <w:t>: 10.1504/IJPQM.2021.120599.</w:t>
      </w:r>
    </w:p>
    <w:p w14:paraId="386672B3" w14:textId="77777777" w:rsidR="00BA50B4" w:rsidRPr="00BA50B4" w:rsidRDefault="00BA50B4" w:rsidP="00BA50B4">
      <w:pPr>
        <w:pStyle w:val="Body"/>
        <w:rPr>
          <w:rFonts w:ascii="Arial" w:hAnsi="Arial" w:cs="Arial"/>
        </w:rPr>
      </w:pPr>
      <w:proofErr w:type="spellStart"/>
      <w:r w:rsidRPr="00BA50B4">
        <w:rPr>
          <w:rFonts w:ascii="Arial" w:hAnsi="Arial" w:cs="Arial"/>
        </w:rPr>
        <w:t>Alhaddi</w:t>
      </w:r>
      <w:proofErr w:type="spellEnd"/>
      <w:r w:rsidRPr="00BA50B4">
        <w:rPr>
          <w:rFonts w:ascii="Arial" w:hAnsi="Arial" w:cs="Arial"/>
        </w:rPr>
        <w:t xml:space="preserve">, H. (2015) ‘Triple bottom line and sustainability: A literature review’, Business and Management Studies, 1(2), pp. 6–10. </w:t>
      </w:r>
      <w:proofErr w:type="spellStart"/>
      <w:r w:rsidRPr="00BA50B4">
        <w:rPr>
          <w:rFonts w:ascii="Arial" w:hAnsi="Arial" w:cs="Arial"/>
        </w:rPr>
        <w:t>doi</w:t>
      </w:r>
      <w:proofErr w:type="spellEnd"/>
      <w:r w:rsidRPr="00BA50B4">
        <w:rPr>
          <w:rFonts w:ascii="Arial" w:hAnsi="Arial" w:cs="Arial"/>
        </w:rPr>
        <w:t>: 10.11114/</w:t>
      </w:r>
      <w:proofErr w:type="gramStart"/>
      <w:r w:rsidRPr="00BA50B4">
        <w:rPr>
          <w:rFonts w:ascii="Arial" w:hAnsi="Arial" w:cs="Arial"/>
        </w:rPr>
        <w:t>bms.v</w:t>
      </w:r>
      <w:proofErr w:type="gramEnd"/>
      <w:r w:rsidRPr="00BA50B4">
        <w:rPr>
          <w:rFonts w:ascii="Arial" w:hAnsi="Arial" w:cs="Arial"/>
        </w:rPr>
        <w:t>1i2.752.</w:t>
      </w:r>
    </w:p>
    <w:p w14:paraId="4D4B0E19" w14:textId="77777777" w:rsidR="00BA50B4" w:rsidRPr="00BA50B4" w:rsidRDefault="00BA50B4" w:rsidP="00BA50B4">
      <w:pPr>
        <w:pStyle w:val="Body"/>
        <w:rPr>
          <w:rFonts w:ascii="Arial" w:hAnsi="Arial" w:cs="Arial"/>
        </w:rPr>
      </w:pPr>
      <w:r w:rsidRPr="00BA50B4">
        <w:rPr>
          <w:rFonts w:ascii="Arial" w:hAnsi="Arial" w:cs="Arial"/>
        </w:rPr>
        <w:t xml:space="preserve">Asiedu, A., Frimpong, S., Opoku, R. and Agyapong, G. (2023) ‘Sustainable procurement practices and sustainable performance: Evidence from small and medium-sized manufacturing enterprises in an emerging economy’, International Journal of Procurement Management, 1, p. 1. </w:t>
      </w:r>
      <w:proofErr w:type="spellStart"/>
      <w:r w:rsidRPr="00BA50B4">
        <w:rPr>
          <w:rFonts w:ascii="Arial" w:hAnsi="Arial" w:cs="Arial"/>
        </w:rPr>
        <w:t>doi</w:t>
      </w:r>
      <w:proofErr w:type="spellEnd"/>
      <w:r w:rsidRPr="00BA50B4">
        <w:rPr>
          <w:rFonts w:ascii="Arial" w:hAnsi="Arial" w:cs="Arial"/>
        </w:rPr>
        <w:t>: 10.1504/IJPM.2023.10055940.</w:t>
      </w:r>
    </w:p>
    <w:p w14:paraId="5368C373" w14:textId="77777777" w:rsidR="00BA50B4" w:rsidRPr="00BA50B4" w:rsidRDefault="00BA50B4" w:rsidP="00BA50B4">
      <w:pPr>
        <w:pStyle w:val="Body"/>
        <w:rPr>
          <w:rFonts w:ascii="Arial" w:hAnsi="Arial" w:cs="Arial"/>
        </w:rPr>
      </w:pPr>
      <w:r w:rsidRPr="00BA50B4">
        <w:rPr>
          <w:rFonts w:ascii="Arial" w:hAnsi="Arial" w:cs="Arial"/>
        </w:rPr>
        <w:t xml:space="preserve">Avery, G.C. and </w:t>
      </w:r>
      <w:proofErr w:type="spellStart"/>
      <w:r w:rsidRPr="00BA50B4">
        <w:rPr>
          <w:rFonts w:ascii="Arial" w:hAnsi="Arial" w:cs="Arial"/>
        </w:rPr>
        <w:t>Bergsteiner</w:t>
      </w:r>
      <w:proofErr w:type="spellEnd"/>
      <w:r w:rsidRPr="00BA50B4">
        <w:rPr>
          <w:rFonts w:ascii="Arial" w:hAnsi="Arial" w:cs="Arial"/>
        </w:rPr>
        <w:t xml:space="preserve">, H. (2011) ‘Sustainable leadership practices for enhancing business resilience and performance’, Strategy &amp; Leadership, 39(3), pp. 5–15. </w:t>
      </w:r>
      <w:proofErr w:type="spellStart"/>
      <w:r w:rsidRPr="00BA50B4">
        <w:rPr>
          <w:rFonts w:ascii="Arial" w:hAnsi="Arial" w:cs="Arial"/>
        </w:rPr>
        <w:t>doi</w:t>
      </w:r>
      <w:proofErr w:type="spellEnd"/>
      <w:r w:rsidRPr="00BA50B4">
        <w:rPr>
          <w:rFonts w:ascii="Arial" w:hAnsi="Arial" w:cs="Arial"/>
        </w:rPr>
        <w:t>: 10.1108/10878571111128766.</w:t>
      </w:r>
    </w:p>
    <w:p w14:paraId="751F01F8" w14:textId="77777777" w:rsidR="00BA50B4" w:rsidRPr="00BA50B4" w:rsidRDefault="00BA50B4" w:rsidP="00BA50B4">
      <w:pPr>
        <w:pStyle w:val="Body"/>
        <w:rPr>
          <w:rFonts w:ascii="Arial" w:hAnsi="Arial" w:cs="Arial"/>
        </w:rPr>
      </w:pPr>
      <w:r w:rsidRPr="00BA50B4">
        <w:rPr>
          <w:rFonts w:ascii="Arial" w:hAnsi="Arial" w:cs="Arial"/>
        </w:rPr>
        <w:t>Boone, J. (2000) ‘Competitive pressure: The effects on investments in product and process innovation’, RAND Journal of Economics, 31(3), pp. 549–569.</w:t>
      </w:r>
    </w:p>
    <w:p w14:paraId="419B7636" w14:textId="77777777" w:rsidR="00BA50B4" w:rsidRPr="00BA50B4" w:rsidRDefault="00BA50B4" w:rsidP="00BA50B4">
      <w:pPr>
        <w:pStyle w:val="Body"/>
        <w:rPr>
          <w:rFonts w:ascii="Arial" w:hAnsi="Arial" w:cs="Arial"/>
        </w:rPr>
      </w:pPr>
      <w:r w:rsidRPr="00BA50B4">
        <w:rPr>
          <w:rFonts w:ascii="Arial" w:hAnsi="Arial" w:cs="Arial"/>
        </w:rPr>
        <w:t xml:space="preserve">Brammer, S. and Walker, H. (2011) ‘Sustainable procurement in the public sector: An international comparative study’, International Journal of Operations &amp; Production Management, 31(4), pp. 452–476. </w:t>
      </w:r>
      <w:proofErr w:type="spellStart"/>
      <w:r w:rsidRPr="00BA50B4">
        <w:rPr>
          <w:rFonts w:ascii="Arial" w:hAnsi="Arial" w:cs="Arial"/>
        </w:rPr>
        <w:t>doi</w:t>
      </w:r>
      <w:proofErr w:type="spellEnd"/>
      <w:r w:rsidRPr="00BA50B4">
        <w:rPr>
          <w:rFonts w:ascii="Arial" w:hAnsi="Arial" w:cs="Arial"/>
        </w:rPr>
        <w:t>: 10.1108/01443571111119551.</w:t>
      </w:r>
    </w:p>
    <w:p w14:paraId="0412DDD9" w14:textId="77777777" w:rsidR="00BA50B4" w:rsidRPr="00BA50B4" w:rsidRDefault="00BA50B4" w:rsidP="00BA50B4">
      <w:pPr>
        <w:pStyle w:val="Body"/>
        <w:rPr>
          <w:rFonts w:ascii="Arial" w:hAnsi="Arial" w:cs="Arial"/>
        </w:rPr>
      </w:pPr>
      <w:r w:rsidRPr="00BA50B4">
        <w:rPr>
          <w:rFonts w:ascii="Arial" w:hAnsi="Arial" w:cs="Arial"/>
        </w:rPr>
        <w:t xml:space="preserve">Cenci, J., Jabbour, C.J.C. and Fiorini, P. (2025) ‘Competitive pressure and sustainability strategies in SMEs’, Business Strategy and the Environment, 34(1), pp. 89–103. </w:t>
      </w:r>
      <w:proofErr w:type="spellStart"/>
      <w:r w:rsidRPr="00BA50B4">
        <w:rPr>
          <w:rFonts w:ascii="Arial" w:hAnsi="Arial" w:cs="Arial"/>
        </w:rPr>
        <w:t>doi</w:t>
      </w:r>
      <w:proofErr w:type="spellEnd"/>
      <w:r w:rsidRPr="00BA50B4">
        <w:rPr>
          <w:rFonts w:ascii="Arial" w:hAnsi="Arial" w:cs="Arial"/>
        </w:rPr>
        <w:t>: 10.1016/j.jclepro.2025.145585.</w:t>
      </w:r>
    </w:p>
    <w:p w14:paraId="62D57458" w14:textId="77777777" w:rsidR="00BA50B4" w:rsidRPr="00BA50B4" w:rsidRDefault="00BA50B4" w:rsidP="00BA50B4">
      <w:pPr>
        <w:pStyle w:val="Body"/>
        <w:rPr>
          <w:rFonts w:ascii="Arial" w:hAnsi="Arial" w:cs="Arial"/>
        </w:rPr>
      </w:pPr>
      <w:r w:rsidRPr="00BA50B4">
        <w:rPr>
          <w:rFonts w:ascii="Arial" w:hAnsi="Arial" w:cs="Arial"/>
        </w:rPr>
        <w:t xml:space="preserve">Chang, H.-H.S. and Fong, C.-M. (2025) ‘Sustainable procurement decisions of industrial SMEs: A social exchange theory perspective’, Industrial Marketing Management, 125, pp. 400–412. </w:t>
      </w:r>
      <w:proofErr w:type="spellStart"/>
      <w:r w:rsidRPr="00BA50B4">
        <w:rPr>
          <w:rFonts w:ascii="Arial" w:hAnsi="Arial" w:cs="Arial"/>
        </w:rPr>
        <w:t>doi</w:t>
      </w:r>
      <w:proofErr w:type="spellEnd"/>
      <w:r w:rsidRPr="00BA50B4">
        <w:rPr>
          <w:rFonts w:ascii="Arial" w:hAnsi="Arial" w:cs="Arial"/>
        </w:rPr>
        <w:t>: 10.1016/j.indmarman.2025.01.017.</w:t>
      </w:r>
    </w:p>
    <w:p w14:paraId="31DD3BBF" w14:textId="77777777" w:rsidR="00BA50B4" w:rsidRPr="00BA50B4" w:rsidRDefault="00BA50B4" w:rsidP="00BA50B4">
      <w:pPr>
        <w:pStyle w:val="Body"/>
        <w:rPr>
          <w:rFonts w:ascii="Arial" w:hAnsi="Arial" w:cs="Arial"/>
        </w:rPr>
      </w:pPr>
      <w:r w:rsidRPr="00BA50B4">
        <w:rPr>
          <w:rFonts w:ascii="Arial" w:hAnsi="Arial" w:cs="Arial"/>
        </w:rPr>
        <w:t xml:space="preserve">Chang, N.J. and Fong, C.M. (2020) ‘Green purchasing behavior: The role of environmental concern and competitive pressure’, Sustainability, 12(3), p. 1025. </w:t>
      </w:r>
      <w:proofErr w:type="spellStart"/>
      <w:r w:rsidRPr="00BA50B4">
        <w:rPr>
          <w:rFonts w:ascii="Arial" w:hAnsi="Arial" w:cs="Arial"/>
        </w:rPr>
        <w:t>doi</w:t>
      </w:r>
      <w:proofErr w:type="spellEnd"/>
      <w:r w:rsidRPr="00BA50B4">
        <w:rPr>
          <w:rFonts w:ascii="Arial" w:hAnsi="Arial" w:cs="Arial"/>
        </w:rPr>
        <w:t>: 10.3390/su12031025.</w:t>
      </w:r>
    </w:p>
    <w:p w14:paraId="0F49D7D2" w14:textId="77777777" w:rsidR="00BA50B4" w:rsidRPr="00BA50B4" w:rsidRDefault="00BA50B4" w:rsidP="00BA50B4">
      <w:pPr>
        <w:pStyle w:val="Body"/>
        <w:rPr>
          <w:rFonts w:ascii="Arial" w:hAnsi="Arial" w:cs="Arial"/>
        </w:rPr>
      </w:pPr>
      <w:r w:rsidRPr="00BA50B4">
        <w:rPr>
          <w:rFonts w:ascii="Arial" w:hAnsi="Arial" w:cs="Arial"/>
        </w:rPr>
        <w:t>Elkington, J. (1997) Cannibals with Forks: The Triple Bottom Line of 21st Century Business. Capstone.</w:t>
      </w:r>
    </w:p>
    <w:p w14:paraId="1EE94711" w14:textId="77777777" w:rsidR="00BA50B4" w:rsidRPr="00BA50B4" w:rsidRDefault="00BA50B4" w:rsidP="00BA50B4">
      <w:pPr>
        <w:pStyle w:val="Body"/>
        <w:rPr>
          <w:rFonts w:ascii="Arial" w:hAnsi="Arial" w:cs="Arial"/>
        </w:rPr>
      </w:pPr>
      <w:r w:rsidRPr="00BA50B4">
        <w:rPr>
          <w:rFonts w:ascii="Arial" w:hAnsi="Arial" w:cs="Arial"/>
        </w:rPr>
        <w:lastRenderedPageBreak/>
        <w:t xml:space="preserve">Elkington, J. (1998) ‘Partnerships from Cannibals with Forks: The triple bottom line of 21st-century business’, Environmental Quality Management, 8(1), pp. 37–51. </w:t>
      </w:r>
      <w:proofErr w:type="spellStart"/>
      <w:r w:rsidRPr="00BA50B4">
        <w:rPr>
          <w:rFonts w:ascii="Arial" w:hAnsi="Arial" w:cs="Arial"/>
        </w:rPr>
        <w:t>doi</w:t>
      </w:r>
      <w:proofErr w:type="spellEnd"/>
      <w:r w:rsidRPr="00BA50B4">
        <w:rPr>
          <w:rFonts w:ascii="Arial" w:hAnsi="Arial" w:cs="Arial"/>
        </w:rPr>
        <w:t>: 10.1002/tqem.3310080106.</w:t>
      </w:r>
    </w:p>
    <w:p w14:paraId="76581E5B" w14:textId="77777777" w:rsidR="00BA50B4" w:rsidRPr="00BA50B4" w:rsidRDefault="00BA50B4" w:rsidP="00BA50B4">
      <w:pPr>
        <w:pStyle w:val="Body"/>
        <w:rPr>
          <w:rFonts w:ascii="Arial" w:hAnsi="Arial" w:cs="Arial"/>
        </w:rPr>
      </w:pPr>
      <w:r w:rsidRPr="00BA50B4">
        <w:rPr>
          <w:rFonts w:ascii="Arial" w:hAnsi="Arial" w:cs="Arial"/>
        </w:rPr>
        <w:t xml:space="preserve">Foo, V., Lee, V.H., Tan, G.W.H. and Ooi, K.B. (2021) ‘Green purchasing: Capabilities, practices and effects firms’ triple bottom line performance’, Journal of Business Research, 122, pp. 106–115. </w:t>
      </w:r>
      <w:proofErr w:type="spellStart"/>
      <w:r w:rsidRPr="00BA50B4">
        <w:rPr>
          <w:rFonts w:ascii="Arial" w:hAnsi="Arial" w:cs="Arial"/>
        </w:rPr>
        <w:t>doi</w:t>
      </w:r>
      <w:proofErr w:type="spellEnd"/>
      <w:r w:rsidRPr="00BA50B4">
        <w:rPr>
          <w:rFonts w:ascii="Arial" w:hAnsi="Arial" w:cs="Arial"/>
        </w:rPr>
        <w:t>: 10.25115/</w:t>
      </w:r>
      <w:proofErr w:type="gramStart"/>
      <w:r w:rsidRPr="00BA50B4">
        <w:rPr>
          <w:rFonts w:ascii="Arial" w:hAnsi="Arial" w:cs="Arial"/>
        </w:rPr>
        <w:t>eea.v</w:t>
      </w:r>
      <w:proofErr w:type="gramEnd"/>
      <w:r w:rsidRPr="00BA50B4">
        <w:rPr>
          <w:rFonts w:ascii="Arial" w:hAnsi="Arial" w:cs="Arial"/>
        </w:rPr>
        <w:t>39i3.4160.</w:t>
      </w:r>
    </w:p>
    <w:p w14:paraId="2D917854" w14:textId="77777777" w:rsidR="00BA50B4" w:rsidRPr="00BA50B4" w:rsidRDefault="00BA50B4" w:rsidP="00BA50B4">
      <w:pPr>
        <w:pStyle w:val="Body"/>
        <w:rPr>
          <w:rFonts w:ascii="Arial" w:hAnsi="Arial" w:cs="Arial"/>
        </w:rPr>
      </w:pPr>
      <w:r w:rsidRPr="00BA50B4">
        <w:rPr>
          <w:rFonts w:ascii="Arial" w:hAnsi="Arial" w:cs="Arial"/>
        </w:rPr>
        <w:t xml:space="preserve">Grandia, J., Steijn, B. and Kuipers, B. (2015) ‘It is not easy being green: Increasing sustainable public procurement </w:t>
      </w:r>
      <w:proofErr w:type="spellStart"/>
      <w:r w:rsidRPr="00BA50B4">
        <w:rPr>
          <w:rFonts w:ascii="Arial" w:hAnsi="Arial" w:cs="Arial"/>
        </w:rPr>
        <w:t>behaviour</w:t>
      </w:r>
      <w:proofErr w:type="spellEnd"/>
      <w:r w:rsidRPr="00BA50B4">
        <w:rPr>
          <w:rFonts w:ascii="Arial" w:hAnsi="Arial" w:cs="Arial"/>
        </w:rPr>
        <w:t xml:space="preserve">’, Innovation: The European Journal of Social Science Research, 28(3), pp. 243–260. </w:t>
      </w:r>
      <w:proofErr w:type="spellStart"/>
      <w:r w:rsidRPr="00BA50B4">
        <w:rPr>
          <w:rFonts w:ascii="Arial" w:hAnsi="Arial" w:cs="Arial"/>
        </w:rPr>
        <w:t>doi</w:t>
      </w:r>
      <w:proofErr w:type="spellEnd"/>
      <w:r w:rsidRPr="00BA50B4">
        <w:rPr>
          <w:rFonts w:ascii="Arial" w:hAnsi="Arial" w:cs="Arial"/>
        </w:rPr>
        <w:t>: 10.1080/13511610.2015.1024639.</w:t>
      </w:r>
    </w:p>
    <w:p w14:paraId="40C1FE51" w14:textId="77777777" w:rsidR="00BA50B4" w:rsidRPr="00BA50B4" w:rsidRDefault="00BA50B4" w:rsidP="00BA50B4">
      <w:pPr>
        <w:pStyle w:val="Body"/>
        <w:rPr>
          <w:rFonts w:ascii="Arial" w:hAnsi="Arial" w:cs="Arial"/>
        </w:rPr>
      </w:pPr>
      <w:r w:rsidRPr="00BA50B4">
        <w:rPr>
          <w:rFonts w:ascii="Arial" w:hAnsi="Arial" w:cs="Arial"/>
        </w:rPr>
        <w:t xml:space="preserve">Hair, J.F., Risher, J.J., Sarstedt, M. and Ringle, C.M. (2019) ‘When to use and how to report the results of PLS-SEM’, European Business Review, 31(1), pp. 2–24. </w:t>
      </w:r>
      <w:proofErr w:type="spellStart"/>
      <w:r w:rsidRPr="00BA50B4">
        <w:rPr>
          <w:rFonts w:ascii="Arial" w:hAnsi="Arial" w:cs="Arial"/>
        </w:rPr>
        <w:t>doi</w:t>
      </w:r>
      <w:proofErr w:type="spellEnd"/>
      <w:r w:rsidRPr="00BA50B4">
        <w:rPr>
          <w:rFonts w:ascii="Arial" w:hAnsi="Arial" w:cs="Arial"/>
        </w:rPr>
        <w:t>: 10.1108/EBR-11-2018-0203.</w:t>
      </w:r>
    </w:p>
    <w:p w14:paraId="6D462E0F" w14:textId="77777777" w:rsidR="00BA50B4" w:rsidRPr="00BA50B4" w:rsidRDefault="00BA50B4" w:rsidP="00BA50B4">
      <w:pPr>
        <w:pStyle w:val="Body"/>
        <w:rPr>
          <w:rFonts w:ascii="Arial" w:hAnsi="Arial" w:cs="Arial"/>
        </w:rPr>
      </w:pPr>
      <w:proofErr w:type="spellStart"/>
      <w:r w:rsidRPr="00BA50B4">
        <w:rPr>
          <w:rFonts w:ascii="Arial" w:hAnsi="Arial" w:cs="Arial"/>
        </w:rPr>
        <w:t>Hinterhuber</w:t>
      </w:r>
      <w:proofErr w:type="spellEnd"/>
      <w:r w:rsidRPr="00BA50B4">
        <w:rPr>
          <w:rFonts w:ascii="Arial" w:hAnsi="Arial" w:cs="Arial"/>
        </w:rPr>
        <w:t xml:space="preserve">, A. and Khan, O. (2025) ‘What drives sustainable procurement? Insights from the theory of planned behavior’, International Journal of Operations &amp; Production Management, 45(13), pp. 28–52. </w:t>
      </w:r>
      <w:proofErr w:type="spellStart"/>
      <w:r w:rsidRPr="00BA50B4">
        <w:rPr>
          <w:rFonts w:ascii="Arial" w:hAnsi="Arial" w:cs="Arial"/>
        </w:rPr>
        <w:t>doi</w:t>
      </w:r>
      <w:proofErr w:type="spellEnd"/>
      <w:r w:rsidRPr="00BA50B4">
        <w:rPr>
          <w:rFonts w:ascii="Arial" w:hAnsi="Arial" w:cs="Arial"/>
        </w:rPr>
        <w:t>: 10.1108/IJOPM-02-2024-0164.</w:t>
      </w:r>
    </w:p>
    <w:p w14:paraId="3861DDFA" w14:textId="77777777" w:rsidR="00BA50B4" w:rsidRPr="00BA50B4" w:rsidRDefault="00BA50B4" w:rsidP="00BA50B4">
      <w:pPr>
        <w:pStyle w:val="Body"/>
        <w:rPr>
          <w:rFonts w:ascii="Arial" w:hAnsi="Arial" w:cs="Arial"/>
        </w:rPr>
      </w:pPr>
      <w:proofErr w:type="spellStart"/>
      <w:r w:rsidRPr="00BA50B4">
        <w:rPr>
          <w:rFonts w:ascii="Arial" w:hAnsi="Arial" w:cs="Arial"/>
        </w:rPr>
        <w:t>Hörisch</w:t>
      </w:r>
      <w:proofErr w:type="spellEnd"/>
      <w:r w:rsidRPr="00BA50B4">
        <w:rPr>
          <w:rFonts w:ascii="Arial" w:hAnsi="Arial" w:cs="Arial"/>
        </w:rPr>
        <w:t xml:space="preserve">, J., Freeman, R.E. and </w:t>
      </w:r>
      <w:proofErr w:type="spellStart"/>
      <w:r w:rsidRPr="00BA50B4">
        <w:rPr>
          <w:rFonts w:ascii="Arial" w:hAnsi="Arial" w:cs="Arial"/>
        </w:rPr>
        <w:t>Schaltegger</w:t>
      </w:r>
      <w:proofErr w:type="spellEnd"/>
      <w:r w:rsidRPr="00BA50B4">
        <w:rPr>
          <w:rFonts w:ascii="Arial" w:hAnsi="Arial" w:cs="Arial"/>
        </w:rPr>
        <w:t xml:space="preserve">, S. (2014) ‘Applying stakeholder theory in sustainability management: Links, similarities, dissimilarities, and a conceptual framework’, Organization &amp; Environment, 27(4), pp. 328–346. </w:t>
      </w:r>
      <w:proofErr w:type="spellStart"/>
      <w:r w:rsidRPr="00BA50B4">
        <w:rPr>
          <w:rFonts w:ascii="Arial" w:hAnsi="Arial" w:cs="Arial"/>
        </w:rPr>
        <w:t>doi</w:t>
      </w:r>
      <w:proofErr w:type="spellEnd"/>
      <w:r w:rsidRPr="00BA50B4">
        <w:rPr>
          <w:rFonts w:ascii="Arial" w:hAnsi="Arial" w:cs="Arial"/>
        </w:rPr>
        <w:t>: 10.1177/1086026614535786.</w:t>
      </w:r>
    </w:p>
    <w:p w14:paraId="1D8D8249" w14:textId="77777777" w:rsidR="00BA50B4" w:rsidRPr="00BA50B4" w:rsidRDefault="00BA50B4" w:rsidP="00BA50B4">
      <w:pPr>
        <w:pStyle w:val="Body"/>
        <w:rPr>
          <w:rFonts w:ascii="Arial" w:hAnsi="Arial" w:cs="Arial"/>
        </w:rPr>
      </w:pPr>
      <w:proofErr w:type="spellStart"/>
      <w:r w:rsidRPr="00BA50B4">
        <w:rPr>
          <w:rFonts w:ascii="Arial" w:hAnsi="Arial" w:cs="Arial"/>
        </w:rPr>
        <w:t>Isdiana</w:t>
      </w:r>
      <w:proofErr w:type="spellEnd"/>
      <w:r w:rsidRPr="00BA50B4">
        <w:rPr>
          <w:rFonts w:ascii="Arial" w:hAnsi="Arial" w:cs="Arial"/>
        </w:rPr>
        <w:t>, F.N., Sari, D.A. and Batu, K.L. (2025) ‘Green innovation and competitive pressure as drivers of sustainable performance in the fashion industry’, Research Horizon, 5(3).</w:t>
      </w:r>
    </w:p>
    <w:p w14:paraId="58CBE26A" w14:textId="77777777" w:rsidR="00BA50B4" w:rsidRPr="00BA50B4" w:rsidRDefault="00BA50B4" w:rsidP="00BA50B4">
      <w:pPr>
        <w:pStyle w:val="Body"/>
        <w:rPr>
          <w:rFonts w:ascii="Arial" w:hAnsi="Arial" w:cs="Arial"/>
        </w:rPr>
      </w:pPr>
      <w:r w:rsidRPr="00BA50B4">
        <w:rPr>
          <w:rFonts w:ascii="Arial" w:hAnsi="Arial" w:cs="Arial"/>
        </w:rPr>
        <w:t xml:space="preserve">Jaworski, B.J. and Kohli, A.K. (1993) ‘Market orientation: Antecedents and consequences’, Journal of Marketing, 57(3), pp. 53–70. </w:t>
      </w:r>
      <w:proofErr w:type="spellStart"/>
      <w:r w:rsidRPr="00BA50B4">
        <w:rPr>
          <w:rFonts w:ascii="Arial" w:hAnsi="Arial" w:cs="Arial"/>
        </w:rPr>
        <w:t>doi</w:t>
      </w:r>
      <w:proofErr w:type="spellEnd"/>
      <w:r w:rsidRPr="00BA50B4">
        <w:rPr>
          <w:rFonts w:ascii="Arial" w:hAnsi="Arial" w:cs="Arial"/>
        </w:rPr>
        <w:t>: 10.1177/002224299305700304.</w:t>
      </w:r>
    </w:p>
    <w:p w14:paraId="20B9E9AE" w14:textId="77777777" w:rsidR="00BA50B4" w:rsidRPr="00BA50B4" w:rsidRDefault="00BA50B4" w:rsidP="00BA50B4">
      <w:pPr>
        <w:pStyle w:val="Body"/>
        <w:rPr>
          <w:rFonts w:ascii="Arial" w:hAnsi="Arial" w:cs="Arial"/>
        </w:rPr>
      </w:pPr>
      <w:proofErr w:type="spellStart"/>
      <w:r w:rsidRPr="00BA50B4">
        <w:rPr>
          <w:rFonts w:ascii="Arial" w:hAnsi="Arial" w:cs="Arial"/>
        </w:rPr>
        <w:t>Kantabutra</w:t>
      </w:r>
      <w:proofErr w:type="spellEnd"/>
      <w:r w:rsidRPr="00BA50B4">
        <w:rPr>
          <w:rFonts w:ascii="Arial" w:hAnsi="Arial" w:cs="Arial"/>
        </w:rPr>
        <w:t xml:space="preserve">, S. (2020) ‘Toward an organizational theory of sustainability vision’, Sustainability, 12(3), 1125. </w:t>
      </w:r>
      <w:proofErr w:type="spellStart"/>
      <w:r w:rsidRPr="00BA50B4">
        <w:rPr>
          <w:rFonts w:ascii="Arial" w:hAnsi="Arial" w:cs="Arial"/>
        </w:rPr>
        <w:t>doi</w:t>
      </w:r>
      <w:proofErr w:type="spellEnd"/>
      <w:r w:rsidRPr="00BA50B4">
        <w:rPr>
          <w:rFonts w:ascii="Arial" w:hAnsi="Arial" w:cs="Arial"/>
        </w:rPr>
        <w:t>: 10.3390/su12031125.</w:t>
      </w:r>
    </w:p>
    <w:p w14:paraId="174684A4" w14:textId="77777777" w:rsidR="00BA50B4" w:rsidRPr="00BA50B4" w:rsidRDefault="00BA50B4" w:rsidP="00BA50B4">
      <w:pPr>
        <w:pStyle w:val="Body"/>
        <w:rPr>
          <w:rFonts w:ascii="Arial" w:hAnsi="Arial" w:cs="Arial"/>
        </w:rPr>
      </w:pPr>
      <w:r w:rsidRPr="00BA50B4">
        <w:rPr>
          <w:rFonts w:ascii="Arial" w:hAnsi="Arial" w:cs="Arial"/>
        </w:rPr>
        <w:t xml:space="preserve">Leal Filho, W., Shiel, C., </w:t>
      </w:r>
      <w:proofErr w:type="spellStart"/>
      <w:r w:rsidRPr="00BA50B4">
        <w:rPr>
          <w:rFonts w:ascii="Arial" w:hAnsi="Arial" w:cs="Arial"/>
        </w:rPr>
        <w:t>Paço</w:t>
      </w:r>
      <w:proofErr w:type="spellEnd"/>
      <w:r w:rsidRPr="00BA50B4">
        <w:rPr>
          <w:rFonts w:ascii="Arial" w:hAnsi="Arial" w:cs="Arial"/>
        </w:rPr>
        <w:t xml:space="preserve">, A., Mifsud, M., Ávila, L.V., Brandli, L.L., Molthan-Hill, P., Pace, P., </w:t>
      </w:r>
      <w:proofErr w:type="spellStart"/>
      <w:r w:rsidRPr="00BA50B4">
        <w:rPr>
          <w:rFonts w:ascii="Arial" w:hAnsi="Arial" w:cs="Arial"/>
        </w:rPr>
        <w:t>Azeiteiro</w:t>
      </w:r>
      <w:proofErr w:type="spellEnd"/>
      <w:r w:rsidRPr="00BA50B4">
        <w:rPr>
          <w:rFonts w:ascii="Arial" w:hAnsi="Arial" w:cs="Arial"/>
        </w:rPr>
        <w:t>, U.M. and Vargas, V.R. (2019) ‘Sustainable Development Goals and sustainability teaching at universities: Falling behind or getting ahead of the pack?’, Journal of Cleaner Production, 232, pp. 285–294.</w:t>
      </w:r>
    </w:p>
    <w:p w14:paraId="075B458C" w14:textId="77777777" w:rsidR="00BA50B4" w:rsidRPr="00BA50B4" w:rsidRDefault="00BA50B4" w:rsidP="00BA50B4">
      <w:pPr>
        <w:pStyle w:val="Body"/>
        <w:rPr>
          <w:rFonts w:ascii="Arial" w:hAnsi="Arial" w:cs="Arial"/>
        </w:rPr>
      </w:pPr>
      <w:r w:rsidRPr="00BA50B4">
        <w:rPr>
          <w:rFonts w:ascii="Arial" w:hAnsi="Arial" w:cs="Arial"/>
        </w:rPr>
        <w:t xml:space="preserve">Liu, J., Shi, B., Xue, J. and Wang, Q. (2019) ‘Improving the green public procurement performance of Chinese local governments: From the perspective of officials’ knowledge’, Journal of Purchasing and Supply Management, 25(3), p. 100501. </w:t>
      </w:r>
      <w:proofErr w:type="spellStart"/>
      <w:r w:rsidRPr="00BA50B4">
        <w:rPr>
          <w:rFonts w:ascii="Arial" w:hAnsi="Arial" w:cs="Arial"/>
        </w:rPr>
        <w:t>doi</w:t>
      </w:r>
      <w:proofErr w:type="spellEnd"/>
      <w:r w:rsidRPr="00BA50B4">
        <w:rPr>
          <w:rFonts w:ascii="Arial" w:hAnsi="Arial" w:cs="Arial"/>
        </w:rPr>
        <w:t>: 10.1016/j.pursup.2018.05.002.</w:t>
      </w:r>
    </w:p>
    <w:p w14:paraId="5387C7A7" w14:textId="77777777" w:rsidR="00BA50B4" w:rsidRPr="00BA50B4" w:rsidRDefault="00BA50B4" w:rsidP="00BA50B4">
      <w:pPr>
        <w:pStyle w:val="Body"/>
        <w:rPr>
          <w:rFonts w:ascii="Arial" w:hAnsi="Arial" w:cs="Arial"/>
        </w:rPr>
      </w:pPr>
      <w:r w:rsidRPr="00BA50B4">
        <w:rPr>
          <w:rFonts w:ascii="Arial" w:hAnsi="Arial" w:cs="Arial"/>
        </w:rPr>
        <w:t>Luo, X. and Bhattacharya, C.B. (2006) ‘Corporate social responsibility, customer satisfaction, and market value’, Journal of Marketing, 70(4), pp. 1–18.</w:t>
      </w:r>
    </w:p>
    <w:p w14:paraId="1B032990" w14:textId="77777777" w:rsidR="00BA50B4" w:rsidRPr="00BA50B4" w:rsidRDefault="00BA50B4" w:rsidP="00BA50B4">
      <w:pPr>
        <w:pStyle w:val="Body"/>
        <w:rPr>
          <w:rFonts w:ascii="Arial" w:hAnsi="Arial" w:cs="Arial"/>
        </w:rPr>
      </w:pPr>
      <w:r w:rsidRPr="00BA50B4">
        <w:rPr>
          <w:rFonts w:ascii="Arial" w:hAnsi="Arial" w:cs="Arial"/>
        </w:rPr>
        <w:t xml:space="preserve">Luo, X. and Bhattacharya, C.B. (2009) ‘The debate over doing good: Corporate social performance, strategic marketing levers, and firm-idiosyncratic risk’, Journal of Marketing, 73(6), pp. 198–213. </w:t>
      </w:r>
      <w:proofErr w:type="spellStart"/>
      <w:r w:rsidRPr="00BA50B4">
        <w:rPr>
          <w:rFonts w:ascii="Arial" w:hAnsi="Arial" w:cs="Arial"/>
        </w:rPr>
        <w:t>doi</w:t>
      </w:r>
      <w:proofErr w:type="spellEnd"/>
      <w:r w:rsidRPr="00BA50B4">
        <w:rPr>
          <w:rFonts w:ascii="Arial" w:hAnsi="Arial" w:cs="Arial"/>
        </w:rPr>
        <w:t>: 10.1509/jmkg.73.6.198.</w:t>
      </w:r>
    </w:p>
    <w:p w14:paraId="635E2F42" w14:textId="77777777" w:rsidR="00BA50B4" w:rsidRDefault="00BA50B4" w:rsidP="00BA50B4">
      <w:pPr>
        <w:pStyle w:val="Body"/>
        <w:rPr>
          <w:rFonts w:ascii="Arial" w:hAnsi="Arial" w:cs="Arial"/>
        </w:rPr>
      </w:pPr>
      <w:r w:rsidRPr="00BA50B4">
        <w:rPr>
          <w:rFonts w:ascii="Arial" w:hAnsi="Arial" w:cs="Arial"/>
        </w:rPr>
        <w:t xml:space="preserve">Malik, H. and Mahmood, M. (2022) ‘Impact of authentic leadership, sustainable leadership on sustainable growth with mediating role of organizational learning’, Academic Journal of Social Sciences (AJSS), 6, pp. 48–69. </w:t>
      </w:r>
      <w:proofErr w:type="spellStart"/>
      <w:r w:rsidRPr="00BA50B4">
        <w:rPr>
          <w:rFonts w:ascii="Arial" w:hAnsi="Arial" w:cs="Arial"/>
        </w:rPr>
        <w:t>doi</w:t>
      </w:r>
      <w:proofErr w:type="spellEnd"/>
      <w:r w:rsidRPr="00BA50B4">
        <w:rPr>
          <w:rFonts w:ascii="Arial" w:hAnsi="Arial" w:cs="Arial"/>
        </w:rPr>
        <w:t>: 10.54692/ajss.2022.06011681.</w:t>
      </w:r>
    </w:p>
    <w:p w14:paraId="40595597" w14:textId="2C0C7B98" w:rsidR="00522339" w:rsidRPr="00BA50B4" w:rsidRDefault="00522339" w:rsidP="00BA50B4">
      <w:pPr>
        <w:pStyle w:val="Body"/>
        <w:rPr>
          <w:rFonts w:ascii="Arial" w:hAnsi="Arial" w:cs="Arial"/>
        </w:rPr>
      </w:pPr>
      <w:r w:rsidRPr="00522339">
        <w:rPr>
          <w:rFonts w:ascii="Arial" w:hAnsi="Arial" w:cs="Arial"/>
        </w:rPr>
        <w:lastRenderedPageBreak/>
        <w:t xml:space="preserve">McCann, J.T. and Holt, R.A. (2010) ‘Servant and sustainable leadership: An analysis in the manufacturing environment’, </w:t>
      </w:r>
      <w:r w:rsidRPr="00522339">
        <w:rPr>
          <w:rFonts w:ascii="Arial" w:hAnsi="Arial" w:cs="Arial"/>
          <w:i/>
          <w:iCs/>
        </w:rPr>
        <w:t>International Journal of Management Practice</w:t>
      </w:r>
      <w:r w:rsidRPr="00522339">
        <w:rPr>
          <w:rFonts w:ascii="Arial" w:hAnsi="Arial" w:cs="Arial"/>
        </w:rPr>
        <w:t xml:space="preserve">, 4(2), pp. 134–148. </w:t>
      </w:r>
      <w:proofErr w:type="spellStart"/>
      <w:r w:rsidRPr="00522339">
        <w:rPr>
          <w:rFonts w:ascii="Arial" w:hAnsi="Arial" w:cs="Arial"/>
        </w:rPr>
        <w:t>doi</w:t>
      </w:r>
      <w:proofErr w:type="spellEnd"/>
      <w:r w:rsidRPr="00522339">
        <w:rPr>
          <w:rFonts w:ascii="Arial" w:hAnsi="Arial" w:cs="Arial"/>
        </w:rPr>
        <w:t>: 10.1504/IJMP.2010.033691.</w:t>
      </w:r>
    </w:p>
    <w:p w14:paraId="2F47EECA" w14:textId="77777777" w:rsidR="00BA50B4" w:rsidRPr="00BA50B4" w:rsidRDefault="00BA50B4" w:rsidP="00BA50B4">
      <w:pPr>
        <w:pStyle w:val="Body"/>
        <w:rPr>
          <w:rFonts w:ascii="Arial" w:hAnsi="Arial" w:cs="Arial"/>
        </w:rPr>
      </w:pPr>
      <w:r w:rsidRPr="00BA50B4">
        <w:rPr>
          <w:rFonts w:ascii="Arial" w:hAnsi="Arial" w:cs="Arial"/>
        </w:rPr>
        <w:t>Meadows, D.H., Meadows, D.L., Randers, J. and Behrens III, W.W. (1972) The Limits to Growth: A Report to the Club of Rome. Dartmouth College Library, 91(2).</w:t>
      </w:r>
    </w:p>
    <w:p w14:paraId="75A07FDD" w14:textId="77777777" w:rsidR="00BA50B4" w:rsidRPr="00BA50B4" w:rsidRDefault="00BA50B4" w:rsidP="00BA50B4">
      <w:pPr>
        <w:pStyle w:val="Body"/>
        <w:rPr>
          <w:rFonts w:ascii="Arial" w:hAnsi="Arial" w:cs="Arial"/>
        </w:rPr>
      </w:pPr>
      <w:proofErr w:type="spellStart"/>
      <w:r w:rsidRPr="00BA50B4">
        <w:rPr>
          <w:rFonts w:ascii="Arial" w:hAnsi="Arial" w:cs="Arial"/>
        </w:rPr>
        <w:t>Mukhsin</w:t>
      </w:r>
      <w:proofErr w:type="spellEnd"/>
      <w:r w:rsidRPr="00BA50B4">
        <w:rPr>
          <w:rFonts w:ascii="Arial" w:hAnsi="Arial" w:cs="Arial"/>
        </w:rPr>
        <w:t xml:space="preserve">, M. and </w:t>
      </w:r>
      <w:proofErr w:type="spellStart"/>
      <w:r w:rsidRPr="00BA50B4">
        <w:rPr>
          <w:rFonts w:ascii="Arial" w:hAnsi="Arial" w:cs="Arial"/>
        </w:rPr>
        <w:t>Suryanto</w:t>
      </w:r>
      <w:proofErr w:type="spellEnd"/>
      <w:r w:rsidRPr="00BA50B4">
        <w:rPr>
          <w:rFonts w:ascii="Arial" w:hAnsi="Arial" w:cs="Arial"/>
        </w:rPr>
        <w:t xml:space="preserve">, T. (2022) ‘The effect of sustainable supply chain management on company performance mediated by competitive advantage’, Sustainability, 14(2), p. 818. </w:t>
      </w:r>
      <w:proofErr w:type="spellStart"/>
      <w:r w:rsidRPr="00BA50B4">
        <w:rPr>
          <w:rFonts w:ascii="Arial" w:hAnsi="Arial" w:cs="Arial"/>
        </w:rPr>
        <w:t>doi</w:t>
      </w:r>
      <w:proofErr w:type="spellEnd"/>
      <w:r w:rsidRPr="00BA50B4">
        <w:rPr>
          <w:rFonts w:ascii="Arial" w:hAnsi="Arial" w:cs="Arial"/>
        </w:rPr>
        <w:t>: 10.3390/su14020818.</w:t>
      </w:r>
    </w:p>
    <w:p w14:paraId="2956423D" w14:textId="77777777" w:rsidR="00BA50B4" w:rsidRPr="00BA50B4" w:rsidRDefault="00BA50B4" w:rsidP="00BA50B4">
      <w:pPr>
        <w:pStyle w:val="Body"/>
        <w:rPr>
          <w:rFonts w:ascii="Arial" w:hAnsi="Arial" w:cs="Arial"/>
        </w:rPr>
      </w:pPr>
      <w:proofErr w:type="spellStart"/>
      <w:r w:rsidRPr="00BA50B4">
        <w:rPr>
          <w:rFonts w:ascii="Arial" w:hAnsi="Arial" w:cs="Arial"/>
        </w:rPr>
        <w:t>Nangpiire</w:t>
      </w:r>
      <w:proofErr w:type="spellEnd"/>
      <w:r w:rsidRPr="00BA50B4">
        <w:rPr>
          <w:rFonts w:ascii="Arial" w:hAnsi="Arial" w:cs="Arial"/>
        </w:rPr>
        <w:t xml:space="preserve">, C., </w:t>
      </w:r>
      <w:proofErr w:type="spellStart"/>
      <w:r w:rsidRPr="00BA50B4">
        <w:rPr>
          <w:rFonts w:ascii="Arial" w:hAnsi="Arial" w:cs="Arial"/>
        </w:rPr>
        <w:t>Agyabeng</w:t>
      </w:r>
      <w:proofErr w:type="spellEnd"/>
      <w:r w:rsidRPr="00BA50B4">
        <w:rPr>
          <w:rFonts w:ascii="Arial" w:hAnsi="Arial" w:cs="Arial"/>
        </w:rPr>
        <w:t xml:space="preserve">-Mensah, Y. and </w:t>
      </w:r>
      <w:proofErr w:type="spellStart"/>
      <w:r w:rsidRPr="00BA50B4">
        <w:rPr>
          <w:rFonts w:ascii="Arial" w:hAnsi="Arial" w:cs="Arial"/>
        </w:rPr>
        <w:t>Afum</w:t>
      </w:r>
      <w:proofErr w:type="spellEnd"/>
      <w:r w:rsidRPr="00BA50B4">
        <w:rPr>
          <w:rFonts w:ascii="Arial" w:hAnsi="Arial" w:cs="Arial"/>
        </w:rPr>
        <w:t xml:space="preserve">, E. (2024) ‘Sustainable procurement and SME performance’, Journal of Cleaner Production, 390, pp. 136–145. </w:t>
      </w:r>
      <w:proofErr w:type="spellStart"/>
      <w:r w:rsidRPr="00BA50B4">
        <w:rPr>
          <w:rFonts w:ascii="Arial" w:hAnsi="Arial" w:cs="Arial"/>
        </w:rPr>
        <w:t>doi</w:t>
      </w:r>
      <w:proofErr w:type="spellEnd"/>
      <w:r w:rsidRPr="00BA50B4">
        <w:rPr>
          <w:rFonts w:ascii="Arial" w:hAnsi="Arial" w:cs="Arial"/>
        </w:rPr>
        <w:t>: 10.32479/ijefi.15444.</w:t>
      </w:r>
    </w:p>
    <w:p w14:paraId="6D37E8DC" w14:textId="77777777" w:rsidR="00BA50B4" w:rsidRPr="00BA50B4" w:rsidRDefault="00BA50B4" w:rsidP="00BA50B4">
      <w:pPr>
        <w:pStyle w:val="Body"/>
        <w:rPr>
          <w:rFonts w:ascii="Arial" w:hAnsi="Arial" w:cs="Arial"/>
        </w:rPr>
      </w:pPr>
      <w:r w:rsidRPr="00BA50B4">
        <w:rPr>
          <w:rFonts w:ascii="Arial" w:hAnsi="Arial" w:cs="Arial"/>
        </w:rPr>
        <w:t xml:space="preserve">Nsiah-Sarfo, D.J., Ofori, D. and Agyapong, D. (2023) ‘Sustainable procurement implementation among public sector </w:t>
      </w:r>
      <w:proofErr w:type="spellStart"/>
      <w:r w:rsidRPr="00BA50B4">
        <w:rPr>
          <w:rFonts w:ascii="Arial" w:hAnsi="Arial" w:cs="Arial"/>
        </w:rPr>
        <w:t>organisations</w:t>
      </w:r>
      <w:proofErr w:type="spellEnd"/>
      <w:r w:rsidRPr="00BA50B4">
        <w:rPr>
          <w:rFonts w:ascii="Arial" w:hAnsi="Arial" w:cs="Arial"/>
        </w:rPr>
        <w:t xml:space="preserve"> in Ghana: The role of institutional isomorphism and sustainable leadership’, Cleaner Logistics and Supply Chain, 8, p. 100118. </w:t>
      </w:r>
      <w:proofErr w:type="spellStart"/>
      <w:r w:rsidRPr="00BA50B4">
        <w:rPr>
          <w:rFonts w:ascii="Arial" w:hAnsi="Arial" w:cs="Arial"/>
        </w:rPr>
        <w:t>doi</w:t>
      </w:r>
      <w:proofErr w:type="spellEnd"/>
      <w:r w:rsidRPr="00BA50B4">
        <w:rPr>
          <w:rFonts w:ascii="Arial" w:hAnsi="Arial" w:cs="Arial"/>
        </w:rPr>
        <w:t>: 10.1016/j.clscn.2023.100118.</w:t>
      </w:r>
    </w:p>
    <w:p w14:paraId="14ED43CC" w14:textId="77777777" w:rsidR="00BA50B4" w:rsidRPr="00BA50B4" w:rsidRDefault="00BA50B4" w:rsidP="00BA50B4">
      <w:pPr>
        <w:pStyle w:val="Body"/>
        <w:rPr>
          <w:rFonts w:ascii="Arial" w:hAnsi="Arial" w:cs="Arial"/>
        </w:rPr>
      </w:pPr>
      <w:r w:rsidRPr="00BA50B4">
        <w:rPr>
          <w:rFonts w:ascii="Arial" w:hAnsi="Arial" w:cs="Arial"/>
        </w:rPr>
        <w:t xml:space="preserve">Sánchez-Flores, R.B., Cruz-Sotelo, S.E., Ojeda-Benítez, S. and Ramírez-Barreto, M.E. (2022) ‘Sustainable supply chain and competitive pressure’, Sustainability, 14(4), p. 2201. </w:t>
      </w:r>
      <w:proofErr w:type="spellStart"/>
      <w:r w:rsidRPr="00BA50B4">
        <w:rPr>
          <w:rFonts w:ascii="Arial" w:hAnsi="Arial" w:cs="Arial"/>
        </w:rPr>
        <w:t>doi</w:t>
      </w:r>
      <w:proofErr w:type="spellEnd"/>
      <w:r w:rsidRPr="00BA50B4">
        <w:rPr>
          <w:rFonts w:ascii="Arial" w:hAnsi="Arial" w:cs="Arial"/>
        </w:rPr>
        <w:t>: 10.4018/978-1-6684-4503-7.ch086.</w:t>
      </w:r>
    </w:p>
    <w:p w14:paraId="6D4EB6F5" w14:textId="77777777" w:rsidR="00BA50B4" w:rsidRPr="00BA50B4" w:rsidRDefault="00BA50B4" w:rsidP="00BA50B4">
      <w:pPr>
        <w:pStyle w:val="Body"/>
        <w:rPr>
          <w:rFonts w:ascii="Arial" w:hAnsi="Arial" w:cs="Arial"/>
        </w:rPr>
      </w:pPr>
      <w:r w:rsidRPr="00BA50B4">
        <w:rPr>
          <w:rFonts w:ascii="Arial" w:hAnsi="Arial" w:cs="Arial"/>
        </w:rPr>
        <w:t xml:space="preserve">Santos, F., </w:t>
      </w:r>
      <w:proofErr w:type="spellStart"/>
      <w:r w:rsidRPr="00BA50B4">
        <w:rPr>
          <w:rFonts w:ascii="Arial" w:hAnsi="Arial" w:cs="Arial"/>
        </w:rPr>
        <w:t>Hilletofth</w:t>
      </w:r>
      <w:proofErr w:type="spellEnd"/>
      <w:r w:rsidRPr="00BA50B4">
        <w:rPr>
          <w:rFonts w:ascii="Arial" w:hAnsi="Arial" w:cs="Arial"/>
        </w:rPr>
        <w:t xml:space="preserve">, P. and von Haartman, R. (2025) ‘Managing </w:t>
      </w:r>
      <w:proofErr w:type="spellStart"/>
      <w:r w:rsidRPr="00BA50B4">
        <w:rPr>
          <w:rFonts w:ascii="Arial" w:hAnsi="Arial" w:cs="Arial"/>
        </w:rPr>
        <w:t>organisational</w:t>
      </w:r>
      <w:proofErr w:type="spellEnd"/>
      <w:r w:rsidRPr="00BA50B4">
        <w:rPr>
          <w:rFonts w:ascii="Arial" w:hAnsi="Arial" w:cs="Arial"/>
        </w:rPr>
        <w:t xml:space="preserve"> changes for collaboration between stakeholders in sustainable public procurement’, Corporate Social Responsibility and Environmental Management, 32(3), pp. 3008–3026. </w:t>
      </w:r>
      <w:proofErr w:type="spellStart"/>
      <w:r w:rsidRPr="00BA50B4">
        <w:rPr>
          <w:rFonts w:ascii="Arial" w:hAnsi="Arial" w:cs="Arial"/>
        </w:rPr>
        <w:t>doi</w:t>
      </w:r>
      <w:proofErr w:type="spellEnd"/>
      <w:r w:rsidRPr="00BA50B4">
        <w:rPr>
          <w:rFonts w:ascii="Arial" w:hAnsi="Arial" w:cs="Arial"/>
        </w:rPr>
        <w:t>: 10.1002/csr.3117.</w:t>
      </w:r>
    </w:p>
    <w:p w14:paraId="7FCDCAA3" w14:textId="77777777" w:rsidR="00BA50B4" w:rsidRPr="00BA50B4" w:rsidRDefault="00BA50B4" w:rsidP="00BA50B4">
      <w:pPr>
        <w:pStyle w:val="Body"/>
        <w:rPr>
          <w:rFonts w:ascii="Arial" w:hAnsi="Arial" w:cs="Arial"/>
        </w:rPr>
      </w:pPr>
      <w:r w:rsidRPr="00BA50B4">
        <w:rPr>
          <w:rFonts w:ascii="Arial" w:hAnsi="Arial" w:cs="Arial"/>
        </w:rPr>
        <w:t xml:space="preserve">Tambunan, T. (2019) ‘Recent evidence of the development of micro, small and medium enterprises in Indonesia’, Journal of Global Entrepreneurship Research, 9, Article 18. </w:t>
      </w:r>
      <w:proofErr w:type="spellStart"/>
      <w:r w:rsidRPr="00BA50B4">
        <w:rPr>
          <w:rFonts w:ascii="Arial" w:hAnsi="Arial" w:cs="Arial"/>
        </w:rPr>
        <w:t>doi</w:t>
      </w:r>
      <w:proofErr w:type="spellEnd"/>
      <w:r w:rsidRPr="00BA50B4">
        <w:rPr>
          <w:rFonts w:ascii="Arial" w:hAnsi="Arial" w:cs="Arial"/>
        </w:rPr>
        <w:t>: 10.1186/s40497-018-0140-4.</w:t>
      </w:r>
    </w:p>
    <w:p w14:paraId="14E3D650" w14:textId="77777777" w:rsidR="00BA50B4" w:rsidRPr="00BA50B4" w:rsidRDefault="00BA50B4" w:rsidP="00BA50B4">
      <w:pPr>
        <w:pStyle w:val="Body"/>
        <w:rPr>
          <w:rFonts w:ascii="Arial" w:hAnsi="Arial" w:cs="Arial"/>
        </w:rPr>
      </w:pPr>
      <w:r w:rsidRPr="00BA50B4">
        <w:rPr>
          <w:rFonts w:ascii="Arial" w:hAnsi="Arial" w:cs="Arial"/>
        </w:rPr>
        <w:t xml:space="preserve">Testa, F., Annunziata, E., </w:t>
      </w:r>
      <w:proofErr w:type="spellStart"/>
      <w:r w:rsidRPr="00BA50B4">
        <w:rPr>
          <w:rFonts w:ascii="Arial" w:hAnsi="Arial" w:cs="Arial"/>
        </w:rPr>
        <w:t>Iraldo</w:t>
      </w:r>
      <w:proofErr w:type="spellEnd"/>
      <w:r w:rsidRPr="00BA50B4">
        <w:rPr>
          <w:rFonts w:ascii="Arial" w:hAnsi="Arial" w:cs="Arial"/>
        </w:rPr>
        <w:t xml:space="preserve">, F. and Frey, M. (2016) ‘Drawbacks and opportunities of green public procurement: An effective tool for sustainable production’, Journal of Cleaner Production, 112, pp. 1893–1900. </w:t>
      </w:r>
      <w:proofErr w:type="spellStart"/>
      <w:r w:rsidRPr="00BA50B4">
        <w:rPr>
          <w:rFonts w:ascii="Arial" w:hAnsi="Arial" w:cs="Arial"/>
        </w:rPr>
        <w:t>doi</w:t>
      </w:r>
      <w:proofErr w:type="spellEnd"/>
      <w:r w:rsidRPr="00BA50B4">
        <w:rPr>
          <w:rFonts w:ascii="Arial" w:hAnsi="Arial" w:cs="Arial"/>
        </w:rPr>
        <w:t>: 10.1016/j.jclepro.2014.09.092.</w:t>
      </w:r>
    </w:p>
    <w:p w14:paraId="03A181B9" w14:textId="77777777" w:rsidR="00BA50B4" w:rsidRPr="00BA50B4" w:rsidRDefault="00BA50B4" w:rsidP="00BA50B4">
      <w:pPr>
        <w:pStyle w:val="Body"/>
        <w:rPr>
          <w:rFonts w:ascii="Arial" w:hAnsi="Arial" w:cs="Arial"/>
        </w:rPr>
      </w:pPr>
      <w:r w:rsidRPr="00BA50B4">
        <w:rPr>
          <w:rFonts w:ascii="Arial" w:hAnsi="Arial" w:cs="Arial"/>
        </w:rPr>
        <w:t>Uyarra, E., Zabala-</w:t>
      </w:r>
      <w:proofErr w:type="spellStart"/>
      <w:r w:rsidRPr="00BA50B4">
        <w:rPr>
          <w:rFonts w:ascii="Arial" w:hAnsi="Arial" w:cs="Arial"/>
        </w:rPr>
        <w:t>Iturriagagoitia</w:t>
      </w:r>
      <w:proofErr w:type="spellEnd"/>
      <w:r w:rsidRPr="00BA50B4">
        <w:rPr>
          <w:rFonts w:ascii="Arial" w:hAnsi="Arial" w:cs="Arial"/>
        </w:rPr>
        <w:t xml:space="preserve">, J.M., Flanagan, K. and Magro, E. (2020) ‘Public procurement, innovation and industrial policy: Rationales, roles, capabilities and implementation’, Research Policy, 49(1), 103844. </w:t>
      </w:r>
      <w:proofErr w:type="spellStart"/>
      <w:r w:rsidRPr="00BA50B4">
        <w:rPr>
          <w:rFonts w:ascii="Arial" w:hAnsi="Arial" w:cs="Arial"/>
        </w:rPr>
        <w:t>doi</w:t>
      </w:r>
      <w:proofErr w:type="spellEnd"/>
      <w:r w:rsidRPr="00BA50B4">
        <w:rPr>
          <w:rFonts w:ascii="Arial" w:hAnsi="Arial" w:cs="Arial"/>
        </w:rPr>
        <w:t>: 10.1016/j.respol.2019.103844.</w:t>
      </w:r>
    </w:p>
    <w:p w14:paraId="65FA54B2" w14:textId="77777777" w:rsidR="00BA50B4" w:rsidRPr="00BA50B4" w:rsidRDefault="00BA50B4" w:rsidP="00BA50B4">
      <w:pPr>
        <w:pStyle w:val="Body"/>
        <w:rPr>
          <w:rFonts w:ascii="Arial" w:hAnsi="Arial" w:cs="Arial"/>
        </w:rPr>
      </w:pPr>
      <w:r w:rsidRPr="00BA50B4">
        <w:rPr>
          <w:rFonts w:ascii="Arial" w:hAnsi="Arial" w:cs="Arial"/>
        </w:rPr>
        <w:t xml:space="preserve">Walker, H. and Brammer, S. (2009) ‘Sustainable procurement in the United Kingdom public sector’, Supply Chain Management: An International Journal, 14(2), pp. 128–137. </w:t>
      </w:r>
      <w:proofErr w:type="spellStart"/>
      <w:r w:rsidRPr="00BA50B4">
        <w:rPr>
          <w:rFonts w:ascii="Arial" w:hAnsi="Arial" w:cs="Arial"/>
        </w:rPr>
        <w:t>doi</w:t>
      </w:r>
      <w:proofErr w:type="spellEnd"/>
      <w:r w:rsidRPr="00BA50B4">
        <w:rPr>
          <w:rFonts w:ascii="Arial" w:hAnsi="Arial" w:cs="Arial"/>
        </w:rPr>
        <w:t>: 10.1108/13598540910941993.</w:t>
      </w:r>
    </w:p>
    <w:p w14:paraId="4F901D3C" w14:textId="77777777" w:rsidR="00BA50B4" w:rsidRPr="00BA50B4" w:rsidRDefault="00BA50B4" w:rsidP="00BA50B4">
      <w:pPr>
        <w:pStyle w:val="Body"/>
        <w:rPr>
          <w:rFonts w:ascii="Arial" w:hAnsi="Arial" w:cs="Arial"/>
        </w:rPr>
      </w:pPr>
      <w:r w:rsidRPr="00BA50B4">
        <w:rPr>
          <w:rFonts w:ascii="Arial" w:hAnsi="Arial" w:cs="Arial"/>
        </w:rPr>
        <w:t xml:space="preserve">Walker, H., Miemczyk, J., Johnsen, T. and Spencer, R. (2012) ‘Sustainable procurement: Past, present and future’, Journal of Purchasing and Supply Management, 18(4), pp. 201–206. </w:t>
      </w:r>
      <w:proofErr w:type="spellStart"/>
      <w:r w:rsidRPr="00BA50B4">
        <w:rPr>
          <w:rFonts w:ascii="Arial" w:hAnsi="Arial" w:cs="Arial"/>
        </w:rPr>
        <w:t>doi</w:t>
      </w:r>
      <w:proofErr w:type="spellEnd"/>
      <w:r w:rsidRPr="00BA50B4">
        <w:rPr>
          <w:rFonts w:ascii="Arial" w:hAnsi="Arial" w:cs="Arial"/>
        </w:rPr>
        <w:t>: 10.1016/j.pursup.2012.11.003.</w:t>
      </w:r>
    </w:p>
    <w:p w14:paraId="4286B5F8" w14:textId="2304CEC9" w:rsidR="00BA50B4" w:rsidRDefault="00BA50B4" w:rsidP="00BA50B4">
      <w:pPr>
        <w:pStyle w:val="Body"/>
        <w:spacing w:after="0"/>
        <w:rPr>
          <w:rFonts w:ascii="Arial" w:hAnsi="Arial" w:cs="Arial"/>
        </w:rPr>
      </w:pPr>
      <w:r w:rsidRPr="00BA50B4">
        <w:rPr>
          <w:rFonts w:ascii="Arial" w:hAnsi="Arial" w:cs="Arial"/>
        </w:rPr>
        <w:t xml:space="preserve">Zhu, Q., Sarkis, J. and Lai, K. (2008) ‘Confirmation of a measurement model for green supply chain management practices implementation’, International Journal of Production Economics, 111, pp. 261–273. </w:t>
      </w:r>
      <w:proofErr w:type="spellStart"/>
      <w:r w:rsidRPr="00BA50B4">
        <w:rPr>
          <w:rFonts w:ascii="Arial" w:hAnsi="Arial" w:cs="Arial"/>
        </w:rPr>
        <w:t>doi</w:t>
      </w:r>
      <w:proofErr w:type="spellEnd"/>
      <w:r w:rsidRPr="00BA50B4">
        <w:rPr>
          <w:rFonts w:ascii="Arial" w:hAnsi="Arial" w:cs="Arial"/>
        </w:rPr>
        <w:t>: 10.1016/j.ijpe.2006.11.029.</w:t>
      </w:r>
    </w:p>
    <w:p w14:paraId="02B65447" w14:textId="77777777" w:rsidR="00BA50B4" w:rsidRDefault="00BA50B4" w:rsidP="00BA50B4">
      <w:pPr>
        <w:pStyle w:val="Body"/>
        <w:spacing w:after="0"/>
        <w:rPr>
          <w:rFonts w:ascii="Arial" w:hAnsi="Arial" w:cs="Arial"/>
        </w:rPr>
      </w:pPr>
    </w:p>
    <w:p w14:paraId="3BB326AF" w14:textId="77777777" w:rsidR="004D4277" w:rsidRDefault="004D4277" w:rsidP="00441B6F">
      <w:pPr>
        <w:pStyle w:val="Appendix"/>
        <w:spacing w:after="0"/>
        <w:jc w:val="both"/>
        <w:rPr>
          <w:rFonts w:ascii="Arial" w:hAnsi="Arial" w:cs="Arial"/>
          <w:b w:val="0"/>
        </w:rPr>
      </w:pPr>
    </w:p>
    <w:p w14:paraId="19BE5BF1" w14:textId="438769E1" w:rsidR="00BA50B4" w:rsidRPr="00FB3A86" w:rsidRDefault="00BA50B4" w:rsidP="00441B6F">
      <w:pPr>
        <w:pStyle w:val="Appendix"/>
        <w:spacing w:after="0"/>
        <w:jc w:val="both"/>
        <w:rPr>
          <w:rFonts w:ascii="Arial" w:hAnsi="Arial" w:cs="Arial"/>
          <w:b w:val="0"/>
        </w:rPr>
        <w:sectPr w:rsidR="00BA50B4" w:rsidRPr="00FB3A86" w:rsidSect="00F942F4">
          <w:headerReference w:type="even" r:id="rId16"/>
          <w:headerReference w:type="default" r:id="rId17"/>
          <w:footerReference w:type="default" r:id="rId18"/>
          <w:headerReference w:type="first" r:id="rId19"/>
          <w:type w:val="continuous"/>
          <w:pgSz w:w="12240" w:h="15840"/>
          <w:pgMar w:top="1440" w:right="2016" w:bottom="2016" w:left="2016" w:header="720" w:footer="1123" w:gutter="0"/>
          <w:cols w:space="720"/>
          <w:docGrid w:linePitch="272"/>
        </w:sectPr>
      </w:pPr>
    </w:p>
    <w:p w14:paraId="36D9DDEE" w14:textId="77777777" w:rsidR="00B01FCD" w:rsidRPr="00FB3A86" w:rsidRDefault="00B01FCD" w:rsidP="00441B6F">
      <w:pPr>
        <w:pStyle w:val="Appendix"/>
        <w:spacing w:after="0"/>
        <w:jc w:val="both"/>
        <w:rPr>
          <w:rFonts w:ascii="Arial" w:hAnsi="Arial" w:cs="Arial"/>
          <w:b w:val="0"/>
        </w:rPr>
      </w:pPr>
    </w:p>
    <w:sectPr w:rsidR="00B01FCD" w:rsidRPr="00FB3A86" w:rsidSect="00F942F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4F6B5" w14:textId="77777777" w:rsidR="00DF4740" w:rsidRDefault="00DF4740" w:rsidP="00C37E61">
      <w:r>
        <w:separator/>
      </w:r>
    </w:p>
  </w:endnote>
  <w:endnote w:type="continuationSeparator" w:id="0">
    <w:p w14:paraId="0468A7D4" w14:textId="77777777" w:rsidR="00DF4740" w:rsidRDefault="00DF4740"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0473B" w14:textId="77777777" w:rsidR="000A562D" w:rsidRDefault="000A5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12A0" w14:textId="77777777" w:rsidR="000A562D" w:rsidRDefault="000A56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0285158C" w:rsidR="00754C9A" w:rsidRPr="000A562D" w:rsidRDefault="00754C9A" w:rsidP="000A56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C8CE" w14:textId="77777777" w:rsidR="00DF4740" w:rsidRDefault="00DF4740" w:rsidP="00C37E61">
      <w:r>
        <w:separator/>
      </w:r>
    </w:p>
  </w:footnote>
  <w:footnote w:type="continuationSeparator" w:id="0">
    <w:p w14:paraId="2C896784" w14:textId="77777777" w:rsidR="00DF4740" w:rsidRDefault="00DF4740"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D401" w14:textId="0987A85A" w:rsidR="000A562D" w:rsidRDefault="000A562D">
    <w:pPr>
      <w:pStyle w:val="Header"/>
    </w:pPr>
    <w:r>
      <w:rPr>
        <w:noProof/>
      </w:rPr>
      <w:pict w14:anchorId="14869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952A" w14:textId="06E43FB6" w:rsidR="000A562D" w:rsidRDefault="000A562D">
    <w:pPr>
      <w:pStyle w:val="Header"/>
    </w:pPr>
    <w:r>
      <w:rPr>
        <w:noProof/>
      </w:rPr>
      <w:pict w14:anchorId="3C46E5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76F9B3C7" w:rsidR="00296529" w:rsidRPr="00296529" w:rsidRDefault="000A562D" w:rsidP="00296529">
    <w:pPr>
      <w:ind w:left="2160"/>
      <w:jc w:val="center"/>
      <w:rPr>
        <w:rFonts w:ascii="Times New Roman" w:eastAsia="Calibri" w:hAnsi="Times New Roman"/>
        <w:i/>
        <w:sz w:val="18"/>
        <w:szCs w:val="22"/>
      </w:rPr>
    </w:pPr>
    <w:r>
      <w:rPr>
        <w:noProof/>
      </w:rPr>
      <w:pict w14:anchorId="43A04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4"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322BD8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A1B1C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D22139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F57BDF7"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8B29" w14:textId="062FD928" w:rsidR="000A562D" w:rsidRDefault="000A562D">
    <w:pPr>
      <w:pStyle w:val="Header"/>
    </w:pPr>
    <w:r>
      <w:rPr>
        <w:noProof/>
      </w:rPr>
      <w:pict w14:anchorId="6E106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8"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53467C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7E36" w14:textId="31D63A3D" w:rsidR="000A562D" w:rsidRDefault="000A562D">
    <w:pPr>
      <w:pStyle w:val="Header"/>
    </w:pPr>
    <w:r>
      <w:rPr>
        <w:noProof/>
      </w:rPr>
      <w:pict w14:anchorId="726899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9"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21CDB3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48089" w14:textId="1029E80C" w:rsidR="000A562D" w:rsidRPr="00296529" w:rsidRDefault="000A562D" w:rsidP="00296529">
    <w:pPr>
      <w:ind w:left="2160"/>
      <w:jc w:val="center"/>
      <w:rPr>
        <w:rFonts w:ascii="Times New Roman" w:eastAsia="Calibri" w:hAnsi="Times New Roman"/>
        <w:i/>
        <w:sz w:val="18"/>
        <w:szCs w:val="22"/>
      </w:rPr>
    </w:pPr>
    <w:r>
      <w:rPr>
        <w:noProof/>
      </w:rPr>
      <w:pict w14:anchorId="0CB4D3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830987"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D74D962">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B83CC08" w14:textId="77777777" w:rsidR="000A562D" w:rsidRPr="00296529" w:rsidRDefault="000A562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4A371497" w14:textId="77777777" w:rsidR="000A562D" w:rsidRPr="00296529" w:rsidRDefault="000A562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E1DBBD9" w14:textId="77777777" w:rsidR="000A562D" w:rsidRPr="00296529" w:rsidRDefault="000A562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5BC4941" w14:textId="77777777" w:rsidR="000A562D" w:rsidRDefault="000A562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352F8C9" w14:textId="77777777" w:rsidR="000A562D" w:rsidRDefault="000A562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11F1D5F" w14:textId="77777777" w:rsidR="000A562D" w:rsidRDefault="000A562D">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562D"/>
    <w:rsid w:val="000A65D3"/>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2B07"/>
    <w:rsid w:val="0024282C"/>
    <w:rsid w:val="002460DC"/>
    <w:rsid w:val="00250985"/>
    <w:rsid w:val="002556F6"/>
    <w:rsid w:val="00280794"/>
    <w:rsid w:val="00283105"/>
    <w:rsid w:val="00284C4C"/>
    <w:rsid w:val="00287E68"/>
    <w:rsid w:val="00296529"/>
    <w:rsid w:val="00297885"/>
    <w:rsid w:val="002B27FB"/>
    <w:rsid w:val="002B685A"/>
    <w:rsid w:val="002C57D2"/>
    <w:rsid w:val="002E0D56"/>
    <w:rsid w:val="00315186"/>
    <w:rsid w:val="00316214"/>
    <w:rsid w:val="0033343E"/>
    <w:rsid w:val="00336165"/>
    <w:rsid w:val="003512C2"/>
    <w:rsid w:val="00357ADB"/>
    <w:rsid w:val="00371FB6"/>
    <w:rsid w:val="003755E0"/>
    <w:rsid w:val="003763C1"/>
    <w:rsid w:val="00376BBE"/>
    <w:rsid w:val="0039224F"/>
    <w:rsid w:val="00394422"/>
    <w:rsid w:val="003A43A4"/>
    <w:rsid w:val="003A7E18"/>
    <w:rsid w:val="003C4C86"/>
    <w:rsid w:val="003C6258"/>
    <w:rsid w:val="003E2904"/>
    <w:rsid w:val="00401927"/>
    <w:rsid w:val="0041027F"/>
    <w:rsid w:val="00412475"/>
    <w:rsid w:val="00423789"/>
    <w:rsid w:val="00440F43"/>
    <w:rsid w:val="0044174C"/>
    <w:rsid w:val="00441B6F"/>
    <w:rsid w:val="00446221"/>
    <w:rsid w:val="00450E62"/>
    <w:rsid w:val="004539DB"/>
    <w:rsid w:val="00471A80"/>
    <w:rsid w:val="00480A23"/>
    <w:rsid w:val="0048619F"/>
    <w:rsid w:val="00492CD9"/>
    <w:rsid w:val="004A712E"/>
    <w:rsid w:val="004D305E"/>
    <w:rsid w:val="004D4277"/>
    <w:rsid w:val="00502516"/>
    <w:rsid w:val="00505F06"/>
    <w:rsid w:val="00506828"/>
    <w:rsid w:val="00507427"/>
    <w:rsid w:val="00522339"/>
    <w:rsid w:val="0053056E"/>
    <w:rsid w:val="00534BAA"/>
    <w:rsid w:val="00554FDA"/>
    <w:rsid w:val="005757AF"/>
    <w:rsid w:val="00584771"/>
    <w:rsid w:val="005C784C"/>
    <w:rsid w:val="005D17F6"/>
    <w:rsid w:val="005E5539"/>
    <w:rsid w:val="00602BF5"/>
    <w:rsid w:val="00617FDD"/>
    <w:rsid w:val="0062357B"/>
    <w:rsid w:val="00633614"/>
    <w:rsid w:val="00633F68"/>
    <w:rsid w:val="00636EB2"/>
    <w:rsid w:val="006375B8"/>
    <w:rsid w:val="0066510A"/>
    <w:rsid w:val="00673F9F"/>
    <w:rsid w:val="00686953"/>
    <w:rsid w:val="00687DEA"/>
    <w:rsid w:val="00687E67"/>
    <w:rsid w:val="00690AA7"/>
    <w:rsid w:val="006967F7"/>
    <w:rsid w:val="006A250C"/>
    <w:rsid w:val="006B21D3"/>
    <w:rsid w:val="006B57D0"/>
    <w:rsid w:val="006D30FF"/>
    <w:rsid w:val="006D6940"/>
    <w:rsid w:val="006F11EC"/>
    <w:rsid w:val="0070082C"/>
    <w:rsid w:val="007369E6"/>
    <w:rsid w:val="00746E59"/>
    <w:rsid w:val="00754C9A"/>
    <w:rsid w:val="0075599A"/>
    <w:rsid w:val="00761D52"/>
    <w:rsid w:val="00773831"/>
    <w:rsid w:val="0077596C"/>
    <w:rsid w:val="0077749E"/>
    <w:rsid w:val="00790ADA"/>
    <w:rsid w:val="00792175"/>
    <w:rsid w:val="00792E08"/>
    <w:rsid w:val="007D2288"/>
    <w:rsid w:val="007D3376"/>
    <w:rsid w:val="007E088F"/>
    <w:rsid w:val="007F7B32"/>
    <w:rsid w:val="00804BC2"/>
    <w:rsid w:val="0081431A"/>
    <w:rsid w:val="008170D8"/>
    <w:rsid w:val="00817D93"/>
    <w:rsid w:val="0083216F"/>
    <w:rsid w:val="0085290E"/>
    <w:rsid w:val="00860000"/>
    <w:rsid w:val="00863BD3"/>
    <w:rsid w:val="008641ED"/>
    <w:rsid w:val="00866D66"/>
    <w:rsid w:val="008671C6"/>
    <w:rsid w:val="00875803"/>
    <w:rsid w:val="008866A1"/>
    <w:rsid w:val="008B459E"/>
    <w:rsid w:val="008E13AE"/>
    <w:rsid w:val="008E1506"/>
    <w:rsid w:val="008E710C"/>
    <w:rsid w:val="008F69D6"/>
    <w:rsid w:val="00902823"/>
    <w:rsid w:val="00915CA6"/>
    <w:rsid w:val="00927834"/>
    <w:rsid w:val="00934FB9"/>
    <w:rsid w:val="009500A6"/>
    <w:rsid w:val="00957C18"/>
    <w:rsid w:val="009659BA"/>
    <w:rsid w:val="00971BAA"/>
    <w:rsid w:val="00983040"/>
    <w:rsid w:val="009B06B6"/>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2649"/>
    <w:rsid w:val="00A347C0"/>
    <w:rsid w:val="00A51431"/>
    <w:rsid w:val="00A539AD"/>
    <w:rsid w:val="00A83111"/>
    <w:rsid w:val="00A94063"/>
    <w:rsid w:val="00AA6219"/>
    <w:rsid w:val="00AA74E0"/>
    <w:rsid w:val="00AB703F"/>
    <w:rsid w:val="00AC6BB8"/>
    <w:rsid w:val="00AD6682"/>
    <w:rsid w:val="00AE008F"/>
    <w:rsid w:val="00B01FCD"/>
    <w:rsid w:val="00B1776C"/>
    <w:rsid w:val="00B42A88"/>
    <w:rsid w:val="00B52583"/>
    <w:rsid w:val="00B52896"/>
    <w:rsid w:val="00B555A7"/>
    <w:rsid w:val="00B95236"/>
    <w:rsid w:val="00B96BD9"/>
    <w:rsid w:val="00BA1B01"/>
    <w:rsid w:val="00BA2641"/>
    <w:rsid w:val="00BA50B4"/>
    <w:rsid w:val="00BB37AA"/>
    <w:rsid w:val="00BC53A0"/>
    <w:rsid w:val="00BE62AD"/>
    <w:rsid w:val="00BF121F"/>
    <w:rsid w:val="00BF1F80"/>
    <w:rsid w:val="00C166EF"/>
    <w:rsid w:val="00C17EB0"/>
    <w:rsid w:val="00C27F5F"/>
    <w:rsid w:val="00C30A0F"/>
    <w:rsid w:val="00C37E61"/>
    <w:rsid w:val="00C6347C"/>
    <w:rsid w:val="00C70F1B"/>
    <w:rsid w:val="00C71A47"/>
    <w:rsid w:val="00C7464C"/>
    <w:rsid w:val="00C74AAA"/>
    <w:rsid w:val="00C85588"/>
    <w:rsid w:val="00C93CAA"/>
    <w:rsid w:val="00CD6755"/>
    <w:rsid w:val="00CD6856"/>
    <w:rsid w:val="00CE0089"/>
    <w:rsid w:val="00CE793C"/>
    <w:rsid w:val="00CF193C"/>
    <w:rsid w:val="00D173F1"/>
    <w:rsid w:val="00D36784"/>
    <w:rsid w:val="00D74CB0"/>
    <w:rsid w:val="00D8295D"/>
    <w:rsid w:val="00DA3816"/>
    <w:rsid w:val="00DB0422"/>
    <w:rsid w:val="00DC2A65"/>
    <w:rsid w:val="00DE15F0"/>
    <w:rsid w:val="00DE5663"/>
    <w:rsid w:val="00DE78AA"/>
    <w:rsid w:val="00DF4740"/>
    <w:rsid w:val="00E053D0"/>
    <w:rsid w:val="00E15994"/>
    <w:rsid w:val="00E3114E"/>
    <w:rsid w:val="00E31A70"/>
    <w:rsid w:val="00E35B02"/>
    <w:rsid w:val="00E66496"/>
    <w:rsid w:val="00E66B35"/>
    <w:rsid w:val="00E66E10"/>
    <w:rsid w:val="00E769F6"/>
    <w:rsid w:val="00E8407C"/>
    <w:rsid w:val="00E84BEA"/>
    <w:rsid w:val="00E84F3C"/>
    <w:rsid w:val="00EA012C"/>
    <w:rsid w:val="00EC6A55"/>
    <w:rsid w:val="00ED0288"/>
    <w:rsid w:val="00EE17F9"/>
    <w:rsid w:val="00EE52CB"/>
    <w:rsid w:val="00EF581D"/>
    <w:rsid w:val="00EF6B08"/>
    <w:rsid w:val="00EF7FD8"/>
    <w:rsid w:val="00F06F59"/>
    <w:rsid w:val="00F17988"/>
    <w:rsid w:val="00F469F0"/>
    <w:rsid w:val="00F53273"/>
    <w:rsid w:val="00F53EE2"/>
    <w:rsid w:val="00F65091"/>
    <w:rsid w:val="00F755E4"/>
    <w:rsid w:val="00F77D02"/>
    <w:rsid w:val="00F942F4"/>
    <w:rsid w:val="00FA1F2F"/>
    <w:rsid w:val="00FB3A86"/>
    <w:rsid w:val="00FD148E"/>
    <w:rsid w:val="00FD26E9"/>
    <w:rsid w:val="00FD36C8"/>
    <w:rsid w:val="00FE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111B727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4">
    <w:name w:val="heading 4"/>
    <w:basedOn w:val="Normal"/>
    <w:next w:val="Normal"/>
    <w:link w:val="Heading4Char"/>
    <w:semiHidden/>
    <w:unhideWhenUsed/>
    <w:qFormat/>
    <w:rsid w:val="00690AA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690AA7"/>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8170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121</TotalTime>
  <Pages>25</Pages>
  <Words>11220</Words>
  <Characters>63955</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75025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58</cp:revision>
  <cp:lastPrinted>1999-07-06T11:00:00Z</cp:lastPrinted>
  <dcterms:created xsi:type="dcterms:W3CDTF">2014-10-25T14:34:00Z</dcterms:created>
  <dcterms:modified xsi:type="dcterms:W3CDTF">2026-09-25T11:58:00Z</dcterms:modified>
</cp:coreProperties>
</file>