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62D54" w14:textId="77777777" w:rsidR="00146CA6" w:rsidRPr="00146CA6" w:rsidRDefault="00146CA6" w:rsidP="00146CA6">
      <w:pPr>
        <w:jc w:val="both"/>
        <w:rPr>
          <w:rFonts w:ascii="Times New Roman" w:hAnsi="Times New Roman" w:cs="Times New Roman"/>
          <w:b/>
          <w:bCs/>
          <w:i/>
          <w:iCs/>
          <w:sz w:val="28"/>
          <w:szCs w:val="28"/>
          <w:u w:val="single"/>
          <w:lang w:val="en-US"/>
        </w:rPr>
      </w:pPr>
      <w:r w:rsidRPr="00146CA6">
        <w:rPr>
          <w:rFonts w:ascii="Times New Roman" w:hAnsi="Times New Roman" w:cs="Times New Roman"/>
          <w:b/>
          <w:bCs/>
          <w:i/>
          <w:iCs/>
          <w:sz w:val="28"/>
          <w:szCs w:val="28"/>
          <w:u w:val="single"/>
          <w:lang w:val="en-US"/>
        </w:rPr>
        <w:t>Original Research Article</w:t>
      </w:r>
    </w:p>
    <w:p w14:paraId="537866CB" w14:textId="77777777" w:rsidR="004456DF" w:rsidRPr="004456DF" w:rsidRDefault="004456DF" w:rsidP="007A01FE">
      <w:pPr>
        <w:jc w:val="both"/>
        <w:rPr>
          <w:rFonts w:ascii="Times New Roman" w:hAnsi="Times New Roman" w:cs="Times New Roman"/>
          <w:b/>
          <w:bCs/>
          <w:sz w:val="28"/>
          <w:szCs w:val="28"/>
        </w:rPr>
      </w:pPr>
      <w:r w:rsidRPr="004456DF">
        <w:rPr>
          <w:rFonts w:ascii="Times New Roman" w:hAnsi="Times New Roman" w:cs="Times New Roman"/>
          <w:b/>
          <w:bCs/>
          <w:sz w:val="28"/>
          <w:szCs w:val="28"/>
        </w:rPr>
        <w:t>Macroeconomic Drivers Shaping Foreign Direct Investment in Kenya: Evidence from Time-Series Analysis</w:t>
      </w:r>
    </w:p>
    <w:p w14:paraId="4BD83B42" w14:textId="77777777" w:rsidR="00CE212A" w:rsidRDefault="00CE212A" w:rsidP="00A059D0">
      <w:pPr>
        <w:spacing w:after="0"/>
        <w:jc w:val="both"/>
        <w:rPr>
          <w:rFonts w:ascii="Times New Roman" w:hAnsi="Times New Roman" w:cs="Times New Roman"/>
          <w:b/>
          <w:bCs/>
        </w:rPr>
      </w:pPr>
    </w:p>
    <w:p w14:paraId="076204A5" w14:textId="77777777" w:rsidR="00CE212A" w:rsidRDefault="00CE212A" w:rsidP="00A059D0">
      <w:pPr>
        <w:spacing w:after="0"/>
        <w:jc w:val="both"/>
        <w:rPr>
          <w:rFonts w:ascii="Times New Roman" w:hAnsi="Times New Roman" w:cs="Times New Roman"/>
          <w:b/>
          <w:bCs/>
        </w:rPr>
      </w:pPr>
    </w:p>
    <w:p w14:paraId="04775418" w14:textId="416629E5" w:rsidR="00A059D0" w:rsidRPr="00734744" w:rsidRDefault="00A059D0" w:rsidP="00A059D0">
      <w:pPr>
        <w:spacing w:after="0"/>
        <w:jc w:val="both"/>
        <w:rPr>
          <w:rFonts w:ascii="Times New Roman" w:hAnsi="Times New Roman" w:cs="Times New Roman"/>
          <w:b/>
          <w:bCs/>
        </w:rPr>
      </w:pPr>
      <w:r w:rsidRPr="00734744">
        <w:rPr>
          <w:rFonts w:ascii="Times New Roman" w:hAnsi="Times New Roman" w:cs="Times New Roman"/>
          <w:b/>
          <w:bCs/>
        </w:rPr>
        <w:t>Abstract</w:t>
      </w:r>
    </w:p>
    <w:p w14:paraId="4A86D7AA" w14:textId="77777777" w:rsidR="004456DF" w:rsidRPr="004456DF" w:rsidRDefault="004456DF" w:rsidP="004456DF">
      <w:pPr>
        <w:spacing w:after="0"/>
        <w:jc w:val="both"/>
        <w:rPr>
          <w:rFonts w:ascii="Times New Roman" w:hAnsi="Times New Roman" w:cs="Times New Roman"/>
          <w:lang w:val="en-US"/>
        </w:rPr>
      </w:pPr>
      <w:r w:rsidRPr="004456DF">
        <w:rPr>
          <w:rFonts w:ascii="Times New Roman" w:hAnsi="Times New Roman" w:cs="Times New Roman"/>
          <w:b/>
          <w:bCs/>
          <w:lang w:val="en-US"/>
        </w:rPr>
        <w:t>Introduction:</w:t>
      </w:r>
      <w:r w:rsidRPr="004456DF">
        <w:rPr>
          <w:rFonts w:ascii="Times New Roman" w:hAnsi="Times New Roman" w:cs="Times New Roman"/>
          <w:lang w:val="en-US"/>
        </w:rPr>
        <w:t xml:space="preserve"> Foreign direct investment (FDI) is an important source of external finance for developing economies, yet Kenya has experienced considerable fluctuations in FDI inflows over time. Understanding the macroeconomic conditions associated with FDI is therefore important for strengthening Kenya’s attractiveness to foreign investors.</w:t>
      </w:r>
    </w:p>
    <w:p w14:paraId="320C7D36" w14:textId="77777777" w:rsidR="004456DF" w:rsidRPr="004456DF" w:rsidRDefault="004456DF" w:rsidP="004456DF">
      <w:pPr>
        <w:spacing w:after="0"/>
        <w:jc w:val="both"/>
        <w:rPr>
          <w:rFonts w:ascii="Times New Roman" w:hAnsi="Times New Roman" w:cs="Times New Roman"/>
          <w:lang w:val="en-US"/>
        </w:rPr>
      </w:pPr>
      <w:r w:rsidRPr="004456DF">
        <w:rPr>
          <w:rFonts w:ascii="Times New Roman" w:hAnsi="Times New Roman" w:cs="Times New Roman"/>
          <w:b/>
          <w:bCs/>
          <w:lang w:val="en-US"/>
        </w:rPr>
        <w:t>Methods:</w:t>
      </w:r>
      <w:r w:rsidRPr="004456DF">
        <w:rPr>
          <w:rFonts w:ascii="Times New Roman" w:hAnsi="Times New Roman" w:cs="Times New Roman"/>
          <w:lang w:val="en-US"/>
        </w:rPr>
        <w:t xml:space="preserve"> This study examined the effects of real interest rate, inflation, economic growth and exchange rate on FDI in Kenya using annual time-series data covering 1966–2019, comprising 54 observations. The study employed Phillips-Perron unit-root tests, cointegration analysis, Granger causality tests and an error-correction modelling approach to examine both the dynamic and long-run relationships among the variables.</w:t>
      </w:r>
    </w:p>
    <w:p w14:paraId="242C4780" w14:textId="77777777" w:rsidR="004456DF" w:rsidRPr="004456DF" w:rsidRDefault="004456DF" w:rsidP="004456DF">
      <w:pPr>
        <w:spacing w:after="0"/>
        <w:jc w:val="both"/>
        <w:rPr>
          <w:rFonts w:ascii="Times New Roman" w:hAnsi="Times New Roman" w:cs="Times New Roman"/>
          <w:lang w:val="en-US"/>
        </w:rPr>
      </w:pPr>
      <w:r w:rsidRPr="004456DF">
        <w:rPr>
          <w:rFonts w:ascii="Times New Roman" w:hAnsi="Times New Roman" w:cs="Times New Roman"/>
          <w:b/>
          <w:bCs/>
          <w:lang w:val="en-US"/>
        </w:rPr>
        <w:t>Results:</w:t>
      </w:r>
      <w:r w:rsidRPr="004456DF">
        <w:rPr>
          <w:rFonts w:ascii="Times New Roman" w:hAnsi="Times New Roman" w:cs="Times New Roman"/>
          <w:lang w:val="en-US"/>
        </w:rPr>
        <w:t xml:space="preserve"> The results established a long-run relationship among the variables. Granger causality analysis showed unidirectional causality from exchange rate and economic growth to FDI. The estimated model indicated that real interest rate, economic growth and exchange rate were positively and significantly associated with FDI, while inflation had a negative and statistically significant association with FDI. The respective coefficients were 0.3068 (p = 0.0241), 0.7762 (p &lt; 0.001), 0.2234 (p = 0.0237) and −0.3386 (p = 0.0494).</w:t>
      </w:r>
    </w:p>
    <w:p w14:paraId="51BFCCE5" w14:textId="77777777" w:rsidR="004456DF" w:rsidRPr="004456DF" w:rsidRDefault="004456DF" w:rsidP="004456DF">
      <w:pPr>
        <w:spacing w:after="0"/>
        <w:jc w:val="both"/>
        <w:rPr>
          <w:rFonts w:ascii="Times New Roman" w:hAnsi="Times New Roman" w:cs="Times New Roman"/>
          <w:lang w:val="en-US"/>
        </w:rPr>
      </w:pPr>
      <w:r w:rsidRPr="004456DF">
        <w:rPr>
          <w:rFonts w:ascii="Times New Roman" w:hAnsi="Times New Roman" w:cs="Times New Roman"/>
          <w:b/>
          <w:bCs/>
          <w:lang w:val="en-US"/>
        </w:rPr>
        <w:t>Conclusion:</w:t>
      </w:r>
      <w:r w:rsidRPr="004456DF">
        <w:rPr>
          <w:rFonts w:ascii="Times New Roman" w:hAnsi="Times New Roman" w:cs="Times New Roman"/>
          <w:lang w:val="en-US"/>
        </w:rPr>
        <w:t xml:space="preserve"> The findings demonstrate that Kenya’s ability to attract FDI is significantly associated with its macroeconomic environment, particularly economic growth, interest rates, inflation and exchange-rate conditions.</w:t>
      </w:r>
    </w:p>
    <w:p w14:paraId="46244D66" w14:textId="77777777" w:rsidR="004456DF" w:rsidRPr="004456DF" w:rsidRDefault="004456DF" w:rsidP="004456DF">
      <w:pPr>
        <w:spacing w:after="0"/>
        <w:jc w:val="both"/>
        <w:rPr>
          <w:rFonts w:ascii="Times New Roman" w:hAnsi="Times New Roman" w:cs="Times New Roman"/>
          <w:lang w:val="en-US"/>
        </w:rPr>
      </w:pPr>
      <w:r w:rsidRPr="004456DF">
        <w:rPr>
          <w:rFonts w:ascii="Times New Roman" w:hAnsi="Times New Roman" w:cs="Times New Roman"/>
          <w:b/>
          <w:bCs/>
          <w:lang w:val="en-US"/>
        </w:rPr>
        <w:t>Recommendations:</w:t>
      </w:r>
      <w:r w:rsidRPr="004456DF">
        <w:rPr>
          <w:rFonts w:ascii="Times New Roman" w:hAnsi="Times New Roman" w:cs="Times New Roman"/>
          <w:lang w:val="en-US"/>
        </w:rPr>
        <w:t xml:space="preserve"> The study recommends policies that promote sustainable economic growth, maintain price stability, and strengthen the overall macroeconomic and foreign-exchange environment to enhance Kenya’s attractiveness to foreign investors.</w:t>
      </w:r>
    </w:p>
    <w:p w14:paraId="2429A131" w14:textId="77777777" w:rsidR="00734744" w:rsidRPr="00734744" w:rsidRDefault="00734744" w:rsidP="00A059D0">
      <w:pPr>
        <w:spacing w:after="0"/>
        <w:jc w:val="both"/>
        <w:rPr>
          <w:rFonts w:ascii="Times New Roman" w:hAnsi="Times New Roman" w:cs="Times New Roman"/>
        </w:rPr>
      </w:pPr>
    </w:p>
    <w:p w14:paraId="0BA9DEBA" w14:textId="617DC9F7" w:rsidR="00A059D0" w:rsidRPr="00AA1AD7" w:rsidRDefault="00A059D0" w:rsidP="00B37433">
      <w:pPr>
        <w:jc w:val="both"/>
        <w:rPr>
          <w:rFonts w:ascii="Times New Roman" w:hAnsi="Times New Roman" w:cs="Times New Roman"/>
          <w:i/>
          <w:iCs/>
        </w:rPr>
      </w:pPr>
      <w:r w:rsidRPr="00734744">
        <w:rPr>
          <w:rFonts w:ascii="Times New Roman" w:hAnsi="Times New Roman" w:cs="Times New Roman"/>
          <w:b/>
          <w:bCs/>
        </w:rPr>
        <w:t>Keywords:</w:t>
      </w:r>
      <w:r w:rsidRPr="00734744">
        <w:rPr>
          <w:rFonts w:ascii="Times New Roman" w:hAnsi="Times New Roman" w:cs="Times New Roman"/>
        </w:rPr>
        <w:t xml:space="preserve"> </w:t>
      </w:r>
      <w:r w:rsidR="00F11C04" w:rsidRPr="00F11C04">
        <w:rPr>
          <w:rFonts w:ascii="Times New Roman" w:hAnsi="Times New Roman" w:cs="Times New Roman"/>
          <w:i/>
          <w:iCs/>
        </w:rPr>
        <w:t xml:space="preserve">Foreign direct investment; macroeconomic drivers; time-series analysis; real interest rate; inflation; economic growth; exchange rate; </w:t>
      </w:r>
      <w:r w:rsidR="00F654CE" w:rsidRPr="00F11C04">
        <w:rPr>
          <w:rFonts w:ascii="Times New Roman" w:hAnsi="Times New Roman" w:cs="Times New Roman"/>
          <w:i/>
          <w:iCs/>
        </w:rPr>
        <w:t>Kenya.</w:t>
      </w:r>
    </w:p>
    <w:p w14:paraId="5B014D15" w14:textId="77777777" w:rsidR="00B37433" w:rsidRPr="00734744" w:rsidRDefault="00B37433" w:rsidP="00A059D0">
      <w:pPr>
        <w:spacing w:after="0"/>
        <w:jc w:val="both"/>
        <w:rPr>
          <w:rFonts w:ascii="Times New Roman" w:hAnsi="Times New Roman" w:cs="Times New Roman"/>
          <w:b/>
          <w:bCs/>
        </w:rPr>
      </w:pPr>
      <w:r w:rsidRPr="00734744">
        <w:rPr>
          <w:rFonts w:ascii="Times New Roman" w:hAnsi="Times New Roman" w:cs="Times New Roman"/>
          <w:b/>
          <w:bCs/>
        </w:rPr>
        <w:t>1. Introduction</w:t>
      </w:r>
    </w:p>
    <w:p w14:paraId="5BF713BE" w14:textId="77777777" w:rsidR="00B37433" w:rsidRPr="00734744" w:rsidRDefault="00B37433" w:rsidP="00A059D0">
      <w:pPr>
        <w:spacing w:after="0"/>
        <w:jc w:val="both"/>
        <w:rPr>
          <w:rFonts w:ascii="Times New Roman" w:hAnsi="Times New Roman" w:cs="Times New Roman"/>
        </w:rPr>
      </w:pPr>
      <w:r w:rsidRPr="00734744">
        <w:rPr>
          <w:rFonts w:ascii="Times New Roman" w:hAnsi="Times New Roman" w:cs="Times New Roman"/>
        </w:rPr>
        <w:t xml:space="preserve">Foreign direct investment (FDI) is an important source of external finance for developing economies. It supplements domestic savings and investment and can contribute to economic development through capital accumulation, technology transfer, improved managerial efficiency, innovation, employment creation and export-led growth. FDI can also improve foreign exchange reserves and the balance of payments of host countries (Pilarska, 2015; Kim, 2018). </w:t>
      </w:r>
    </w:p>
    <w:p w14:paraId="4AFC3C27" w14:textId="77777777" w:rsidR="00A059D0" w:rsidRPr="00734744" w:rsidRDefault="00A059D0" w:rsidP="00A059D0">
      <w:pPr>
        <w:spacing w:after="0"/>
        <w:jc w:val="both"/>
        <w:rPr>
          <w:rFonts w:ascii="Times New Roman" w:hAnsi="Times New Roman" w:cs="Times New Roman"/>
        </w:rPr>
      </w:pPr>
    </w:p>
    <w:p w14:paraId="30BD3631" w14:textId="14E6E06A" w:rsidR="00B37433" w:rsidRPr="00734744" w:rsidRDefault="00B37433" w:rsidP="00B37433">
      <w:pPr>
        <w:jc w:val="both"/>
        <w:rPr>
          <w:rFonts w:ascii="Times New Roman" w:hAnsi="Times New Roman" w:cs="Times New Roman"/>
        </w:rPr>
      </w:pPr>
      <w:r w:rsidRPr="00734744">
        <w:rPr>
          <w:rFonts w:ascii="Times New Roman" w:hAnsi="Times New Roman" w:cs="Times New Roman"/>
        </w:rPr>
        <w:lastRenderedPageBreak/>
        <w:t xml:space="preserve">Macroeconomic variables play an important role in determining the attractiveness of a country to foreign investors. A </w:t>
      </w:r>
      <w:r w:rsidR="00A66E58" w:rsidRPr="00734744">
        <w:rPr>
          <w:rFonts w:ascii="Times New Roman" w:hAnsi="Times New Roman" w:cs="Times New Roman"/>
        </w:rPr>
        <w:t>favourable</w:t>
      </w:r>
      <w:r w:rsidRPr="00734744">
        <w:rPr>
          <w:rFonts w:ascii="Times New Roman" w:hAnsi="Times New Roman" w:cs="Times New Roman"/>
        </w:rPr>
        <w:t xml:space="preserve"> and predictable macroeconomic environment can encourage foreign enterprises to invest, while </w:t>
      </w:r>
      <w:r w:rsidR="00A66E58" w:rsidRPr="00734744">
        <w:rPr>
          <w:rFonts w:ascii="Times New Roman" w:hAnsi="Times New Roman" w:cs="Times New Roman"/>
        </w:rPr>
        <w:t>unfavourable</w:t>
      </w:r>
      <w:r w:rsidRPr="00734744">
        <w:rPr>
          <w:rFonts w:ascii="Times New Roman" w:hAnsi="Times New Roman" w:cs="Times New Roman"/>
        </w:rPr>
        <w:t xml:space="preserve"> macroeconomic conditions may discourage investment. Interest rates, inflation, gross domestic product and exchange rates are among the macroeconomic variables that influence FDI flows (Usman &amp; Ahmad, 2018; </w:t>
      </w:r>
      <w:proofErr w:type="spellStart"/>
      <w:r w:rsidRPr="00734744">
        <w:rPr>
          <w:rFonts w:ascii="Times New Roman" w:hAnsi="Times New Roman" w:cs="Times New Roman"/>
        </w:rPr>
        <w:t>Dondashe</w:t>
      </w:r>
      <w:proofErr w:type="spellEnd"/>
      <w:r w:rsidRPr="00734744">
        <w:rPr>
          <w:rFonts w:ascii="Times New Roman" w:hAnsi="Times New Roman" w:cs="Times New Roman"/>
        </w:rPr>
        <w:t xml:space="preserve"> &amp; Phiri, 2018). </w:t>
      </w:r>
    </w:p>
    <w:p w14:paraId="18755A4F" w14:textId="77777777" w:rsidR="006C6216" w:rsidRDefault="006C6216" w:rsidP="00B37433">
      <w:pPr>
        <w:jc w:val="both"/>
        <w:rPr>
          <w:rFonts w:ascii="Times New Roman" w:hAnsi="Times New Roman" w:cs="Times New Roman"/>
        </w:rPr>
      </w:pPr>
      <w:r w:rsidRPr="006C6216">
        <w:rPr>
          <w:rFonts w:ascii="Times New Roman" w:hAnsi="Times New Roman" w:cs="Times New Roman"/>
        </w:rPr>
        <w:t>The real interest rate can influence FDI decisions through its effects on the cost of capital, expected returns, and macroeconomic stability (Faure, 2014). Investors may favour economies where real returns are attractive, while high financing costs may discourage investment (Faure, 2014). Changes in real interest rates may also affect investment expectations and the perceived risk associated with investing in a host economy (</w:t>
      </w:r>
      <w:proofErr w:type="spellStart"/>
      <w:r w:rsidRPr="006C6216">
        <w:rPr>
          <w:rFonts w:ascii="Times New Roman" w:hAnsi="Times New Roman" w:cs="Times New Roman"/>
        </w:rPr>
        <w:t>Fazira</w:t>
      </w:r>
      <w:proofErr w:type="spellEnd"/>
      <w:r w:rsidRPr="006C6216">
        <w:rPr>
          <w:rFonts w:ascii="Times New Roman" w:hAnsi="Times New Roman" w:cs="Times New Roman"/>
        </w:rPr>
        <w:t xml:space="preserve"> &amp; Cahyadin, 2018). Consequently, the direction of the relationship between the real interest rate and FDI is an empirical question that may depend on the prevailing macroeconomic conditions (</w:t>
      </w:r>
      <w:proofErr w:type="spellStart"/>
      <w:r w:rsidRPr="006C6216">
        <w:rPr>
          <w:rFonts w:ascii="Times New Roman" w:hAnsi="Times New Roman" w:cs="Times New Roman"/>
        </w:rPr>
        <w:t>Fazira</w:t>
      </w:r>
      <w:proofErr w:type="spellEnd"/>
      <w:r w:rsidRPr="006C6216">
        <w:rPr>
          <w:rFonts w:ascii="Times New Roman" w:hAnsi="Times New Roman" w:cs="Times New Roman"/>
        </w:rPr>
        <w:t xml:space="preserve"> &amp; Cahyadin, 2018).</w:t>
      </w:r>
    </w:p>
    <w:p w14:paraId="2F87DFC1" w14:textId="70195F99"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In Kenya, interest rates have fluctuated considerably over the study period. </w:t>
      </w:r>
      <w:r w:rsidR="001D23C2" w:rsidRPr="001D23C2">
        <w:rPr>
          <w:rFonts w:ascii="Times New Roman" w:hAnsi="Times New Roman" w:cs="Times New Roman"/>
        </w:rPr>
        <w:t>Kenya's real interest rate has fluctuated considerably over time, reflecting changes in monetary conditions, inflation and the cost of capital. Such fluctuations may influence investors' expected returns and financing decisions and therefore have implications for FDI inflows</w:t>
      </w:r>
      <w:r w:rsidRPr="00734744">
        <w:rPr>
          <w:rFonts w:ascii="Times New Roman" w:hAnsi="Times New Roman" w:cs="Times New Roman"/>
        </w:rPr>
        <w:t xml:space="preserve"> (KNBS Report, 2020). </w:t>
      </w:r>
    </w:p>
    <w:p w14:paraId="0A9FAAFC" w14:textId="364BBFE6"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Inflation is another important macroeconomic variable affecting FDI. It represents the general increase in prices of commodities and services and consequently reduces the purchasing power of a currency. Inflation can delay economic growth, reduce welfare and deter FDI inflows because foreign corporations consider the inflation environment when making investment decisions. Lower inflation can support productivity and facilitate trade, thereby creating a more </w:t>
      </w:r>
      <w:r w:rsidR="00A66E58" w:rsidRPr="00734744">
        <w:rPr>
          <w:rFonts w:ascii="Times New Roman" w:hAnsi="Times New Roman" w:cs="Times New Roman"/>
        </w:rPr>
        <w:t>favourable</w:t>
      </w:r>
      <w:r w:rsidRPr="00734744">
        <w:rPr>
          <w:rFonts w:ascii="Times New Roman" w:hAnsi="Times New Roman" w:cs="Times New Roman"/>
        </w:rPr>
        <w:t xml:space="preserve"> environment for foreign firms, whereas increasing inflation may encourage capital flight and discourage potential investors (Paul &amp; Sharma, 2019). </w:t>
      </w:r>
    </w:p>
    <w:p w14:paraId="2A6F3E0B" w14:textId="77777777"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Kenya has experienced substantial fluctuations in inflation over time. The inflation rate increased from 0.70% in 1963 to a high of 45.98% in 1993. It subsequently fluctuated, increasing from 3.96% in 2010 to 8.01% in 2017 before declining to 4.69% in 2018 and standing at 5.2% in 2019. These fluctuations indicate instability in general prices, with implications for FDI flows (Bendi &amp; Pany, 2017). </w:t>
      </w:r>
    </w:p>
    <w:p w14:paraId="08AC0431" w14:textId="5217B53C" w:rsidR="00B37433" w:rsidRPr="00734744" w:rsidRDefault="0015143C" w:rsidP="00B37433">
      <w:pPr>
        <w:jc w:val="both"/>
        <w:rPr>
          <w:rFonts w:ascii="Times New Roman" w:hAnsi="Times New Roman" w:cs="Times New Roman"/>
        </w:rPr>
      </w:pPr>
      <w:r w:rsidRPr="0015143C">
        <w:rPr>
          <w:rFonts w:ascii="Times New Roman" w:hAnsi="Times New Roman" w:cs="Times New Roman"/>
        </w:rPr>
        <w:t xml:space="preserve">Economic growth reflects the expansion of an economy's production of goods and services and is commonly measured using the growth rate of real gross domestic product (GDP). Sustained economic growth can signal expanding markets, improving productive capacity and stronger investment opportunities, which may increase a country's attractiveness to foreign investors (Church, 2016; </w:t>
      </w:r>
      <w:proofErr w:type="spellStart"/>
      <w:r w:rsidRPr="0015143C">
        <w:rPr>
          <w:rFonts w:ascii="Times New Roman" w:hAnsi="Times New Roman" w:cs="Times New Roman"/>
        </w:rPr>
        <w:t>FoEh</w:t>
      </w:r>
      <w:proofErr w:type="spellEnd"/>
      <w:r w:rsidRPr="0015143C">
        <w:rPr>
          <w:rFonts w:ascii="Times New Roman" w:hAnsi="Times New Roman" w:cs="Times New Roman"/>
        </w:rPr>
        <w:t xml:space="preserve"> et al., 2020</w:t>
      </w:r>
      <w:r w:rsidR="001D23C2" w:rsidRPr="0015143C">
        <w:rPr>
          <w:rFonts w:ascii="Times New Roman" w:hAnsi="Times New Roman" w:cs="Times New Roman"/>
        </w:rPr>
        <w:t>).</w:t>
      </w:r>
      <w:r w:rsidR="001D23C2">
        <w:rPr>
          <w:rFonts w:ascii="Times New Roman" w:hAnsi="Times New Roman" w:cs="Times New Roman"/>
        </w:rPr>
        <w:t xml:space="preserve"> Real</w:t>
      </w:r>
      <w:r>
        <w:rPr>
          <w:rFonts w:ascii="Times New Roman" w:hAnsi="Times New Roman" w:cs="Times New Roman"/>
        </w:rPr>
        <w:t xml:space="preserve"> </w:t>
      </w:r>
      <w:r w:rsidR="001D23C2">
        <w:rPr>
          <w:rFonts w:ascii="Times New Roman" w:hAnsi="Times New Roman" w:cs="Times New Roman"/>
        </w:rPr>
        <w:t xml:space="preserve">interest </w:t>
      </w:r>
      <w:r w:rsidR="001D23C2" w:rsidRPr="00734744">
        <w:rPr>
          <w:rFonts w:ascii="Times New Roman" w:hAnsi="Times New Roman" w:cs="Times New Roman"/>
        </w:rPr>
        <w:t>international</w:t>
      </w:r>
      <w:r w:rsidR="00B37433" w:rsidRPr="00734744">
        <w:rPr>
          <w:rFonts w:ascii="Times New Roman" w:hAnsi="Times New Roman" w:cs="Times New Roman"/>
        </w:rPr>
        <w:t xml:space="preserve"> investors may use GDP as an indicator of a country's productivity when determining whether to invest in an economy (</w:t>
      </w:r>
      <w:proofErr w:type="spellStart"/>
      <w:r w:rsidR="00B37433" w:rsidRPr="00734744">
        <w:rPr>
          <w:rFonts w:ascii="Times New Roman" w:hAnsi="Times New Roman" w:cs="Times New Roman"/>
        </w:rPr>
        <w:t>FoEh</w:t>
      </w:r>
      <w:proofErr w:type="spellEnd"/>
      <w:r w:rsidR="00B37433" w:rsidRPr="00734744">
        <w:rPr>
          <w:rFonts w:ascii="Times New Roman" w:hAnsi="Times New Roman" w:cs="Times New Roman"/>
        </w:rPr>
        <w:t xml:space="preserve">, Suryani, &amp; </w:t>
      </w:r>
      <w:proofErr w:type="spellStart"/>
      <w:r w:rsidR="00B37433" w:rsidRPr="00734744">
        <w:rPr>
          <w:rFonts w:ascii="Times New Roman" w:hAnsi="Times New Roman" w:cs="Times New Roman"/>
        </w:rPr>
        <w:t>Silpama</w:t>
      </w:r>
      <w:proofErr w:type="spellEnd"/>
      <w:r w:rsidR="00B37433" w:rsidRPr="00734744">
        <w:rPr>
          <w:rFonts w:ascii="Times New Roman" w:hAnsi="Times New Roman" w:cs="Times New Roman"/>
        </w:rPr>
        <w:t xml:space="preserve">, 2020). </w:t>
      </w:r>
    </w:p>
    <w:p w14:paraId="4A297742" w14:textId="77777777" w:rsidR="00B37433" w:rsidRPr="00734744" w:rsidRDefault="00B37433" w:rsidP="00B37433">
      <w:pPr>
        <w:jc w:val="both"/>
        <w:rPr>
          <w:rFonts w:ascii="Times New Roman" w:hAnsi="Times New Roman" w:cs="Times New Roman"/>
        </w:rPr>
      </w:pPr>
      <w:r w:rsidRPr="00734744">
        <w:rPr>
          <w:rFonts w:ascii="Times New Roman" w:hAnsi="Times New Roman" w:cs="Times New Roman"/>
        </w:rPr>
        <w:lastRenderedPageBreak/>
        <w:t xml:space="preserve">Economic growth in Kenya has also fluctuated over the study period. The growth rate was approximately 5.7% in 2013, declined to 5.3% in 2014, increased to 6.32% in 2018 and subsequently declined to approximately 5.37% in 2019. Such fluctuations have implications for FDI inflow trends (Ho &amp; Rashid, 2019). </w:t>
      </w:r>
    </w:p>
    <w:p w14:paraId="33D1064E" w14:textId="583636E8"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Exchange rates constitute another important determinant of FDI. An exchange rate represents the domestic currency price of a foreign currency and can influence both the amount of FDI undertaken and the allocation of investment expenditure across countries (Linda &amp; </w:t>
      </w:r>
      <w:proofErr w:type="spellStart"/>
      <w:r w:rsidRPr="00734744">
        <w:rPr>
          <w:rFonts w:ascii="Times New Roman" w:hAnsi="Times New Roman" w:cs="Times New Roman"/>
        </w:rPr>
        <w:t>Kolstard</w:t>
      </w:r>
      <w:proofErr w:type="spellEnd"/>
      <w:r w:rsidRPr="00734744">
        <w:rPr>
          <w:rFonts w:ascii="Times New Roman" w:hAnsi="Times New Roman" w:cs="Times New Roman"/>
        </w:rPr>
        <w:t xml:space="preserve">, 2015). Currency depreciation may reduce wages and production costs relative to foreign counterparts and can enhance the locational attractiveness of a country for productive investment by improving the expected rate of return to foreign investors (Cushman &amp; De Vita, 2017). </w:t>
      </w:r>
    </w:p>
    <w:p w14:paraId="74EBA451" w14:textId="4EFBD757"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importance of FDI has increased globally because foreign capital complements domestic savings and can contribute to development and productivity. FDI can facilitate technological exchange between developing and developed countries and consequently contribute to economic growth (</w:t>
      </w:r>
      <w:proofErr w:type="spellStart"/>
      <w:r w:rsidRPr="00734744">
        <w:rPr>
          <w:rFonts w:ascii="Times New Roman" w:hAnsi="Times New Roman" w:cs="Times New Roman"/>
        </w:rPr>
        <w:t>Gnangnon</w:t>
      </w:r>
      <w:proofErr w:type="spellEnd"/>
      <w:r w:rsidRPr="00734744">
        <w:rPr>
          <w:rFonts w:ascii="Times New Roman" w:hAnsi="Times New Roman" w:cs="Times New Roman"/>
        </w:rPr>
        <w:t xml:space="preserve">, 2017). </w:t>
      </w:r>
    </w:p>
    <w:p w14:paraId="124F675F" w14:textId="77777777" w:rsidR="0015143C" w:rsidRDefault="0015143C" w:rsidP="00B37433">
      <w:pPr>
        <w:jc w:val="both"/>
        <w:rPr>
          <w:rFonts w:ascii="Times New Roman" w:hAnsi="Times New Roman" w:cs="Times New Roman"/>
        </w:rPr>
      </w:pPr>
      <w:r w:rsidRPr="0015143C">
        <w:rPr>
          <w:rFonts w:ascii="Times New Roman" w:hAnsi="Times New Roman" w:cs="Times New Roman"/>
        </w:rPr>
        <w:t>Global FDI flows have experienced considerable fluctuations. Global FDI inflows declined from US$1.87 trillion in 2016 to US$1.43 trillion in 2017, while the United Nations Conference on Trade and Development reported a further decline to approximately US$1.3 trillion in 2018 (Bond, 2019).</w:t>
      </w:r>
    </w:p>
    <w:p w14:paraId="4D90C441" w14:textId="5B8B83E2"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The Kenyan experience has similarly been characterized by fluctuations in FDI inflows. Kenya was a </w:t>
      </w:r>
      <w:r w:rsidR="00A31F19" w:rsidRPr="00734744">
        <w:rPr>
          <w:rFonts w:ascii="Times New Roman" w:hAnsi="Times New Roman" w:cs="Times New Roman"/>
        </w:rPr>
        <w:t>favourable</w:t>
      </w:r>
      <w:r w:rsidRPr="00734744">
        <w:rPr>
          <w:rFonts w:ascii="Times New Roman" w:hAnsi="Times New Roman" w:cs="Times New Roman"/>
        </w:rPr>
        <w:t xml:space="preserve"> destination for foreign direct investment in the East African region from the 1960s through the 1980s. FDI inflows averaged approximately US$106 million annually between 2000 and 2009, although </w:t>
      </w:r>
      <w:r w:rsidR="00A31F19" w:rsidRPr="00734744">
        <w:rPr>
          <w:rFonts w:ascii="Times New Roman" w:hAnsi="Times New Roman" w:cs="Times New Roman"/>
        </w:rPr>
        <w:t>neighbouring</w:t>
      </w:r>
      <w:r w:rsidRPr="00734744">
        <w:rPr>
          <w:rFonts w:ascii="Times New Roman" w:hAnsi="Times New Roman" w:cs="Times New Roman"/>
        </w:rPr>
        <w:t xml:space="preserve"> Tanzania and Uganda attracted higher inflows during the same period. Despite government efforts to create </w:t>
      </w:r>
      <w:r w:rsidR="00A31F19" w:rsidRPr="00734744">
        <w:rPr>
          <w:rFonts w:ascii="Times New Roman" w:hAnsi="Times New Roman" w:cs="Times New Roman"/>
        </w:rPr>
        <w:t>favourable</w:t>
      </w:r>
      <w:r w:rsidRPr="00734744">
        <w:rPr>
          <w:rFonts w:ascii="Times New Roman" w:hAnsi="Times New Roman" w:cs="Times New Roman"/>
        </w:rPr>
        <w:t xml:space="preserve"> policies and promote industrialization and investment, FDI inflows continued to fluctuate. Between 2010 and 2019, FDI averaged approximately US$1.3 billion annually, but inflows declined from US$1.6 billion in 2018 to US$1.3 billion in 2019, an 18% decline (</w:t>
      </w:r>
      <w:r w:rsidR="00280A29" w:rsidRPr="00280A29">
        <w:rPr>
          <w:rFonts w:ascii="Times New Roman" w:hAnsi="Times New Roman" w:cs="Times New Roman"/>
          <w:color w:val="000000" w:themeColor="text1"/>
        </w:rPr>
        <w:t>Cheelo,</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2018). </w:t>
      </w:r>
    </w:p>
    <w:p w14:paraId="45C5D69E" w14:textId="560F4994"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decline in FDI is important because FDI inflows provide resources that can contribute to economic growth and long-term development. Kenya has implemented several economic reforms, including infrastructure development and public-private partnerships under the Vision 2030 framework, with the objective of creating a conducive environment for foreign investors (</w:t>
      </w:r>
      <w:r w:rsidR="00222835">
        <w:rPr>
          <w:rFonts w:ascii="Times New Roman" w:hAnsi="Times New Roman" w:cs="Times New Roman"/>
        </w:rPr>
        <w:t>Achieng</w:t>
      </w:r>
      <w:r w:rsidRPr="00734744">
        <w:rPr>
          <w:rFonts w:ascii="Times New Roman" w:hAnsi="Times New Roman" w:cs="Times New Roman"/>
        </w:rPr>
        <w:t>, 201</w:t>
      </w:r>
      <w:r w:rsidR="00222835">
        <w:rPr>
          <w:rFonts w:ascii="Times New Roman" w:hAnsi="Times New Roman" w:cs="Times New Roman"/>
        </w:rPr>
        <w:t>8</w:t>
      </w:r>
      <w:r w:rsidRPr="00734744">
        <w:rPr>
          <w:rFonts w:ascii="Times New Roman" w:hAnsi="Times New Roman" w:cs="Times New Roman"/>
        </w:rPr>
        <w:t xml:space="preserve">). Nevertheless, FDI inflows have remained lower than those of some </w:t>
      </w:r>
      <w:r w:rsidR="00A31F19" w:rsidRPr="00734744">
        <w:rPr>
          <w:rFonts w:ascii="Times New Roman" w:hAnsi="Times New Roman" w:cs="Times New Roman"/>
        </w:rPr>
        <w:t>neighbouring</w:t>
      </w:r>
      <w:r w:rsidRPr="00734744">
        <w:rPr>
          <w:rFonts w:ascii="Times New Roman" w:hAnsi="Times New Roman" w:cs="Times New Roman"/>
        </w:rPr>
        <w:t xml:space="preserve"> East African economies. In 2019, Kenya's FDI inflows stood at US$1.3 billion compared with US$1.6 billion in 2018 (</w:t>
      </w:r>
      <w:r w:rsidR="00280A29">
        <w:rPr>
          <w:rFonts w:ascii="Times New Roman" w:hAnsi="Times New Roman" w:cs="Times New Roman"/>
        </w:rPr>
        <w:t>Ouma</w:t>
      </w:r>
      <w:r w:rsidRPr="00734744">
        <w:rPr>
          <w:rFonts w:ascii="Times New Roman" w:hAnsi="Times New Roman" w:cs="Times New Roman"/>
        </w:rPr>
        <w:t>, 202</w:t>
      </w:r>
      <w:r w:rsidR="00280A29">
        <w:rPr>
          <w:rFonts w:ascii="Times New Roman" w:hAnsi="Times New Roman" w:cs="Times New Roman"/>
        </w:rPr>
        <w:t>1</w:t>
      </w:r>
      <w:r w:rsidRPr="00734744">
        <w:rPr>
          <w:rFonts w:ascii="Times New Roman" w:hAnsi="Times New Roman" w:cs="Times New Roman"/>
        </w:rPr>
        <w:t xml:space="preserve">). </w:t>
      </w:r>
    </w:p>
    <w:p w14:paraId="678C1E9E" w14:textId="77777777" w:rsidR="001D23C2" w:rsidRDefault="001D23C2" w:rsidP="00B37433">
      <w:pPr>
        <w:jc w:val="both"/>
        <w:rPr>
          <w:rFonts w:ascii="Times New Roman" w:hAnsi="Times New Roman" w:cs="Times New Roman"/>
        </w:rPr>
      </w:pPr>
      <w:r w:rsidRPr="001D23C2">
        <w:rPr>
          <w:rFonts w:ascii="Times New Roman" w:hAnsi="Times New Roman" w:cs="Times New Roman"/>
        </w:rPr>
        <w:t xml:space="preserve">The continued fluctuations in FDI inflows despite policy interventions raise questions about the role of Kenya's macroeconomic environment in attracting and retaining foreign investment. Previous empirical studies have examined the relationship between individual macroeconomic variables and FDI in Kenya and other economies, but their findings remain mixed. Differences in </w:t>
      </w:r>
      <w:r w:rsidRPr="001D23C2">
        <w:rPr>
          <w:rFonts w:ascii="Times New Roman" w:hAnsi="Times New Roman" w:cs="Times New Roman"/>
        </w:rPr>
        <w:lastRenderedPageBreak/>
        <w:t>study periods, variables and econometric approaches make it difficult to draw a consistent conclusion about the macroeconomic conditions associated with FDI in Kenya. Moreover, relatively few studies examine these relationships over a long historical period using a consistent time-series framework. This study therefore examines the effects of real interest rate, inflation, economic growth and exchange rate on FDI in Kenya using annual data covering 1966–2019.</w:t>
      </w:r>
    </w:p>
    <w:p w14:paraId="393ABDA9" w14:textId="668AD224" w:rsidR="00B37433" w:rsidRPr="00734744" w:rsidRDefault="001D23C2" w:rsidP="00B37433">
      <w:pPr>
        <w:jc w:val="both"/>
        <w:rPr>
          <w:rFonts w:ascii="Times New Roman" w:hAnsi="Times New Roman" w:cs="Times New Roman"/>
        </w:rPr>
      </w:pPr>
      <w:r w:rsidRPr="001D23C2">
        <w:rPr>
          <w:rFonts w:ascii="Times New Roman" w:hAnsi="Times New Roman" w:cs="Times New Roman"/>
        </w:rPr>
        <w:t>The study examined the effects of selected macroeconomic variables on foreign direct investment in Kenya. Specifically, it examined the effects of real interest rate, inflation, economic growth and exchange rate on FDI in Kenya.</w:t>
      </w:r>
      <w:r w:rsidR="00B37433" w:rsidRPr="00734744">
        <w:rPr>
          <w:rFonts w:ascii="Times New Roman" w:hAnsi="Times New Roman" w:cs="Times New Roman"/>
        </w:rPr>
        <w:t xml:space="preserve"> </w:t>
      </w:r>
    </w:p>
    <w:p w14:paraId="3EDAC9CE" w14:textId="5E489234" w:rsidR="001F0F12" w:rsidRDefault="001D23C2" w:rsidP="00B37433">
      <w:pPr>
        <w:jc w:val="both"/>
        <w:rPr>
          <w:rFonts w:ascii="Times New Roman" w:hAnsi="Times New Roman" w:cs="Times New Roman"/>
        </w:rPr>
      </w:pPr>
      <w:r w:rsidRPr="001D23C2">
        <w:rPr>
          <w:rFonts w:ascii="Times New Roman" w:hAnsi="Times New Roman" w:cs="Times New Roman"/>
        </w:rPr>
        <w:t>The study contributes to the empirical understanding of the relationship between macroeconomic conditions and FDI in Kenya by examining the selected variables within a 54-year time-series framework. The findings provide evidence that can inform macroeconomic policies aimed at strengthening Kenya's attractiveness to foreign investors and supporting sustained investment and economic growth.</w:t>
      </w:r>
    </w:p>
    <w:p w14:paraId="0629648F" w14:textId="47F7EFE3" w:rsidR="006022E0" w:rsidRDefault="006022E0" w:rsidP="00B37433">
      <w:pPr>
        <w:jc w:val="both"/>
        <w:rPr>
          <w:rFonts w:ascii="Times New Roman" w:hAnsi="Times New Roman" w:cs="Times New Roman"/>
        </w:rPr>
      </w:pPr>
      <w:r w:rsidRPr="006022E0">
        <w:rPr>
          <w:rFonts w:ascii="Times New Roman" w:hAnsi="Times New Roman" w:cs="Times New Roman"/>
        </w:rPr>
        <w:t>By applying co-integration and error-correction modelling to a long-horizon dataset, this study contributes to the empirical literature by clarifying both the dynamic short-term adjustments and stable long-run equilibrium relationships between macroeconomic drivers and FDI. The resulting empirical insights offer actionable evidence to guide policymakers in formulating targeted macroeconomic policies, maintaining price and exchange-rate stability, and strengthening Kenya’s competitive position as an investment hub in Sub-Saharan Africa.</w:t>
      </w:r>
    </w:p>
    <w:p w14:paraId="4DA6D537" w14:textId="77777777" w:rsidR="006022E0" w:rsidRPr="00734744" w:rsidRDefault="006022E0" w:rsidP="00B37433">
      <w:pPr>
        <w:jc w:val="both"/>
        <w:rPr>
          <w:rFonts w:ascii="Times New Roman" w:hAnsi="Times New Roman" w:cs="Times New Roman"/>
        </w:rPr>
      </w:pPr>
    </w:p>
    <w:p w14:paraId="223C9C19"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 LITERATURE REVIEW</w:t>
      </w:r>
    </w:p>
    <w:p w14:paraId="0A3D24A2"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2.1 Theoretical Review</w:t>
      </w:r>
    </w:p>
    <w:p w14:paraId="66B3122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2.1.1 Eclectic Paradigm Theory</w:t>
      </w:r>
    </w:p>
    <w:p w14:paraId="7ECC1797" w14:textId="5159D58E"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The Eclectic Paradigm Theory, developed by Dunning, provides a broad framework for explaining foreign direct investment through ownership, location and internalization advantages. The theory proposes that firms are more likely to undertake FDI when the advantages of investing abroad outweigh the costs associated with operating in a foreign market. The location component is particularly relevant to the present study because host-country characteristics, including low-cost labour and raw materials, taxation, tariffs and availability of skilled labour, can influence the attractiveness of a country as an investment destination (Dunning, 2001). </w:t>
      </w:r>
    </w:p>
    <w:p w14:paraId="3E141A36" w14:textId="77777777" w:rsidR="00226E13" w:rsidRPr="00734744" w:rsidRDefault="00226E13" w:rsidP="00226E13">
      <w:pPr>
        <w:spacing w:after="0"/>
        <w:jc w:val="both"/>
        <w:rPr>
          <w:rFonts w:ascii="Times New Roman" w:hAnsi="Times New Roman" w:cs="Times New Roman"/>
        </w:rPr>
      </w:pPr>
    </w:p>
    <w:p w14:paraId="76B1E93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The theory is relevant to the present study because the macroeconomic environment forms part of the location conditions considered by foreign investors. Interest rates, inflation, economic growth and exchange-rate conditions can influence the expected profitability and risks associated with investing in a host country. The Eclectic Paradigm therefore provides a useful theoretical basis for examining how selected macroeconomic conditions influence FDI in Kenya. The thesis further </w:t>
      </w:r>
      <w:r w:rsidRPr="00734744">
        <w:rPr>
          <w:rFonts w:ascii="Times New Roman" w:hAnsi="Times New Roman" w:cs="Times New Roman"/>
        </w:rPr>
        <w:lastRenderedPageBreak/>
        <w:t xml:space="preserve">notes that the theory links firm-level considerations with the broader macroeconomic environment of international production (Dunning, 1988a). </w:t>
      </w:r>
    </w:p>
    <w:p w14:paraId="224E1D9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2.1.2 Neoclassical Trade Theory</w:t>
      </w:r>
    </w:p>
    <w:p w14:paraId="29D1B52C" w14:textId="3F256C0C" w:rsidR="001F0F12" w:rsidRPr="00734744" w:rsidRDefault="001F0F12" w:rsidP="00226E13">
      <w:pPr>
        <w:spacing w:after="0"/>
        <w:jc w:val="both"/>
        <w:rPr>
          <w:rFonts w:ascii="Times New Roman" w:hAnsi="Times New Roman" w:cs="Times New Roman"/>
        </w:rPr>
      </w:pPr>
      <w:r w:rsidRPr="00734744">
        <w:rPr>
          <w:rFonts w:ascii="Times New Roman" w:hAnsi="Times New Roman" w:cs="Times New Roman"/>
        </w:rPr>
        <w:t>Neoclassical Trade Theory explains international capital movements in terms of differences in rates of return between countries. Capital is expected to move from countries with relatively lower returns to countries where higher returns can be obtained. The theory therefore provides a basis for understanding why differences in macroeconomic conditions may influence international investment decisions. Foreign direct investment is affected by factors such as fiscal policies, the quality of the investment environment and the general direction of a country's macroeconomic policies (</w:t>
      </w:r>
      <w:r w:rsidR="00280A29" w:rsidRPr="00280A29">
        <w:rPr>
          <w:rFonts w:ascii="Times New Roman" w:hAnsi="Times New Roman" w:cs="Times New Roman"/>
          <w:color w:val="000000" w:themeColor="text1"/>
        </w:rPr>
        <w:t>Ullah</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&amp; Khan, 2017).</w:t>
      </w:r>
    </w:p>
    <w:p w14:paraId="6D201CDE"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theory is relevant to this study because interest rates, inflation, economic growth and exchange rates can influence expected returns and the security of investments. Differences in these conditions across countries may therefore influence the allocation of international capital.</w:t>
      </w:r>
    </w:p>
    <w:p w14:paraId="04006038"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2.1.3 Internalization Theory</w:t>
      </w:r>
    </w:p>
    <w:p w14:paraId="1D7809A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Internalization Theory explains the motivation of multinational enterprises to undertake FDI by emphasizing the advantages of conducting activities internally rather than relying on external markets. The theory originated from the work of Buckley and Casson and was subsequently developed by scholars including Hennart, Casson and Hymer. Hymer (1976) emphasized firm-specific advantages and the costs associated with operating in foreign markets. </w:t>
      </w:r>
    </w:p>
    <w:p w14:paraId="3FB85BF5" w14:textId="77777777" w:rsidR="00226E13" w:rsidRPr="00734744" w:rsidRDefault="00226E13" w:rsidP="00226E13">
      <w:pPr>
        <w:spacing w:after="0"/>
        <w:jc w:val="both"/>
        <w:rPr>
          <w:rFonts w:ascii="Times New Roman" w:hAnsi="Times New Roman" w:cs="Times New Roman"/>
        </w:rPr>
      </w:pPr>
    </w:p>
    <w:p w14:paraId="2117262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Internalization provides a useful perspective for understanding FDI because multinational corporations consider the costs, risks and advantages associated with operating in foreign markets. The macroeconomic environment of the host country can therefore influence the decision to internalize activities through FDI.</w:t>
      </w:r>
    </w:p>
    <w:p w14:paraId="10209CBD"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2.1.4 Interest Rate Parity Theory</w:t>
      </w:r>
    </w:p>
    <w:p w14:paraId="4E29B2F6" w14:textId="45024FE7" w:rsidR="001F0F12" w:rsidRDefault="001F0F12" w:rsidP="00226E13">
      <w:pPr>
        <w:spacing w:after="0"/>
        <w:jc w:val="both"/>
        <w:rPr>
          <w:rFonts w:ascii="Times New Roman" w:hAnsi="Times New Roman" w:cs="Times New Roman"/>
        </w:rPr>
      </w:pPr>
      <w:r w:rsidRPr="00734744">
        <w:rPr>
          <w:rFonts w:ascii="Times New Roman" w:hAnsi="Times New Roman" w:cs="Times New Roman"/>
        </w:rPr>
        <w:t>Interest Rate Parity Theory explains the relationship between interest rates and exchange rates in international financial markets. The theory is based on the principle that comparable assets should yield similar returns when expressed in a common currency under equilibrium conditions. Differences between domestic and foreign interest rates are therefore associated with movements in exchange rates (</w:t>
      </w:r>
      <w:r w:rsidR="00280A29" w:rsidRPr="00280A29">
        <w:rPr>
          <w:rFonts w:ascii="Times New Roman" w:hAnsi="Times New Roman" w:cs="Times New Roman"/>
          <w:color w:val="000000" w:themeColor="text1"/>
        </w:rPr>
        <w:t>Dornbusch, 2019).</w:t>
      </w:r>
      <w:r w:rsidRPr="00734744">
        <w:rPr>
          <w:rFonts w:ascii="Times New Roman" w:hAnsi="Times New Roman" w:cs="Times New Roman"/>
        </w:rPr>
        <w:t xml:space="preserve">). </w:t>
      </w:r>
    </w:p>
    <w:p w14:paraId="2330C191" w14:textId="77777777" w:rsidR="00226E13" w:rsidRPr="00734744" w:rsidRDefault="00226E13" w:rsidP="00226E13">
      <w:pPr>
        <w:spacing w:after="0"/>
        <w:jc w:val="both"/>
        <w:rPr>
          <w:rFonts w:ascii="Times New Roman" w:hAnsi="Times New Roman" w:cs="Times New Roman"/>
        </w:rPr>
      </w:pPr>
    </w:p>
    <w:p w14:paraId="30C358F7"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theory is relevant to this study because both interest rates and exchange rates are among the selected macroeconomic variables examined in relation to FDI. Changes in domestic interest rates relative to international rates can affect expected returns on international assets and consequently influence the allocation of foreign capital.</w:t>
      </w:r>
    </w:p>
    <w:p w14:paraId="5138CE27"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2.1.5 International Fisher Effect Theory</w:t>
      </w:r>
    </w:p>
    <w:p w14:paraId="0B498085" w14:textId="7F9A1FBD"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The International Fisher Effect explains the relationship between interest rates, inflation and exchange rates. The theory proposes that differences in interest rates across countries are </w:t>
      </w:r>
      <w:r w:rsidRPr="00734744">
        <w:rPr>
          <w:rFonts w:ascii="Times New Roman" w:hAnsi="Times New Roman" w:cs="Times New Roman"/>
        </w:rPr>
        <w:lastRenderedPageBreak/>
        <w:t>associated with expected changes in exchange rates, while nominal interest rates incorporate real returns and inflation expectations. High interest rates may therefore be associated with expectations of currency depreciation where they reflect high inflation (</w:t>
      </w:r>
      <w:r w:rsidR="00280A29" w:rsidRPr="00280A29">
        <w:rPr>
          <w:rFonts w:ascii="Times New Roman" w:hAnsi="Times New Roman" w:cs="Times New Roman"/>
          <w:color w:val="000000" w:themeColor="text1"/>
        </w:rPr>
        <w:t>Egilsson, 2020).</w:t>
      </w:r>
    </w:p>
    <w:p w14:paraId="6E35FF7F" w14:textId="77777777" w:rsidR="00226E13" w:rsidRPr="00734744" w:rsidRDefault="00226E13" w:rsidP="00226E13">
      <w:pPr>
        <w:spacing w:after="0"/>
        <w:jc w:val="both"/>
        <w:rPr>
          <w:rFonts w:ascii="Times New Roman" w:hAnsi="Times New Roman" w:cs="Times New Roman"/>
        </w:rPr>
      </w:pPr>
    </w:p>
    <w:p w14:paraId="7A6D4B1F" w14:textId="28C2893F" w:rsidR="00734744" w:rsidRDefault="001F0F12" w:rsidP="00226E13">
      <w:pPr>
        <w:jc w:val="both"/>
        <w:rPr>
          <w:rFonts w:ascii="Times New Roman" w:hAnsi="Times New Roman" w:cs="Times New Roman"/>
        </w:rPr>
      </w:pPr>
      <w:r w:rsidRPr="00734744">
        <w:rPr>
          <w:rFonts w:ascii="Times New Roman" w:hAnsi="Times New Roman" w:cs="Times New Roman"/>
        </w:rPr>
        <w:t>The theory is particularly relevant to the present study because it connects three of the selected macroeconomic variables: interest rates, inflation and exchange rates, and provides a theoretical basis for examining their potential implications for international investment decisions.</w:t>
      </w:r>
    </w:p>
    <w:p w14:paraId="79491916" w14:textId="77777777" w:rsidR="00B956CE" w:rsidRDefault="00B956CE" w:rsidP="00226E13">
      <w:pPr>
        <w:jc w:val="both"/>
        <w:rPr>
          <w:rFonts w:ascii="Times New Roman" w:hAnsi="Times New Roman" w:cs="Times New Roman"/>
        </w:rPr>
      </w:pPr>
    </w:p>
    <w:p w14:paraId="45D37915" w14:textId="77777777" w:rsidR="00530B02" w:rsidRPr="00530B02" w:rsidRDefault="00530B02" w:rsidP="00530B02">
      <w:pPr>
        <w:jc w:val="both"/>
        <w:rPr>
          <w:rFonts w:ascii="Times New Roman" w:hAnsi="Times New Roman" w:cs="Times New Roman"/>
          <w:lang w:val="en-US"/>
        </w:rPr>
      </w:pPr>
      <w:r w:rsidRPr="00530B02">
        <w:rPr>
          <w:rFonts w:ascii="Times New Roman" w:hAnsi="Times New Roman" w:cs="Times New Roman"/>
          <w:b/>
          <w:bCs/>
          <w:lang w:val="en-US"/>
        </w:rPr>
        <w:t>2.2 Conceptual Framework</w:t>
      </w:r>
    </w:p>
    <w:p w14:paraId="3113B017" w14:textId="7F922354" w:rsidR="00B956CE" w:rsidRPr="00530B02" w:rsidRDefault="00530B02" w:rsidP="00226E13">
      <w:pPr>
        <w:jc w:val="both"/>
        <w:rPr>
          <w:rFonts w:ascii="Times New Roman" w:hAnsi="Times New Roman" w:cs="Times New Roman"/>
          <w:lang w:val="en-US"/>
        </w:rPr>
      </w:pPr>
      <w:r w:rsidRPr="00530B02">
        <w:rPr>
          <w:rFonts w:ascii="Times New Roman" w:hAnsi="Times New Roman" w:cs="Times New Roman"/>
          <w:lang w:val="en-US"/>
        </w:rPr>
        <w:t>The conceptual framework illustrates the proposed relationship between selected macroeconomic drivers and foreign direct investment in Kenya. The framework conceptualizes real interest rate, inflation rate, economic growth and exchange rate as key macroeconomic conditions that shape the attractiveness of Kenya as a destination for foreign investment. Foreign direct investment represents the outcome variable. The framework is consistent with the study's theoretical foundations, particularly the Eclectic Paradigm, which emphasizes host-country location conditions in determining international investment decisions.</w:t>
      </w:r>
    </w:p>
    <w:p w14:paraId="4AC10877" w14:textId="06994133" w:rsidR="00B956CE" w:rsidRPr="00530B02" w:rsidRDefault="00B956CE" w:rsidP="00530B02">
      <w:pPr>
        <w:jc w:val="both"/>
        <w:rPr>
          <w:rFonts w:ascii="Times New Roman" w:hAnsi="Times New Roman" w:cs="Times New Roman"/>
        </w:rPr>
      </w:pPr>
      <w:r>
        <w:rPr>
          <w:noProof/>
          <w:sz w:val="6"/>
          <w:szCs w:val="6"/>
        </w:rPr>
        <mc:AlternateContent>
          <mc:Choice Requires="wpg">
            <w:drawing>
              <wp:anchor distT="0" distB="0" distL="114300" distR="114300" simplePos="0" relativeHeight="251659264" behindDoc="0" locked="0" layoutInCell="1" allowOverlap="1" wp14:anchorId="042FE97A" wp14:editId="698623DF">
                <wp:simplePos x="0" y="0"/>
                <wp:positionH relativeFrom="margin">
                  <wp:align>left</wp:align>
                </wp:positionH>
                <wp:positionV relativeFrom="paragraph">
                  <wp:posOffset>361950</wp:posOffset>
                </wp:positionV>
                <wp:extent cx="5264150" cy="2466975"/>
                <wp:effectExtent l="0" t="0" r="12700" b="28575"/>
                <wp:wrapTopAndBottom/>
                <wp:docPr id="12" name="Group 12"/>
                <wp:cNvGraphicFramePr/>
                <a:graphic xmlns:a="http://schemas.openxmlformats.org/drawingml/2006/main">
                  <a:graphicData uri="http://schemas.microsoft.com/office/word/2010/wordprocessingGroup">
                    <wpg:wgp>
                      <wpg:cNvGrpSpPr/>
                      <wpg:grpSpPr>
                        <a:xfrm>
                          <a:off x="0" y="0"/>
                          <a:ext cx="5264150" cy="2466975"/>
                          <a:chOff x="0" y="0"/>
                          <a:chExt cx="5264150" cy="2579370"/>
                        </a:xfrm>
                      </wpg:grpSpPr>
                      <wpg:grpSp>
                        <wpg:cNvPr id="4" name="Group 4"/>
                        <wpg:cNvGrpSpPr/>
                        <wpg:grpSpPr>
                          <a:xfrm>
                            <a:off x="0" y="0"/>
                            <a:ext cx="5264150" cy="2209491"/>
                            <a:chOff x="1" y="1"/>
                            <a:chExt cx="5264799" cy="2210109"/>
                          </a:xfrm>
                        </wpg:grpSpPr>
                        <wps:wsp>
                          <wps:cNvPr id="32" name="Text Box 32"/>
                          <wps:cNvSpPr txBox="1"/>
                          <wps:spPr>
                            <a:xfrm>
                              <a:off x="1" y="1"/>
                              <a:ext cx="2049779" cy="22101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DB98CA" w14:textId="77777777" w:rsidR="00B956CE" w:rsidRDefault="00B956CE" w:rsidP="00B956CE">
                                <w:pPr>
                                  <w:spacing w:after="0" w:line="360" w:lineRule="auto"/>
                                  <w:rPr>
                                    <w:rFonts w:eastAsia="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87630" y="106651"/>
                              <a:ext cx="5177170" cy="1973900"/>
                              <a:chOff x="-104775" y="-208831"/>
                              <a:chExt cx="5177170" cy="2003271"/>
                            </a:xfrm>
                          </wpg:grpSpPr>
                          <wps:wsp>
                            <wps:cNvPr id="7" name="Rectangle 7"/>
                            <wps:cNvSpPr/>
                            <wps:spPr>
                              <a:xfrm>
                                <a:off x="-104775" y="-208831"/>
                                <a:ext cx="1520190" cy="42790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0965" y="275449"/>
                                <a:ext cx="1516380" cy="4593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4775" y="797254"/>
                                <a:ext cx="1520190" cy="47909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04774" y="1330496"/>
                                <a:ext cx="1520190" cy="46394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419225" y="-12959"/>
                                <a:ext cx="438150" cy="0"/>
                              </a:xfrm>
                              <a:prstGeom prst="straightConnector1">
                                <a:avLst/>
                              </a:prstGeom>
                              <a:ln w="952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a:off x="1419225" y="510638"/>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7" name="Straight Arrow Connector 17"/>
                            <wps:cNvCnPr/>
                            <wps:spPr>
                              <a:xfrm>
                                <a:off x="1423036" y="1024064"/>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8" name="Rectangle 18"/>
                            <wps:cNvSpPr/>
                            <wps:spPr>
                              <a:xfrm>
                                <a:off x="3069358" y="360540"/>
                                <a:ext cx="2003037" cy="66352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a:off x="1857375" y="786172"/>
                                <a:ext cx="1211983"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grpSp>
                      </wpg:grpSp>
                      <wps:wsp>
                        <wps:cNvPr id="25" name="Straight Arrow Connector 25"/>
                        <wps:cNvCnPr/>
                        <wps:spPr>
                          <a:xfrm>
                            <a:off x="1607820" y="1844040"/>
                            <a:ext cx="409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5" name="Rectangle 5"/>
                        <wps:cNvSpPr/>
                        <wps:spPr>
                          <a:xfrm>
                            <a:off x="0" y="228600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406140" y="138684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FE97A" id="Group 12" o:spid="_x0000_s1026" style="position:absolute;left:0;text-align:left;margin-left:0;margin-top:28.5pt;width:414.5pt;height:194.25pt;z-index:251659264;mso-position-horizontal:left;mso-position-horizontal-relative:margin;mso-height-relative:margin" coordsize="52641,25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">
                <v:group id="Group 4" o:spid="_x0000_s1027" style="position:absolute;width:52641;height:22094" coordorigin="" coordsize="52647,2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2" o:spid="_x0000_s1028" type="#_x0000_t202" style="position:absolute;width:20497;height:2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19DB98CA" w14:textId="77777777" w:rsidR="00B956CE" w:rsidRDefault="00B956CE" w:rsidP="00B956CE">
                          <w:pPr>
                            <w:spacing w:after="0" w:line="360" w:lineRule="auto"/>
                            <w:rPr>
                              <w:rFonts w:eastAsia="Calibri"/>
                              <w:b/>
                            </w:rPr>
                          </w:pPr>
                        </w:p>
                      </w:txbxContent>
                    </v:textbox>
                  </v:shape>
                  <v:group id="Group 6" o:spid="_x0000_s1029" style="position:absolute;left:876;top:1066;width:51772;height:19739" coordorigin="-1047,-2088" coordsize="51771,2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1047;top:-2088;width:15201;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" fillcolor="white [3201]" strokecolor="black [3213]" strokeweight=".5pt">
                      <v:textbo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v:textbox>
                    </v:rect>
                    <v:rect id="Rectangle 8" o:spid="_x0000_s1031" style="position:absolute;left:-1009;top:2754;width:15163;height: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" fillcolor="white [3201]" strokecolor="black [3213]">
                      <v:textbo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v:textbox>
                    </v:rect>
                    <v:rect id="Rectangle 10" o:spid="_x0000_s1032" style="position:absolute;left:-1047;top:7972;width:15201;height:4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9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CFXn6RAfT6FwAA//8DAFBLAQItABQABgAIAAAAIQDb4fbL7gAAAIUBAAATAAAAAAAAAAAA&#10;AAAAAAAAAABbQ29udGVudF9UeXBlc10ueG1sUEsBAi0AFAAGAAgAAAAhAFr0LFu/AAAAFQEAAAsA&#10;AAAAAAAAAAAAAAAAHwEAAF9yZWxzLy5yZWxzUEsBAi0AFAAGAAgAAAAhACcUT73EAAAA2wAAAA8A&#10;AAAAAAAAAAAAAAAABwIAAGRycy9kb3ducmV2LnhtbFBLBQYAAAAAAwADALcAAAD4AgAAAAA=&#10;" fillcolor="white [3201]" strokecolor="black [3213]">
                      <v:textbo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v:textbox>
                    </v:rect>
                    <v:rect id="Rectangle 13" o:spid="_x0000_s1033" style="position:absolute;left:-1047;top:13304;width:15201;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" fillcolor="white [3201]" strokecolor="black [3213]">
                      <v:textbo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v:textbox>
                    </v:rect>
                    <v:shapetype id="_x0000_t32" coordsize="21600,21600" o:spt="32" o:oned="t" path="m,l21600,21600e" filled="f">
                      <v:path arrowok="t" fillok="f" o:connecttype="none"/>
                      <o:lock v:ext="edit" shapetype="t"/>
                    </v:shapetype>
                    <v:shape id="Straight Arrow Connector 15" o:spid="_x0000_s1034" type="#_x0000_t32" style="position:absolute;left:14192;top:-129;width:4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" strokecolor="black [3213]">
                      <v:stroke endarrow="block" joinstyle="miter"/>
                    </v:shape>
                    <v:shape id="Straight Arrow Connector 16" o:spid="_x0000_s1035" type="#_x0000_t32" style="position:absolute;left:14192;top:5106;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" strokecolor="windowText">
                      <v:stroke endarrow="block" joinstyle="miter"/>
                    </v:shape>
                    <v:shape id="Straight Arrow Connector 17" o:spid="_x0000_s1036" type="#_x0000_t32" style="position:absolute;left:14230;top:1024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" strokecolor="windowText">
                      <v:stroke endarrow="block" joinstyle="miter"/>
                    </v:shape>
                    <v:rect id="Rectangle 18" o:spid="_x0000_s1037" style="position:absolute;left:30693;top:3605;width:20030;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O7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AFVn6RAfT6FwAA//8DAFBLAQItABQABgAIAAAAIQDb4fbL7gAAAIUBAAATAAAAAAAAAAAA&#10;AAAAAAAAAABbQ29udGVudF9UeXBlc10ueG1sUEsBAi0AFAAGAAgAAAAhAFr0LFu/AAAAFQEAAAsA&#10;AAAAAAAAAAAAAAAAHwEAAF9yZWxzLy5yZWxzUEsBAi0AFAAGAAgAAAAhANliQ7vEAAAA2wAAAA8A&#10;AAAAAAAAAAAAAAAABwIAAGRycy9kb3ducmV2LnhtbFBLBQYAAAAAAwADALcAAAD4AgAAAAA=&#10;" fillcolor="white [3201]" strokecolor="black [3213]">
                      <v:textbo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v:textbox>
                    </v:rect>
                    <v:shape id="Straight Arrow Connector 19" o:spid="_x0000_s1038" type="#_x0000_t32" style="position:absolute;left:18573;top:7861;width:12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" strokecolor="black [3200]">
                      <v:stroke endarrow="block" joinstyle="miter"/>
                    </v:shape>
                  </v:group>
                </v:group>
                <v:shape id="Straight Arrow Connector 25" o:spid="_x0000_s1039" type="#_x0000_t32" style="position:absolute;left:16078;top:18440;width:4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E7xQAAANsAAAAPAAAAZHJzL2Rvd25yZXYueG1sRI9PawIx&#10;FMTvQr9DeAUvotkqF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Az1BE7xQAAANsAAAAP&#10;AAAAAAAAAAAAAAAAAAcCAABkcnMvZG93bnJldi54bWxQSwUGAAAAAAMAAwC3AAAA+QIAAAAA&#10;" strokecolor="windowText" strokeweight=".5pt">
                  <v:stroke endarrow="block" joinstyle="miter"/>
                </v:shape>
                <v:rect id="Rectangle 5" o:spid="_x0000_s1040" style="position:absolute;top:22860;width:17329;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" fillcolor="white [3201]" strokecolor="white [3212]" strokeweight="1pt">
                  <v:textbo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v:textbox>
                </v:rect>
                <v:rect id="Rectangle 9" o:spid="_x0000_s1041" style="position:absolute;left:34061;top:13868;width:17329;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" fillcolor="white [3201]" strokecolor="white [3212]" strokeweight="1pt">
                  <v:textbo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v:textbox>
                </v:rect>
                <w10:wrap type="topAndBottom" anchorx="margin"/>
              </v:group>
            </w:pict>
          </mc:Fallback>
        </mc:AlternateContent>
      </w:r>
    </w:p>
    <w:p w14:paraId="1D98D03E" w14:textId="6691D2BB" w:rsidR="00C27914" w:rsidRDefault="00C27914" w:rsidP="00B956CE">
      <w:pPr>
        <w:spacing w:after="0" w:line="360" w:lineRule="auto"/>
        <w:ind w:left="10"/>
        <w:rPr>
          <w:rFonts w:ascii="Times New Roman" w:hAnsi="Times New Roman" w:cs="Times New Roman"/>
          <w:color w:val="000000" w:themeColor="text1"/>
        </w:rPr>
      </w:pPr>
      <w:r w:rsidRPr="00C27914">
        <w:rPr>
          <w:rFonts w:ascii="Times New Roman" w:hAnsi="Times New Roman" w:cs="Times New Roman"/>
          <w:color w:val="000000" w:themeColor="text1"/>
        </w:rPr>
        <w:t>Source: Author's conceptualization</w:t>
      </w:r>
    </w:p>
    <w:p w14:paraId="48394C43" w14:textId="144E7E5E" w:rsidR="00B956CE" w:rsidRPr="006022E0" w:rsidRDefault="00B956CE" w:rsidP="006022E0">
      <w:pPr>
        <w:spacing w:after="0" w:line="360" w:lineRule="auto"/>
        <w:ind w:left="10"/>
        <w:rPr>
          <w:rFonts w:ascii="Times New Roman" w:hAnsi="Times New Roman" w:cs="Times New Roman"/>
          <w:color w:val="000000" w:themeColor="text1"/>
        </w:rPr>
      </w:pPr>
      <w:r w:rsidRPr="00530B02">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648BA1" wp14:editId="654D5AAE">
                <wp:simplePos x="0" y="0"/>
                <wp:positionH relativeFrom="column">
                  <wp:posOffset>2523490</wp:posOffset>
                </wp:positionH>
                <wp:positionV relativeFrom="paragraph">
                  <wp:posOffset>2752323</wp:posOffset>
                </wp:positionV>
                <wp:extent cx="19935" cy="11211"/>
                <wp:effectExtent l="0" t="0" r="37465" b="27305"/>
                <wp:wrapNone/>
                <wp:docPr id="26" name="Straight Connector 26"/>
                <wp:cNvGraphicFramePr/>
                <a:graphic xmlns:a="http://schemas.openxmlformats.org/drawingml/2006/main">
                  <a:graphicData uri="http://schemas.microsoft.com/office/word/2010/wordprocessingShape">
                    <wps:wsp>
                      <wps:cNvCnPr/>
                      <wps:spPr>
                        <a:xfrm flipV="1">
                          <a:off x="0" y="0"/>
                          <a:ext cx="19935" cy="112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66D" id="Straight Connector 2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8.7pt,216.7pt" to="200.2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" strokecolor="#4472c4 [3204]" strokeweight=".5pt">
                <v:stroke joinstyle="miter"/>
              </v:line>
            </w:pict>
          </mc:Fallback>
        </mc:AlternateContent>
      </w:r>
      <w:bookmarkStart w:id="0" w:name="_Toc106158321"/>
      <w:r w:rsidRPr="00530B02">
        <w:rPr>
          <w:rFonts w:ascii="Times New Roman" w:hAnsi="Times New Roman" w:cs="Times New Roman"/>
          <w:color w:val="000000" w:themeColor="text1"/>
        </w:rPr>
        <w:t xml:space="preserve">Figure </w:t>
      </w:r>
      <w:r w:rsidRPr="00530B02">
        <w:rPr>
          <w:rFonts w:ascii="Times New Roman" w:hAnsi="Times New Roman" w:cs="Times New Roman"/>
          <w:color w:val="000000" w:themeColor="text1"/>
        </w:rPr>
        <w:fldChar w:fldCharType="begin"/>
      </w:r>
      <w:r w:rsidRPr="00530B02">
        <w:rPr>
          <w:rFonts w:ascii="Times New Roman" w:hAnsi="Times New Roman" w:cs="Times New Roman"/>
          <w:color w:val="000000" w:themeColor="text1"/>
        </w:rPr>
        <w:instrText xml:space="preserve"> SEQ Figure \* ARABIC </w:instrText>
      </w:r>
      <w:r w:rsidRPr="00530B02">
        <w:rPr>
          <w:rFonts w:ascii="Times New Roman" w:hAnsi="Times New Roman" w:cs="Times New Roman"/>
          <w:color w:val="000000" w:themeColor="text1"/>
        </w:rPr>
        <w:fldChar w:fldCharType="separate"/>
      </w:r>
      <w:r w:rsidRPr="00530B02">
        <w:rPr>
          <w:rFonts w:ascii="Times New Roman" w:hAnsi="Times New Roman" w:cs="Times New Roman"/>
          <w:noProof/>
          <w:color w:val="000000" w:themeColor="text1"/>
        </w:rPr>
        <w:t>1</w:t>
      </w:r>
      <w:r w:rsidRPr="00530B02">
        <w:rPr>
          <w:rFonts w:ascii="Times New Roman" w:hAnsi="Times New Roman" w:cs="Times New Roman"/>
          <w:color w:val="000000" w:themeColor="text1"/>
        </w:rPr>
        <w:fldChar w:fldCharType="end"/>
      </w:r>
      <w:r w:rsidRPr="00530B02">
        <w:rPr>
          <w:rFonts w:ascii="Times New Roman" w:hAnsi="Times New Roman" w:cs="Times New Roman"/>
          <w:color w:val="000000" w:themeColor="text1"/>
        </w:rPr>
        <w:t>. Hypothesized Link between the predictor variables and predicted variable</w:t>
      </w:r>
      <w:bookmarkEnd w:id="0"/>
    </w:p>
    <w:p w14:paraId="68B51F5C" w14:textId="2BBA51CD"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 xml:space="preserve"> Empirical Review</w:t>
      </w:r>
    </w:p>
    <w:p w14:paraId="0781056F" w14:textId="438FD328"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.1 Interest Rate and Foreign Direct Investment</w:t>
      </w:r>
    </w:p>
    <w:p w14:paraId="7BBA3435"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The empirical literature presents varying evidence concerning the relationship between interest rates and FDI. The thesis reports evidence of both positive and negative relationships depending </w:t>
      </w:r>
      <w:r w:rsidRPr="00734744">
        <w:rPr>
          <w:rFonts w:ascii="Times New Roman" w:hAnsi="Times New Roman" w:cs="Times New Roman"/>
        </w:rPr>
        <w:lastRenderedPageBreak/>
        <w:t>on the country and study period. Studies examining Kenya have particularly identified interest rates as an important macroeconomic factor influencing FDI.</w:t>
      </w:r>
    </w:p>
    <w:p w14:paraId="34242AC5" w14:textId="77777777" w:rsidR="00226E13" w:rsidRPr="00734744" w:rsidRDefault="00226E13" w:rsidP="00226E13">
      <w:pPr>
        <w:spacing w:after="0"/>
        <w:jc w:val="both"/>
        <w:rPr>
          <w:rFonts w:ascii="Times New Roman" w:hAnsi="Times New Roman" w:cs="Times New Roman"/>
        </w:rPr>
      </w:pPr>
    </w:p>
    <w:p w14:paraId="3171E0F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Karau and Ng’ang’a (2019), for example, examined the effects of selected macroeconomic variables on FDI using data covering 1970–2010. The study considered inflation, exchange rates, tax rates, interest rates and balance of payments and employed multiple linear regression. The findings indicated a positive association between interest rates and FDI, while inflation and tax rates were negatively associated with FDI. The study recommended maintaining a stable macroeconomic environment to improve FDI. </w:t>
      </w:r>
    </w:p>
    <w:p w14:paraId="78D16755"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examined the effects of real interest rates, inflation, exchange rates and competitiveness on FDI in Kenya using annual time-series data for 1970–2016. Using ordinary least squares regression, the study found that real interest rates and exchange rates had significant negative effects on FDI, while inflation had an insignificant effect. </w:t>
      </w:r>
    </w:p>
    <w:p w14:paraId="147619C6"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These findings demonstrate that the relationship between interest rates and FDI is not uniform and provide justification for further investigation using a longer Kenyan time series and a time-series model capable of examining both short-run and long-run relationships.</w:t>
      </w:r>
    </w:p>
    <w:p w14:paraId="11C77801" w14:textId="65B145EE"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.2 Inflation and Foreign Direct Investment</w:t>
      </w:r>
    </w:p>
    <w:p w14:paraId="01259E81" w14:textId="77777777" w:rsidR="00226E13" w:rsidRDefault="001F0F12" w:rsidP="00226E13">
      <w:pPr>
        <w:spacing w:after="0"/>
        <w:jc w:val="both"/>
        <w:rPr>
          <w:rFonts w:ascii="Times New Roman" w:hAnsi="Times New Roman" w:cs="Times New Roman"/>
        </w:rPr>
      </w:pPr>
      <w:r w:rsidRPr="00734744">
        <w:rPr>
          <w:rFonts w:ascii="Times New Roman" w:hAnsi="Times New Roman" w:cs="Times New Roman"/>
        </w:rPr>
        <w:t>Inflation can influence FDI through its effects on purchasing power, production costs, expected returns and economic uncertainty. The empirical evidence reviewed in the thesis, however, produces mixed results.</w:t>
      </w:r>
    </w:p>
    <w:p w14:paraId="4255D139" w14:textId="77777777" w:rsidR="00226E13" w:rsidRDefault="00226E13" w:rsidP="00226E13">
      <w:pPr>
        <w:spacing w:after="0"/>
        <w:jc w:val="both"/>
        <w:rPr>
          <w:rFonts w:ascii="Times New Roman" w:hAnsi="Times New Roman" w:cs="Times New Roman"/>
        </w:rPr>
      </w:pPr>
    </w:p>
    <w:p w14:paraId="1B2B9549" w14:textId="466739EA" w:rsidR="001F0F12" w:rsidRPr="00734744" w:rsidRDefault="001F0F12" w:rsidP="00226E13">
      <w:pPr>
        <w:spacing w:after="0"/>
        <w:jc w:val="both"/>
        <w:rPr>
          <w:rFonts w:ascii="Times New Roman" w:hAnsi="Times New Roman" w:cs="Times New Roman"/>
        </w:rPr>
      </w:pPr>
      <w:proofErr w:type="spellStart"/>
      <w:r w:rsidRPr="00734744">
        <w:rPr>
          <w:rFonts w:ascii="Times New Roman" w:hAnsi="Times New Roman" w:cs="Times New Roman"/>
        </w:rPr>
        <w:t>Alshamsi</w:t>
      </w:r>
      <w:proofErr w:type="spellEnd"/>
      <w:r w:rsidRPr="00734744">
        <w:rPr>
          <w:rFonts w:ascii="Times New Roman" w:hAnsi="Times New Roman" w:cs="Times New Roman"/>
        </w:rPr>
        <w:t xml:space="preserve"> et al. (2015) examined FDI in the United Arab Emirates using inflation and per capita economic growth as explanatory variables. Using an Autoregressive Distributed Lag model and data covering 1980–2013, the study found that inflation did not significantly affect FDI. </w:t>
      </w:r>
    </w:p>
    <w:p w14:paraId="720ACB5D"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Mansoor and Bibi (2018), using data for Pakistan covering 1980–2016, examined the relationship among financial growth, exchange rates, FDI and inflation. Their ARDL analysis found a weak short-run association between inflation and FDI. </w:t>
      </w:r>
    </w:p>
    <w:p w14:paraId="23289151"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In Kenya, Nduati (2018) used OLS to examine the effect of inflation on FDI using time-series data covering 2008–2017. The study found that increasing inflation reduced FDI. However, the relatively short study period limited the extent to which the findings could capture long-term dynamics. </w:t>
      </w:r>
    </w:p>
    <w:p w14:paraId="665BA4DE"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Karau and Ng’ang’a (2019) similarly found an undesirable relationship between inflation and FDI in Kenya. The differences in findings across studies indicate the need for additional evidence based on a longer time series.</w:t>
      </w:r>
    </w:p>
    <w:p w14:paraId="64D0CDAF" w14:textId="662511F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.3 Economic Growth and Foreign Direct Investment</w:t>
      </w:r>
    </w:p>
    <w:p w14:paraId="396FA823"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Economic growth and FDI may influence each other through market expansion, capital accumulation, productivity and technological spillovers. The studies reviewed in the thesis </w:t>
      </w:r>
      <w:r w:rsidRPr="00734744">
        <w:rPr>
          <w:rFonts w:ascii="Times New Roman" w:hAnsi="Times New Roman" w:cs="Times New Roman"/>
        </w:rPr>
        <w:lastRenderedPageBreak/>
        <w:t>generally indicate an association between economic growth and FDI, although the direction and strength of the relationship vary across countries.</w:t>
      </w:r>
    </w:p>
    <w:p w14:paraId="5D053AB7" w14:textId="77777777" w:rsidR="00226E13" w:rsidRPr="00734744" w:rsidRDefault="00226E13" w:rsidP="00226E13">
      <w:pPr>
        <w:spacing w:after="0"/>
        <w:jc w:val="both"/>
        <w:rPr>
          <w:rFonts w:ascii="Times New Roman" w:hAnsi="Times New Roman" w:cs="Times New Roman"/>
        </w:rPr>
      </w:pPr>
    </w:p>
    <w:p w14:paraId="0B922055" w14:textId="77777777" w:rsidR="001F0F12" w:rsidRPr="00734744" w:rsidRDefault="001F0F12" w:rsidP="001F0F12">
      <w:pPr>
        <w:jc w:val="both"/>
        <w:rPr>
          <w:rFonts w:ascii="Times New Roman" w:hAnsi="Times New Roman" w:cs="Times New Roman"/>
        </w:rPr>
      </w:pPr>
      <w:proofErr w:type="spellStart"/>
      <w:r w:rsidRPr="00734744">
        <w:rPr>
          <w:rFonts w:ascii="Times New Roman" w:hAnsi="Times New Roman" w:cs="Times New Roman"/>
        </w:rPr>
        <w:t>GuechHeang</w:t>
      </w:r>
      <w:proofErr w:type="spellEnd"/>
      <w:r w:rsidRPr="00734744">
        <w:rPr>
          <w:rFonts w:ascii="Times New Roman" w:hAnsi="Times New Roman" w:cs="Times New Roman"/>
        </w:rPr>
        <w:t xml:space="preserve"> and </w:t>
      </w:r>
      <w:proofErr w:type="spellStart"/>
      <w:r w:rsidRPr="00734744">
        <w:rPr>
          <w:rFonts w:ascii="Times New Roman" w:hAnsi="Times New Roman" w:cs="Times New Roman"/>
        </w:rPr>
        <w:t>Moolio</w:t>
      </w:r>
      <w:proofErr w:type="spellEnd"/>
      <w:r w:rsidRPr="00734744">
        <w:rPr>
          <w:rFonts w:ascii="Times New Roman" w:hAnsi="Times New Roman" w:cs="Times New Roman"/>
        </w:rPr>
        <w:t xml:space="preserve"> (2013) examined the relationship between GDP and FDI in Cambodia using time-series data for 1993–2011. Simple regression analysis indicated a long-term relationship between economic development and FDI. </w:t>
      </w:r>
    </w:p>
    <w:p w14:paraId="7FEF19A4" w14:textId="4E3171DE"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Nosheen (2013) examined the effect of FDI on GDP in Pakistan using time-series data covering 1980–2010. Cointegration analysis indicated a </w:t>
      </w:r>
      <w:r w:rsidR="00280A29" w:rsidRPr="00734744">
        <w:rPr>
          <w:rFonts w:ascii="Times New Roman" w:hAnsi="Times New Roman" w:cs="Times New Roman"/>
        </w:rPr>
        <w:t>favourable</w:t>
      </w:r>
      <w:r w:rsidRPr="00734744">
        <w:rPr>
          <w:rFonts w:ascii="Times New Roman" w:hAnsi="Times New Roman" w:cs="Times New Roman"/>
        </w:rPr>
        <w:t xml:space="preserve"> long-term relationship between GDP and FDI. </w:t>
      </w:r>
    </w:p>
    <w:p w14:paraId="12B7B4B2" w14:textId="77777777" w:rsidR="001F0F12" w:rsidRPr="00734744" w:rsidRDefault="001F0F12" w:rsidP="001F0F12">
      <w:pPr>
        <w:jc w:val="both"/>
        <w:rPr>
          <w:rFonts w:ascii="Times New Roman" w:hAnsi="Times New Roman" w:cs="Times New Roman"/>
        </w:rPr>
      </w:pPr>
      <w:proofErr w:type="spellStart"/>
      <w:r w:rsidRPr="00734744">
        <w:rPr>
          <w:rFonts w:ascii="Times New Roman" w:hAnsi="Times New Roman" w:cs="Times New Roman"/>
        </w:rPr>
        <w:t>Koojaroenprasit</w:t>
      </w:r>
      <w:proofErr w:type="spellEnd"/>
      <w:r w:rsidRPr="00734744">
        <w:rPr>
          <w:rFonts w:ascii="Times New Roman" w:hAnsi="Times New Roman" w:cs="Times New Roman"/>
        </w:rPr>
        <w:t xml:space="preserve"> (2012) examined the impact of FDI on economic growth in Korea using panel data covering 1980–2009. The study found a positive relationship between FDI and GDP. </w:t>
      </w:r>
    </w:p>
    <w:p w14:paraId="2C9BDDEB"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In Kenya, </w:t>
      </w:r>
      <w:proofErr w:type="spellStart"/>
      <w:r w:rsidRPr="00734744">
        <w:rPr>
          <w:rFonts w:ascii="Times New Roman" w:hAnsi="Times New Roman" w:cs="Times New Roman"/>
        </w:rPr>
        <w:t>Wasseja</w:t>
      </w:r>
      <w:proofErr w:type="spellEnd"/>
      <w:r w:rsidRPr="00734744">
        <w:rPr>
          <w:rFonts w:ascii="Times New Roman" w:hAnsi="Times New Roman" w:cs="Times New Roman"/>
        </w:rPr>
        <w:t xml:space="preserve"> and Mwenda (2015) examined determinants of FDI using data from the 1980s to 2013 and an OLS model. The study found that the economic growth rate was a key factor influencing FDI inflows, while openness, inflation and exchange rates also significantly influenced FDI. </w:t>
      </w:r>
    </w:p>
    <w:p w14:paraId="729D3E42" w14:textId="25CEB105"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.4 Exchange Rate and Foreign Direct Investment</w:t>
      </w:r>
    </w:p>
    <w:p w14:paraId="156A6B8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Exchange-rate movements can influence FDI by affecting production costs, investment returns and the relative attractiveness of host-country assets. However, empirical evidence concerning the direction of this relationship is mixed.</w:t>
      </w:r>
    </w:p>
    <w:p w14:paraId="177E5BA5" w14:textId="77777777" w:rsidR="00226E13" w:rsidRPr="00734744" w:rsidRDefault="00226E13" w:rsidP="00226E13">
      <w:pPr>
        <w:spacing w:after="0"/>
        <w:jc w:val="both"/>
        <w:rPr>
          <w:rFonts w:ascii="Times New Roman" w:hAnsi="Times New Roman" w:cs="Times New Roman"/>
        </w:rPr>
      </w:pPr>
    </w:p>
    <w:p w14:paraId="2EABF622"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Omondi and Muturi (2013) examined exchange-rate volatility and FDI in Kenya using time-series data covering 1981–2010. Using Pearson correlation analysis, the study found some evidence of a positive association between FDI and exchange-rate volatility. </w:t>
      </w:r>
    </w:p>
    <w:p w14:paraId="160E32E6" w14:textId="222EF4C8" w:rsidR="001F0F12" w:rsidRPr="00734744" w:rsidRDefault="00280A29" w:rsidP="001F0F12">
      <w:pPr>
        <w:jc w:val="both"/>
        <w:rPr>
          <w:rFonts w:ascii="Times New Roman" w:hAnsi="Times New Roman" w:cs="Times New Roman"/>
        </w:rPr>
      </w:pPr>
      <w:r w:rsidRPr="00280A29">
        <w:rPr>
          <w:rFonts w:ascii="Times New Roman" w:hAnsi="Times New Roman" w:cs="Times New Roman"/>
          <w:color w:val="000000" w:themeColor="text1"/>
        </w:rPr>
        <w:t>Vincent</w:t>
      </w:r>
      <w:r>
        <w:rPr>
          <w:rFonts w:ascii="Times New Roman" w:hAnsi="Times New Roman" w:cs="Times New Roman"/>
          <w:color w:val="000000" w:themeColor="text1"/>
        </w:rPr>
        <w:t xml:space="preserve"> et al. (2017)</w:t>
      </w:r>
      <w:r w:rsidR="001F0F12" w:rsidRPr="00734744">
        <w:rPr>
          <w:rFonts w:ascii="Times New Roman" w:hAnsi="Times New Roman" w:cs="Times New Roman"/>
        </w:rPr>
        <w:t xml:space="preserve"> examined the relationship among inflation, exchange rates, FDI and economic development in Nigeria using a 30-year period and linear regression analysis. The study found that exchange rates affected FDI, although inflation had little effect. </w:t>
      </w:r>
    </w:p>
    <w:p w14:paraId="39C34C0A"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Latief and </w:t>
      </w:r>
      <w:proofErr w:type="spellStart"/>
      <w:r w:rsidRPr="00734744">
        <w:rPr>
          <w:rFonts w:ascii="Times New Roman" w:hAnsi="Times New Roman" w:cs="Times New Roman"/>
        </w:rPr>
        <w:t>Lefen</w:t>
      </w:r>
      <w:proofErr w:type="spellEnd"/>
      <w:r w:rsidRPr="00734744">
        <w:rPr>
          <w:rFonts w:ascii="Times New Roman" w:hAnsi="Times New Roman" w:cs="Times New Roman"/>
        </w:rPr>
        <w:t xml:space="preserve"> (2018) investigated exchange-rate volatility, international trade and FDI in seven developing countries using panel data for 1995–2016. Their findings indicated that exchange-rate instability significantly affected FDI and international trade, with a negative effect in the countries associated with the Belt and Road initiative. </w:t>
      </w:r>
    </w:p>
    <w:p w14:paraId="1448F51A"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found that exchange rates had a significant negative effect on FDI in Kenya. Meftah and Nassour (2019), examining Turkey using data from 1974–2017 and a VECM, found a long-term causal relationship between exchange rates, inflation and FDI, although no factors had an immediate effect on FDI. </w:t>
      </w:r>
    </w:p>
    <w:p w14:paraId="4DEF9546" w14:textId="158D9E82" w:rsidR="001F0F12" w:rsidRPr="00734744" w:rsidRDefault="001F0F12" w:rsidP="001F0F12">
      <w:pPr>
        <w:jc w:val="both"/>
        <w:rPr>
          <w:rFonts w:ascii="Times New Roman" w:hAnsi="Times New Roman" w:cs="Times New Roman"/>
        </w:rPr>
      </w:pPr>
    </w:p>
    <w:p w14:paraId="7B3E8C6C" w14:textId="46F6F86A"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4</w:t>
      </w:r>
      <w:r w:rsidRPr="00734744">
        <w:rPr>
          <w:rFonts w:ascii="Times New Roman" w:hAnsi="Times New Roman" w:cs="Times New Roman"/>
          <w:b/>
          <w:bCs/>
        </w:rPr>
        <w:t xml:space="preserve"> Synthesis and Research Gap</w:t>
      </w:r>
    </w:p>
    <w:p w14:paraId="299DFDF4"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lastRenderedPageBreak/>
        <w:t>The reviewed empirical evidence demonstrates that the relationship between selected macroeconomic variables and FDI is not consistent across countries or study periods. Interest rates have been found to have both positive and negative relationships with FDI; inflation has produced significant, insignificant and weak relationships; economic growth has generally been associated with FDI but with differences in direction and causality; and exchange-rate effects have similarly varied across studies.</w:t>
      </w:r>
    </w:p>
    <w:p w14:paraId="38CFBBC0" w14:textId="77777777" w:rsidR="00226E13" w:rsidRPr="00734744" w:rsidRDefault="00226E13" w:rsidP="00226E13">
      <w:pPr>
        <w:spacing w:after="0"/>
        <w:jc w:val="both"/>
        <w:rPr>
          <w:rFonts w:ascii="Times New Roman" w:hAnsi="Times New Roman" w:cs="Times New Roman"/>
        </w:rPr>
      </w:pPr>
    </w:p>
    <w:p w14:paraId="2D2430B7"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A further limitation of the reviewed studies is the relatively short study periods and differences in analytical approaches. Several Kenyan studies have relied on OLS or correlation analysis and have covered substantially shorter periods than the present study. For example, Nduati (2018) covered 2008–2017, while 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covered 1970–2016. The present study extends the analysis to 1966–2019, providing 54 annual observations.</w:t>
      </w:r>
    </w:p>
    <w:p w14:paraId="606DA35C"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The methodological differences also provide a basis for the present study. Whereas several earlier studies used OLS, correlation or simple regression techniques, the present study employs a Vector Error Correction Model (VECM) to investigate the dynamic relationship among the selected macroeconomic variables and FDI. The thesis specifically identifies the use of a longer data period and error-correction methodology as improvements over some of the earlier studies. </w:t>
      </w:r>
    </w:p>
    <w:p w14:paraId="6920FA2E"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Consequently, the study addresses the empirical gap by examining the effects of real interest rate, inflation rate, economic growth and exchange rate on FDI in Kenya using a long annual time series covering 1966–2019 and a VECM framework.</w:t>
      </w:r>
    </w:p>
    <w:p w14:paraId="62A9B624" w14:textId="77777777" w:rsidR="00B24BA0" w:rsidRPr="00734744" w:rsidRDefault="00B24BA0" w:rsidP="001F0F12">
      <w:pPr>
        <w:jc w:val="both"/>
        <w:rPr>
          <w:rFonts w:ascii="Times New Roman" w:hAnsi="Times New Roman" w:cs="Times New Roman"/>
        </w:rPr>
      </w:pPr>
    </w:p>
    <w:p w14:paraId="6B3B4CFB" w14:textId="77777777" w:rsidR="00B24BA0" w:rsidRPr="00734744" w:rsidRDefault="00B24BA0" w:rsidP="00B24BA0">
      <w:pPr>
        <w:jc w:val="both"/>
        <w:rPr>
          <w:rFonts w:ascii="Times New Roman" w:hAnsi="Times New Roman" w:cs="Times New Roman"/>
          <w:b/>
          <w:bCs/>
        </w:rPr>
      </w:pPr>
      <w:r w:rsidRPr="00734744">
        <w:rPr>
          <w:rFonts w:ascii="Times New Roman" w:hAnsi="Times New Roman" w:cs="Times New Roman"/>
          <w:b/>
          <w:bCs/>
        </w:rPr>
        <w:t>3. METHODOLOGY</w:t>
      </w:r>
    </w:p>
    <w:p w14:paraId="5D0536FD"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3.1 Research Design</w:t>
      </w:r>
    </w:p>
    <w:p w14:paraId="2C1B60DA" w14:textId="7CF11C38" w:rsidR="00B24BA0" w:rsidRDefault="00B24BA0" w:rsidP="00226E13">
      <w:pPr>
        <w:spacing w:after="0"/>
        <w:jc w:val="both"/>
        <w:rPr>
          <w:rFonts w:ascii="Times New Roman" w:hAnsi="Times New Roman" w:cs="Times New Roman"/>
        </w:rPr>
      </w:pPr>
      <w:r w:rsidRPr="00734744">
        <w:rPr>
          <w:rFonts w:ascii="Times New Roman" w:hAnsi="Times New Roman" w:cs="Times New Roman"/>
        </w:rPr>
        <w:t xml:space="preserve">The study employed a causal and time-series research design to examine the relationship between selected macroeconomic variables and foreign direct investment (FDI) in Kenya. The causal design was appropriate for examining whether changes in the selected independent variables were associated with changes in FDI, while the time-series design was appropriate because the study </w:t>
      </w:r>
      <w:r w:rsidR="00226E13" w:rsidRPr="00734744">
        <w:rPr>
          <w:rFonts w:ascii="Times New Roman" w:hAnsi="Times New Roman" w:cs="Times New Roman"/>
        </w:rPr>
        <w:t>analysed</w:t>
      </w:r>
      <w:r w:rsidRPr="00734744">
        <w:rPr>
          <w:rFonts w:ascii="Times New Roman" w:hAnsi="Times New Roman" w:cs="Times New Roman"/>
        </w:rPr>
        <w:t xml:space="preserve"> observations recorded over a defined period (</w:t>
      </w:r>
      <w:proofErr w:type="spellStart"/>
      <w:r w:rsidRPr="00734744">
        <w:rPr>
          <w:rFonts w:ascii="Times New Roman" w:hAnsi="Times New Roman" w:cs="Times New Roman"/>
        </w:rPr>
        <w:t>Karvanen</w:t>
      </w:r>
      <w:proofErr w:type="spellEnd"/>
      <w:r w:rsidRPr="00734744">
        <w:rPr>
          <w:rFonts w:ascii="Times New Roman" w:hAnsi="Times New Roman" w:cs="Times New Roman"/>
        </w:rPr>
        <w:t xml:space="preserve">, 2014). </w:t>
      </w:r>
    </w:p>
    <w:p w14:paraId="191F99AD" w14:textId="77777777" w:rsidR="00226E13" w:rsidRDefault="00226E13" w:rsidP="00226E13">
      <w:pPr>
        <w:spacing w:after="0"/>
        <w:jc w:val="both"/>
        <w:rPr>
          <w:rFonts w:ascii="Times New Roman" w:hAnsi="Times New Roman" w:cs="Times New Roman"/>
        </w:rPr>
      </w:pPr>
    </w:p>
    <w:p w14:paraId="24CE3EB0" w14:textId="77777777" w:rsidR="00321BDE" w:rsidRDefault="00321BDE" w:rsidP="00226E13">
      <w:pPr>
        <w:spacing w:after="0"/>
        <w:jc w:val="both"/>
        <w:rPr>
          <w:rFonts w:ascii="Times New Roman" w:hAnsi="Times New Roman" w:cs="Times New Roman"/>
        </w:rPr>
      </w:pPr>
    </w:p>
    <w:p w14:paraId="428DCAA5" w14:textId="77777777" w:rsidR="00226E13" w:rsidRPr="00734744" w:rsidRDefault="00226E13" w:rsidP="00226E13">
      <w:pPr>
        <w:spacing w:after="0"/>
        <w:jc w:val="both"/>
        <w:rPr>
          <w:rFonts w:ascii="Times New Roman" w:hAnsi="Times New Roman" w:cs="Times New Roman"/>
        </w:rPr>
      </w:pPr>
    </w:p>
    <w:p w14:paraId="315F55FA"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3.2 Study Area, Population and Data</w:t>
      </w:r>
    </w:p>
    <w:p w14:paraId="03E9F1E3" w14:textId="77777777" w:rsidR="00226E13" w:rsidRDefault="00B24BA0" w:rsidP="00226E13">
      <w:pPr>
        <w:spacing w:after="0"/>
        <w:jc w:val="both"/>
        <w:rPr>
          <w:rFonts w:ascii="Times New Roman" w:hAnsi="Times New Roman" w:cs="Times New Roman"/>
        </w:rPr>
      </w:pPr>
      <w:r w:rsidRPr="00734744">
        <w:rPr>
          <w:rFonts w:ascii="Times New Roman" w:hAnsi="Times New Roman" w:cs="Times New Roman"/>
        </w:rPr>
        <w:t>The study was conducted in Kenya and examined the influence of selected macroeconomic variables on FDI over the period 1966–2019. Kenya was considered appropriate because it is a major commercial hub in East Africa and has historically been an important destination for foreign direct investment (</w:t>
      </w:r>
      <w:proofErr w:type="spellStart"/>
      <w:r w:rsidRPr="00734744">
        <w:rPr>
          <w:rFonts w:ascii="Times New Roman" w:hAnsi="Times New Roman" w:cs="Times New Roman"/>
        </w:rPr>
        <w:t>Gnangnon</w:t>
      </w:r>
      <w:proofErr w:type="spellEnd"/>
      <w:r w:rsidRPr="00734744">
        <w:rPr>
          <w:rFonts w:ascii="Times New Roman" w:hAnsi="Times New Roman" w:cs="Times New Roman"/>
        </w:rPr>
        <w:t xml:space="preserve">, 2017). </w:t>
      </w:r>
    </w:p>
    <w:p w14:paraId="038F9BFC" w14:textId="77777777" w:rsidR="00226E13" w:rsidRDefault="00226E13" w:rsidP="00226E13">
      <w:pPr>
        <w:spacing w:after="0"/>
        <w:jc w:val="both"/>
        <w:rPr>
          <w:rFonts w:ascii="Times New Roman" w:hAnsi="Times New Roman" w:cs="Times New Roman"/>
        </w:rPr>
      </w:pPr>
    </w:p>
    <w:p w14:paraId="00C061EC" w14:textId="72E2DA9F" w:rsidR="00B24BA0" w:rsidRDefault="00B24BA0" w:rsidP="00226E13">
      <w:pPr>
        <w:spacing w:after="0"/>
        <w:jc w:val="both"/>
        <w:rPr>
          <w:rFonts w:ascii="Times New Roman" w:hAnsi="Times New Roman" w:cs="Times New Roman"/>
        </w:rPr>
      </w:pPr>
      <w:r w:rsidRPr="00734744">
        <w:rPr>
          <w:rFonts w:ascii="Times New Roman" w:hAnsi="Times New Roman" w:cs="Times New Roman"/>
        </w:rPr>
        <w:lastRenderedPageBreak/>
        <w:t xml:space="preserve">The study population comprised annual observations of the variables of interest over the study period. The variables included real interest rate, inflation rate, economic growth, exchange rate and FDI inflows. The study used secondary time-series data covering 1966–2019. </w:t>
      </w:r>
    </w:p>
    <w:p w14:paraId="701467A9" w14:textId="77777777" w:rsidR="00226E13" w:rsidRPr="00734744" w:rsidRDefault="00226E13" w:rsidP="00226E13">
      <w:pPr>
        <w:spacing w:after="0"/>
        <w:jc w:val="both"/>
        <w:rPr>
          <w:rFonts w:ascii="Times New Roman" w:hAnsi="Times New Roman" w:cs="Times New Roman"/>
        </w:rPr>
      </w:pPr>
    </w:p>
    <w:p w14:paraId="6F794404"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 xml:space="preserve">The data were obtained from the Kenya National Bureau of Statistics (KNBS) database. Historical information on FDI, gross domestic product, inflation, interest rates and exchange rates was obtained from official economic reports, verified documents and historical records. </w:t>
      </w:r>
    </w:p>
    <w:p w14:paraId="1A3350E2" w14:textId="4F281859" w:rsidR="00B24BA0" w:rsidRDefault="00B24BA0" w:rsidP="00B24BA0">
      <w:pPr>
        <w:jc w:val="both"/>
        <w:rPr>
          <w:rFonts w:ascii="Times New Roman" w:hAnsi="Times New Roman" w:cs="Times New Roman"/>
        </w:rPr>
      </w:pPr>
      <w:r w:rsidRPr="00734744">
        <w:rPr>
          <w:rFonts w:ascii="Times New Roman" w:hAnsi="Times New Roman" w:cs="Times New Roman"/>
        </w:rPr>
        <w:t xml:space="preserve">Because the study relied on secondary data, a data-collection checklist was used to systematically compile the required observations. The checklist captured the independent variables: interest rate, inflation, gross domestic product and exchange rate and the dependent variable, FDI. </w:t>
      </w:r>
    </w:p>
    <w:p w14:paraId="7CF58828" w14:textId="77777777" w:rsidR="00530B02" w:rsidRPr="00734744" w:rsidRDefault="00530B02" w:rsidP="00B24BA0">
      <w:pPr>
        <w:jc w:val="both"/>
        <w:rPr>
          <w:rFonts w:ascii="Times New Roman" w:hAnsi="Times New Roman" w:cs="Times New Roman"/>
        </w:rPr>
      </w:pPr>
    </w:p>
    <w:p w14:paraId="3DB29DAE"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3.3 Measurement of Variables</w:t>
      </w:r>
    </w:p>
    <w:p w14:paraId="0858032B" w14:textId="77777777" w:rsidR="00B24BA0" w:rsidRDefault="00B24BA0" w:rsidP="00226E13">
      <w:pPr>
        <w:spacing w:after="0"/>
        <w:jc w:val="both"/>
        <w:rPr>
          <w:rFonts w:ascii="Times New Roman" w:hAnsi="Times New Roman" w:cs="Times New Roman"/>
        </w:rPr>
      </w:pPr>
      <w:r w:rsidRPr="00734744">
        <w:rPr>
          <w:rFonts w:ascii="Times New Roman" w:hAnsi="Times New Roman" w:cs="Times New Roman"/>
        </w:rPr>
        <w:t>The dependent variable was foreign direct investment (FDI), while the explanatory variables were real interest rate, inflation rate, economic growth and exchange rate.</w:t>
      </w:r>
    </w:p>
    <w:p w14:paraId="7747271A" w14:textId="77777777" w:rsidR="00226E13" w:rsidRPr="00734744" w:rsidRDefault="00226E13" w:rsidP="00226E13">
      <w:pPr>
        <w:spacing w:after="0"/>
        <w:jc w:val="both"/>
        <w:rPr>
          <w:rFonts w:ascii="Times New Roman" w:hAnsi="Times New Roman" w:cs="Times New Roman"/>
        </w:rPr>
      </w:pPr>
    </w:p>
    <w:p w14:paraId="337E2BC3"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 xml:space="preserve">The variables were transformed into natural logarithms before estimation to facilitate the analysis and achieve a linear functional relationship. </w:t>
      </w:r>
    </w:p>
    <w:p w14:paraId="3E30D197" w14:textId="4248027B" w:rsidR="00B24BA0" w:rsidRPr="00734744" w:rsidRDefault="00B24BA0" w:rsidP="00A059D0">
      <w:pPr>
        <w:spacing w:after="0"/>
        <w:jc w:val="both"/>
        <w:rPr>
          <w:rFonts w:ascii="Times New Roman" w:hAnsi="Times New Roman" w:cs="Times New Roman"/>
        </w:rPr>
      </w:pPr>
      <w:r w:rsidRPr="00734744">
        <w:rPr>
          <w:rFonts w:ascii="Times New Roman" w:hAnsi="Times New Roman" w:cs="Times New Roman"/>
        </w:rPr>
        <w:t>Table 1: Operationalization of variables</w:t>
      </w:r>
    </w:p>
    <w:tbl>
      <w:tblPr>
        <w:tblW w:w="5043"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525"/>
        <w:gridCol w:w="835"/>
        <w:gridCol w:w="2033"/>
        <w:gridCol w:w="4047"/>
      </w:tblGrid>
      <w:tr w:rsidR="00B24BA0" w:rsidRPr="00734744" w14:paraId="70D091F0" w14:textId="77777777" w:rsidTr="00A059D0">
        <w:trPr>
          <w:tblHeader/>
          <w:tblCellSpacing w:w="15" w:type="dxa"/>
        </w:trPr>
        <w:tc>
          <w:tcPr>
            <w:tcW w:w="1314" w:type="pct"/>
            <w:tcBorders>
              <w:top w:val="single" w:sz="4" w:space="0" w:color="auto"/>
              <w:bottom w:val="single" w:sz="4" w:space="0" w:color="auto"/>
            </w:tcBorders>
            <w:vAlign w:val="center"/>
            <w:hideMark/>
          </w:tcPr>
          <w:p w14:paraId="1065581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Variable</w:t>
            </w:r>
          </w:p>
        </w:tc>
        <w:tc>
          <w:tcPr>
            <w:tcW w:w="426" w:type="pct"/>
            <w:tcBorders>
              <w:top w:val="single" w:sz="4" w:space="0" w:color="auto"/>
              <w:bottom w:val="single" w:sz="4" w:space="0" w:color="auto"/>
            </w:tcBorders>
            <w:vAlign w:val="center"/>
            <w:hideMark/>
          </w:tcPr>
          <w:p w14:paraId="1AF132F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Symbol</w:t>
            </w:r>
          </w:p>
        </w:tc>
        <w:tc>
          <w:tcPr>
            <w:tcW w:w="1061" w:type="pct"/>
            <w:tcBorders>
              <w:top w:val="single" w:sz="4" w:space="0" w:color="auto"/>
              <w:bottom w:val="single" w:sz="4" w:space="0" w:color="auto"/>
            </w:tcBorders>
            <w:vAlign w:val="center"/>
            <w:hideMark/>
          </w:tcPr>
          <w:p w14:paraId="323CE195"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Role in the model</w:t>
            </w:r>
          </w:p>
        </w:tc>
        <w:tc>
          <w:tcPr>
            <w:tcW w:w="2120" w:type="pct"/>
            <w:tcBorders>
              <w:top w:val="single" w:sz="4" w:space="0" w:color="auto"/>
              <w:bottom w:val="single" w:sz="4" w:space="0" w:color="auto"/>
            </w:tcBorders>
            <w:vAlign w:val="center"/>
            <w:hideMark/>
          </w:tcPr>
          <w:p w14:paraId="64A6DF4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Measurement</w:t>
            </w:r>
          </w:p>
        </w:tc>
      </w:tr>
      <w:tr w:rsidR="00B24BA0" w:rsidRPr="00734744" w14:paraId="5488B292" w14:textId="77777777" w:rsidTr="00A059D0">
        <w:trPr>
          <w:tblCellSpacing w:w="15" w:type="dxa"/>
        </w:trPr>
        <w:tc>
          <w:tcPr>
            <w:tcW w:w="1314" w:type="pct"/>
            <w:vAlign w:val="center"/>
            <w:hideMark/>
          </w:tcPr>
          <w:p w14:paraId="0C7B9AA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Foreign Direct Investment</w:t>
            </w:r>
          </w:p>
        </w:tc>
        <w:tc>
          <w:tcPr>
            <w:tcW w:w="426" w:type="pct"/>
            <w:vAlign w:val="center"/>
            <w:hideMark/>
          </w:tcPr>
          <w:p w14:paraId="7CE8B2E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w:t>
            </w:r>
          </w:p>
        </w:tc>
        <w:tc>
          <w:tcPr>
            <w:tcW w:w="1061" w:type="pct"/>
            <w:vAlign w:val="center"/>
            <w:hideMark/>
          </w:tcPr>
          <w:p w14:paraId="06238D7A"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Dependent variable</w:t>
            </w:r>
          </w:p>
        </w:tc>
        <w:tc>
          <w:tcPr>
            <w:tcW w:w="2120" w:type="pct"/>
            <w:vAlign w:val="center"/>
            <w:hideMark/>
          </w:tcPr>
          <w:p w14:paraId="1CF74116"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 inflows</w:t>
            </w:r>
          </w:p>
        </w:tc>
      </w:tr>
      <w:tr w:rsidR="00B24BA0" w:rsidRPr="00734744" w14:paraId="32240980" w14:textId="77777777" w:rsidTr="00A059D0">
        <w:trPr>
          <w:tblCellSpacing w:w="15" w:type="dxa"/>
        </w:trPr>
        <w:tc>
          <w:tcPr>
            <w:tcW w:w="1314" w:type="pct"/>
            <w:vAlign w:val="center"/>
            <w:hideMark/>
          </w:tcPr>
          <w:p w14:paraId="1B37731E"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c>
          <w:tcPr>
            <w:tcW w:w="426" w:type="pct"/>
            <w:vAlign w:val="center"/>
            <w:hideMark/>
          </w:tcPr>
          <w:p w14:paraId="394804D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IR</w:t>
            </w:r>
          </w:p>
        </w:tc>
        <w:tc>
          <w:tcPr>
            <w:tcW w:w="1061" w:type="pct"/>
            <w:vAlign w:val="center"/>
            <w:hideMark/>
          </w:tcPr>
          <w:p w14:paraId="1AEE75C3"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4928828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r>
      <w:tr w:rsidR="00B24BA0" w:rsidRPr="00734744" w14:paraId="109CF0DF" w14:textId="77777777" w:rsidTr="00A059D0">
        <w:trPr>
          <w:tblCellSpacing w:w="15" w:type="dxa"/>
        </w:trPr>
        <w:tc>
          <w:tcPr>
            <w:tcW w:w="1314" w:type="pct"/>
            <w:vAlign w:val="center"/>
            <w:hideMark/>
          </w:tcPr>
          <w:p w14:paraId="2B8D3D8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c>
          <w:tcPr>
            <w:tcW w:w="426" w:type="pct"/>
            <w:vAlign w:val="center"/>
            <w:hideMark/>
          </w:tcPr>
          <w:p w14:paraId="647E4F9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w:t>
            </w:r>
          </w:p>
        </w:tc>
        <w:tc>
          <w:tcPr>
            <w:tcW w:w="1061" w:type="pct"/>
            <w:vAlign w:val="center"/>
            <w:hideMark/>
          </w:tcPr>
          <w:p w14:paraId="5CBF3A4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2F2A9B8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r>
      <w:tr w:rsidR="00B24BA0" w:rsidRPr="00734744" w14:paraId="59690BA0" w14:textId="77777777" w:rsidTr="00A059D0">
        <w:trPr>
          <w:tblCellSpacing w:w="15" w:type="dxa"/>
        </w:trPr>
        <w:tc>
          <w:tcPr>
            <w:tcW w:w="1314" w:type="pct"/>
            <w:vAlign w:val="center"/>
            <w:hideMark/>
          </w:tcPr>
          <w:p w14:paraId="6FD14D4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Economic Growth</w:t>
            </w:r>
          </w:p>
        </w:tc>
        <w:tc>
          <w:tcPr>
            <w:tcW w:w="426" w:type="pct"/>
            <w:vAlign w:val="center"/>
            <w:hideMark/>
          </w:tcPr>
          <w:p w14:paraId="4B8EE52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EG</w:t>
            </w:r>
          </w:p>
        </w:tc>
        <w:tc>
          <w:tcPr>
            <w:tcW w:w="1061" w:type="pct"/>
            <w:vAlign w:val="center"/>
            <w:hideMark/>
          </w:tcPr>
          <w:p w14:paraId="43F9D7EB"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62DD288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Gross domestic product/economic growth</w:t>
            </w:r>
          </w:p>
        </w:tc>
      </w:tr>
      <w:tr w:rsidR="00B24BA0" w:rsidRPr="00734744" w14:paraId="786D71F3" w14:textId="77777777" w:rsidTr="00A059D0">
        <w:trPr>
          <w:tblCellSpacing w:w="15" w:type="dxa"/>
        </w:trPr>
        <w:tc>
          <w:tcPr>
            <w:tcW w:w="1314" w:type="pct"/>
            <w:vAlign w:val="center"/>
            <w:hideMark/>
          </w:tcPr>
          <w:p w14:paraId="2DEFDCA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c>
          <w:tcPr>
            <w:tcW w:w="426" w:type="pct"/>
            <w:vAlign w:val="center"/>
            <w:hideMark/>
          </w:tcPr>
          <w:p w14:paraId="65EFEEB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ER</w:t>
            </w:r>
          </w:p>
        </w:tc>
        <w:tc>
          <w:tcPr>
            <w:tcW w:w="1061" w:type="pct"/>
            <w:vAlign w:val="center"/>
            <w:hideMark/>
          </w:tcPr>
          <w:p w14:paraId="40A5E7B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37B6BC9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r>
    </w:tbl>
    <w:p w14:paraId="125B331D" w14:textId="38EC4143" w:rsidR="00EB72D7" w:rsidRPr="00734744" w:rsidRDefault="00A059D0" w:rsidP="00B37433">
      <w:pPr>
        <w:jc w:val="both"/>
        <w:rPr>
          <w:rFonts w:ascii="Times New Roman" w:hAnsi="Times New Roman" w:cs="Times New Roman"/>
        </w:rPr>
      </w:pPr>
      <w:r w:rsidRPr="00734744">
        <w:rPr>
          <w:rFonts w:ascii="Times New Roman" w:hAnsi="Times New Roman" w:cs="Times New Roman"/>
        </w:rPr>
        <w:t>Source: Author</w:t>
      </w:r>
    </w:p>
    <w:p w14:paraId="19C2A0B6" w14:textId="19093C4E" w:rsidR="001F0F12" w:rsidRPr="00734744" w:rsidRDefault="00B24BA0" w:rsidP="00B37433">
      <w:pPr>
        <w:jc w:val="both"/>
        <w:rPr>
          <w:rFonts w:ascii="Times New Roman" w:hAnsi="Times New Roman" w:cs="Times New Roman"/>
        </w:rPr>
      </w:pPr>
      <w:r w:rsidRPr="00734744">
        <w:rPr>
          <w:rFonts w:ascii="Times New Roman" w:hAnsi="Times New Roman" w:cs="Times New Roman"/>
        </w:rPr>
        <w:t>The study also incorporated a structural-break dummy variable to account for major disruptions occurring during the study period. The dummy captured the military coup of 1982, intertribal clashes of 1992, national hunger of 1997 and post-election violence of 2007. It was assigned a value of 1 in periods associated with the identified structural breaks and 0 otherwise.</w:t>
      </w:r>
    </w:p>
    <w:p w14:paraId="50E38773" w14:textId="77777777" w:rsidR="00B24BA0" w:rsidRPr="00734744" w:rsidRDefault="00B24BA0" w:rsidP="00B24BA0">
      <w:pPr>
        <w:jc w:val="both"/>
        <w:rPr>
          <w:rFonts w:ascii="Times New Roman" w:hAnsi="Times New Roman" w:cs="Times New Roman"/>
          <w:b/>
          <w:bCs/>
        </w:rPr>
      </w:pPr>
    </w:p>
    <w:p w14:paraId="07D003F7" w14:textId="36C8D015" w:rsidR="00B24BA0" w:rsidRPr="00734744" w:rsidRDefault="00B24BA0" w:rsidP="00EB72D7">
      <w:pPr>
        <w:spacing w:after="0"/>
        <w:jc w:val="both"/>
        <w:rPr>
          <w:rFonts w:ascii="Times New Roman" w:hAnsi="Times New Roman" w:cs="Times New Roman"/>
          <w:b/>
          <w:bCs/>
        </w:rPr>
      </w:pPr>
      <w:r w:rsidRPr="00734744">
        <w:rPr>
          <w:rFonts w:ascii="Times New Roman" w:hAnsi="Times New Roman" w:cs="Times New Roman"/>
          <w:b/>
          <w:bCs/>
        </w:rPr>
        <w:t>3.4 Model Specification</w:t>
      </w:r>
    </w:p>
    <w:p w14:paraId="5234C703" w14:textId="77777777" w:rsidR="00B24BA0" w:rsidRPr="00734744" w:rsidRDefault="00B24BA0" w:rsidP="00EB72D7">
      <w:pPr>
        <w:spacing w:after="0"/>
        <w:jc w:val="both"/>
        <w:rPr>
          <w:rFonts w:ascii="Times New Roman" w:hAnsi="Times New Roman" w:cs="Times New Roman"/>
        </w:rPr>
      </w:pPr>
      <w:r w:rsidRPr="00734744">
        <w:rPr>
          <w:rFonts w:ascii="Times New Roman" w:hAnsi="Times New Roman" w:cs="Times New Roman"/>
        </w:rPr>
        <w:lastRenderedPageBreak/>
        <w:t xml:space="preserve">The study employed an Error Correction Model (ECM)/Vector Error Correction Model (VECM) framework to examine both the short-run and long-run relationships among the variables. The approach was considered appropriate for variables that are non-stationary but exhibit a long-run equilibrium relationship. According to the thesis, the model combines short-run and long-run dynamics within a single system (Wang et al., 2018). </w:t>
      </w:r>
    </w:p>
    <w:p w14:paraId="4DC3A557" w14:textId="467233D5" w:rsidR="00B24BA0" w:rsidRPr="00734744" w:rsidRDefault="00FE798B" w:rsidP="00B24BA0">
      <w:pPr>
        <w:jc w:val="both"/>
        <w:rPr>
          <w:rFonts w:ascii="Times New Roman" w:hAnsi="Times New Roman" w:cs="Times New Roman"/>
        </w:rPr>
      </w:pPr>
      <w:r w:rsidRPr="00734744">
        <w:rPr>
          <w:rFonts w:ascii="Times New Roman" w:hAnsi="Times New Roman" w:cs="Times New Roman"/>
        </w:rPr>
        <w:t>T</w:t>
      </w:r>
      <w:r w:rsidR="00B24BA0" w:rsidRPr="00734744">
        <w:rPr>
          <w:rFonts w:ascii="Times New Roman" w:hAnsi="Times New Roman" w:cs="Times New Roman"/>
        </w:rPr>
        <w:t>he model was specified as:</w:t>
      </w:r>
    </w:p>
    <w:p w14:paraId="65AADFFB" w14:textId="3767CE71" w:rsidR="00B24BA0" w:rsidRPr="00734744" w:rsidRDefault="00000000" w:rsidP="00B24BA0">
      <w:pPr>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B24BA0" w:rsidRPr="00734744">
        <w:rPr>
          <w:rFonts w:ascii="Times New Roman" w:hAnsi="Times New Roman" w:cs="Times New Roman"/>
        </w:rPr>
        <w:t>=</w:t>
      </w:r>
      <w:r w:rsidR="00B31FF1"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B24BA0" w:rsidRPr="00734744">
        <w:rPr>
          <w:rFonts w:ascii="Times New Roman" w:hAnsi="Times New Roman" w:cs="Times New Roman"/>
        </w:rPr>
        <w:t>​+</w:t>
      </w:r>
      <w:r w:rsidR="00B31FF1"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t-1</m:t>
            </m:r>
          </m:sub>
        </m:sSub>
      </m:oMath>
      <w:r w:rsidR="00B24BA0" w:rsidRPr="00734744">
        <w:rPr>
          <w:rFonts w:ascii="Times New Roman" w:hAnsi="Times New Roman" w:cs="Times New Roman"/>
        </w:rPr>
        <w:t>+</w:t>
      </w:r>
      <w:r w:rsidR="00B31FF1"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m:rPr>
                <m:sty m:val="p"/>
              </m:rPr>
              <w:rPr>
                <w:rFonts w:ascii="Cambria Math" w:hAnsi="Cambria Math" w:cs="Times New Roman"/>
              </w:rPr>
              <m:t>lnINFL</m:t>
            </m:r>
          </m:e>
          <m:sub>
            <m:r>
              <w:rPr>
                <w:rFonts w:ascii="Cambria Math" w:hAnsi="Cambria Math" w:cs="Times New Roman"/>
              </w:rPr>
              <m:t>t-1</m:t>
            </m:r>
          </m:sub>
        </m:sSub>
      </m:oMath>
      <w:r w:rsidR="00B31FF1" w:rsidRPr="00734744">
        <w:rPr>
          <w:rFonts w:ascii="Times New Roman" w:hAnsi="Times New Roman" w:cs="Times New Roman"/>
        </w:rPr>
        <w:t xml:space="preserve"> </w:t>
      </w:r>
      <w:r w:rsidR="00B24BA0" w:rsidRPr="00734744">
        <w:rPr>
          <w:rFonts w:ascii="Times New Roman" w:hAnsi="Times New Roman" w:cs="Times New Roman"/>
        </w:rPr>
        <w:t>​+</w:t>
      </w:r>
      <w:r w:rsidR="00B31FF1"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m:rPr>
                <m:sty m:val="p"/>
              </m:rPr>
              <w:rPr>
                <w:rFonts w:ascii="Cambria Math" w:hAnsi="Cambria Math" w:cs="Times New Roman"/>
              </w:rPr>
              <m:t>lnEG</m:t>
            </m:r>
          </m:e>
          <m:sub>
            <m:r>
              <w:rPr>
                <w:rFonts w:ascii="Cambria Math" w:hAnsi="Cambria Math" w:cs="Times New Roman"/>
              </w:rPr>
              <m:t>t-1</m:t>
            </m:r>
          </m:sub>
        </m:sSub>
      </m:oMath>
      <w:r w:rsidR="00B24BA0" w:rsidRPr="00734744">
        <w:rPr>
          <w:rFonts w:ascii="Times New Roman" w:hAnsi="Times New Roman" w:cs="Times New Roman"/>
        </w:rPr>
        <w:t>​+</w:t>
      </w:r>
      <w:r w:rsidR="002F0DB7"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4</m:t>
            </m:r>
          </m:sub>
        </m:sSub>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t-1</m:t>
            </m:r>
          </m:sub>
        </m:sSub>
      </m:oMath>
      <w:r w:rsidR="00B24BA0" w:rsidRPr="00734744">
        <w:rPr>
          <w:rFonts w:ascii="Times New Roman" w:hAnsi="Times New Roman" w:cs="Times New Roman"/>
        </w:rPr>
        <w:t>​+</w:t>
      </w:r>
      <w:r w:rsidR="002F0DB7"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5</m:t>
            </m:r>
          </m:sub>
        </m:sSub>
        <m:sSub>
          <m:sSubPr>
            <m:ctrlPr>
              <w:rPr>
                <w:rFonts w:ascii="Cambria Math" w:hAnsi="Cambria Math" w:cs="Times New Roman"/>
                <w:i/>
              </w:rPr>
            </m:ctrlPr>
          </m:sSubPr>
          <m:e>
            <m:r>
              <m:rPr>
                <m:sty m:val="p"/>
              </m:rPr>
              <w:rPr>
                <w:rFonts w:ascii="Cambria Math" w:hAnsi="Cambria Math" w:cs="Times New Roman"/>
              </w:rPr>
              <m:t>lnDUM</m:t>
            </m:r>
          </m:e>
          <m:sub>
            <m:r>
              <w:rPr>
                <w:rFonts w:ascii="Cambria Math" w:hAnsi="Cambria Math" w:cs="Times New Roman"/>
              </w:rPr>
              <m:t>t-1</m:t>
            </m:r>
          </m:sub>
        </m:sSub>
      </m:oMath>
      <w:r w:rsidR="00B24BA0" w:rsidRPr="00734744">
        <w:rPr>
          <w:rFonts w:ascii="Times New Roman" w:hAnsi="Times New Roman" w:cs="Times New Roman"/>
        </w:rPr>
        <w:t>+​</w:t>
      </w:r>
      <w:r w:rsidR="002F0DB7" w:rsidRPr="00734744">
        <w:rPr>
          <w:rFonts w:ascii="Times New Roman" w:hAnsi="Times New Roman" w:cs="Times New Roman"/>
        </w:rPr>
        <w:t xml:space="preserve"> </w:t>
      </w:r>
      <m:oMath>
        <m:sSub>
          <m:sSubPr>
            <m:ctrlPr>
              <w:rPr>
                <w:rFonts w:ascii="Cambria Math" w:hAnsi="Cambria Math" w:cs="Times New Roman"/>
                <w:i/>
              </w:rPr>
            </m:ctrlPr>
          </m:sSubPr>
          <m:e>
            <m:r>
              <m:rPr>
                <m:sty m:val="p"/>
              </m:rPr>
              <w:rPr>
                <w:rFonts w:ascii="Cambria Math" w:hAnsi="Cambria Math" w:cs="Times New Roman"/>
              </w:rPr>
              <m:t>lnECT</m:t>
            </m:r>
          </m:e>
          <m:sub>
            <m:r>
              <w:rPr>
                <w:rFonts w:ascii="Cambria Math" w:hAnsi="Cambria Math" w:cs="Times New Roman"/>
              </w:rPr>
              <m:t>t-1</m:t>
            </m:r>
          </m:sub>
        </m:sSub>
      </m:oMath>
      <w:r w:rsidR="00B24BA0" w:rsidRPr="00734744">
        <w:rPr>
          <w:rFonts w:ascii="Times New Roman" w:hAnsi="Times New Roman" w:cs="Times New Roman"/>
        </w:rPr>
        <w:t>+</w:t>
      </w:r>
      <w:r w:rsidR="002F0DB7"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t</m:t>
            </m:r>
          </m:sub>
        </m:sSub>
      </m:oMath>
      <w:r w:rsidR="00B24BA0" w:rsidRPr="00734744">
        <w:rPr>
          <w:rFonts w:ascii="Times New Roman" w:hAnsi="Times New Roman" w:cs="Times New Roman"/>
        </w:rPr>
        <w:t xml:space="preserve"> </w:t>
      </w:r>
    </w:p>
    <w:p w14:paraId="675F972B"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where:</w:t>
      </w:r>
    </w:p>
    <w:p w14:paraId="5937378B" w14:textId="50F237DA" w:rsidR="00B24BA0" w:rsidRPr="00734744" w:rsidRDefault="002F0DB7"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FDI</m:t>
        </m:r>
      </m:oMath>
      <w:r w:rsidR="00B24BA0" w:rsidRPr="00734744">
        <w:rPr>
          <w:rFonts w:ascii="Times New Roman" w:hAnsi="Times New Roman" w:cs="Times New Roman"/>
        </w:rPr>
        <w:t xml:space="preserve"> = foreign direct investment; </w:t>
      </w:r>
    </w:p>
    <w:p w14:paraId="365AB10E" w14:textId="10789D7A" w:rsidR="00B24BA0" w:rsidRPr="00734744" w:rsidRDefault="002F0DB7"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IR</m:t>
        </m:r>
      </m:oMath>
      <w:r w:rsidR="00B24BA0" w:rsidRPr="00734744">
        <w:rPr>
          <w:rFonts w:ascii="Times New Roman" w:hAnsi="Times New Roman" w:cs="Times New Roman"/>
        </w:rPr>
        <w:t xml:space="preserve">= real interest rate; </w:t>
      </w:r>
    </w:p>
    <w:p w14:paraId="50472C98" w14:textId="3F9D3147" w:rsidR="00B24BA0" w:rsidRPr="00734744" w:rsidRDefault="002F0DB7"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INFL</m:t>
        </m:r>
      </m:oMath>
      <w:r w:rsidR="00B24BA0" w:rsidRPr="00734744">
        <w:rPr>
          <w:rFonts w:ascii="Times New Roman" w:hAnsi="Times New Roman" w:cs="Times New Roman"/>
        </w:rPr>
        <w:t xml:space="preserve"> = inflation rate; </w:t>
      </w:r>
      <w:r w:rsidRPr="00734744">
        <w:rPr>
          <w:rFonts w:ascii="Times New Roman" w:hAnsi="Times New Roman" w:cs="Times New Roman"/>
        </w:rPr>
        <w:t xml:space="preserve"> </w:t>
      </w:r>
    </w:p>
    <w:p w14:paraId="55869A22" w14:textId="3A493266" w:rsidR="00B24BA0" w:rsidRPr="00734744" w:rsidRDefault="002F0DB7"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EG</m:t>
        </m:r>
      </m:oMath>
      <w:r w:rsidR="00B24BA0" w:rsidRPr="00734744">
        <w:rPr>
          <w:rFonts w:ascii="Times New Roman" w:hAnsi="Times New Roman" w:cs="Times New Roman"/>
        </w:rPr>
        <w:t xml:space="preserve"> = economic growth; </w:t>
      </w:r>
    </w:p>
    <w:p w14:paraId="27D3FF2B" w14:textId="32EC4E7A" w:rsidR="00B24BA0" w:rsidRPr="00734744" w:rsidRDefault="002F0DB7"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ER</m:t>
        </m:r>
      </m:oMath>
      <w:r w:rsidR="00B24BA0" w:rsidRPr="00734744">
        <w:rPr>
          <w:rFonts w:ascii="Times New Roman" w:hAnsi="Times New Roman" w:cs="Times New Roman"/>
        </w:rPr>
        <w:t xml:space="preserve"> = exchange rate; </w:t>
      </w:r>
    </w:p>
    <w:p w14:paraId="0AF0CEEB" w14:textId="5B403598" w:rsidR="00B24BA0" w:rsidRPr="00734744" w:rsidRDefault="00FE798B"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DUM</m:t>
        </m:r>
      </m:oMath>
      <w:r w:rsidR="00B24BA0" w:rsidRPr="00734744">
        <w:rPr>
          <w:rFonts w:ascii="Times New Roman" w:hAnsi="Times New Roman" w:cs="Times New Roman"/>
        </w:rPr>
        <w:t xml:space="preserve"> = structural-break dummy; </w:t>
      </w:r>
    </w:p>
    <w:p w14:paraId="533ECCFC" w14:textId="15F0F9E0" w:rsidR="00B24BA0" w:rsidRPr="00734744" w:rsidRDefault="00FE798B" w:rsidP="00A059D0">
      <w:pPr>
        <w:numPr>
          <w:ilvl w:val="0"/>
          <w:numId w:val="1"/>
        </w:numPr>
        <w:spacing w:after="0"/>
        <w:jc w:val="both"/>
        <w:rPr>
          <w:rFonts w:ascii="Times New Roman" w:hAnsi="Times New Roman" w:cs="Times New Roman"/>
        </w:rPr>
      </w:pPr>
      <m:oMath>
        <m:r>
          <m:rPr>
            <m:sty m:val="p"/>
          </m:rPr>
          <w:rPr>
            <w:rFonts w:ascii="Cambria Math" w:hAnsi="Cambria Math" w:cs="Times New Roman"/>
          </w:rPr>
          <m:t>ECT</m:t>
        </m:r>
      </m:oMath>
      <w:r w:rsidR="00B24BA0" w:rsidRPr="00734744">
        <w:rPr>
          <w:rFonts w:ascii="Times New Roman" w:hAnsi="Times New Roman" w:cs="Times New Roman"/>
        </w:rPr>
        <w:t xml:space="preserve"> = error correction term; </w:t>
      </w:r>
    </w:p>
    <w:p w14:paraId="2B4AC18E" w14:textId="7440CFA1" w:rsidR="00B24BA0" w:rsidRPr="00734744"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B24BA0" w:rsidRPr="00734744">
        <w:rPr>
          <w:rFonts w:ascii="Times New Roman" w:hAnsi="Times New Roman" w:cs="Times New Roman"/>
        </w:rPr>
        <w:t xml:space="preserve">​ = constant; </w:t>
      </w:r>
    </w:p>
    <w:p w14:paraId="6DF02E8A" w14:textId="26F1AE38" w:rsidR="00B24BA0" w:rsidRPr="00734744"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B24BA0" w:rsidRPr="00734744">
        <w:rPr>
          <w:rFonts w:ascii="Times New Roman" w:hAnsi="Times New Roman" w:cs="Times New Roman"/>
        </w:rPr>
        <w:t>​−</w:t>
      </w:r>
      <w:r w:rsidR="00FE798B" w:rsidRPr="00734744">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6</m:t>
            </m:r>
          </m:sub>
        </m:sSub>
      </m:oMath>
      <w:r w:rsidR="00B24BA0" w:rsidRPr="00734744">
        <w:rPr>
          <w:rFonts w:ascii="Times New Roman" w:hAnsi="Times New Roman" w:cs="Times New Roman"/>
        </w:rPr>
        <w:t xml:space="preserve">​ = estimated parameters; and </w:t>
      </w:r>
    </w:p>
    <w:p w14:paraId="323648B0" w14:textId="6E0340F3" w:rsidR="00B24BA0" w:rsidRPr="00734744"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t</m:t>
            </m:r>
          </m:sub>
        </m:sSub>
      </m:oMath>
      <w:r w:rsidR="00B24BA0" w:rsidRPr="00734744">
        <w:rPr>
          <w:rFonts w:ascii="Times New Roman" w:hAnsi="Times New Roman" w:cs="Times New Roman"/>
        </w:rPr>
        <w:t>​ = error term.</w:t>
      </w:r>
    </w:p>
    <w:p w14:paraId="427C5B15" w14:textId="77777777" w:rsidR="00FE798B" w:rsidRPr="00734744" w:rsidRDefault="00FE798B" w:rsidP="00FE798B">
      <w:pPr>
        <w:ind w:left="360"/>
        <w:jc w:val="both"/>
        <w:rPr>
          <w:rFonts w:ascii="Times New Roman" w:hAnsi="Times New Roman" w:cs="Times New Roman"/>
        </w:rPr>
      </w:pPr>
    </w:p>
    <w:p w14:paraId="30D4E83F"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 Data Analysis and Estimation Procedure</w:t>
      </w:r>
    </w:p>
    <w:p w14:paraId="72DE8802" w14:textId="5BBFCCDA"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data were </w:t>
      </w:r>
      <w:r w:rsidR="00226E13" w:rsidRPr="00734744">
        <w:rPr>
          <w:rFonts w:ascii="Times New Roman" w:hAnsi="Times New Roman" w:cs="Times New Roman"/>
        </w:rPr>
        <w:t>analysed</w:t>
      </w:r>
      <w:r w:rsidRPr="00734744">
        <w:rPr>
          <w:rFonts w:ascii="Times New Roman" w:hAnsi="Times New Roman" w:cs="Times New Roman"/>
        </w:rPr>
        <w:t xml:space="preserve"> using EViews, Stata, Excel and Ox-Metrics. Before estimation, the variables were transformed into natural logarithms. The analysis subsequently involved stationarity testing, differencing where necessary, correlation analysis, cointegration analysis and estimation of the error-correction model. Statistical inference was based on the estimated coefficients and their associated probability values. </w:t>
      </w:r>
    </w:p>
    <w:p w14:paraId="219A3A25" w14:textId="77777777" w:rsidR="00FE798B" w:rsidRPr="00734744" w:rsidRDefault="00FE798B" w:rsidP="00FE798B">
      <w:pPr>
        <w:spacing w:after="0"/>
        <w:jc w:val="both"/>
        <w:rPr>
          <w:rFonts w:ascii="Times New Roman" w:hAnsi="Times New Roman" w:cs="Times New Roman"/>
        </w:rPr>
      </w:pPr>
    </w:p>
    <w:p w14:paraId="5E14ADBC"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3.5.1 Stationarity Test</w:t>
      </w:r>
    </w:p>
    <w:p w14:paraId="5A59EC9F" w14:textId="77777777" w:rsidR="00FE798B"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study used the Phillips-Perron (PP) unit-root test to determine whether the variables were stationary or contained unit roots. Testing for stationarity was necessary because regression involving non-stationary time-series variables may produce misleading results or spurious regression relationships (Jin et al., 2016). </w:t>
      </w:r>
    </w:p>
    <w:p w14:paraId="380F7793" w14:textId="77777777" w:rsidR="00226E13" w:rsidRPr="00734744" w:rsidRDefault="00226E13" w:rsidP="00FE798B">
      <w:pPr>
        <w:spacing w:after="0"/>
        <w:jc w:val="both"/>
        <w:rPr>
          <w:rFonts w:ascii="Times New Roman" w:hAnsi="Times New Roman" w:cs="Times New Roman"/>
        </w:rPr>
      </w:pPr>
    </w:p>
    <w:p w14:paraId="68E11F46" w14:textId="77777777" w:rsidR="00FE798B" w:rsidRPr="00734744" w:rsidRDefault="00FE798B" w:rsidP="00FE798B">
      <w:pPr>
        <w:spacing w:after="0"/>
        <w:jc w:val="both"/>
        <w:rPr>
          <w:rFonts w:ascii="Times New Roman" w:hAnsi="Times New Roman" w:cs="Times New Roman"/>
        </w:rPr>
      </w:pPr>
    </w:p>
    <w:p w14:paraId="46D77C1C"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3.5.2 Cointegration Test</w:t>
      </w:r>
    </w:p>
    <w:p w14:paraId="2FC353C8" w14:textId="7A43966C"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Cointegration analysis was undertaken to determine whether a long-run equilibrium relationship existed among the variables. Where non-stationary variables are integrated and their linear combination is stationary, cointegration provides evidence of a stable long-run relationship among </w:t>
      </w:r>
      <w:r w:rsidRPr="00734744">
        <w:rPr>
          <w:rFonts w:ascii="Times New Roman" w:hAnsi="Times New Roman" w:cs="Times New Roman"/>
        </w:rPr>
        <w:lastRenderedPageBreak/>
        <w:t>the series. This paper employed the Johansen-</w:t>
      </w:r>
      <w:proofErr w:type="spellStart"/>
      <w:r w:rsidRPr="00734744">
        <w:rPr>
          <w:rFonts w:ascii="Times New Roman" w:hAnsi="Times New Roman" w:cs="Times New Roman"/>
        </w:rPr>
        <w:t>Juselius</w:t>
      </w:r>
      <w:proofErr w:type="spellEnd"/>
      <w:r w:rsidRPr="00734744">
        <w:rPr>
          <w:rFonts w:ascii="Times New Roman" w:hAnsi="Times New Roman" w:cs="Times New Roman"/>
        </w:rPr>
        <w:t xml:space="preserve"> maximum likelihood approach to identify cointegrating vectors. </w:t>
      </w:r>
    </w:p>
    <w:p w14:paraId="1A39770C" w14:textId="77777777" w:rsidR="00FE798B" w:rsidRPr="00734744" w:rsidRDefault="00FE798B" w:rsidP="00FE798B">
      <w:pPr>
        <w:spacing w:after="0"/>
        <w:jc w:val="both"/>
        <w:rPr>
          <w:rFonts w:ascii="Times New Roman" w:hAnsi="Times New Roman" w:cs="Times New Roman"/>
        </w:rPr>
      </w:pPr>
    </w:p>
    <w:p w14:paraId="7371FDB0"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3.5.3 Granger Causality Test</w:t>
      </w:r>
    </w:p>
    <w:p w14:paraId="771E4790" w14:textId="77777777"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Following identification of long-run relationships, Granger causality tests were undertaken to determine the direction of causal relationships among the variables. The analysis distinguished between neutrality, unidirectional causality and bidirectional causality. Statistical significance was assessed at the 5% level (Singh &amp; Janor, 2019). </w:t>
      </w:r>
    </w:p>
    <w:p w14:paraId="52BA94F8" w14:textId="77777777" w:rsidR="00FE798B" w:rsidRPr="00734744" w:rsidRDefault="00FE798B" w:rsidP="00FE798B">
      <w:pPr>
        <w:spacing w:after="0"/>
        <w:jc w:val="both"/>
        <w:rPr>
          <w:rFonts w:ascii="Times New Roman" w:hAnsi="Times New Roman" w:cs="Times New Roman"/>
        </w:rPr>
      </w:pPr>
    </w:p>
    <w:p w14:paraId="5FAC5E9D"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3.5.4 Diagnostic Tests</w:t>
      </w:r>
    </w:p>
    <w:p w14:paraId="7992B46B" w14:textId="3B89BF41"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Diagnostic tests were undertaken to assess the adequacy of the estimated model. These included tests for multicollinearity, heteroscedasticity, autocorrelation and normality. Multicollinearity was assessed using the coefficient of determination and variance inflation factors (VIF). The thesis considered VIF values greater than 10 as indicative of potential multicollinearity (Mohamed, 2011). Heteroscedasticity was assessed using the Breusch-Pagan test, with a probability value below 0.05 indicating the presence of heteroscedasticity (Mueller &amp; Rigdon, 2015). Autocorrelation was assessed using the Durbin-Watson test. The thesis used the test to determine whether the residuals exhibited serial correlation (Medeiros et al., 2011). Normality was assessed using skewness, kurtosis and the Jarque-Bera test, following the criteria cited in the thesis (</w:t>
      </w:r>
      <w:r w:rsidR="00280A29">
        <w:rPr>
          <w:rFonts w:ascii="Times New Roman" w:hAnsi="Times New Roman" w:cs="Times New Roman"/>
        </w:rPr>
        <w:t>Beau</w:t>
      </w:r>
      <w:r w:rsidRPr="00734744">
        <w:rPr>
          <w:rFonts w:ascii="Times New Roman" w:hAnsi="Times New Roman" w:cs="Times New Roman"/>
        </w:rPr>
        <w:t>, 20</w:t>
      </w:r>
      <w:r w:rsidR="00280A29">
        <w:rPr>
          <w:rFonts w:ascii="Times New Roman" w:hAnsi="Times New Roman" w:cs="Times New Roman"/>
        </w:rPr>
        <w:t>19</w:t>
      </w:r>
      <w:r w:rsidRPr="00734744">
        <w:rPr>
          <w:rFonts w:ascii="Times New Roman" w:hAnsi="Times New Roman" w:cs="Times New Roman"/>
        </w:rPr>
        <w:t xml:space="preserve">). </w:t>
      </w:r>
      <w:r w:rsidR="00280A29">
        <w:rPr>
          <w:rFonts w:ascii="Times New Roman" w:hAnsi="Times New Roman" w:cs="Times New Roman"/>
        </w:rPr>
        <w:t xml:space="preserve">  </w:t>
      </w:r>
    </w:p>
    <w:p w14:paraId="4A66A439" w14:textId="77777777" w:rsidR="00FE798B" w:rsidRPr="00734744" w:rsidRDefault="00FE798B" w:rsidP="00FE798B">
      <w:pPr>
        <w:spacing w:after="0"/>
        <w:jc w:val="both"/>
        <w:rPr>
          <w:rFonts w:ascii="Times New Roman" w:hAnsi="Times New Roman" w:cs="Times New Roman"/>
        </w:rPr>
      </w:pPr>
    </w:p>
    <w:p w14:paraId="6ADD7D98"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3.5.5 Lag-Order Selection</w:t>
      </w:r>
    </w:p>
    <w:p w14:paraId="4E28130C" w14:textId="77777777"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appropriate lag length was determined using the Akaike Information Criterion (AIC) and Schwarz Bayesian Information Criterion (SBIC). The thesis also employed the Lagrange Multiplier (LM) test to assess serial correlation in the residuals. </w:t>
      </w:r>
    </w:p>
    <w:p w14:paraId="22D92C38" w14:textId="5667507E" w:rsidR="001F0F12" w:rsidRPr="00734744" w:rsidRDefault="00EB72D7" w:rsidP="00EB72D7">
      <w:pPr>
        <w:tabs>
          <w:tab w:val="left" w:pos="6375"/>
        </w:tabs>
        <w:jc w:val="both"/>
        <w:rPr>
          <w:rFonts w:ascii="Times New Roman" w:hAnsi="Times New Roman" w:cs="Times New Roman"/>
        </w:rPr>
      </w:pPr>
      <w:r w:rsidRPr="00734744">
        <w:rPr>
          <w:rFonts w:ascii="Times New Roman" w:hAnsi="Times New Roman" w:cs="Times New Roman"/>
        </w:rPr>
        <w:tab/>
      </w:r>
    </w:p>
    <w:p w14:paraId="2F54E85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 RESULTS AND DISCUSSION</w:t>
      </w:r>
    </w:p>
    <w:p w14:paraId="6762F945"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4.1 Descriptive Statistics and Normality</w:t>
      </w:r>
    </w:p>
    <w:p w14:paraId="5B01C2D4" w14:textId="12B3F184"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The study used 54 annual observations covering the period 1966–2019. The variables </w:t>
      </w:r>
      <w:r w:rsidR="00226E13" w:rsidRPr="00734744">
        <w:rPr>
          <w:rFonts w:ascii="Times New Roman" w:hAnsi="Times New Roman" w:cs="Times New Roman"/>
        </w:rPr>
        <w:t>analysed</w:t>
      </w:r>
      <w:r w:rsidRPr="00734744">
        <w:rPr>
          <w:rFonts w:ascii="Times New Roman" w:hAnsi="Times New Roman" w:cs="Times New Roman"/>
        </w:rPr>
        <w:t xml:space="preserve"> in the first model were foreign direct investment (FDI), exchange rate, economic growth, inflation rate and real interest rate. The variables were transformed into natural logarithms before estimation.</w:t>
      </w:r>
    </w:p>
    <w:p w14:paraId="6D9C150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The mean values of the logged variables were 2.0301 for FDI, 4.8825 for exchange rate, 6.9110 for economic growth, 9.3039 for inflation and 7.1557 for real interest rate. The corresponding standard deviations were 3.8311, 5.0518, 4.8735, 7.6688 and 7.2509, respectively. The Jarque-Bera probabilities reported in the thesis were 0.0000 for FDI, 0.0498 for exchange rate, 0.0000 for economic growth, 0.0000 for inflation and 0.0041 for real interest rate.</w:t>
      </w:r>
    </w:p>
    <w:p w14:paraId="68A83337" w14:textId="49B03814" w:rsidR="009A7968" w:rsidRPr="00734744" w:rsidRDefault="009A7968" w:rsidP="009A7968">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w:t>
      </w:r>
      <w:r w:rsidR="002206A6" w:rsidRPr="00734744">
        <w:rPr>
          <w:rFonts w:ascii="Times New Roman" w:hAnsi="Times New Roman" w:cs="Times New Roman"/>
        </w:rPr>
        <w:t>2</w:t>
      </w:r>
      <w:r w:rsidRPr="00734744">
        <w:rPr>
          <w:rFonts w:ascii="Times New Roman" w:hAnsi="Times New Roman" w:cs="Times New Roman"/>
        </w:rPr>
        <w:t>. Descriptive Statistics and Normality Tests</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389"/>
        <w:gridCol w:w="1278"/>
        <w:gridCol w:w="1494"/>
        <w:gridCol w:w="1278"/>
        <w:gridCol w:w="1485"/>
        <w:gridCol w:w="1436"/>
      </w:tblGrid>
      <w:tr w:rsidR="009A7968" w:rsidRPr="00734744" w14:paraId="60854D63" w14:textId="77777777" w:rsidTr="00A059D0">
        <w:trPr>
          <w:tblHeader/>
          <w:tblCellSpacing w:w="15" w:type="dxa"/>
        </w:trPr>
        <w:tc>
          <w:tcPr>
            <w:tcW w:w="1252" w:type="pct"/>
            <w:tcBorders>
              <w:top w:val="single" w:sz="4" w:space="0" w:color="auto"/>
              <w:bottom w:val="single" w:sz="4" w:space="0" w:color="auto"/>
            </w:tcBorders>
            <w:vAlign w:val="center"/>
            <w:hideMark/>
          </w:tcPr>
          <w:p w14:paraId="1EC532DD" w14:textId="77777777" w:rsidR="009A7968" w:rsidRPr="00734744" w:rsidRDefault="009A7968" w:rsidP="009A7968">
            <w:pPr>
              <w:tabs>
                <w:tab w:val="left" w:pos="6375"/>
              </w:tabs>
              <w:spacing w:after="0"/>
              <w:jc w:val="both"/>
              <w:rPr>
                <w:rFonts w:ascii="Times New Roman" w:hAnsi="Times New Roman" w:cs="Times New Roman"/>
                <w:b/>
                <w:bCs/>
              </w:rPr>
            </w:pPr>
            <w:r w:rsidRPr="00734744">
              <w:rPr>
                <w:rFonts w:ascii="Times New Roman" w:hAnsi="Times New Roman" w:cs="Times New Roman"/>
                <w:b/>
                <w:bCs/>
              </w:rPr>
              <w:lastRenderedPageBreak/>
              <w:t>Statistic</w:t>
            </w:r>
          </w:p>
        </w:tc>
        <w:tc>
          <w:tcPr>
            <w:tcW w:w="667" w:type="pct"/>
            <w:tcBorders>
              <w:top w:val="single" w:sz="4" w:space="0" w:color="auto"/>
              <w:bottom w:val="single" w:sz="4" w:space="0" w:color="auto"/>
            </w:tcBorders>
            <w:vAlign w:val="center"/>
            <w:hideMark/>
          </w:tcPr>
          <w:p w14:paraId="0E3D0CB3"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lnFDI</w:t>
            </w:r>
            <w:proofErr w:type="spellEnd"/>
          </w:p>
        </w:tc>
        <w:tc>
          <w:tcPr>
            <w:tcW w:w="782" w:type="pct"/>
            <w:tcBorders>
              <w:top w:val="single" w:sz="4" w:space="0" w:color="auto"/>
              <w:bottom w:val="single" w:sz="4" w:space="0" w:color="auto"/>
            </w:tcBorders>
            <w:vAlign w:val="center"/>
            <w:hideMark/>
          </w:tcPr>
          <w:p w14:paraId="571CDC48"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lnER</w:t>
            </w:r>
            <w:proofErr w:type="spellEnd"/>
          </w:p>
        </w:tc>
        <w:tc>
          <w:tcPr>
            <w:tcW w:w="667" w:type="pct"/>
            <w:tcBorders>
              <w:top w:val="single" w:sz="4" w:space="0" w:color="auto"/>
              <w:bottom w:val="single" w:sz="4" w:space="0" w:color="auto"/>
            </w:tcBorders>
            <w:vAlign w:val="center"/>
            <w:hideMark/>
          </w:tcPr>
          <w:p w14:paraId="093BAB46"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lnEG</w:t>
            </w:r>
            <w:proofErr w:type="spellEnd"/>
          </w:p>
        </w:tc>
        <w:tc>
          <w:tcPr>
            <w:tcW w:w="777" w:type="pct"/>
            <w:tcBorders>
              <w:top w:val="single" w:sz="4" w:space="0" w:color="auto"/>
              <w:bottom w:val="single" w:sz="4" w:space="0" w:color="auto"/>
            </w:tcBorders>
            <w:vAlign w:val="center"/>
            <w:hideMark/>
          </w:tcPr>
          <w:p w14:paraId="51264C3C"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lnINFL</w:t>
            </w:r>
            <w:proofErr w:type="spellEnd"/>
          </w:p>
        </w:tc>
        <w:tc>
          <w:tcPr>
            <w:tcW w:w="743" w:type="pct"/>
            <w:tcBorders>
              <w:top w:val="single" w:sz="4" w:space="0" w:color="auto"/>
              <w:bottom w:val="single" w:sz="4" w:space="0" w:color="auto"/>
            </w:tcBorders>
            <w:vAlign w:val="center"/>
            <w:hideMark/>
          </w:tcPr>
          <w:p w14:paraId="45476F4A" w14:textId="77777777" w:rsidR="009A7968" w:rsidRPr="00734744" w:rsidRDefault="009A7968" w:rsidP="009A7968">
            <w:pPr>
              <w:tabs>
                <w:tab w:val="left" w:pos="6375"/>
              </w:tabs>
              <w:spacing w:after="0"/>
              <w:jc w:val="both"/>
              <w:rPr>
                <w:rFonts w:ascii="Times New Roman" w:hAnsi="Times New Roman" w:cs="Times New Roman"/>
                <w:b/>
                <w:bCs/>
              </w:rPr>
            </w:pPr>
            <w:proofErr w:type="spellStart"/>
            <w:r w:rsidRPr="00734744">
              <w:rPr>
                <w:rFonts w:ascii="Times New Roman" w:hAnsi="Times New Roman" w:cs="Times New Roman"/>
                <w:b/>
                <w:bCs/>
              </w:rPr>
              <w:t>lnIR</w:t>
            </w:r>
            <w:proofErr w:type="spellEnd"/>
          </w:p>
        </w:tc>
      </w:tr>
      <w:tr w:rsidR="009A7968" w:rsidRPr="00734744" w14:paraId="1EF97855" w14:textId="77777777" w:rsidTr="00A059D0">
        <w:trPr>
          <w:tblCellSpacing w:w="15" w:type="dxa"/>
        </w:trPr>
        <w:tc>
          <w:tcPr>
            <w:tcW w:w="1252" w:type="pct"/>
            <w:vAlign w:val="center"/>
            <w:hideMark/>
          </w:tcPr>
          <w:p w14:paraId="74F6B13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Mean</w:t>
            </w:r>
          </w:p>
        </w:tc>
        <w:tc>
          <w:tcPr>
            <w:tcW w:w="667" w:type="pct"/>
            <w:vAlign w:val="center"/>
            <w:hideMark/>
          </w:tcPr>
          <w:p w14:paraId="36F8AA0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2.0301</w:t>
            </w:r>
          </w:p>
        </w:tc>
        <w:tc>
          <w:tcPr>
            <w:tcW w:w="782" w:type="pct"/>
            <w:vAlign w:val="center"/>
            <w:hideMark/>
          </w:tcPr>
          <w:p w14:paraId="7C9F808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4.8825</w:t>
            </w:r>
          </w:p>
        </w:tc>
        <w:tc>
          <w:tcPr>
            <w:tcW w:w="667" w:type="pct"/>
            <w:vAlign w:val="center"/>
            <w:hideMark/>
          </w:tcPr>
          <w:p w14:paraId="0E124E1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6.9110</w:t>
            </w:r>
          </w:p>
        </w:tc>
        <w:tc>
          <w:tcPr>
            <w:tcW w:w="777" w:type="pct"/>
            <w:vAlign w:val="center"/>
            <w:hideMark/>
          </w:tcPr>
          <w:p w14:paraId="6F4A0E2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9.3039</w:t>
            </w:r>
          </w:p>
        </w:tc>
        <w:tc>
          <w:tcPr>
            <w:tcW w:w="743" w:type="pct"/>
            <w:vAlign w:val="center"/>
            <w:hideMark/>
          </w:tcPr>
          <w:p w14:paraId="070D296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7.1557</w:t>
            </w:r>
          </w:p>
        </w:tc>
      </w:tr>
      <w:tr w:rsidR="009A7968" w:rsidRPr="00734744" w14:paraId="63104586" w14:textId="77777777" w:rsidTr="00A059D0">
        <w:trPr>
          <w:tblCellSpacing w:w="15" w:type="dxa"/>
        </w:trPr>
        <w:tc>
          <w:tcPr>
            <w:tcW w:w="1252" w:type="pct"/>
            <w:vAlign w:val="center"/>
            <w:hideMark/>
          </w:tcPr>
          <w:p w14:paraId="638A25A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Median</w:t>
            </w:r>
          </w:p>
        </w:tc>
        <w:tc>
          <w:tcPr>
            <w:tcW w:w="667" w:type="pct"/>
            <w:vAlign w:val="center"/>
            <w:hideMark/>
          </w:tcPr>
          <w:p w14:paraId="45D34A2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1.9365</w:t>
            </w:r>
          </w:p>
        </w:tc>
        <w:tc>
          <w:tcPr>
            <w:tcW w:w="782" w:type="pct"/>
            <w:vAlign w:val="center"/>
            <w:hideMark/>
          </w:tcPr>
          <w:p w14:paraId="55D1069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3.8233</w:t>
            </w:r>
          </w:p>
        </w:tc>
        <w:tc>
          <w:tcPr>
            <w:tcW w:w="667" w:type="pct"/>
            <w:vAlign w:val="center"/>
            <w:hideMark/>
          </w:tcPr>
          <w:p w14:paraId="4EF5FCA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5.5546</w:t>
            </w:r>
          </w:p>
        </w:tc>
        <w:tc>
          <w:tcPr>
            <w:tcW w:w="777" w:type="pct"/>
            <w:vAlign w:val="center"/>
            <w:hideMark/>
          </w:tcPr>
          <w:p w14:paraId="4DEAAF4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9.0458</w:t>
            </w:r>
          </w:p>
        </w:tc>
        <w:tc>
          <w:tcPr>
            <w:tcW w:w="743" w:type="pct"/>
            <w:vAlign w:val="center"/>
            <w:hideMark/>
          </w:tcPr>
          <w:p w14:paraId="3F52B5AB"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7.0740</w:t>
            </w:r>
          </w:p>
        </w:tc>
      </w:tr>
      <w:tr w:rsidR="009A7968" w:rsidRPr="00734744" w14:paraId="299D5A12" w14:textId="77777777" w:rsidTr="00A059D0">
        <w:trPr>
          <w:tblCellSpacing w:w="15" w:type="dxa"/>
        </w:trPr>
        <w:tc>
          <w:tcPr>
            <w:tcW w:w="1252" w:type="pct"/>
            <w:vAlign w:val="center"/>
            <w:hideMark/>
          </w:tcPr>
          <w:p w14:paraId="02480EC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Maximum</w:t>
            </w:r>
          </w:p>
        </w:tc>
        <w:tc>
          <w:tcPr>
            <w:tcW w:w="667" w:type="pct"/>
            <w:vAlign w:val="center"/>
            <w:hideMark/>
          </w:tcPr>
          <w:p w14:paraId="216CC89C"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3.6109</w:t>
            </w:r>
          </w:p>
        </w:tc>
        <w:tc>
          <w:tcPr>
            <w:tcW w:w="782" w:type="pct"/>
            <w:vAlign w:val="center"/>
            <w:hideMark/>
          </w:tcPr>
          <w:p w14:paraId="6558BEF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10.4109</w:t>
            </w:r>
          </w:p>
        </w:tc>
        <w:tc>
          <w:tcPr>
            <w:tcW w:w="667" w:type="pct"/>
            <w:vAlign w:val="center"/>
            <w:hideMark/>
          </w:tcPr>
          <w:p w14:paraId="18A4219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7.1753</w:t>
            </w:r>
          </w:p>
        </w:tc>
        <w:tc>
          <w:tcPr>
            <w:tcW w:w="777" w:type="pct"/>
            <w:vAlign w:val="center"/>
            <w:hideMark/>
          </w:tcPr>
          <w:p w14:paraId="6BA884D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11.9888</w:t>
            </w:r>
          </w:p>
        </w:tc>
        <w:tc>
          <w:tcPr>
            <w:tcW w:w="743" w:type="pct"/>
            <w:vAlign w:val="center"/>
            <w:hideMark/>
          </w:tcPr>
          <w:p w14:paraId="3AFD7C7B"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8.0963</w:t>
            </w:r>
          </w:p>
        </w:tc>
      </w:tr>
      <w:tr w:rsidR="009A7968" w:rsidRPr="00734744" w14:paraId="2ABBDC9A" w14:textId="77777777" w:rsidTr="00A059D0">
        <w:trPr>
          <w:tblCellSpacing w:w="15" w:type="dxa"/>
        </w:trPr>
        <w:tc>
          <w:tcPr>
            <w:tcW w:w="1252" w:type="pct"/>
            <w:vAlign w:val="center"/>
            <w:hideMark/>
          </w:tcPr>
          <w:p w14:paraId="149520C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Minimum</w:t>
            </w:r>
          </w:p>
        </w:tc>
        <w:tc>
          <w:tcPr>
            <w:tcW w:w="667" w:type="pct"/>
            <w:vAlign w:val="center"/>
            <w:hideMark/>
          </w:tcPr>
          <w:p w14:paraId="381773F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1.8031</w:t>
            </w:r>
          </w:p>
        </w:tc>
        <w:tc>
          <w:tcPr>
            <w:tcW w:w="782" w:type="pct"/>
            <w:vAlign w:val="center"/>
            <w:hideMark/>
          </w:tcPr>
          <w:p w14:paraId="76C9C13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7.0204</w:t>
            </w:r>
          </w:p>
        </w:tc>
        <w:tc>
          <w:tcPr>
            <w:tcW w:w="667" w:type="pct"/>
            <w:vAlign w:val="center"/>
            <w:hideMark/>
          </w:tcPr>
          <w:p w14:paraId="35067B6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2.1081</w:t>
            </w:r>
          </w:p>
        </w:tc>
        <w:tc>
          <w:tcPr>
            <w:tcW w:w="777" w:type="pct"/>
            <w:vAlign w:val="center"/>
            <w:hideMark/>
          </w:tcPr>
          <w:p w14:paraId="54B8F43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9.2192</w:t>
            </w:r>
          </w:p>
        </w:tc>
        <w:tc>
          <w:tcPr>
            <w:tcW w:w="743" w:type="pct"/>
            <w:vAlign w:val="center"/>
            <w:hideMark/>
          </w:tcPr>
          <w:p w14:paraId="567D94A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6.0099</w:t>
            </w:r>
          </w:p>
        </w:tc>
      </w:tr>
      <w:tr w:rsidR="009A7968" w:rsidRPr="00734744" w14:paraId="5DCF9B3B" w14:textId="77777777" w:rsidTr="00A059D0">
        <w:trPr>
          <w:tblCellSpacing w:w="15" w:type="dxa"/>
        </w:trPr>
        <w:tc>
          <w:tcPr>
            <w:tcW w:w="1252" w:type="pct"/>
            <w:vAlign w:val="center"/>
            <w:hideMark/>
          </w:tcPr>
          <w:p w14:paraId="040AB9F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Std. Dev.</w:t>
            </w:r>
          </w:p>
        </w:tc>
        <w:tc>
          <w:tcPr>
            <w:tcW w:w="667" w:type="pct"/>
            <w:vAlign w:val="center"/>
            <w:hideMark/>
          </w:tcPr>
          <w:p w14:paraId="2A8C1CA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3.8311</w:t>
            </w:r>
          </w:p>
        </w:tc>
        <w:tc>
          <w:tcPr>
            <w:tcW w:w="782" w:type="pct"/>
            <w:vAlign w:val="center"/>
            <w:hideMark/>
          </w:tcPr>
          <w:p w14:paraId="5C34252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5.0518</w:t>
            </w:r>
          </w:p>
        </w:tc>
        <w:tc>
          <w:tcPr>
            <w:tcW w:w="667" w:type="pct"/>
            <w:vAlign w:val="center"/>
            <w:hideMark/>
          </w:tcPr>
          <w:p w14:paraId="57825E5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4.8735</w:t>
            </w:r>
          </w:p>
        </w:tc>
        <w:tc>
          <w:tcPr>
            <w:tcW w:w="777" w:type="pct"/>
            <w:vAlign w:val="center"/>
            <w:hideMark/>
          </w:tcPr>
          <w:p w14:paraId="3F6A6EF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7.6688</w:t>
            </w:r>
          </w:p>
        </w:tc>
        <w:tc>
          <w:tcPr>
            <w:tcW w:w="743" w:type="pct"/>
            <w:vAlign w:val="center"/>
            <w:hideMark/>
          </w:tcPr>
          <w:p w14:paraId="71301CD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7.2509</w:t>
            </w:r>
          </w:p>
        </w:tc>
      </w:tr>
      <w:tr w:rsidR="009A7968" w:rsidRPr="00734744" w14:paraId="3EE5D88B" w14:textId="77777777" w:rsidTr="00A059D0">
        <w:trPr>
          <w:tblCellSpacing w:w="15" w:type="dxa"/>
        </w:trPr>
        <w:tc>
          <w:tcPr>
            <w:tcW w:w="1252" w:type="pct"/>
            <w:vAlign w:val="center"/>
            <w:hideMark/>
          </w:tcPr>
          <w:p w14:paraId="0082FD9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Skewness</w:t>
            </w:r>
          </w:p>
        </w:tc>
        <w:tc>
          <w:tcPr>
            <w:tcW w:w="667" w:type="pct"/>
            <w:vAlign w:val="center"/>
            <w:hideMark/>
          </w:tcPr>
          <w:p w14:paraId="3C46D3C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2.0807</w:t>
            </w:r>
          </w:p>
        </w:tc>
        <w:tc>
          <w:tcPr>
            <w:tcW w:w="782" w:type="pct"/>
            <w:vAlign w:val="center"/>
            <w:hideMark/>
          </w:tcPr>
          <w:p w14:paraId="04368DC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0.2186</w:t>
            </w:r>
          </w:p>
        </w:tc>
        <w:tc>
          <w:tcPr>
            <w:tcW w:w="667" w:type="pct"/>
            <w:vAlign w:val="center"/>
            <w:hideMark/>
          </w:tcPr>
          <w:p w14:paraId="3BE9B12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1.5586</w:t>
            </w:r>
          </w:p>
        </w:tc>
        <w:tc>
          <w:tcPr>
            <w:tcW w:w="777" w:type="pct"/>
            <w:vAlign w:val="center"/>
            <w:hideMark/>
          </w:tcPr>
          <w:p w14:paraId="0F3D34C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1.4381</w:t>
            </w:r>
          </w:p>
        </w:tc>
        <w:tc>
          <w:tcPr>
            <w:tcW w:w="743" w:type="pct"/>
            <w:vAlign w:val="center"/>
            <w:hideMark/>
          </w:tcPr>
          <w:p w14:paraId="3A1E7E7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-0.0761</w:t>
            </w:r>
          </w:p>
        </w:tc>
      </w:tr>
      <w:tr w:rsidR="009A7968" w:rsidRPr="00734744" w14:paraId="09112165" w14:textId="77777777" w:rsidTr="00A059D0">
        <w:trPr>
          <w:tblCellSpacing w:w="15" w:type="dxa"/>
        </w:trPr>
        <w:tc>
          <w:tcPr>
            <w:tcW w:w="1252" w:type="pct"/>
            <w:vAlign w:val="center"/>
            <w:hideMark/>
          </w:tcPr>
          <w:p w14:paraId="12B1336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Kurtosis</w:t>
            </w:r>
          </w:p>
        </w:tc>
        <w:tc>
          <w:tcPr>
            <w:tcW w:w="667" w:type="pct"/>
            <w:vAlign w:val="center"/>
            <w:hideMark/>
          </w:tcPr>
          <w:p w14:paraId="330CAC6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1.9843</w:t>
            </w:r>
          </w:p>
        </w:tc>
        <w:tc>
          <w:tcPr>
            <w:tcW w:w="782" w:type="pct"/>
            <w:vAlign w:val="center"/>
            <w:hideMark/>
          </w:tcPr>
          <w:p w14:paraId="083F1D6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1.4276</w:t>
            </w:r>
          </w:p>
        </w:tc>
        <w:tc>
          <w:tcPr>
            <w:tcW w:w="667" w:type="pct"/>
            <w:vAlign w:val="center"/>
            <w:hideMark/>
          </w:tcPr>
          <w:p w14:paraId="7856AE8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2.0805</w:t>
            </w:r>
          </w:p>
        </w:tc>
        <w:tc>
          <w:tcPr>
            <w:tcW w:w="777" w:type="pct"/>
            <w:vAlign w:val="center"/>
            <w:hideMark/>
          </w:tcPr>
          <w:p w14:paraId="3073971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2.0051</w:t>
            </w:r>
          </w:p>
        </w:tc>
        <w:tc>
          <w:tcPr>
            <w:tcW w:w="743" w:type="pct"/>
            <w:vAlign w:val="center"/>
            <w:hideMark/>
          </w:tcPr>
          <w:p w14:paraId="5D79146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2.5478</w:t>
            </w:r>
          </w:p>
        </w:tc>
      </w:tr>
      <w:tr w:rsidR="009A7968" w:rsidRPr="00734744" w14:paraId="11C5F7A1" w14:textId="77777777" w:rsidTr="00A059D0">
        <w:trPr>
          <w:tblCellSpacing w:w="15" w:type="dxa"/>
        </w:trPr>
        <w:tc>
          <w:tcPr>
            <w:tcW w:w="1252" w:type="pct"/>
            <w:vAlign w:val="center"/>
            <w:hideMark/>
          </w:tcPr>
          <w:p w14:paraId="713ACEF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Jarque-Bera</w:t>
            </w:r>
          </w:p>
        </w:tc>
        <w:tc>
          <w:tcPr>
            <w:tcW w:w="667" w:type="pct"/>
            <w:vAlign w:val="center"/>
            <w:hideMark/>
          </w:tcPr>
          <w:p w14:paraId="7822F18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5.0003</w:t>
            </w:r>
          </w:p>
        </w:tc>
        <w:tc>
          <w:tcPr>
            <w:tcW w:w="782" w:type="pct"/>
            <w:vAlign w:val="center"/>
            <w:hideMark/>
          </w:tcPr>
          <w:p w14:paraId="6F98EEE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5.1930</w:t>
            </w:r>
          </w:p>
        </w:tc>
        <w:tc>
          <w:tcPr>
            <w:tcW w:w="667" w:type="pct"/>
            <w:vAlign w:val="center"/>
            <w:hideMark/>
          </w:tcPr>
          <w:p w14:paraId="591227E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2.1964</w:t>
            </w:r>
          </w:p>
        </w:tc>
        <w:tc>
          <w:tcPr>
            <w:tcW w:w="777" w:type="pct"/>
            <w:vAlign w:val="center"/>
            <w:hideMark/>
          </w:tcPr>
          <w:p w14:paraId="289198D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4.9790</w:t>
            </w:r>
          </w:p>
        </w:tc>
        <w:tc>
          <w:tcPr>
            <w:tcW w:w="743" w:type="pct"/>
            <w:vAlign w:val="center"/>
            <w:hideMark/>
          </w:tcPr>
          <w:p w14:paraId="74A24F3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0.5121</w:t>
            </w:r>
          </w:p>
        </w:tc>
      </w:tr>
      <w:tr w:rsidR="009A7968" w:rsidRPr="00734744" w14:paraId="35734ECE" w14:textId="77777777" w:rsidTr="00A059D0">
        <w:trPr>
          <w:tblCellSpacing w:w="15" w:type="dxa"/>
        </w:trPr>
        <w:tc>
          <w:tcPr>
            <w:tcW w:w="1252" w:type="pct"/>
            <w:vAlign w:val="center"/>
            <w:hideMark/>
          </w:tcPr>
          <w:p w14:paraId="72B99EB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Probability</w:t>
            </w:r>
          </w:p>
        </w:tc>
        <w:tc>
          <w:tcPr>
            <w:tcW w:w="667" w:type="pct"/>
            <w:vAlign w:val="center"/>
            <w:hideMark/>
          </w:tcPr>
          <w:p w14:paraId="560A103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82" w:type="pct"/>
            <w:vAlign w:val="center"/>
            <w:hideMark/>
          </w:tcPr>
          <w:p w14:paraId="5B1E04D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0.0498</w:t>
            </w:r>
          </w:p>
        </w:tc>
        <w:tc>
          <w:tcPr>
            <w:tcW w:w="667" w:type="pct"/>
            <w:vAlign w:val="center"/>
            <w:hideMark/>
          </w:tcPr>
          <w:p w14:paraId="29ACC90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77" w:type="pct"/>
            <w:vAlign w:val="center"/>
            <w:hideMark/>
          </w:tcPr>
          <w:p w14:paraId="64A812D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43" w:type="pct"/>
            <w:vAlign w:val="center"/>
            <w:hideMark/>
          </w:tcPr>
          <w:p w14:paraId="1EE7960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0.0041</w:t>
            </w:r>
          </w:p>
        </w:tc>
      </w:tr>
      <w:tr w:rsidR="009A7968" w:rsidRPr="00734744" w14:paraId="49BF1D97" w14:textId="77777777" w:rsidTr="00A059D0">
        <w:trPr>
          <w:tblCellSpacing w:w="15" w:type="dxa"/>
        </w:trPr>
        <w:tc>
          <w:tcPr>
            <w:tcW w:w="1252" w:type="pct"/>
            <w:vAlign w:val="center"/>
            <w:hideMark/>
          </w:tcPr>
          <w:p w14:paraId="23A2FA8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Observations</w:t>
            </w:r>
          </w:p>
        </w:tc>
        <w:tc>
          <w:tcPr>
            <w:tcW w:w="667" w:type="pct"/>
            <w:vAlign w:val="center"/>
            <w:hideMark/>
          </w:tcPr>
          <w:p w14:paraId="3E71974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82" w:type="pct"/>
            <w:vAlign w:val="center"/>
            <w:hideMark/>
          </w:tcPr>
          <w:p w14:paraId="26C6871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667" w:type="pct"/>
            <w:vAlign w:val="center"/>
            <w:hideMark/>
          </w:tcPr>
          <w:p w14:paraId="293A667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77" w:type="pct"/>
            <w:vAlign w:val="center"/>
            <w:hideMark/>
          </w:tcPr>
          <w:p w14:paraId="407896AD"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43" w:type="pct"/>
            <w:vAlign w:val="center"/>
            <w:hideMark/>
          </w:tcPr>
          <w:p w14:paraId="6D39495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r>
    </w:tbl>
    <w:p w14:paraId="28DD7396" w14:textId="760C6970" w:rsidR="00EB72D7" w:rsidRPr="00734744" w:rsidRDefault="009A7968" w:rsidP="00EB72D7">
      <w:pPr>
        <w:tabs>
          <w:tab w:val="left" w:pos="6375"/>
        </w:tabs>
        <w:jc w:val="both"/>
        <w:rPr>
          <w:rFonts w:ascii="Times New Roman" w:hAnsi="Times New Roman" w:cs="Times New Roman"/>
        </w:rPr>
      </w:pPr>
      <w:r w:rsidRPr="00734744">
        <w:rPr>
          <w:rFonts w:ascii="Times New Roman" w:hAnsi="Times New Roman" w:cs="Times New Roman"/>
        </w:rPr>
        <w:t>Source: Thesis</w:t>
      </w:r>
    </w:p>
    <w:p w14:paraId="71730832" w14:textId="77777777" w:rsidR="009A7968" w:rsidRPr="00734744" w:rsidRDefault="009A7968" w:rsidP="009A7968">
      <w:pPr>
        <w:tabs>
          <w:tab w:val="left" w:pos="6375"/>
        </w:tabs>
        <w:spacing w:after="0"/>
        <w:jc w:val="both"/>
        <w:rPr>
          <w:rFonts w:ascii="Times New Roman" w:hAnsi="Times New Roman" w:cs="Times New Roman"/>
          <w:b/>
          <w:bCs/>
        </w:rPr>
      </w:pPr>
      <w:r w:rsidRPr="00734744">
        <w:rPr>
          <w:rFonts w:ascii="Times New Roman" w:hAnsi="Times New Roman" w:cs="Times New Roman"/>
          <w:b/>
          <w:bCs/>
        </w:rPr>
        <w:t>4.2 Stationarity Tests</w:t>
      </w:r>
    </w:p>
    <w:p w14:paraId="650E5C40" w14:textId="77777777" w:rsidR="009A7968" w:rsidRDefault="009A7968" w:rsidP="009A7968">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Phillips-Perron (PP) test was employed to establish the stationarity properties of the variables. The results showed that FDI, exchange rate and economic growth were non-stationary at levels, whereas inflation and real interest rate were stationary at levels. The PP statistics reported for FDI, exchange rate and economic growth were -0.3124, 0.3032 and 9.8047, respectively, compared with the 5% MacKinnon critical value of -2.9266. Inflation and real interest rate were stationary at level, with PP statistics of -5.4829 and -4.2070, respectively. </w:t>
      </w:r>
    </w:p>
    <w:p w14:paraId="4E0204E2" w14:textId="77777777" w:rsidR="00280A29" w:rsidRPr="00734744" w:rsidRDefault="00280A29" w:rsidP="009A7968">
      <w:pPr>
        <w:tabs>
          <w:tab w:val="left" w:pos="6375"/>
        </w:tabs>
        <w:spacing w:after="0"/>
        <w:jc w:val="both"/>
        <w:rPr>
          <w:rFonts w:ascii="Times New Roman" w:hAnsi="Times New Roman" w:cs="Times New Roman"/>
        </w:rPr>
      </w:pPr>
    </w:p>
    <w:p w14:paraId="72F5E74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At first difference, exchange rate became stationary with a PP statistic of -6.5232, while FDI and economic growth remained non-stationary. Economic growth and FDI became stationary after second differencing, with PP statistics of -12.0503 and -9.6354, respectively. </w:t>
      </w:r>
    </w:p>
    <w:p w14:paraId="3D9C2D29" w14:textId="77777777" w:rsidR="00280A29" w:rsidRDefault="00280A29" w:rsidP="009A7968">
      <w:pPr>
        <w:tabs>
          <w:tab w:val="left" w:pos="6375"/>
        </w:tabs>
        <w:jc w:val="both"/>
        <w:rPr>
          <w:rFonts w:ascii="Times New Roman" w:hAnsi="Times New Roman" w:cs="Times New Roman"/>
        </w:rPr>
      </w:pPr>
    </w:p>
    <w:p w14:paraId="116AD6AE" w14:textId="77777777" w:rsidR="004C781B" w:rsidRDefault="004C781B" w:rsidP="009A7968">
      <w:pPr>
        <w:tabs>
          <w:tab w:val="left" w:pos="6375"/>
        </w:tabs>
        <w:jc w:val="both"/>
        <w:rPr>
          <w:rFonts w:ascii="Times New Roman" w:hAnsi="Times New Roman" w:cs="Times New Roman"/>
        </w:rPr>
      </w:pPr>
    </w:p>
    <w:p w14:paraId="74443149" w14:textId="77777777" w:rsidR="004C781B" w:rsidRDefault="004C781B" w:rsidP="009A7968">
      <w:pPr>
        <w:tabs>
          <w:tab w:val="left" w:pos="6375"/>
        </w:tabs>
        <w:jc w:val="both"/>
        <w:rPr>
          <w:rFonts w:ascii="Times New Roman" w:hAnsi="Times New Roman" w:cs="Times New Roman"/>
        </w:rPr>
      </w:pPr>
    </w:p>
    <w:p w14:paraId="5B97499C" w14:textId="7C17F19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Table </w:t>
      </w:r>
      <w:r w:rsidR="002206A6" w:rsidRPr="00734744">
        <w:rPr>
          <w:rFonts w:ascii="Times New Roman" w:hAnsi="Times New Roman" w:cs="Times New Roman"/>
        </w:rPr>
        <w:t>3</w:t>
      </w:r>
      <w:r w:rsidRPr="00734744">
        <w:rPr>
          <w:rFonts w:ascii="Times New Roman" w:hAnsi="Times New Roman" w:cs="Times New Roman"/>
        </w:rPr>
        <w:t>. Phillips-Perron Unit Root Test Results</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455"/>
        <w:gridCol w:w="1233"/>
        <w:gridCol w:w="2600"/>
        <w:gridCol w:w="2979"/>
        <w:gridCol w:w="1093"/>
      </w:tblGrid>
      <w:tr w:rsidR="009A7968" w:rsidRPr="00734744" w14:paraId="428D1AE4" w14:textId="77777777" w:rsidTr="00BB631A">
        <w:trPr>
          <w:tblHeader/>
          <w:tblCellSpacing w:w="15" w:type="dxa"/>
        </w:trPr>
        <w:tc>
          <w:tcPr>
            <w:tcW w:w="745" w:type="pct"/>
            <w:tcBorders>
              <w:top w:val="single" w:sz="4" w:space="0" w:color="auto"/>
              <w:bottom w:val="single" w:sz="4" w:space="0" w:color="auto"/>
            </w:tcBorders>
            <w:vAlign w:val="center"/>
            <w:hideMark/>
          </w:tcPr>
          <w:p w14:paraId="55EFC56E"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lastRenderedPageBreak/>
              <w:t>Variable</w:t>
            </w:r>
          </w:p>
        </w:tc>
        <w:tc>
          <w:tcPr>
            <w:tcW w:w="636" w:type="pct"/>
            <w:tcBorders>
              <w:top w:val="single" w:sz="4" w:space="0" w:color="auto"/>
              <w:bottom w:val="single" w:sz="4" w:space="0" w:color="auto"/>
            </w:tcBorders>
            <w:vAlign w:val="center"/>
            <w:hideMark/>
          </w:tcPr>
          <w:p w14:paraId="6A75EC0B"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Level</w:t>
            </w:r>
          </w:p>
        </w:tc>
        <w:tc>
          <w:tcPr>
            <w:tcW w:w="1359" w:type="pct"/>
            <w:tcBorders>
              <w:top w:val="single" w:sz="4" w:space="0" w:color="auto"/>
              <w:bottom w:val="single" w:sz="4" w:space="0" w:color="auto"/>
            </w:tcBorders>
            <w:vAlign w:val="center"/>
            <w:hideMark/>
          </w:tcPr>
          <w:p w14:paraId="48ED4F17"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First Difference</w:t>
            </w:r>
          </w:p>
        </w:tc>
        <w:tc>
          <w:tcPr>
            <w:tcW w:w="1558" w:type="pct"/>
            <w:tcBorders>
              <w:top w:val="single" w:sz="4" w:space="0" w:color="auto"/>
              <w:bottom w:val="single" w:sz="4" w:space="0" w:color="auto"/>
            </w:tcBorders>
            <w:vAlign w:val="center"/>
            <w:hideMark/>
          </w:tcPr>
          <w:p w14:paraId="5300112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Second Difference</w:t>
            </w:r>
          </w:p>
        </w:tc>
        <w:tc>
          <w:tcPr>
            <w:tcW w:w="554" w:type="pct"/>
            <w:tcBorders>
              <w:top w:val="single" w:sz="4" w:space="0" w:color="auto"/>
              <w:bottom w:val="single" w:sz="4" w:space="0" w:color="auto"/>
            </w:tcBorders>
            <w:vAlign w:val="center"/>
            <w:hideMark/>
          </w:tcPr>
          <w:p w14:paraId="449FD3CC"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Status</w:t>
            </w:r>
          </w:p>
        </w:tc>
      </w:tr>
      <w:tr w:rsidR="009A7968" w:rsidRPr="00734744" w14:paraId="3DD5E259" w14:textId="77777777" w:rsidTr="00A059D0">
        <w:trPr>
          <w:tblCellSpacing w:w="15" w:type="dxa"/>
        </w:trPr>
        <w:tc>
          <w:tcPr>
            <w:tcW w:w="745" w:type="pct"/>
            <w:vAlign w:val="center"/>
            <w:hideMark/>
          </w:tcPr>
          <w:p w14:paraId="3A4D783E"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p>
        </w:tc>
        <w:tc>
          <w:tcPr>
            <w:tcW w:w="636" w:type="pct"/>
            <w:vAlign w:val="center"/>
            <w:hideMark/>
          </w:tcPr>
          <w:p w14:paraId="490AAD1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-0.3124</w:t>
            </w:r>
          </w:p>
        </w:tc>
        <w:tc>
          <w:tcPr>
            <w:tcW w:w="1359" w:type="pct"/>
            <w:vAlign w:val="center"/>
            <w:hideMark/>
          </w:tcPr>
          <w:p w14:paraId="399EA7D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-2.1453</w:t>
            </w:r>
          </w:p>
        </w:tc>
        <w:tc>
          <w:tcPr>
            <w:tcW w:w="1558" w:type="pct"/>
            <w:vAlign w:val="center"/>
            <w:hideMark/>
          </w:tcPr>
          <w:p w14:paraId="1699B93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-9.6354</w:t>
            </w:r>
          </w:p>
        </w:tc>
        <w:tc>
          <w:tcPr>
            <w:tcW w:w="554" w:type="pct"/>
            <w:vAlign w:val="center"/>
            <w:hideMark/>
          </w:tcPr>
          <w:p w14:paraId="2262A80E"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2)</w:t>
            </w:r>
          </w:p>
        </w:tc>
      </w:tr>
      <w:tr w:rsidR="009A7968" w:rsidRPr="00734744" w14:paraId="1826C69A" w14:textId="77777777" w:rsidTr="00A059D0">
        <w:trPr>
          <w:tblCellSpacing w:w="15" w:type="dxa"/>
        </w:trPr>
        <w:tc>
          <w:tcPr>
            <w:tcW w:w="745" w:type="pct"/>
            <w:vAlign w:val="center"/>
            <w:hideMark/>
          </w:tcPr>
          <w:p w14:paraId="51595230"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lnER</w:t>
            </w:r>
            <w:proofErr w:type="spellEnd"/>
          </w:p>
        </w:tc>
        <w:tc>
          <w:tcPr>
            <w:tcW w:w="636" w:type="pct"/>
            <w:vAlign w:val="center"/>
            <w:hideMark/>
          </w:tcPr>
          <w:p w14:paraId="6AB2DDD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0.3032</w:t>
            </w:r>
          </w:p>
        </w:tc>
        <w:tc>
          <w:tcPr>
            <w:tcW w:w="1359" w:type="pct"/>
            <w:vAlign w:val="center"/>
            <w:hideMark/>
          </w:tcPr>
          <w:p w14:paraId="6AF487B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-6.5232</w:t>
            </w:r>
          </w:p>
        </w:tc>
        <w:tc>
          <w:tcPr>
            <w:tcW w:w="1558" w:type="pct"/>
            <w:vAlign w:val="center"/>
            <w:hideMark/>
          </w:tcPr>
          <w:p w14:paraId="4207942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554" w:type="pct"/>
            <w:vAlign w:val="center"/>
            <w:hideMark/>
          </w:tcPr>
          <w:p w14:paraId="37CB952E"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1)</w:t>
            </w:r>
          </w:p>
        </w:tc>
      </w:tr>
      <w:tr w:rsidR="009A7968" w:rsidRPr="00734744" w14:paraId="03847996" w14:textId="77777777" w:rsidTr="00A059D0">
        <w:trPr>
          <w:tblCellSpacing w:w="15" w:type="dxa"/>
        </w:trPr>
        <w:tc>
          <w:tcPr>
            <w:tcW w:w="745" w:type="pct"/>
            <w:vAlign w:val="center"/>
            <w:hideMark/>
          </w:tcPr>
          <w:p w14:paraId="229DC0F6"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lnEG</w:t>
            </w:r>
            <w:proofErr w:type="spellEnd"/>
          </w:p>
        </w:tc>
        <w:tc>
          <w:tcPr>
            <w:tcW w:w="636" w:type="pct"/>
            <w:vAlign w:val="center"/>
            <w:hideMark/>
          </w:tcPr>
          <w:p w14:paraId="19006DF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9.8047</w:t>
            </w:r>
          </w:p>
        </w:tc>
        <w:tc>
          <w:tcPr>
            <w:tcW w:w="1359" w:type="pct"/>
            <w:vAlign w:val="center"/>
            <w:hideMark/>
          </w:tcPr>
          <w:p w14:paraId="40886DD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-1.2085</w:t>
            </w:r>
          </w:p>
        </w:tc>
        <w:tc>
          <w:tcPr>
            <w:tcW w:w="1558" w:type="pct"/>
            <w:vAlign w:val="center"/>
            <w:hideMark/>
          </w:tcPr>
          <w:p w14:paraId="4CEA65E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-12.0503</w:t>
            </w:r>
          </w:p>
        </w:tc>
        <w:tc>
          <w:tcPr>
            <w:tcW w:w="554" w:type="pct"/>
            <w:vAlign w:val="center"/>
            <w:hideMark/>
          </w:tcPr>
          <w:p w14:paraId="57556EB2"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2)</w:t>
            </w:r>
          </w:p>
        </w:tc>
      </w:tr>
      <w:tr w:rsidR="009A7968" w:rsidRPr="00734744" w14:paraId="63C7BAD1" w14:textId="77777777" w:rsidTr="00A059D0">
        <w:trPr>
          <w:tblCellSpacing w:w="15" w:type="dxa"/>
        </w:trPr>
        <w:tc>
          <w:tcPr>
            <w:tcW w:w="745" w:type="pct"/>
            <w:vAlign w:val="center"/>
            <w:hideMark/>
          </w:tcPr>
          <w:p w14:paraId="0C391795"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lnINFL</w:t>
            </w:r>
            <w:proofErr w:type="spellEnd"/>
          </w:p>
        </w:tc>
        <w:tc>
          <w:tcPr>
            <w:tcW w:w="636" w:type="pct"/>
            <w:vAlign w:val="center"/>
            <w:hideMark/>
          </w:tcPr>
          <w:p w14:paraId="054A696D"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-5.4829</w:t>
            </w:r>
          </w:p>
        </w:tc>
        <w:tc>
          <w:tcPr>
            <w:tcW w:w="1359" w:type="pct"/>
            <w:vAlign w:val="center"/>
            <w:hideMark/>
          </w:tcPr>
          <w:p w14:paraId="12BB3A3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1558" w:type="pct"/>
            <w:vAlign w:val="center"/>
            <w:hideMark/>
          </w:tcPr>
          <w:p w14:paraId="33B50BA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554" w:type="pct"/>
            <w:vAlign w:val="center"/>
            <w:hideMark/>
          </w:tcPr>
          <w:p w14:paraId="438BC314"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0)</w:t>
            </w:r>
          </w:p>
        </w:tc>
      </w:tr>
      <w:tr w:rsidR="009A7968" w:rsidRPr="00734744" w14:paraId="20D6EBFB" w14:textId="77777777" w:rsidTr="00A059D0">
        <w:trPr>
          <w:tblCellSpacing w:w="15" w:type="dxa"/>
        </w:trPr>
        <w:tc>
          <w:tcPr>
            <w:tcW w:w="745" w:type="pct"/>
            <w:vAlign w:val="center"/>
            <w:hideMark/>
          </w:tcPr>
          <w:p w14:paraId="0056DAFE" w14:textId="77777777" w:rsidR="009A7968" w:rsidRPr="00734744" w:rsidRDefault="009A7968" w:rsidP="009A7968">
            <w:pPr>
              <w:tabs>
                <w:tab w:val="left" w:pos="6375"/>
              </w:tabs>
              <w:jc w:val="both"/>
              <w:rPr>
                <w:rFonts w:ascii="Times New Roman" w:hAnsi="Times New Roman" w:cs="Times New Roman"/>
              </w:rPr>
            </w:pPr>
            <w:proofErr w:type="spellStart"/>
            <w:r w:rsidRPr="00734744">
              <w:rPr>
                <w:rFonts w:ascii="Times New Roman" w:hAnsi="Times New Roman" w:cs="Times New Roman"/>
              </w:rPr>
              <w:t>lnIR</w:t>
            </w:r>
            <w:proofErr w:type="spellEnd"/>
          </w:p>
        </w:tc>
        <w:tc>
          <w:tcPr>
            <w:tcW w:w="636" w:type="pct"/>
            <w:vAlign w:val="center"/>
            <w:hideMark/>
          </w:tcPr>
          <w:p w14:paraId="1F1BE77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-4.2070</w:t>
            </w:r>
          </w:p>
        </w:tc>
        <w:tc>
          <w:tcPr>
            <w:tcW w:w="1359" w:type="pct"/>
            <w:vAlign w:val="center"/>
            <w:hideMark/>
          </w:tcPr>
          <w:p w14:paraId="0C8A912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1558" w:type="pct"/>
            <w:vAlign w:val="center"/>
            <w:hideMark/>
          </w:tcPr>
          <w:p w14:paraId="3AEE4DE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w:t>
            </w:r>
          </w:p>
        </w:tc>
        <w:tc>
          <w:tcPr>
            <w:tcW w:w="554" w:type="pct"/>
            <w:vAlign w:val="center"/>
            <w:hideMark/>
          </w:tcPr>
          <w:p w14:paraId="632F18CA" w14:textId="77777777" w:rsidR="009A7968" w:rsidRPr="00734744" w:rsidRDefault="009A7968" w:rsidP="009A7968">
            <w:pPr>
              <w:tabs>
                <w:tab w:val="left" w:pos="6375"/>
              </w:tabs>
              <w:jc w:val="both"/>
              <w:rPr>
                <w:rFonts w:ascii="Times New Roman" w:hAnsi="Times New Roman" w:cs="Times New Roman"/>
              </w:rPr>
            </w:pPr>
            <w:proofErr w:type="gramStart"/>
            <w:r w:rsidRPr="00734744">
              <w:rPr>
                <w:rFonts w:ascii="Times New Roman" w:hAnsi="Times New Roman" w:cs="Times New Roman"/>
              </w:rPr>
              <w:t>I(</w:t>
            </w:r>
            <w:proofErr w:type="gramEnd"/>
            <w:r w:rsidRPr="00734744">
              <w:rPr>
                <w:rFonts w:ascii="Times New Roman" w:hAnsi="Times New Roman" w:cs="Times New Roman"/>
              </w:rPr>
              <w:t>0)</w:t>
            </w:r>
          </w:p>
        </w:tc>
      </w:tr>
    </w:tbl>
    <w:p w14:paraId="7027B38E" w14:textId="797F12D5"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i/>
          <w:iCs/>
        </w:rPr>
        <w:t>5% MacKinnon critical value = -2.9266. Source: Thesis</w:t>
      </w:r>
    </w:p>
    <w:p w14:paraId="078618DB" w14:textId="77777777"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4.3 Lag-Length Selection</w:t>
      </w:r>
    </w:p>
    <w:p w14:paraId="3E743252" w14:textId="77777777" w:rsidR="002206A6"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The Akaike Information Criterion (AIC), Schwarz Information Criterion (SIC) and Hannan-Quinn (HQ) criterion were used to determine the appropriate lag length. The results showed that AIC selected a lag length of 2, while SIC and HQ selected a lag length of 1. The thesis subsequently reports that lag length was used in estimating the model.</w:t>
      </w:r>
    </w:p>
    <w:p w14:paraId="1B1BA141" w14:textId="77777777" w:rsidR="00530B02" w:rsidRPr="00734744" w:rsidRDefault="00530B02" w:rsidP="002206A6">
      <w:pPr>
        <w:tabs>
          <w:tab w:val="left" w:pos="6375"/>
        </w:tabs>
        <w:spacing w:after="0"/>
        <w:jc w:val="both"/>
        <w:rPr>
          <w:rFonts w:ascii="Times New Roman" w:hAnsi="Times New Roman" w:cs="Times New Roman"/>
        </w:rPr>
      </w:pPr>
    </w:p>
    <w:p w14:paraId="2A6E0187" w14:textId="77777777" w:rsidR="00BB631A" w:rsidRPr="00734744" w:rsidRDefault="00BB631A" w:rsidP="002206A6">
      <w:pPr>
        <w:tabs>
          <w:tab w:val="left" w:pos="6375"/>
        </w:tabs>
        <w:jc w:val="both"/>
        <w:rPr>
          <w:rFonts w:ascii="Times New Roman" w:hAnsi="Times New Roman" w:cs="Times New Roman"/>
          <w:b/>
          <w:bCs/>
        </w:rPr>
      </w:pPr>
    </w:p>
    <w:p w14:paraId="57B666EB" w14:textId="3796C3DC"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Table 4: Lag-Length Selection</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2689"/>
        <w:gridCol w:w="2690"/>
        <w:gridCol w:w="2705"/>
      </w:tblGrid>
      <w:tr w:rsidR="002206A6" w:rsidRPr="00734744" w14:paraId="6874FEA9" w14:textId="77777777" w:rsidTr="00BB631A">
        <w:trPr>
          <w:tblHeader/>
          <w:tblCellSpacing w:w="15" w:type="dxa"/>
        </w:trPr>
        <w:tc>
          <w:tcPr>
            <w:tcW w:w="639" w:type="pct"/>
            <w:tcBorders>
              <w:top w:val="single" w:sz="4" w:space="0" w:color="auto"/>
              <w:bottom w:val="single" w:sz="4" w:space="0" w:color="auto"/>
            </w:tcBorders>
            <w:vAlign w:val="center"/>
            <w:hideMark/>
          </w:tcPr>
          <w:p w14:paraId="0B9731DF"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Lag</w:t>
            </w:r>
          </w:p>
        </w:tc>
        <w:tc>
          <w:tcPr>
            <w:tcW w:w="1379" w:type="pct"/>
            <w:tcBorders>
              <w:top w:val="single" w:sz="4" w:space="0" w:color="auto"/>
              <w:bottom w:val="single" w:sz="4" w:space="0" w:color="auto"/>
            </w:tcBorders>
            <w:vAlign w:val="center"/>
            <w:hideMark/>
          </w:tcPr>
          <w:p w14:paraId="4260EC16"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AIC</w:t>
            </w:r>
          </w:p>
        </w:tc>
        <w:tc>
          <w:tcPr>
            <w:tcW w:w="1379" w:type="pct"/>
            <w:tcBorders>
              <w:top w:val="single" w:sz="4" w:space="0" w:color="auto"/>
              <w:bottom w:val="single" w:sz="4" w:space="0" w:color="auto"/>
            </w:tcBorders>
            <w:vAlign w:val="center"/>
            <w:hideMark/>
          </w:tcPr>
          <w:p w14:paraId="1B4DEB0D"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SIC</w:t>
            </w:r>
          </w:p>
        </w:tc>
        <w:tc>
          <w:tcPr>
            <w:tcW w:w="1379" w:type="pct"/>
            <w:tcBorders>
              <w:top w:val="single" w:sz="4" w:space="0" w:color="auto"/>
              <w:bottom w:val="single" w:sz="4" w:space="0" w:color="auto"/>
            </w:tcBorders>
            <w:vAlign w:val="center"/>
            <w:hideMark/>
          </w:tcPr>
          <w:p w14:paraId="173F0A25"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HQ</w:t>
            </w:r>
          </w:p>
        </w:tc>
      </w:tr>
      <w:tr w:rsidR="002206A6" w:rsidRPr="00734744" w14:paraId="14995834" w14:textId="77777777" w:rsidTr="00BB631A">
        <w:trPr>
          <w:tblCellSpacing w:w="15" w:type="dxa"/>
        </w:trPr>
        <w:tc>
          <w:tcPr>
            <w:tcW w:w="639" w:type="pct"/>
            <w:vAlign w:val="center"/>
            <w:hideMark/>
          </w:tcPr>
          <w:p w14:paraId="6B5A95B3"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0</w:t>
            </w:r>
          </w:p>
        </w:tc>
        <w:tc>
          <w:tcPr>
            <w:tcW w:w="1379" w:type="pct"/>
            <w:vAlign w:val="center"/>
            <w:hideMark/>
          </w:tcPr>
          <w:p w14:paraId="0D2DDAF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110.9516</w:t>
            </w:r>
          </w:p>
        </w:tc>
        <w:tc>
          <w:tcPr>
            <w:tcW w:w="1379" w:type="pct"/>
            <w:vAlign w:val="center"/>
            <w:hideMark/>
          </w:tcPr>
          <w:p w14:paraId="333698D7"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111.1768</w:t>
            </w:r>
          </w:p>
        </w:tc>
        <w:tc>
          <w:tcPr>
            <w:tcW w:w="1379" w:type="pct"/>
            <w:vAlign w:val="center"/>
            <w:hideMark/>
          </w:tcPr>
          <w:p w14:paraId="509238C9"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111.0379</w:t>
            </w:r>
          </w:p>
        </w:tc>
      </w:tr>
      <w:tr w:rsidR="002206A6" w:rsidRPr="00734744" w14:paraId="0F5AFD83" w14:textId="77777777" w:rsidTr="00BB631A">
        <w:trPr>
          <w:tblCellSpacing w:w="15" w:type="dxa"/>
        </w:trPr>
        <w:tc>
          <w:tcPr>
            <w:tcW w:w="639" w:type="pct"/>
            <w:vAlign w:val="center"/>
            <w:hideMark/>
          </w:tcPr>
          <w:p w14:paraId="59D98C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w:t>
            </w:r>
          </w:p>
        </w:tc>
        <w:tc>
          <w:tcPr>
            <w:tcW w:w="1379" w:type="pct"/>
            <w:vAlign w:val="center"/>
            <w:hideMark/>
          </w:tcPr>
          <w:p w14:paraId="09FFFEE6"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101.4018</w:t>
            </w:r>
          </w:p>
        </w:tc>
        <w:tc>
          <w:tcPr>
            <w:tcW w:w="1379" w:type="pct"/>
            <w:vAlign w:val="center"/>
            <w:hideMark/>
          </w:tcPr>
          <w:p w14:paraId="3CE263C5"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102.9778</w:t>
            </w:r>
          </w:p>
        </w:tc>
        <w:tc>
          <w:tcPr>
            <w:tcW w:w="1379" w:type="pct"/>
            <w:vAlign w:val="center"/>
            <w:hideMark/>
          </w:tcPr>
          <w:p w14:paraId="541A487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102.0060</w:t>
            </w:r>
          </w:p>
        </w:tc>
      </w:tr>
      <w:tr w:rsidR="002206A6" w:rsidRPr="00734744" w14:paraId="1F8E5BAD" w14:textId="77777777" w:rsidTr="00BB631A">
        <w:trPr>
          <w:tblCellSpacing w:w="15" w:type="dxa"/>
        </w:trPr>
        <w:tc>
          <w:tcPr>
            <w:tcW w:w="639" w:type="pct"/>
            <w:vAlign w:val="center"/>
            <w:hideMark/>
          </w:tcPr>
          <w:p w14:paraId="30BC3CDE"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2</w:t>
            </w:r>
          </w:p>
        </w:tc>
        <w:tc>
          <w:tcPr>
            <w:tcW w:w="1379" w:type="pct"/>
            <w:vAlign w:val="center"/>
            <w:hideMark/>
          </w:tcPr>
          <w:p w14:paraId="4077E5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101.0173</w:t>
            </w:r>
          </w:p>
        </w:tc>
        <w:tc>
          <w:tcPr>
            <w:tcW w:w="1379" w:type="pct"/>
            <w:vAlign w:val="center"/>
            <w:hideMark/>
          </w:tcPr>
          <w:p w14:paraId="52BC36F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103.9442</w:t>
            </w:r>
          </w:p>
        </w:tc>
        <w:tc>
          <w:tcPr>
            <w:tcW w:w="1379" w:type="pct"/>
            <w:vAlign w:val="center"/>
            <w:hideMark/>
          </w:tcPr>
          <w:p w14:paraId="1995B6B1"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102.1394</w:t>
            </w:r>
          </w:p>
        </w:tc>
      </w:tr>
    </w:tbl>
    <w:p w14:paraId="335FB83E" w14:textId="4E55567D"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599D1DFB" w14:textId="77777777"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4.4 Cointegration Test</w:t>
      </w:r>
    </w:p>
    <w:p w14:paraId="7B941B98" w14:textId="77777777" w:rsidR="002206A6" w:rsidRPr="00734744"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The study employed the Engle-Granger two-step procedure to examine whether a long-run relationship existed among the variables. The residuals generated from the estimated static model were subjected to the Augmented Dickey-Fuller test.</w:t>
      </w:r>
    </w:p>
    <w:p w14:paraId="32F4F17C" w14:textId="77777777" w:rsidR="002206A6" w:rsidRPr="00734744" w:rsidRDefault="002206A6" w:rsidP="002206A6">
      <w:pPr>
        <w:tabs>
          <w:tab w:val="left" w:pos="6375"/>
        </w:tabs>
        <w:spacing w:after="0"/>
        <w:jc w:val="both"/>
        <w:rPr>
          <w:rFonts w:ascii="Times New Roman" w:hAnsi="Times New Roman" w:cs="Times New Roman"/>
        </w:rPr>
      </w:pPr>
    </w:p>
    <w:p w14:paraId="7BF38842"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 xml:space="preserve">For Model 1, which examines the selected macroeconomic variables and FDI, the residual ADF statistic was -3.765, compared with the 5% critical value of -3.6. The residual was therefore reported as stationary, providing evidence of cointegration among the variables in the model. </w:t>
      </w:r>
    </w:p>
    <w:p w14:paraId="3334EF10" w14:textId="77777777" w:rsidR="00A66E58" w:rsidRDefault="00A66E58" w:rsidP="002206A6">
      <w:pPr>
        <w:tabs>
          <w:tab w:val="left" w:pos="6375"/>
        </w:tabs>
        <w:jc w:val="both"/>
        <w:rPr>
          <w:rFonts w:ascii="Times New Roman" w:hAnsi="Times New Roman" w:cs="Times New Roman"/>
        </w:rPr>
      </w:pPr>
    </w:p>
    <w:p w14:paraId="4C460B43" w14:textId="77777777" w:rsidR="00A66E58" w:rsidRDefault="00A66E58" w:rsidP="002206A6">
      <w:pPr>
        <w:tabs>
          <w:tab w:val="left" w:pos="6375"/>
        </w:tabs>
        <w:jc w:val="both"/>
        <w:rPr>
          <w:rFonts w:ascii="Times New Roman" w:hAnsi="Times New Roman" w:cs="Times New Roman"/>
        </w:rPr>
      </w:pPr>
    </w:p>
    <w:p w14:paraId="28A772DF" w14:textId="77777777" w:rsidR="00A66E58" w:rsidRDefault="00A66E58" w:rsidP="002206A6">
      <w:pPr>
        <w:tabs>
          <w:tab w:val="left" w:pos="6375"/>
        </w:tabs>
        <w:jc w:val="both"/>
        <w:rPr>
          <w:rFonts w:ascii="Times New Roman" w:hAnsi="Times New Roman" w:cs="Times New Roman"/>
        </w:rPr>
      </w:pPr>
    </w:p>
    <w:p w14:paraId="45B3F732" w14:textId="362AF28A"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lastRenderedPageBreak/>
        <w:t>Table 5: Cointegration Test</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548"/>
        <w:gridCol w:w="2548"/>
        <w:gridCol w:w="3392"/>
        <w:gridCol w:w="1872"/>
      </w:tblGrid>
      <w:tr w:rsidR="002206A6" w:rsidRPr="00734744" w14:paraId="74A5977B" w14:textId="77777777" w:rsidTr="00BB631A">
        <w:trPr>
          <w:tblHeader/>
          <w:tblCellSpacing w:w="15" w:type="dxa"/>
        </w:trPr>
        <w:tc>
          <w:tcPr>
            <w:tcW w:w="793" w:type="pct"/>
            <w:tcBorders>
              <w:top w:val="single" w:sz="4" w:space="0" w:color="auto"/>
              <w:bottom w:val="single" w:sz="4" w:space="0" w:color="auto"/>
            </w:tcBorders>
            <w:vAlign w:val="center"/>
            <w:hideMark/>
          </w:tcPr>
          <w:p w14:paraId="241F1CBF"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Model</w:t>
            </w:r>
          </w:p>
        </w:tc>
        <w:tc>
          <w:tcPr>
            <w:tcW w:w="1328" w:type="pct"/>
            <w:tcBorders>
              <w:top w:val="single" w:sz="4" w:space="0" w:color="auto"/>
              <w:bottom w:val="single" w:sz="4" w:space="0" w:color="auto"/>
            </w:tcBorders>
            <w:vAlign w:val="center"/>
            <w:hideMark/>
          </w:tcPr>
          <w:p w14:paraId="589E8E39"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ADF Statistic</w:t>
            </w:r>
          </w:p>
        </w:tc>
        <w:tc>
          <w:tcPr>
            <w:tcW w:w="1773" w:type="pct"/>
            <w:tcBorders>
              <w:top w:val="single" w:sz="4" w:space="0" w:color="auto"/>
              <w:bottom w:val="single" w:sz="4" w:space="0" w:color="auto"/>
            </w:tcBorders>
            <w:vAlign w:val="center"/>
            <w:hideMark/>
          </w:tcPr>
          <w:p w14:paraId="55C2FB72"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5% Critical Value</w:t>
            </w:r>
          </w:p>
        </w:tc>
        <w:tc>
          <w:tcPr>
            <w:tcW w:w="964" w:type="pct"/>
            <w:tcBorders>
              <w:top w:val="single" w:sz="4" w:space="0" w:color="auto"/>
              <w:bottom w:val="single" w:sz="4" w:space="0" w:color="auto"/>
            </w:tcBorders>
            <w:vAlign w:val="center"/>
            <w:hideMark/>
          </w:tcPr>
          <w:p w14:paraId="34351CFB"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Result</w:t>
            </w:r>
          </w:p>
        </w:tc>
      </w:tr>
      <w:tr w:rsidR="002206A6" w:rsidRPr="00734744" w14:paraId="44FC09F8" w14:textId="77777777" w:rsidTr="00BB631A">
        <w:trPr>
          <w:tblCellSpacing w:w="15" w:type="dxa"/>
        </w:trPr>
        <w:tc>
          <w:tcPr>
            <w:tcW w:w="793" w:type="pct"/>
            <w:vAlign w:val="center"/>
            <w:hideMark/>
          </w:tcPr>
          <w:p w14:paraId="0FB142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Model 1</w:t>
            </w:r>
          </w:p>
        </w:tc>
        <w:tc>
          <w:tcPr>
            <w:tcW w:w="1328" w:type="pct"/>
            <w:vAlign w:val="center"/>
            <w:hideMark/>
          </w:tcPr>
          <w:p w14:paraId="1E5B476D"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-3.765</w:t>
            </w:r>
          </w:p>
        </w:tc>
        <w:tc>
          <w:tcPr>
            <w:tcW w:w="1773" w:type="pct"/>
            <w:vAlign w:val="center"/>
            <w:hideMark/>
          </w:tcPr>
          <w:p w14:paraId="2ECFDB7E"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-3.600</w:t>
            </w:r>
          </w:p>
        </w:tc>
        <w:tc>
          <w:tcPr>
            <w:tcW w:w="964" w:type="pct"/>
            <w:vAlign w:val="center"/>
            <w:hideMark/>
          </w:tcPr>
          <w:p w14:paraId="772441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Stationary</w:t>
            </w:r>
          </w:p>
        </w:tc>
      </w:tr>
    </w:tbl>
    <w:p w14:paraId="14173C0C" w14:textId="144843C5"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5A6760BD"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The presence of cointegration justified the use of an error-correction framework for examining the relationship between the selected macroeconomic variables and FDI.</w:t>
      </w:r>
    </w:p>
    <w:p w14:paraId="44A2C240" w14:textId="77777777"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4.5 Granger Causality</w:t>
      </w:r>
    </w:p>
    <w:p w14:paraId="17165CE5" w14:textId="4AB0A400" w:rsidR="002206A6" w:rsidRPr="00734744"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Granger causality test was used to examine the direction of relationships between FDI and each of the selected macroeconomic variables. The thesis used a 5% significance level, with a probability value below 0.05 indicating causality. The results indicated unidirectional Granger causality from exchange rate to FDI, with an F-statistic of 3.23004 and a p-value of 0.0485. However, FDI did not Granger-cause exchange rate, with a p-value of 0.1737. Similarly, economic growth Granger-caused FDI, with an F-statistic of 13.5061 and a p-value of 0.00002, whereas FDI did not Granger-cause economic growth (p = 0.2882). No Granger causality was found between inflation and FDI or between real interest rate and FDI in either direction. </w:t>
      </w:r>
    </w:p>
    <w:p w14:paraId="623045B4" w14:textId="77777777" w:rsidR="00BB631A" w:rsidRPr="00734744" w:rsidRDefault="00BB631A" w:rsidP="00A059D0">
      <w:pPr>
        <w:tabs>
          <w:tab w:val="left" w:pos="6375"/>
        </w:tabs>
        <w:spacing w:after="0"/>
        <w:jc w:val="both"/>
        <w:rPr>
          <w:rFonts w:ascii="Times New Roman" w:hAnsi="Times New Roman" w:cs="Times New Roman"/>
        </w:rPr>
      </w:pPr>
    </w:p>
    <w:p w14:paraId="192F0C2B" w14:textId="77777777" w:rsidR="00BB631A" w:rsidRPr="00734744" w:rsidRDefault="00BB631A" w:rsidP="00A059D0">
      <w:pPr>
        <w:tabs>
          <w:tab w:val="left" w:pos="6375"/>
        </w:tabs>
        <w:spacing w:after="0"/>
        <w:jc w:val="both"/>
        <w:rPr>
          <w:rFonts w:ascii="Times New Roman" w:hAnsi="Times New Roman" w:cs="Times New Roman"/>
        </w:rPr>
      </w:pPr>
    </w:p>
    <w:p w14:paraId="440AC5B4" w14:textId="70EEEE0B" w:rsidR="002206A6" w:rsidRPr="00734744" w:rsidRDefault="002206A6" w:rsidP="00A059D0">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6. Granger Causality Results </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5033"/>
        <w:gridCol w:w="1434"/>
        <w:gridCol w:w="1120"/>
        <w:gridCol w:w="1773"/>
      </w:tblGrid>
      <w:tr w:rsidR="002206A6" w:rsidRPr="00734744" w14:paraId="7313B3BD" w14:textId="77777777" w:rsidTr="00BB631A">
        <w:trPr>
          <w:tblHeader/>
          <w:tblCellSpacing w:w="15" w:type="dxa"/>
        </w:trPr>
        <w:tc>
          <w:tcPr>
            <w:tcW w:w="2650" w:type="pct"/>
            <w:tcBorders>
              <w:top w:val="single" w:sz="4" w:space="0" w:color="auto"/>
              <w:bottom w:val="single" w:sz="4" w:space="0" w:color="auto"/>
            </w:tcBorders>
            <w:vAlign w:val="center"/>
            <w:hideMark/>
          </w:tcPr>
          <w:p w14:paraId="6C4F6F2B"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Null Hypothesis</w:t>
            </w:r>
          </w:p>
        </w:tc>
        <w:tc>
          <w:tcPr>
            <w:tcW w:w="746" w:type="pct"/>
            <w:tcBorders>
              <w:top w:val="single" w:sz="4" w:space="0" w:color="auto"/>
              <w:bottom w:val="single" w:sz="4" w:space="0" w:color="auto"/>
            </w:tcBorders>
            <w:vAlign w:val="center"/>
            <w:hideMark/>
          </w:tcPr>
          <w:p w14:paraId="3E68AA39"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F-statistic</w:t>
            </w:r>
          </w:p>
        </w:tc>
        <w:tc>
          <w:tcPr>
            <w:tcW w:w="579" w:type="pct"/>
            <w:tcBorders>
              <w:top w:val="single" w:sz="4" w:space="0" w:color="auto"/>
              <w:bottom w:val="single" w:sz="4" w:space="0" w:color="auto"/>
            </w:tcBorders>
            <w:vAlign w:val="center"/>
            <w:hideMark/>
          </w:tcPr>
          <w:p w14:paraId="5057323C"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p-value</w:t>
            </w:r>
          </w:p>
        </w:tc>
        <w:tc>
          <w:tcPr>
            <w:tcW w:w="918" w:type="pct"/>
            <w:tcBorders>
              <w:top w:val="single" w:sz="4" w:space="0" w:color="auto"/>
              <w:bottom w:val="single" w:sz="4" w:space="0" w:color="auto"/>
            </w:tcBorders>
            <w:vAlign w:val="center"/>
            <w:hideMark/>
          </w:tcPr>
          <w:p w14:paraId="3C2F065B" w14:textId="77777777" w:rsidR="002206A6" w:rsidRPr="00734744" w:rsidRDefault="002206A6" w:rsidP="00A059D0">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Decision</w:t>
            </w:r>
          </w:p>
        </w:tc>
      </w:tr>
      <w:tr w:rsidR="002206A6" w:rsidRPr="00734744" w14:paraId="4588EAE5" w14:textId="77777777" w:rsidTr="00BB631A">
        <w:trPr>
          <w:tblCellSpacing w:w="15" w:type="dxa"/>
        </w:trPr>
        <w:tc>
          <w:tcPr>
            <w:tcW w:w="2650" w:type="pct"/>
            <w:vAlign w:val="center"/>
            <w:hideMark/>
          </w:tcPr>
          <w:p w14:paraId="55E33BF7"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lnER</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09805890"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3.23004</w:t>
            </w:r>
          </w:p>
        </w:tc>
        <w:tc>
          <w:tcPr>
            <w:tcW w:w="579" w:type="pct"/>
            <w:vAlign w:val="center"/>
            <w:hideMark/>
          </w:tcPr>
          <w:p w14:paraId="1BD23A05"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0.0485</w:t>
            </w:r>
          </w:p>
        </w:tc>
        <w:tc>
          <w:tcPr>
            <w:tcW w:w="918" w:type="pct"/>
            <w:vAlign w:val="center"/>
            <w:hideMark/>
          </w:tcPr>
          <w:p w14:paraId="6B08A40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Reject</w:t>
            </w:r>
          </w:p>
        </w:tc>
      </w:tr>
      <w:tr w:rsidR="002206A6" w:rsidRPr="00734744" w14:paraId="2F27BBE6" w14:textId="77777777" w:rsidTr="00BB631A">
        <w:trPr>
          <w:tblCellSpacing w:w="15" w:type="dxa"/>
        </w:trPr>
        <w:tc>
          <w:tcPr>
            <w:tcW w:w="2650" w:type="pct"/>
            <w:vAlign w:val="center"/>
            <w:hideMark/>
          </w:tcPr>
          <w:p w14:paraId="30A82AEF"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lnER</w:t>
            </w:r>
            <w:proofErr w:type="spellEnd"/>
          </w:p>
        </w:tc>
        <w:tc>
          <w:tcPr>
            <w:tcW w:w="746" w:type="pct"/>
            <w:vAlign w:val="center"/>
            <w:hideMark/>
          </w:tcPr>
          <w:p w14:paraId="3E83E13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1.81697</w:t>
            </w:r>
          </w:p>
        </w:tc>
        <w:tc>
          <w:tcPr>
            <w:tcW w:w="579" w:type="pct"/>
            <w:vAlign w:val="center"/>
            <w:hideMark/>
          </w:tcPr>
          <w:p w14:paraId="64633B37"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0.1737</w:t>
            </w:r>
          </w:p>
        </w:tc>
        <w:tc>
          <w:tcPr>
            <w:tcW w:w="918" w:type="pct"/>
            <w:vAlign w:val="center"/>
            <w:hideMark/>
          </w:tcPr>
          <w:p w14:paraId="4DE39714"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5C46B445" w14:textId="77777777" w:rsidTr="00BB631A">
        <w:trPr>
          <w:tblCellSpacing w:w="15" w:type="dxa"/>
        </w:trPr>
        <w:tc>
          <w:tcPr>
            <w:tcW w:w="2650" w:type="pct"/>
            <w:vAlign w:val="center"/>
            <w:hideMark/>
          </w:tcPr>
          <w:p w14:paraId="22603408"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lnEG</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5FB8E9B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13.5061</w:t>
            </w:r>
          </w:p>
        </w:tc>
        <w:tc>
          <w:tcPr>
            <w:tcW w:w="579" w:type="pct"/>
            <w:vAlign w:val="center"/>
            <w:hideMark/>
          </w:tcPr>
          <w:p w14:paraId="53EA6D37"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0.00002</w:t>
            </w:r>
          </w:p>
        </w:tc>
        <w:tc>
          <w:tcPr>
            <w:tcW w:w="918" w:type="pct"/>
            <w:vAlign w:val="center"/>
            <w:hideMark/>
          </w:tcPr>
          <w:p w14:paraId="636CB41D"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Reject</w:t>
            </w:r>
          </w:p>
        </w:tc>
      </w:tr>
      <w:tr w:rsidR="002206A6" w:rsidRPr="00734744" w14:paraId="0DC5F38E" w14:textId="77777777" w:rsidTr="00BB631A">
        <w:trPr>
          <w:tblCellSpacing w:w="15" w:type="dxa"/>
        </w:trPr>
        <w:tc>
          <w:tcPr>
            <w:tcW w:w="2650" w:type="pct"/>
            <w:vAlign w:val="center"/>
            <w:hideMark/>
          </w:tcPr>
          <w:p w14:paraId="1F7E9EF3"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lnEG</w:t>
            </w:r>
            <w:proofErr w:type="spellEnd"/>
          </w:p>
        </w:tc>
        <w:tc>
          <w:tcPr>
            <w:tcW w:w="746" w:type="pct"/>
            <w:vAlign w:val="center"/>
            <w:hideMark/>
          </w:tcPr>
          <w:p w14:paraId="57A4889F"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1.27755</w:t>
            </w:r>
          </w:p>
        </w:tc>
        <w:tc>
          <w:tcPr>
            <w:tcW w:w="579" w:type="pct"/>
            <w:vAlign w:val="center"/>
            <w:hideMark/>
          </w:tcPr>
          <w:p w14:paraId="5E1A2C61"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0.2882</w:t>
            </w:r>
          </w:p>
        </w:tc>
        <w:tc>
          <w:tcPr>
            <w:tcW w:w="918" w:type="pct"/>
            <w:vAlign w:val="center"/>
            <w:hideMark/>
          </w:tcPr>
          <w:p w14:paraId="2D255F4E"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26A23B8E" w14:textId="77777777" w:rsidTr="00BB631A">
        <w:trPr>
          <w:tblCellSpacing w:w="15" w:type="dxa"/>
        </w:trPr>
        <w:tc>
          <w:tcPr>
            <w:tcW w:w="2650" w:type="pct"/>
            <w:vAlign w:val="center"/>
            <w:hideMark/>
          </w:tcPr>
          <w:p w14:paraId="7E1D353F"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lnINFL</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4190A799"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0.22810</w:t>
            </w:r>
          </w:p>
        </w:tc>
        <w:tc>
          <w:tcPr>
            <w:tcW w:w="579" w:type="pct"/>
            <w:vAlign w:val="center"/>
            <w:hideMark/>
          </w:tcPr>
          <w:p w14:paraId="657A8035"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0.7969</w:t>
            </w:r>
          </w:p>
        </w:tc>
        <w:tc>
          <w:tcPr>
            <w:tcW w:w="918" w:type="pct"/>
            <w:vAlign w:val="center"/>
            <w:hideMark/>
          </w:tcPr>
          <w:p w14:paraId="2795531D"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6B8F2E30" w14:textId="77777777" w:rsidTr="00BB631A">
        <w:trPr>
          <w:tblCellSpacing w:w="15" w:type="dxa"/>
        </w:trPr>
        <w:tc>
          <w:tcPr>
            <w:tcW w:w="2650" w:type="pct"/>
            <w:vAlign w:val="center"/>
            <w:hideMark/>
          </w:tcPr>
          <w:p w14:paraId="38D37D05"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lnINFL</w:t>
            </w:r>
            <w:proofErr w:type="spellEnd"/>
          </w:p>
        </w:tc>
        <w:tc>
          <w:tcPr>
            <w:tcW w:w="746" w:type="pct"/>
            <w:vAlign w:val="center"/>
            <w:hideMark/>
          </w:tcPr>
          <w:p w14:paraId="246FF8C4"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0.45653</w:t>
            </w:r>
          </w:p>
        </w:tc>
        <w:tc>
          <w:tcPr>
            <w:tcW w:w="579" w:type="pct"/>
            <w:vAlign w:val="center"/>
            <w:hideMark/>
          </w:tcPr>
          <w:p w14:paraId="76A749C5"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0.6363</w:t>
            </w:r>
          </w:p>
        </w:tc>
        <w:tc>
          <w:tcPr>
            <w:tcW w:w="918" w:type="pct"/>
            <w:vAlign w:val="center"/>
            <w:hideMark/>
          </w:tcPr>
          <w:p w14:paraId="0AC61137"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45E85F90" w14:textId="77777777" w:rsidTr="00BB631A">
        <w:trPr>
          <w:tblCellSpacing w:w="15" w:type="dxa"/>
        </w:trPr>
        <w:tc>
          <w:tcPr>
            <w:tcW w:w="2650" w:type="pct"/>
            <w:vAlign w:val="center"/>
            <w:hideMark/>
          </w:tcPr>
          <w:p w14:paraId="6EEBE504"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lnIR</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46" w:type="pct"/>
            <w:vAlign w:val="center"/>
            <w:hideMark/>
          </w:tcPr>
          <w:p w14:paraId="6ABDB4C6"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0.16936</w:t>
            </w:r>
          </w:p>
        </w:tc>
        <w:tc>
          <w:tcPr>
            <w:tcW w:w="579" w:type="pct"/>
            <w:vAlign w:val="center"/>
            <w:hideMark/>
          </w:tcPr>
          <w:p w14:paraId="0ACD068B"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0.8447</w:t>
            </w:r>
          </w:p>
        </w:tc>
        <w:tc>
          <w:tcPr>
            <w:tcW w:w="918" w:type="pct"/>
            <w:vAlign w:val="center"/>
            <w:hideMark/>
          </w:tcPr>
          <w:p w14:paraId="7680CA93"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r w:rsidR="002206A6" w:rsidRPr="00734744" w14:paraId="06875F69" w14:textId="77777777" w:rsidTr="00BB631A">
        <w:trPr>
          <w:tblCellSpacing w:w="15" w:type="dxa"/>
        </w:trPr>
        <w:tc>
          <w:tcPr>
            <w:tcW w:w="2650" w:type="pct"/>
            <w:vAlign w:val="center"/>
            <w:hideMark/>
          </w:tcPr>
          <w:p w14:paraId="7EA70262" w14:textId="77777777" w:rsidR="002206A6" w:rsidRPr="00734744" w:rsidRDefault="002206A6" w:rsidP="00A059D0">
            <w:pPr>
              <w:tabs>
                <w:tab w:val="left" w:pos="6375"/>
              </w:tabs>
              <w:spacing w:line="240" w:lineRule="auto"/>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lnIR</w:t>
            </w:r>
            <w:proofErr w:type="spellEnd"/>
          </w:p>
        </w:tc>
        <w:tc>
          <w:tcPr>
            <w:tcW w:w="746" w:type="pct"/>
            <w:vAlign w:val="center"/>
            <w:hideMark/>
          </w:tcPr>
          <w:p w14:paraId="68135918"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0.21608</w:t>
            </w:r>
          </w:p>
        </w:tc>
        <w:tc>
          <w:tcPr>
            <w:tcW w:w="579" w:type="pct"/>
            <w:vAlign w:val="center"/>
            <w:hideMark/>
          </w:tcPr>
          <w:p w14:paraId="494DD259"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0.8065</w:t>
            </w:r>
          </w:p>
        </w:tc>
        <w:tc>
          <w:tcPr>
            <w:tcW w:w="918" w:type="pct"/>
            <w:vAlign w:val="center"/>
            <w:hideMark/>
          </w:tcPr>
          <w:p w14:paraId="498B77FF" w14:textId="77777777" w:rsidR="002206A6" w:rsidRPr="00734744" w:rsidRDefault="002206A6" w:rsidP="00A059D0">
            <w:pPr>
              <w:tabs>
                <w:tab w:val="left" w:pos="6375"/>
              </w:tabs>
              <w:spacing w:line="240" w:lineRule="auto"/>
              <w:jc w:val="both"/>
              <w:rPr>
                <w:rFonts w:ascii="Times New Roman" w:hAnsi="Times New Roman" w:cs="Times New Roman"/>
              </w:rPr>
            </w:pPr>
            <w:r w:rsidRPr="00734744">
              <w:rPr>
                <w:rFonts w:ascii="Times New Roman" w:hAnsi="Times New Roman" w:cs="Times New Roman"/>
              </w:rPr>
              <w:t>Do not reject</w:t>
            </w:r>
          </w:p>
        </w:tc>
      </w:tr>
    </w:tbl>
    <w:p w14:paraId="77642E67" w14:textId="191505C8" w:rsidR="00A66E58" w:rsidRPr="00530B02" w:rsidRDefault="002206A6"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45BA38E1" w14:textId="4D1D22BC" w:rsidR="002A0F7C" w:rsidRPr="00734744" w:rsidRDefault="002A0F7C" w:rsidP="002A0F7C">
      <w:pPr>
        <w:tabs>
          <w:tab w:val="left" w:pos="6375"/>
        </w:tabs>
        <w:jc w:val="both"/>
        <w:rPr>
          <w:rFonts w:ascii="Times New Roman" w:hAnsi="Times New Roman" w:cs="Times New Roman"/>
          <w:b/>
          <w:bCs/>
        </w:rPr>
      </w:pPr>
      <w:r w:rsidRPr="00734744">
        <w:rPr>
          <w:rFonts w:ascii="Times New Roman" w:hAnsi="Times New Roman" w:cs="Times New Roman"/>
          <w:b/>
          <w:bCs/>
        </w:rPr>
        <w:t>4.6 Diagnostic Tests</w:t>
      </w:r>
    </w:p>
    <w:p w14:paraId="1424E3E3"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4.6.1 Multicollinearity</w:t>
      </w:r>
    </w:p>
    <w:p w14:paraId="66472E44"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lastRenderedPageBreak/>
        <w:t xml:space="preserve">Multicollinearity was assessed using the variance inflation factor (VIF). The VIF values for the Paper 1 explanatory variables were 6.595576 for exchange rate, 4.464454 for economic growth, 2.005806 for inflation and 2.130929 for real interest rate. All values were below 10, and the thesis therefore concluded that there was no evidence of serious multicollinearity among the explanatory variables. </w:t>
      </w:r>
    </w:p>
    <w:p w14:paraId="16C2120F" w14:textId="77777777" w:rsidR="002A0F7C" w:rsidRPr="00734744" w:rsidRDefault="002A0F7C" w:rsidP="002A0F7C">
      <w:pPr>
        <w:tabs>
          <w:tab w:val="left" w:pos="6375"/>
        </w:tabs>
        <w:spacing w:after="0"/>
        <w:jc w:val="both"/>
        <w:rPr>
          <w:rFonts w:ascii="Times New Roman" w:hAnsi="Times New Roman" w:cs="Times New Roman"/>
        </w:rPr>
      </w:pPr>
    </w:p>
    <w:p w14:paraId="53C6C663"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4.6.2 Autocorrelation</w:t>
      </w:r>
    </w:p>
    <w:p w14:paraId="0BB59C16"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Durbin-Watson statistic for Model 1 was 1.490650. The thesis interpreted this as indicating the absence of autocorrelation in the model. </w:t>
      </w:r>
    </w:p>
    <w:p w14:paraId="174CACAB" w14:textId="77777777" w:rsidR="002A0F7C" w:rsidRPr="00734744" w:rsidRDefault="002A0F7C" w:rsidP="002A0F7C">
      <w:pPr>
        <w:tabs>
          <w:tab w:val="left" w:pos="6375"/>
        </w:tabs>
        <w:spacing w:after="0"/>
        <w:jc w:val="both"/>
        <w:rPr>
          <w:rFonts w:ascii="Times New Roman" w:hAnsi="Times New Roman" w:cs="Times New Roman"/>
        </w:rPr>
      </w:pPr>
    </w:p>
    <w:p w14:paraId="51319C7B"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4.6.3 Heteroscedasticity</w:t>
      </w:r>
    </w:p>
    <w:p w14:paraId="60F10BF5" w14:textId="10685B4D"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Breusch-Pagan test produced a chi-square statistic of 4.80411 and a probability value of 0.1230 for Model 1. Since the reported probability value was greater than 0.05, the thesis concluded that there was no evidence of heteroscedasticity. </w:t>
      </w:r>
    </w:p>
    <w:p w14:paraId="5A72D2CE" w14:textId="77777777" w:rsidR="002A0F7C" w:rsidRPr="00734744" w:rsidRDefault="002A0F7C" w:rsidP="002A0F7C">
      <w:pPr>
        <w:tabs>
          <w:tab w:val="left" w:pos="6375"/>
        </w:tabs>
        <w:spacing w:after="0"/>
        <w:jc w:val="both"/>
        <w:rPr>
          <w:rFonts w:ascii="Times New Roman" w:hAnsi="Times New Roman" w:cs="Times New Roman"/>
        </w:rPr>
      </w:pPr>
    </w:p>
    <w:p w14:paraId="1A64AC78"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4.7 Correlation Analysis</w:t>
      </w:r>
    </w:p>
    <w:p w14:paraId="233931BD"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correlation analysis showed a positive correlation between FDI and exchange rate (r = 0.6313) and a stronger positive correlation between FDI and economic growth (r = 0.8159). FDI and inflation had a weak negative correlation (r = -0.0961), while FDI and real interest rate had a very weak positive correlation (r = 0.0109). </w:t>
      </w:r>
    </w:p>
    <w:p w14:paraId="126F7F67" w14:textId="77777777" w:rsidR="002A0F7C" w:rsidRPr="00734744" w:rsidRDefault="002A0F7C" w:rsidP="002A0F7C">
      <w:pPr>
        <w:tabs>
          <w:tab w:val="left" w:pos="6375"/>
        </w:tabs>
        <w:jc w:val="both"/>
        <w:rPr>
          <w:rFonts w:ascii="Times New Roman" w:hAnsi="Times New Roman" w:cs="Times New Roman"/>
          <w:b/>
          <w:bCs/>
        </w:rPr>
      </w:pPr>
    </w:p>
    <w:p w14:paraId="2E6064E0" w14:textId="3C399DA4"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 xml:space="preserve">Table </w:t>
      </w:r>
      <w:r w:rsidR="007B3574" w:rsidRPr="00734744">
        <w:rPr>
          <w:rFonts w:ascii="Times New Roman" w:hAnsi="Times New Roman" w:cs="Times New Roman"/>
        </w:rPr>
        <w:t>7</w:t>
      </w:r>
      <w:r w:rsidRPr="00734744">
        <w:rPr>
          <w:rFonts w:ascii="Times New Roman" w:hAnsi="Times New Roman" w:cs="Times New Roman"/>
        </w:rPr>
        <w:t>. Correlation Matrix</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798"/>
        <w:gridCol w:w="1527"/>
        <w:gridCol w:w="1371"/>
        <w:gridCol w:w="1527"/>
        <w:gridCol w:w="1595"/>
        <w:gridCol w:w="1542"/>
      </w:tblGrid>
      <w:tr w:rsidR="002A0F7C" w:rsidRPr="00734744" w14:paraId="39797101" w14:textId="77777777" w:rsidTr="00BB631A">
        <w:trPr>
          <w:tblHeader/>
          <w:tblCellSpacing w:w="15" w:type="dxa"/>
        </w:trPr>
        <w:tc>
          <w:tcPr>
            <w:tcW w:w="917" w:type="pct"/>
            <w:tcBorders>
              <w:top w:val="single" w:sz="4" w:space="0" w:color="auto"/>
              <w:bottom w:val="single" w:sz="4" w:space="0" w:color="auto"/>
            </w:tcBorders>
            <w:vAlign w:val="center"/>
            <w:hideMark/>
          </w:tcPr>
          <w:p w14:paraId="430AC07D" w14:textId="77777777" w:rsidR="002A0F7C" w:rsidRPr="00734744" w:rsidRDefault="002A0F7C" w:rsidP="002A0F7C">
            <w:pPr>
              <w:tabs>
                <w:tab w:val="left" w:pos="6375"/>
              </w:tabs>
              <w:jc w:val="both"/>
              <w:rPr>
                <w:rFonts w:ascii="Times New Roman" w:hAnsi="Times New Roman" w:cs="Times New Roman"/>
                <w:b/>
                <w:bCs/>
              </w:rPr>
            </w:pPr>
            <w:r w:rsidRPr="00734744">
              <w:rPr>
                <w:rFonts w:ascii="Times New Roman" w:hAnsi="Times New Roman" w:cs="Times New Roman"/>
                <w:b/>
                <w:bCs/>
              </w:rPr>
              <w:t>Variable</w:t>
            </w:r>
          </w:p>
        </w:tc>
        <w:tc>
          <w:tcPr>
            <w:tcW w:w="783" w:type="pct"/>
            <w:tcBorders>
              <w:top w:val="single" w:sz="4" w:space="0" w:color="auto"/>
              <w:bottom w:val="single" w:sz="4" w:space="0" w:color="auto"/>
            </w:tcBorders>
            <w:vAlign w:val="center"/>
            <w:hideMark/>
          </w:tcPr>
          <w:p w14:paraId="0E875075"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lnFDI</w:t>
            </w:r>
            <w:proofErr w:type="spellEnd"/>
          </w:p>
        </w:tc>
        <w:tc>
          <w:tcPr>
            <w:tcW w:w="702" w:type="pct"/>
            <w:tcBorders>
              <w:top w:val="single" w:sz="4" w:space="0" w:color="auto"/>
              <w:bottom w:val="single" w:sz="4" w:space="0" w:color="auto"/>
            </w:tcBorders>
            <w:vAlign w:val="center"/>
            <w:hideMark/>
          </w:tcPr>
          <w:p w14:paraId="78265232"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lnER</w:t>
            </w:r>
            <w:proofErr w:type="spellEnd"/>
          </w:p>
        </w:tc>
        <w:tc>
          <w:tcPr>
            <w:tcW w:w="783" w:type="pct"/>
            <w:tcBorders>
              <w:top w:val="single" w:sz="4" w:space="0" w:color="auto"/>
              <w:bottom w:val="single" w:sz="4" w:space="0" w:color="auto"/>
            </w:tcBorders>
            <w:vAlign w:val="center"/>
            <w:hideMark/>
          </w:tcPr>
          <w:p w14:paraId="712C431E"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lnEG</w:t>
            </w:r>
            <w:proofErr w:type="spellEnd"/>
          </w:p>
        </w:tc>
        <w:tc>
          <w:tcPr>
            <w:tcW w:w="818" w:type="pct"/>
            <w:tcBorders>
              <w:top w:val="single" w:sz="4" w:space="0" w:color="auto"/>
              <w:bottom w:val="single" w:sz="4" w:space="0" w:color="auto"/>
            </w:tcBorders>
            <w:vAlign w:val="center"/>
            <w:hideMark/>
          </w:tcPr>
          <w:p w14:paraId="4A17D8F3"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lnINFL</w:t>
            </w:r>
            <w:proofErr w:type="spellEnd"/>
          </w:p>
        </w:tc>
        <w:tc>
          <w:tcPr>
            <w:tcW w:w="783" w:type="pct"/>
            <w:tcBorders>
              <w:top w:val="single" w:sz="4" w:space="0" w:color="auto"/>
              <w:bottom w:val="single" w:sz="4" w:space="0" w:color="auto"/>
            </w:tcBorders>
            <w:vAlign w:val="center"/>
            <w:hideMark/>
          </w:tcPr>
          <w:p w14:paraId="0FEAB048" w14:textId="77777777" w:rsidR="002A0F7C" w:rsidRPr="00734744" w:rsidRDefault="002A0F7C" w:rsidP="002A0F7C">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lnIR</w:t>
            </w:r>
            <w:proofErr w:type="spellEnd"/>
          </w:p>
        </w:tc>
      </w:tr>
      <w:tr w:rsidR="002A0F7C" w:rsidRPr="00734744" w14:paraId="7300BD7B" w14:textId="77777777" w:rsidTr="00BB631A">
        <w:trPr>
          <w:tblCellSpacing w:w="15" w:type="dxa"/>
        </w:trPr>
        <w:tc>
          <w:tcPr>
            <w:tcW w:w="917" w:type="pct"/>
            <w:vAlign w:val="center"/>
            <w:hideMark/>
          </w:tcPr>
          <w:p w14:paraId="02F10BB5"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p>
        </w:tc>
        <w:tc>
          <w:tcPr>
            <w:tcW w:w="783" w:type="pct"/>
            <w:vAlign w:val="center"/>
            <w:hideMark/>
          </w:tcPr>
          <w:p w14:paraId="745AD82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702" w:type="pct"/>
            <w:vAlign w:val="center"/>
            <w:hideMark/>
          </w:tcPr>
          <w:p w14:paraId="5C2308E4"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0.6313</w:t>
            </w:r>
          </w:p>
        </w:tc>
        <w:tc>
          <w:tcPr>
            <w:tcW w:w="783" w:type="pct"/>
            <w:vAlign w:val="center"/>
            <w:hideMark/>
          </w:tcPr>
          <w:p w14:paraId="4718F090"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0.8159</w:t>
            </w:r>
          </w:p>
        </w:tc>
        <w:tc>
          <w:tcPr>
            <w:tcW w:w="818" w:type="pct"/>
            <w:vAlign w:val="center"/>
            <w:hideMark/>
          </w:tcPr>
          <w:p w14:paraId="22D1A712"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-0.0961</w:t>
            </w:r>
          </w:p>
        </w:tc>
        <w:tc>
          <w:tcPr>
            <w:tcW w:w="783" w:type="pct"/>
            <w:vAlign w:val="center"/>
            <w:hideMark/>
          </w:tcPr>
          <w:p w14:paraId="60032073"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0.0109</w:t>
            </w:r>
          </w:p>
        </w:tc>
      </w:tr>
      <w:tr w:rsidR="002A0F7C" w:rsidRPr="00734744" w14:paraId="39CC2CC6" w14:textId="77777777" w:rsidTr="00BB631A">
        <w:trPr>
          <w:tblCellSpacing w:w="15" w:type="dxa"/>
        </w:trPr>
        <w:tc>
          <w:tcPr>
            <w:tcW w:w="917" w:type="pct"/>
            <w:vAlign w:val="center"/>
            <w:hideMark/>
          </w:tcPr>
          <w:p w14:paraId="7E72127D"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lnER</w:t>
            </w:r>
            <w:proofErr w:type="spellEnd"/>
          </w:p>
        </w:tc>
        <w:tc>
          <w:tcPr>
            <w:tcW w:w="783" w:type="pct"/>
            <w:vAlign w:val="center"/>
            <w:hideMark/>
          </w:tcPr>
          <w:p w14:paraId="793C3A8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0.6313</w:t>
            </w:r>
          </w:p>
        </w:tc>
        <w:tc>
          <w:tcPr>
            <w:tcW w:w="702" w:type="pct"/>
            <w:vAlign w:val="center"/>
            <w:hideMark/>
          </w:tcPr>
          <w:p w14:paraId="169DFCED"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783" w:type="pct"/>
            <w:vAlign w:val="center"/>
            <w:hideMark/>
          </w:tcPr>
          <w:p w14:paraId="45FCC64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0.8567</w:t>
            </w:r>
          </w:p>
        </w:tc>
        <w:tc>
          <w:tcPr>
            <w:tcW w:w="818" w:type="pct"/>
            <w:vAlign w:val="center"/>
            <w:hideMark/>
          </w:tcPr>
          <w:p w14:paraId="0D4F2B6C"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0.0085</w:t>
            </w:r>
          </w:p>
        </w:tc>
        <w:tc>
          <w:tcPr>
            <w:tcW w:w="783" w:type="pct"/>
            <w:vAlign w:val="center"/>
            <w:hideMark/>
          </w:tcPr>
          <w:p w14:paraId="3141865B"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0.1889</w:t>
            </w:r>
          </w:p>
        </w:tc>
      </w:tr>
      <w:tr w:rsidR="002A0F7C" w:rsidRPr="00734744" w14:paraId="36776F4C" w14:textId="77777777" w:rsidTr="00BB631A">
        <w:trPr>
          <w:tblCellSpacing w:w="15" w:type="dxa"/>
        </w:trPr>
        <w:tc>
          <w:tcPr>
            <w:tcW w:w="917" w:type="pct"/>
            <w:vAlign w:val="center"/>
            <w:hideMark/>
          </w:tcPr>
          <w:p w14:paraId="68DE67FE"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lnEG</w:t>
            </w:r>
            <w:proofErr w:type="spellEnd"/>
          </w:p>
        </w:tc>
        <w:tc>
          <w:tcPr>
            <w:tcW w:w="783" w:type="pct"/>
            <w:vAlign w:val="center"/>
            <w:hideMark/>
          </w:tcPr>
          <w:p w14:paraId="374860BA"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0.8159</w:t>
            </w:r>
          </w:p>
        </w:tc>
        <w:tc>
          <w:tcPr>
            <w:tcW w:w="702" w:type="pct"/>
            <w:vAlign w:val="center"/>
            <w:hideMark/>
          </w:tcPr>
          <w:p w14:paraId="6EB39729"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0.8567</w:t>
            </w:r>
          </w:p>
        </w:tc>
        <w:tc>
          <w:tcPr>
            <w:tcW w:w="783" w:type="pct"/>
            <w:vAlign w:val="center"/>
            <w:hideMark/>
          </w:tcPr>
          <w:p w14:paraId="7ABAE6B1"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818" w:type="pct"/>
            <w:vAlign w:val="center"/>
            <w:hideMark/>
          </w:tcPr>
          <w:p w14:paraId="6F311C98"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-0.0522</w:t>
            </w:r>
          </w:p>
        </w:tc>
        <w:tc>
          <w:tcPr>
            <w:tcW w:w="783" w:type="pct"/>
            <w:vAlign w:val="center"/>
            <w:hideMark/>
          </w:tcPr>
          <w:p w14:paraId="4A22DCA4"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0.0561</w:t>
            </w:r>
          </w:p>
        </w:tc>
      </w:tr>
      <w:tr w:rsidR="002A0F7C" w:rsidRPr="00734744" w14:paraId="1CB3C5CF" w14:textId="77777777" w:rsidTr="00BB631A">
        <w:trPr>
          <w:tblCellSpacing w:w="15" w:type="dxa"/>
        </w:trPr>
        <w:tc>
          <w:tcPr>
            <w:tcW w:w="917" w:type="pct"/>
            <w:vAlign w:val="center"/>
            <w:hideMark/>
          </w:tcPr>
          <w:p w14:paraId="1EF589C8"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lnINFL</w:t>
            </w:r>
            <w:proofErr w:type="spellEnd"/>
          </w:p>
        </w:tc>
        <w:tc>
          <w:tcPr>
            <w:tcW w:w="783" w:type="pct"/>
            <w:vAlign w:val="center"/>
            <w:hideMark/>
          </w:tcPr>
          <w:p w14:paraId="4CB388F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-0.0961</w:t>
            </w:r>
          </w:p>
        </w:tc>
        <w:tc>
          <w:tcPr>
            <w:tcW w:w="702" w:type="pct"/>
            <w:vAlign w:val="center"/>
            <w:hideMark/>
          </w:tcPr>
          <w:p w14:paraId="1E9A0DE6"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0.0085</w:t>
            </w:r>
          </w:p>
        </w:tc>
        <w:tc>
          <w:tcPr>
            <w:tcW w:w="783" w:type="pct"/>
            <w:vAlign w:val="center"/>
            <w:hideMark/>
          </w:tcPr>
          <w:p w14:paraId="171403CE"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-0.0522</w:t>
            </w:r>
          </w:p>
        </w:tc>
        <w:tc>
          <w:tcPr>
            <w:tcW w:w="818" w:type="pct"/>
            <w:vAlign w:val="center"/>
            <w:hideMark/>
          </w:tcPr>
          <w:p w14:paraId="75E2A1BE"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c>
          <w:tcPr>
            <w:tcW w:w="783" w:type="pct"/>
            <w:vAlign w:val="center"/>
            <w:hideMark/>
          </w:tcPr>
          <w:p w14:paraId="1263E0CD"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-0.6424</w:t>
            </w:r>
          </w:p>
        </w:tc>
      </w:tr>
      <w:tr w:rsidR="002A0F7C" w:rsidRPr="00734744" w14:paraId="0A1A81A6" w14:textId="77777777" w:rsidTr="00BB631A">
        <w:trPr>
          <w:tblCellSpacing w:w="15" w:type="dxa"/>
        </w:trPr>
        <w:tc>
          <w:tcPr>
            <w:tcW w:w="917" w:type="pct"/>
            <w:vAlign w:val="center"/>
            <w:hideMark/>
          </w:tcPr>
          <w:p w14:paraId="37B8458E" w14:textId="77777777" w:rsidR="002A0F7C" w:rsidRPr="00734744" w:rsidRDefault="002A0F7C" w:rsidP="002A0F7C">
            <w:pPr>
              <w:tabs>
                <w:tab w:val="left" w:pos="6375"/>
              </w:tabs>
              <w:jc w:val="both"/>
              <w:rPr>
                <w:rFonts w:ascii="Times New Roman" w:hAnsi="Times New Roman" w:cs="Times New Roman"/>
              </w:rPr>
            </w:pPr>
            <w:proofErr w:type="spellStart"/>
            <w:r w:rsidRPr="00734744">
              <w:rPr>
                <w:rFonts w:ascii="Times New Roman" w:hAnsi="Times New Roman" w:cs="Times New Roman"/>
              </w:rPr>
              <w:t>lnIR</w:t>
            </w:r>
            <w:proofErr w:type="spellEnd"/>
          </w:p>
        </w:tc>
        <w:tc>
          <w:tcPr>
            <w:tcW w:w="783" w:type="pct"/>
            <w:vAlign w:val="center"/>
            <w:hideMark/>
          </w:tcPr>
          <w:p w14:paraId="33512AA2"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0.0109</w:t>
            </w:r>
          </w:p>
        </w:tc>
        <w:tc>
          <w:tcPr>
            <w:tcW w:w="702" w:type="pct"/>
            <w:vAlign w:val="center"/>
            <w:hideMark/>
          </w:tcPr>
          <w:p w14:paraId="4BDD5EB8"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0.1889</w:t>
            </w:r>
          </w:p>
        </w:tc>
        <w:tc>
          <w:tcPr>
            <w:tcW w:w="783" w:type="pct"/>
            <w:vAlign w:val="center"/>
            <w:hideMark/>
          </w:tcPr>
          <w:p w14:paraId="068798D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0.0561</w:t>
            </w:r>
          </w:p>
        </w:tc>
        <w:tc>
          <w:tcPr>
            <w:tcW w:w="818" w:type="pct"/>
            <w:vAlign w:val="center"/>
            <w:hideMark/>
          </w:tcPr>
          <w:p w14:paraId="1AFECAA5"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-0.6424</w:t>
            </w:r>
          </w:p>
        </w:tc>
        <w:tc>
          <w:tcPr>
            <w:tcW w:w="783" w:type="pct"/>
            <w:vAlign w:val="center"/>
            <w:hideMark/>
          </w:tcPr>
          <w:p w14:paraId="3BB0D650" w14:textId="7777777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1.0000</w:t>
            </w:r>
          </w:p>
        </w:tc>
      </w:tr>
    </w:tbl>
    <w:p w14:paraId="35EC74D4" w14:textId="1247CEFD"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4787401E" w14:textId="77777777" w:rsidR="00713DD5" w:rsidRPr="00734744" w:rsidRDefault="00713DD5" w:rsidP="002A0F7C">
      <w:pPr>
        <w:tabs>
          <w:tab w:val="left" w:pos="6375"/>
        </w:tabs>
        <w:jc w:val="both"/>
        <w:rPr>
          <w:rFonts w:ascii="Times New Roman" w:hAnsi="Times New Roman" w:cs="Times New Roman"/>
          <w:b/>
          <w:bCs/>
        </w:rPr>
      </w:pPr>
    </w:p>
    <w:p w14:paraId="77E2BEDB" w14:textId="2F955112" w:rsidR="002A0F7C" w:rsidRPr="00734744" w:rsidRDefault="002A0F7C" w:rsidP="00A059D0">
      <w:pPr>
        <w:tabs>
          <w:tab w:val="left" w:pos="6375"/>
        </w:tabs>
        <w:spacing w:after="0"/>
        <w:jc w:val="both"/>
        <w:rPr>
          <w:rFonts w:ascii="Times New Roman" w:hAnsi="Times New Roman" w:cs="Times New Roman"/>
          <w:b/>
          <w:bCs/>
        </w:rPr>
      </w:pPr>
      <w:r w:rsidRPr="00734744">
        <w:rPr>
          <w:rFonts w:ascii="Times New Roman" w:hAnsi="Times New Roman" w:cs="Times New Roman"/>
          <w:b/>
          <w:bCs/>
        </w:rPr>
        <w:t>4.8 VECM Results for Selected Macroeconomic Variables and FDI</w:t>
      </w:r>
    </w:p>
    <w:p w14:paraId="50C0D536" w14:textId="692F2116" w:rsidR="002A0F7C" w:rsidRPr="00734744" w:rsidRDefault="002A0F7C" w:rsidP="00A059D0">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VECM results provide the central empirical findings for </w:t>
      </w:r>
      <w:r w:rsidR="00BB631A" w:rsidRPr="00734744">
        <w:rPr>
          <w:rFonts w:ascii="Times New Roman" w:hAnsi="Times New Roman" w:cs="Times New Roman"/>
        </w:rPr>
        <w:t xml:space="preserve">this paper. </w:t>
      </w:r>
      <w:r w:rsidRPr="00734744">
        <w:rPr>
          <w:rFonts w:ascii="Times New Roman" w:hAnsi="Times New Roman" w:cs="Times New Roman"/>
        </w:rPr>
        <w:t>The estimated coefficients were positive for exchange rate, economic growth and real interest rate, and negative for inflation. All four variables were reported as statistically significant at the 5% level.</w:t>
      </w:r>
    </w:p>
    <w:p w14:paraId="188BE697" w14:textId="77777777" w:rsidR="00A059D0" w:rsidRPr="00734744" w:rsidRDefault="00A059D0" w:rsidP="007B3574">
      <w:pPr>
        <w:tabs>
          <w:tab w:val="left" w:pos="6375"/>
        </w:tabs>
        <w:jc w:val="both"/>
        <w:rPr>
          <w:rFonts w:ascii="Times New Roman" w:hAnsi="Times New Roman" w:cs="Times New Roman"/>
        </w:rPr>
      </w:pPr>
    </w:p>
    <w:p w14:paraId="4C17532B" w14:textId="7D148DAB" w:rsidR="002A0F7C" w:rsidRPr="00734744" w:rsidRDefault="002A0F7C" w:rsidP="00A059D0">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w:t>
      </w:r>
      <w:r w:rsidR="007B3574" w:rsidRPr="00734744">
        <w:rPr>
          <w:rFonts w:ascii="Times New Roman" w:hAnsi="Times New Roman" w:cs="Times New Roman"/>
        </w:rPr>
        <w:t>8</w:t>
      </w:r>
      <w:r w:rsidRPr="00734744">
        <w:rPr>
          <w:rFonts w:ascii="Times New Roman" w:hAnsi="Times New Roman" w:cs="Times New Roman"/>
        </w:rPr>
        <w:t>. VECM Results for Selected Macroeconomic Variables and FDI</w:t>
      </w:r>
    </w:p>
    <w:tbl>
      <w:tblPr>
        <w:tblW w:w="0" w:type="auto"/>
        <w:tblCellSpacing w:w="15" w:type="dxa"/>
        <w:tblInd w:w="-480"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675"/>
        <w:gridCol w:w="1900"/>
        <w:gridCol w:w="1843"/>
        <w:gridCol w:w="1767"/>
        <w:gridCol w:w="1951"/>
      </w:tblGrid>
      <w:tr w:rsidR="002A0F7C" w:rsidRPr="00734744" w14:paraId="656B0BD1" w14:textId="77777777" w:rsidTr="00BB631A">
        <w:trPr>
          <w:tblHeader/>
          <w:tblCellSpacing w:w="15" w:type="dxa"/>
        </w:trPr>
        <w:tc>
          <w:tcPr>
            <w:tcW w:w="0" w:type="auto"/>
            <w:tcBorders>
              <w:top w:val="single" w:sz="4" w:space="0" w:color="auto"/>
              <w:bottom w:val="single" w:sz="4" w:space="0" w:color="auto"/>
            </w:tcBorders>
            <w:vAlign w:val="center"/>
            <w:hideMark/>
          </w:tcPr>
          <w:p w14:paraId="35DE69FF" w14:textId="028537CB" w:rsidR="002A0F7C" w:rsidRPr="00734744" w:rsidRDefault="007B3574" w:rsidP="00BB631A">
            <w:pPr>
              <w:tabs>
                <w:tab w:val="left" w:pos="6375"/>
              </w:tabs>
              <w:spacing w:after="0" w:line="240" w:lineRule="auto"/>
              <w:jc w:val="both"/>
              <w:rPr>
                <w:rFonts w:ascii="Times New Roman" w:hAnsi="Times New Roman" w:cs="Times New Roman"/>
                <w:b/>
                <w:bCs/>
              </w:rPr>
            </w:pPr>
            <w:r w:rsidRPr="00734744">
              <w:rPr>
                <w:rFonts w:ascii="Times New Roman" w:hAnsi="Times New Roman" w:cs="Times New Roman"/>
                <w:b/>
                <w:bCs/>
              </w:rPr>
              <w:t xml:space="preserve">         </w:t>
            </w:r>
            <w:r w:rsidR="002A0F7C" w:rsidRPr="00734744">
              <w:rPr>
                <w:rFonts w:ascii="Times New Roman" w:hAnsi="Times New Roman" w:cs="Times New Roman"/>
                <w:b/>
                <w:bCs/>
              </w:rPr>
              <w:t>Variable</w:t>
            </w:r>
          </w:p>
        </w:tc>
        <w:tc>
          <w:tcPr>
            <w:tcW w:w="0" w:type="auto"/>
            <w:tcBorders>
              <w:top w:val="single" w:sz="4" w:space="0" w:color="auto"/>
              <w:bottom w:val="single" w:sz="4" w:space="0" w:color="auto"/>
            </w:tcBorders>
            <w:vAlign w:val="center"/>
            <w:hideMark/>
          </w:tcPr>
          <w:p w14:paraId="30951927" w14:textId="77777777" w:rsidR="002A0F7C" w:rsidRPr="00734744" w:rsidRDefault="002A0F7C" w:rsidP="00BB631A">
            <w:pPr>
              <w:tabs>
                <w:tab w:val="left" w:pos="6375"/>
              </w:tabs>
              <w:spacing w:after="0" w:line="240" w:lineRule="auto"/>
              <w:ind w:firstLine="720"/>
              <w:jc w:val="both"/>
              <w:rPr>
                <w:rFonts w:ascii="Times New Roman" w:hAnsi="Times New Roman" w:cs="Times New Roman"/>
                <w:b/>
                <w:bCs/>
              </w:rPr>
            </w:pPr>
            <w:r w:rsidRPr="00734744">
              <w:rPr>
                <w:rFonts w:ascii="Times New Roman" w:hAnsi="Times New Roman" w:cs="Times New Roman"/>
                <w:b/>
                <w:bCs/>
              </w:rPr>
              <w:t>Coefficient</w:t>
            </w:r>
          </w:p>
        </w:tc>
        <w:tc>
          <w:tcPr>
            <w:tcW w:w="0" w:type="auto"/>
            <w:tcBorders>
              <w:top w:val="single" w:sz="4" w:space="0" w:color="auto"/>
              <w:bottom w:val="single" w:sz="4" w:space="0" w:color="auto"/>
            </w:tcBorders>
            <w:vAlign w:val="center"/>
            <w:hideMark/>
          </w:tcPr>
          <w:p w14:paraId="62F2CBE0" w14:textId="77777777" w:rsidR="002A0F7C" w:rsidRPr="00734744" w:rsidRDefault="002A0F7C" w:rsidP="00BB631A">
            <w:pPr>
              <w:tabs>
                <w:tab w:val="left" w:pos="6375"/>
              </w:tabs>
              <w:spacing w:after="0" w:line="240" w:lineRule="auto"/>
              <w:ind w:firstLine="720"/>
              <w:jc w:val="both"/>
              <w:rPr>
                <w:rFonts w:ascii="Times New Roman" w:hAnsi="Times New Roman" w:cs="Times New Roman"/>
                <w:b/>
                <w:bCs/>
              </w:rPr>
            </w:pPr>
            <w:r w:rsidRPr="00734744">
              <w:rPr>
                <w:rFonts w:ascii="Times New Roman" w:hAnsi="Times New Roman" w:cs="Times New Roman"/>
                <w:b/>
                <w:bCs/>
              </w:rPr>
              <w:t>Std. Error</w:t>
            </w:r>
          </w:p>
        </w:tc>
        <w:tc>
          <w:tcPr>
            <w:tcW w:w="0" w:type="auto"/>
            <w:tcBorders>
              <w:top w:val="single" w:sz="4" w:space="0" w:color="auto"/>
              <w:bottom w:val="single" w:sz="4" w:space="0" w:color="auto"/>
            </w:tcBorders>
            <w:vAlign w:val="center"/>
            <w:hideMark/>
          </w:tcPr>
          <w:p w14:paraId="178440FF" w14:textId="77777777" w:rsidR="002A0F7C" w:rsidRPr="00734744" w:rsidRDefault="002A0F7C" w:rsidP="00BB631A">
            <w:pPr>
              <w:tabs>
                <w:tab w:val="left" w:pos="6375"/>
              </w:tabs>
              <w:spacing w:after="0" w:line="240" w:lineRule="auto"/>
              <w:ind w:firstLine="720"/>
              <w:jc w:val="both"/>
              <w:rPr>
                <w:rFonts w:ascii="Times New Roman" w:hAnsi="Times New Roman" w:cs="Times New Roman"/>
                <w:b/>
                <w:bCs/>
              </w:rPr>
            </w:pPr>
            <w:r w:rsidRPr="00734744">
              <w:rPr>
                <w:rFonts w:ascii="Times New Roman" w:hAnsi="Times New Roman" w:cs="Times New Roman"/>
                <w:b/>
                <w:bCs/>
              </w:rPr>
              <w:t>t-Statistic</w:t>
            </w:r>
          </w:p>
        </w:tc>
        <w:tc>
          <w:tcPr>
            <w:tcW w:w="0" w:type="auto"/>
            <w:tcBorders>
              <w:top w:val="single" w:sz="4" w:space="0" w:color="auto"/>
              <w:bottom w:val="single" w:sz="4" w:space="0" w:color="auto"/>
            </w:tcBorders>
            <w:vAlign w:val="center"/>
            <w:hideMark/>
          </w:tcPr>
          <w:p w14:paraId="47BE2A56" w14:textId="77777777" w:rsidR="002A0F7C" w:rsidRPr="00734744" w:rsidRDefault="002A0F7C" w:rsidP="00BB631A">
            <w:pPr>
              <w:tabs>
                <w:tab w:val="left" w:pos="6375"/>
              </w:tabs>
              <w:spacing w:after="0" w:line="240" w:lineRule="auto"/>
              <w:ind w:firstLine="720"/>
              <w:jc w:val="both"/>
              <w:rPr>
                <w:rFonts w:ascii="Times New Roman" w:hAnsi="Times New Roman" w:cs="Times New Roman"/>
                <w:b/>
                <w:bCs/>
              </w:rPr>
            </w:pPr>
            <w:r w:rsidRPr="00734744">
              <w:rPr>
                <w:rFonts w:ascii="Times New Roman" w:hAnsi="Times New Roman" w:cs="Times New Roman"/>
                <w:b/>
                <w:bCs/>
              </w:rPr>
              <w:t>Probability</w:t>
            </w:r>
          </w:p>
        </w:tc>
      </w:tr>
      <w:tr w:rsidR="002A0F7C" w:rsidRPr="00734744" w14:paraId="00379B8F" w14:textId="77777777" w:rsidTr="00BB631A">
        <w:trPr>
          <w:tblCellSpacing w:w="15" w:type="dxa"/>
        </w:trPr>
        <w:tc>
          <w:tcPr>
            <w:tcW w:w="0" w:type="auto"/>
            <w:vAlign w:val="center"/>
            <w:hideMark/>
          </w:tcPr>
          <w:p w14:paraId="56B14450"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Constant</w:t>
            </w:r>
          </w:p>
        </w:tc>
        <w:tc>
          <w:tcPr>
            <w:tcW w:w="0" w:type="auto"/>
            <w:vAlign w:val="center"/>
            <w:hideMark/>
          </w:tcPr>
          <w:p w14:paraId="6996A6C6"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-1.7100</w:t>
            </w:r>
          </w:p>
        </w:tc>
        <w:tc>
          <w:tcPr>
            <w:tcW w:w="0" w:type="auto"/>
            <w:vAlign w:val="center"/>
            <w:hideMark/>
          </w:tcPr>
          <w:p w14:paraId="5388E17B"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1.0310</w:t>
            </w:r>
          </w:p>
        </w:tc>
        <w:tc>
          <w:tcPr>
            <w:tcW w:w="0" w:type="auto"/>
            <w:vAlign w:val="center"/>
            <w:hideMark/>
          </w:tcPr>
          <w:p w14:paraId="453F0692"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-1.6588</w:t>
            </w:r>
          </w:p>
        </w:tc>
        <w:tc>
          <w:tcPr>
            <w:tcW w:w="0" w:type="auto"/>
            <w:vAlign w:val="center"/>
            <w:hideMark/>
          </w:tcPr>
          <w:p w14:paraId="1DEBF58B"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0.0104</w:t>
            </w:r>
          </w:p>
        </w:tc>
      </w:tr>
      <w:tr w:rsidR="002A0F7C" w:rsidRPr="00734744" w14:paraId="1E895601" w14:textId="77777777" w:rsidTr="00BB631A">
        <w:trPr>
          <w:tblCellSpacing w:w="15" w:type="dxa"/>
        </w:trPr>
        <w:tc>
          <w:tcPr>
            <w:tcW w:w="0" w:type="auto"/>
            <w:vAlign w:val="center"/>
            <w:hideMark/>
          </w:tcPr>
          <w:p w14:paraId="70576A0E" w14:textId="77777777" w:rsidR="002A0F7C" w:rsidRPr="00734744" w:rsidRDefault="002A0F7C" w:rsidP="00BB631A">
            <w:pPr>
              <w:tabs>
                <w:tab w:val="left" w:pos="6375"/>
              </w:tabs>
              <w:spacing w:line="240" w:lineRule="auto"/>
              <w:ind w:firstLine="720"/>
              <w:jc w:val="both"/>
              <w:rPr>
                <w:rFonts w:ascii="Times New Roman" w:hAnsi="Times New Roman" w:cs="Times New Roman"/>
              </w:rPr>
            </w:pPr>
            <w:proofErr w:type="spellStart"/>
            <w:r w:rsidRPr="00734744">
              <w:rPr>
                <w:rFonts w:ascii="Times New Roman" w:hAnsi="Times New Roman" w:cs="Times New Roman"/>
              </w:rPr>
              <w:t>lnER</w:t>
            </w:r>
            <w:proofErr w:type="spellEnd"/>
          </w:p>
        </w:tc>
        <w:tc>
          <w:tcPr>
            <w:tcW w:w="0" w:type="auto"/>
            <w:vAlign w:val="center"/>
            <w:hideMark/>
          </w:tcPr>
          <w:p w14:paraId="648C8243"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0.2234</w:t>
            </w:r>
          </w:p>
        </w:tc>
        <w:tc>
          <w:tcPr>
            <w:tcW w:w="0" w:type="auto"/>
            <w:vAlign w:val="center"/>
            <w:hideMark/>
          </w:tcPr>
          <w:p w14:paraId="7D6E3135"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0.1922</w:t>
            </w:r>
          </w:p>
        </w:tc>
        <w:tc>
          <w:tcPr>
            <w:tcW w:w="0" w:type="auto"/>
            <w:vAlign w:val="center"/>
            <w:hideMark/>
          </w:tcPr>
          <w:p w14:paraId="0762BB8A"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-0.1162</w:t>
            </w:r>
          </w:p>
        </w:tc>
        <w:tc>
          <w:tcPr>
            <w:tcW w:w="0" w:type="auto"/>
            <w:vAlign w:val="center"/>
            <w:hideMark/>
          </w:tcPr>
          <w:p w14:paraId="71C14537"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0.0237</w:t>
            </w:r>
          </w:p>
        </w:tc>
      </w:tr>
      <w:tr w:rsidR="002A0F7C" w:rsidRPr="00734744" w14:paraId="2029C7B5" w14:textId="77777777" w:rsidTr="00BB631A">
        <w:trPr>
          <w:tblCellSpacing w:w="15" w:type="dxa"/>
        </w:trPr>
        <w:tc>
          <w:tcPr>
            <w:tcW w:w="0" w:type="auto"/>
            <w:vAlign w:val="center"/>
            <w:hideMark/>
          </w:tcPr>
          <w:p w14:paraId="15B52421" w14:textId="77777777" w:rsidR="002A0F7C" w:rsidRPr="00734744" w:rsidRDefault="002A0F7C" w:rsidP="00BB631A">
            <w:pPr>
              <w:tabs>
                <w:tab w:val="left" w:pos="6375"/>
              </w:tabs>
              <w:spacing w:line="240" w:lineRule="auto"/>
              <w:ind w:firstLine="720"/>
              <w:jc w:val="both"/>
              <w:rPr>
                <w:rFonts w:ascii="Times New Roman" w:hAnsi="Times New Roman" w:cs="Times New Roman"/>
              </w:rPr>
            </w:pPr>
            <w:proofErr w:type="spellStart"/>
            <w:r w:rsidRPr="00734744">
              <w:rPr>
                <w:rFonts w:ascii="Times New Roman" w:hAnsi="Times New Roman" w:cs="Times New Roman"/>
              </w:rPr>
              <w:t>lnEG</w:t>
            </w:r>
            <w:proofErr w:type="spellEnd"/>
          </w:p>
        </w:tc>
        <w:tc>
          <w:tcPr>
            <w:tcW w:w="0" w:type="auto"/>
            <w:vAlign w:val="center"/>
            <w:hideMark/>
          </w:tcPr>
          <w:p w14:paraId="6137CF91"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0.7762</w:t>
            </w:r>
          </w:p>
        </w:tc>
        <w:tc>
          <w:tcPr>
            <w:tcW w:w="0" w:type="auto"/>
            <w:vAlign w:val="center"/>
            <w:hideMark/>
          </w:tcPr>
          <w:p w14:paraId="3522D5C1"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0.1342</w:t>
            </w:r>
          </w:p>
        </w:tc>
        <w:tc>
          <w:tcPr>
            <w:tcW w:w="0" w:type="auto"/>
            <w:vAlign w:val="center"/>
            <w:hideMark/>
          </w:tcPr>
          <w:p w14:paraId="146F0C0E"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0.5786</w:t>
            </w:r>
          </w:p>
        </w:tc>
        <w:tc>
          <w:tcPr>
            <w:tcW w:w="0" w:type="auto"/>
            <w:vAlign w:val="center"/>
            <w:hideMark/>
          </w:tcPr>
          <w:p w14:paraId="032E3EBF"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0.0000</w:t>
            </w:r>
          </w:p>
        </w:tc>
      </w:tr>
      <w:tr w:rsidR="002A0F7C" w:rsidRPr="00734744" w14:paraId="61D2E2D5" w14:textId="77777777" w:rsidTr="00BB631A">
        <w:trPr>
          <w:tblCellSpacing w:w="15" w:type="dxa"/>
        </w:trPr>
        <w:tc>
          <w:tcPr>
            <w:tcW w:w="0" w:type="auto"/>
            <w:vAlign w:val="center"/>
            <w:hideMark/>
          </w:tcPr>
          <w:p w14:paraId="7DDF2592" w14:textId="77777777" w:rsidR="002A0F7C" w:rsidRPr="00734744" w:rsidRDefault="002A0F7C" w:rsidP="00BB631A">
            <w:pPr>
              <w:tabs>
                <w:tab w:val="left" w:pos="6375"/>
              </w:tabs>
              <w:spacing w:line="240" w:lineRule="auto"/>
              <w:ind w:firstLine="720"/>
              <w:jc w:val="both"/>
              <w:rPr>
                <w:rFonts w:ascii="Times New Roman" w:hAnsi="Times New Roman" w:cs="Times New Roman"/>
              </w:rPr>
            </w:pPr>
            <w:proofErr w:type="spellStart"/>
            <w:r w:rsidRPr="00734744">
              <w:rPr>
                <w:rFonts w:ascii="Times New Roman" w:hAnsi="Times New Roman" w:cs="Times New Roman"/>
              </w:rPr>
              <w:t>lnINFL</w:t>
            </w:r>
            <w:proofErr w:type="spellEnd"/>
          </w:p>
        </w:tc>
        <w:tc>
          <w:tcPr>
            <w:tcW w:w="0" w:type="auto"/>
            <w:vAlign w:val="center"/>
            <w:hideMark/>
          </w:tcPr>
          <w:p w14:paraId="74B1596E"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-0.3386</w:t>
            </w:r>
          </w:p>
        </w:tc>
        <w:tc>
          <w:tcPr>
            <w:tcW w:w="0" w:type="auto"/>
            <w:vAlign w:val="center"/>
            <w:hideMark/>
          </w:tcPr>
          <w:p w14:paraId="52C0D9DB"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0.5768</w:t>
            </w:r>
          </w:p>
        </w:tc>
        <w:tc>
          <w:tcPr>
            <w:tcW w:w="0" w:type="auto"/>
            <w:vAlign w:val="center"/>
            <w:hideMark/>
          </w:tcPr>
          <w:p w14:paraId="4B727B01"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-0.5869</w:t>
            </w:r>
          </w:p>
        </w:tc>
        <w:tc>
          <w:tcPr>
            <w:tcW w:w="0" w:type="auto"/>
            <w:vAlign w:val="center"/>
            <w:hideMark/>
          </w:tcPr>
          <w:p w14:paraId="01E5A40B"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0.0494</w:t>
            </w:r>
          </w:p>
        </w:tc>
      </w:tr>
      <w:tr w:rsidR="002A0F7C" w:rsidRPr="00734744" w14:paraId="1A33D9D2" w14:textId="77777777" w:rsidTr="00BB631A">
        <w:trPr>
          <w:tblCellSpacing w:w="15" w:type="dxa"/>
        </w:trPr>
        <w:tc>
          <w:tcPr>
            <w:tcW w:w="0" w:type="auto"/>
            <w:vAlign w:val="center"/>
            <w:hideMark/>
          </w:tcPr>
          <w:p w14:paraId="7254DEFE" w14:textId="77777777" w:rsidR="002A0F7C" w:rsidRPr="00734744" w:rsidRDefault="002A0F7C" w:rsidP="00BB631A">
            <w:pPr>
              <w:tabs>
                <w:tab w:val="left" w:pos="6375"/>
              </w:tabs>
              <w:spacing w:line="240" w:lineRule="auto"/>
              <w:ind w:firstLine="720"/>
              <w:jc w:val="both"/>
              <w:rPr>
                <w:rFonts w:ascii="Times New Roman" w:hAnsi="Times New Roman" w:cs="Times New Roman"/>
              </w:rPr>
            </w:pPr>
            <w:proofErr w:type="spellStart"/>
            <w:r w:rsidRPr="00734744">
              <w:rPr>
                <w:rFonts w:ascii="Times New Roman" w:hAnsi="Times New Roman" w:cs="Times New Roman"/>
              </w:rPr>
              <w:t>lnIR</w:t>
            </w:r>
            <w:proofErr w:type="spellEnd"/>
          </w:p>
        </w:tc>
        <w:tc>
          <w:tcPr>
            <w:tcW w:w="0" w:type="auto"/>
            <w:vAlign w:val="center"/>
            <w:hideMark/>
          </w:tcPr>
          <w:p w14:paraId="3CFBB068"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0.3068</w:t>
            </w:r>
          </w:p>
        </w:tc>
        <w:tc>
          <w:tcPr>
            <w:tcW w:w="0" w:type="auto"/>
            <w:vAlign w:val="center"/>
            <w:hideMark/>
          </w:tcPr>
          <w:p w14:paraId="1EAB629F"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0.6220</w:t>
            </w:r>
          </w:p>
        </w:tc>
        <w:tc>
          <w:tcPr>
            <w:tcW w:w="0" w:type="auto"/>
            <w:vAlign w:val="center"/>
            <w:hideMark/>
          </w:tcPr>
          <w:p w14:paraId="2FF32343"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-0.4932</w:t>
            </w:r>
          </w:p>
        </w:tc>
        <w:tc>
          <w:tcPr>
            <w:tcW w:w="0" w:type="auto"/>
            <w:vAlign w:val="center"/>
            <w:hideMark/>
          </w:tcPr>
          <w:p w14:paraId="1D9C8F58"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0.0241</w:t>
            </w:r>
          </w:p>
        </w:tc>
      </w:tr>
      <w:tr w:rsidR="002A0F7C" w:rsidRPr="00734744" w14:paraId="3CFF6054" w14:textId="77777777" w:rsidTr="00BB631A">
        <w:trPr>
          <w:tblCellSpacing w:w="15" w:type="dxa"/>
        </w:trPr>
        <w:tc>
          <w:tcPr>
            <w:tcW w:w="0" w:type="auto"/>
            <w:vAlign w:val="center"/>
            <w:hideMark/>
          </w:tcPr>
          <w:p w14:paraId="5237FF44"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DUM1</w:t>
            </w:r>
          </w:p>
        </w:tc>
        <w:tc>
          <w:tcPr>
            <w:tcW w:w="0" w:type="auto"/>
            <w:vAlign w:val="center"/>
            <w:hideMark/>
          </w:tcPr>
          <w:p w14:paraId="4948B376"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-0.4300</w:t>
            </w:r>
          </w:p>
        </w:tc>
        <w:tc>
          <w:tcPr>
            <w:tcW w:w="0" w:type="auto"/>
            <w:vAlign w:val="center"/>
            <w:hideMark/>
          </w:tcPr>
          <w:p w14:paraId="051994F5"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0.8244</w:t>
            </w:r>
          </w:p>
        </w:tc>
        <w:tc>
          <w:tcPr>
            <w:tcW w:w="0" w:type="auto"/>
            <w:vAlign w:val="center"/>
            <w:hideMark/>
          </w:tcPr>
          <w:p w14:paraId="41741B60"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-0.5217</w:t>
            </w:r>
          </w:p>
        </w:tc>
        <w:tc>
          <w:tcPr>
            <w:tcW w:w="0" w:type="auto"/>
            <w:vAlign w:val="center"/>
            <w:hideMark/>
          </w:tcPr>
          <w:p w14:paraId="1E4AF756"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0.0343</w:t>
            </w:r>
          </w:p>
        </w:tc>
      </w:tr>
      <w:tr w:rsidR="002A0F7C" w:rsidRPr="00734744" w14:paraId="6893A113" w14:textId="77777777" w:rsidTr="00BB631A">
        <w:trPr>
          <w:tblCellSpacing w:w="15" w:type="dxa"/>
        </w:trPr>
        <w:tc>
          <w:tcPr>
            <w:tcW w:w="0" w:type="auto"/>
            <w:vAlign w:val="center"/>
            <w:hideMark/>
          </w:tcPr>
          <w:p w14:paraId="2C1F584C"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ECT(t-1)</w:t>
            </w:r>
          </w:p>
        </w:tc>
        <w:tc>
          <w:tcPr>
            <w:tcW w:w="0" w:type="auto"/>
            <w:vAlign w:val="center"/>
            <w:hideMark/>
          </w:tcPr>
          <w:p w14:paraId="498B3706"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0.9175</w:t>
            </w:r>
          </w:p>
        </w:tc>
        <w:tc>
          <w:tcPr>
            <w:tcW w:w="0" w:type="auto"/>
            <w:vAlign w:val="center"/>
            <w:hideMark/>
          </w:tcPr>
          <w:p w14:paraId="7CCAABBB"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0.4234</w:t>
            </w:r>
          </w:p>
        </w:tc>
        <w:tc>
          <w:tcPr>
            <w:tcW w:w="0" w:type="auto"/>
            <w:vAlign w:val="center"/>
            <w:hideMark/>
          </w:tcPr>
          <w:p w14:paraId="062B1AE0"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0.0612</w:t>
            </w:r>
          </w:p>
        </w:tc>
        <w:tc>
          <w:tcPr>
            <w:tcW w:w="0" w:type="auto"/>
            <w:vAlign w:val="center"/>
            <w:hideMark/>
          </w:tcPr>
          <w:p w14:paraId="3EB2B341" w14:textId="77777777" w:rsidR="002A0F7C" w:rsidRPr="00734744" w:rsidRDefault="002A0F7C" w:rsidP="00BB631A">
            <w:pPr>
              <w:tabs>
                <w:tab w:val="left" w:pos="6375"/>
              </w:tabs>
              <w:spacing w:line="240" w:lineRule="auto"/>
              <w:ind w:firstLine="720"/>
              <w:jc w:val="both"/>
              <w:rPr>
                <w:rFonts w:ascii="Times New Roman" w:hAnsi="Times New Roman" w:cs="Times New Roman"/>
              </w:rPr>
            </w:pPr>
            <w:r w:rsidRPr="00734744">
              <w:rPr>
                <w:rFonts w:ascii="Times New Roman" w:hAnsi="Times New Roman" w:cs="Times New Roman"/>
              </w:rPr>
              <w:t>0.0201</w:t>
            </w:r>
          </w:p>
        </w:tc>
      </w:tr>
    </w:tbl>
    <w:p w14:paraId="0297354A" w14:textId="77777777" w:rsidR="002A0F7C" w:rsidRPr="00734744" w:rsidRDefault="002A0F7C" w:rsidP="007B3574">
      <w:pPr>
        <w:tabs>
          <w:tab w:val="left" w:pos="6375"/>
        </w:tabs>
        <w:rPr>
          <w:rFonts w:ascii="Times New Roman" w:hAnsi="Times New Roman" w:cs="Times New Roman"/>
        </w:rPr>
      </w:pPr>
      <w:r w:rsidRPr="00734744">
        <w:rPr>
          <w:rFonts w:ascii="Times New Roman" w:hAnsi="Times New Roman" w:cs="Times New Roman"/>
        </w:rPr>
        <w:t>R² = 0.8374</w:t>
      </w:r>
      <w:r w:rsidRPr="00734744">
        <w:rPr>
          <w:rFonts w:ascii="Times New Roman" w:hAnsi="Times New Roman" w:cs="Times New Roman"/>
        </w:rPr>
        <w:br/>
        <w:t>Adjusted R² = 0.7876</w:t>
      </w:r>
      <w:r w:rsidRPr="00734744">
        <w:rPr>
          <w:rFonts w:ascii="Times New Roman" w:hAnsi="Times New Roman" w:cs="Times New Roman"/>
        </w:rPr>
        <w:br/>
        <w:t>F-statistic = 21.4318</w:t>
      </w:r>
      <w:r w:rsidRPr="00734744">
        <w:rPr>
          <w:rFonts w:ascii="Times New Roman" w:hAnsi="Times New Roman" w:cs="Times New Roman"/>
        </w:rPr>
        <w:br/>
        <w:t>Prob(F-statistic) = 0.0000</w:t>
      </w:r>
      <w:r w:rsidRPr="00734744">
        <w:rPr>
          <w:rFonts w:ascii="Times New Roman" w:hAnsi="Times New Roman" w:cs="Times New Roman"/>
        </w:rPr>
        <w:br/>
        <w:t>Durbin-Watson = 1.3454</w:t>
      </w:r>
    </w:p>
    <w:p w14:paraId="7DE4141F" w14:textId="3954490F" w:rsidR="002A0F7C" w:rsidRPr="00734744" w:rsidRDefault="002A0F7C" w:rsidP="00A059D0">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31E4EAF7" w14:textId="62E33CF7" w:rsidR="002A0F7C" w:rsidRPr="00734744" w:rsidRDefault="002A0F7C" w:rsidP="002A0F7C">
      <w:pPr>
        <w:tabs>
          <w:tab w:val="left" w:pos="6375"/>
        </w:tabs>
        <w:jc w:val="both"/>
        <w:rPr>
          <w:rFonts w:ascii="Times New Roman" w:hAnsi="Times New Roman" w:cs="Times New Roman"/>
        </w:rPr>
      </w:pPr>
      <w:r w:rsidRPr="00734744">
        <w:rPr>
          <w:rFonts w:ascii="Times New Roman" w:hAnsi="Times New Roman" w:cs="Times New Roman"/>
        </w:rPr>
        <w:t>The overall model was statistically significant, with an F-statistic of 21.4318 (p = 0.0000). The reported R² was 0.8374, while the adjusted R² was 0.7876. The thesis interprets these results as indicating that the selected macroeconomic variables provide substantial explanatory power for FDI in Kenya.</w:t>
      </w:r>
    </w:p>
    <w:p w14:paraId="3FF35D41"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4.8.1 Effect of Real Interest Rate on FDI</w:t>
      </w:r>
    </w:p>
    <w:p w14:paraId="262D36E6" w14:textId="48A91611"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estimated coefficient for real interest rate was 0.3068, with a reported p-value of 0.0241, indicating a statistically significant positive relationship between real interest rate and FDI at the 5% level. The thesis therefore rejected the null hypothesis that real interest rates have no statistically significant effect on FDI in Kenya. The result suggests that increases in real interest rates were associated with increases in FDI over the study period. The thesis relates this finding to Kiplagat (2016), who also reported a positive relationship between interest rates and FDI in Kenya. Conversely, Siddiqui and </w:t>
      </w:r>
      <w:proofErr w:type="spellStart"/>
      <w:r w:rsidRPr="00734744">
        <w:rPr>
          <w:rFonts w:ascii="Times New Roman" w:hAnsi="Times New Roman" w:cs="Times New Roman"/>
        </w:rPr>
        <w:t>Aumeboonsuke</w:t>
      </w:r>
      <w:proofErr w:type="spellEnd"/>
      <w:r w:rsidRPr="00734744">
        <w:rPr>
          <w:rFonts w:ascii="Times New Roman" w:hAnsi="Times New Roman" w:cs="Times New Roman"/>
        </w:rPr>
        <w:t xml:space="preserve"> (2014) reported an inverse relationship in Thailand, Indonesia and Malaysia. The finding is that real interest rate had a positive and statistically significant effect on FDI in Kenya (β = 0.3068, p = 0.0241).</w:t>
      </w:r>
    </w:p>
    <w:p w14:paraId="5CECE67E" w14:textId="77777777" w:rsidR="009A7968" w:rsidRPr="00734744" w:rsidRDefault="009A7968" w:rsidP="002A0F7C">
      <w:pPr>
        <w:tabs>
          <w:tab w:val="left" w:pos="6375"/>
        </w:tabs>
        <w:jc w:val="both"/>
        <w:rPr>
          <w:rFonts w:ascii="Times New Roman" w:hAnsi="Times New Roman" w:cs="Times New Roman"/>
        </w:rPr>
      </w:pPr>
    </w:p>
    <w:p w14:paraId="17327C6B" w14:textId="77777777"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4.8.2 Effect of Inflation on FDI</w:t>
      </w:r>
    </w:p>
    <w:p w14:paraId="56B17304" w14:textId="1A6B2841" w:rsidR="007B3574" w:rsidRPr="00734744" w:rsidRDefault="007B3574" w:rsidP="007B3574">
      <w:pPr>
        <w:tabs>
          <w:tab w:val="left" w:pos="6375"/>
        </w:tabs>
        <w:spacing w:after="0"/>
        <w:jc w:val="both"/>
        <w:rPr>
          <w:rFonts w:ascii="Times New Roman" w:hAnsi="Times New Roman" w:cs="Times New Roman"/>
        </w:rPr>
      </w:pPr>
      <w:r w:rsidRPr="00734744">
        <w:rPr>
          <w:rFonts w:ascii="Times New Roman" w:hAnsi="Times New Roman" w:cs="Times New Roman"/>
        </w:rPr>
        <w:t xml:space="preserve">Inflation had a coefficient of -0.3386 and a reported p-value of 0.0494, indicating a statistically significant negative relationship with FDI at the 5% level. The finding implies that increases in </w:t>
      </w:r>
      <w:r w:rsidRPr="00734744">
        <w:rPr>
          <w:rFonts w:ascii="Times New Roman" w:hAnsi="Times New Roman" w:cs="Times New Roman"/>
        </w:rPr>
        <w:lastRenderedPageBreak/>
        <w:t xml:space="preserve">inflation were associated with reductions in FDI. The thesis relates this result to </w:t>
      </w:r>
      <w:proofErr w:type="spellStart"/>
      <w:r w:rsidRPr="00734744">
        <w:rPr>
          <w:rFonts w:ascii="Times New Roman" w:hAnsi="Times New Roman" w:cs="Times New Roman"/>
        </w:rPr>
        <w:t>Xaypanya</w:t>
      </w:r>
      <w:proofErr w:type="spellEnd"/>
      <w:r w:rsidRPr="00734744">
        <w:rPr>
          <w:rFonts w:ascii="Times New Roman" w:hAnsi="Times New Roman" w:cs="Times New Roman"/>
        </w:rPr>
        <w:t xml:space="preserve"> et al. (2015), who found that inflation negatively affected FDI in ASEAN countries. The finding was also consistent with Nduati (2018), who reported a negative relationship between inflation and FDI in Kenya. Finding: Inflation had a negative and statistically significant effect on FDI in Kenya (β = -0.3386, p = 0.0494).</w:t>
      </w:r>
    </w:p>
    <w:p w14:paraId="70963CB0" w14:textId="46E33403" w:rsidR="007B3574" w:rsidRPr="00734744" w:rsidRDefault="007B3574" w:rsidP="007B3574">
      <w:pPr>
        <w:tabs>
          <w:tab w:val="left" w:pos="6375"/>
        </w:tabs>
        <w:jc w:val="both"/>
        <w:rPr>
          <w:rFonts w:ascii="Times New Roman" w:hAnsi="Times New Roman" w:cs="Times New Roman"/>
        </w:rPr>
      </w:pPr>
    </w:p>
    <w:p w14:paraId="4EA31CC7" w14:textId="77777777"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4.8.3 Effect of Economic Growth on FDI</w:t>
      </w:r>
    </w:p>
    <w:p w14:paraId="6293ED69" w14:textId="77777777" w:rsidR="007B3574" w:rsidRPr="00734744" w:rsidRDefault="007B3574" w:rsidP="007B3574">
      <w:pPr>
        <w:tabs>
          <w:tab w:val="left" w:pos="6375"/>
        </w:tabs>
        <w:spacing w:after="0"/>
        <w:jc w:val="both"/>
        <w:rPr>
          <w:rFonts w:ascii="Times New Roman" w:hAnsi="Times New Roman" w:cs="Times New Roman"/>
        </w:rPr>
      </w:pPr>
      <w:r w:rsidRPr="00734744">
        <w:rPr>
          <w:rFonts w:ascii="Times New Roman" w:hAnsi="Times New Roman" w:cs="Times New Roman"/>
        </w:rPr>
        <w:t>Economic growth had a coefficient of 0.7762, with a reported p-value of 0.0000. The result indicates a positive and statistically significant relationship between economic growth and FDI.</w:t>
      </w:r>
    </w:p>
    <w:p w14:paraId="6007BD4B" w14:textId="77777777" w:rsidR="007B3574" w:rsidRPr="00734744" w:rsidRDefault="007B3574" w:rsidP="007B3574">
      <w:pPr>
        <w:tabs>
          <w:tab w:val="left" w:pos="6375"/>
        </w:tabs>
        <w:jc w:val="both"/>
        <w:rPr>
          <w:rFonts w:ascii="Times New Roman" w:hAnsi="Times New Roman" w:cs="Times New Roman"/>
        </w:rPr>
      </w:pPr>
      <w:r w:rsidRPr="00734744">
        <w:rPr>
          <w:rFonts w:ascii="Times New Roman" w:hAnsi="Times New Roman" w:cs="Times New Roman"/>
        </w:rPr>
        <w:t>The thesis therefore rejected the null hypothesis that economic growth has no statistically significant effect on FDI. The result suggests that improvements in economic growth were associated with increased FDI inflows into Kenya.</w:t>
      </w:r>
    </w:p>
    <w:p w14:paraId="0D823DEA" w14:textId="5CB1A8D2" w:rsidR="007B3574" w:rsidRDefault="007B3574" w:rsidP="007B3574">
      <w:pPr>
        <w:tabs>
          <w:tab w:val="left" w:pos="6375"/>
        </w:tabs>
        <w:jc w:val="both"/>
        <w:rPr>
          <w:rFonts w:ascii="Times New Roman" w:hAnsi="Times New Roman" w:cs="Times New Roman"/>
        </w:rPr>
      </w:pPr>
      <w:r w:rsidRPr="00734744">
        <w:rPr>
          <w:rFonts w:ascii="Times New Roman" w:hAnsi="Times New Roman" w:cs="Times New Roman"/>
        </w:rPr>
        <w:t xml:space="preserve">This finding is consistent with </w:t>
      </w:r>
      <w:proofErr w:type="spellStart"/>
      <w:r w:rsidRPr="00734744">
        <w:rPr>
          <w:rFonts w:ascii="Times New Roman" w:hAnsi="Times New Roman" w:cs="Times New Roman"/>
        </w:rPr>
        <w:t>GuechHeang</w:t>
      </w:r>
      <w:proofErr w:type="spellEnd"/>
      <w:r w:rsidRPr="00734744">
        <w:rPr>
          <w:rFonts w:ascii="Times New Roman" w:hAnsi="Times New Roman" w:cs="Times New Roman"/>
        </w:rPr>
        <w:t xml:space="preserve"> and </w:t>
      </w:r>
      <w:proofErr w:type="spellStart"/>
      <w:r w:rsidRPr="00734744">
        <w:rPr>
          <w:rFonts w:ascii="Times New Roman" w:hAnsi="Times New Roman" w:cs="Times New Roman"/>
        </w:rPr>
        <w:t>Moolio</w:t>
      </w:r>
      <w:proofErr w:type="spellEnd"/>
      <w:r w:rsidRPr="00734744">
        <w:rPr>
          <w:rFonts w:ascii="Times New Roman" w:hAnsi="Times New Roman" w:cs="Times New Roman"/>
        </w:rPr>
        <w:t xml:space="preserve"> (2013), who identified a long-run relationship between GDP and FDI in Cambodia. It is also consistent with Nosheen (2013), who found a strong relationship between GDP and FDI in Pakistan. The thesis contrasts this with </w:t>
      </w:r>
      <w:r w:rsidR="00280A29" w:rsidRPr="00280A29">
        <w:rPr>
          <w:rFonts w:ascii="Times New Roman" w:hAnsi="Times New Roman" w:cs="Times New Roman"/>
          <w:color w:val="000000" w:themeColor="text1"/>
        </w:rPr>
        <w:t>Ciesielska</w:t>
      </w:r>
      <w:r w:rsidR="00280A29">
        <w:rPr>
          <w:rFonts w:ascii="Times New Roman" w:hAnsi="Times New Roman" w:cs="Times New Roman"/>
          <w:color w:val="000000" w:themeColor="text1"/>
        </w:rPr>
        <w:t xml:space="preserve"> and </w:t>
      </w:r>
      <w:proofErr w:type="spellStart"/>
      <w:r w:rsidR="00280A29" w:rsidRPr="00280A29">
        <w:rPr>
          <w:rFonts w:ascii="Times New Roman" w:hAnsi="Times New Roman" w:cs="Times New Roman"/>
          <w:color w:val="000000" w:themeColor="text1"/>
        </w:rPr>
        <w:t>Kołtuniak</w:t>
      </w:r>
      <w:proofErr w:type="spellEnd"/>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(2017)</w:t>
      </w:r>
      <w:r w:rsidRPr="00734744">
        <w:rPr>
          <w:rFonts w:ascii="Times New Roman" w:hAnsi="Times New Roman" w:cs="Times New Roman"/>
        </w:rPr>
        <w:t>, who reported different findings concerning FDI and economic growth in Poland. Finding: Economic growth had a positive and statistically significant effect on FDI in Kenya (β = 0.7762, p = 0.0000).</w:t>
      </w:r>
    </w:p>
    <w:p w14:paraId="43B06BF8" w14:textId="77777777" w:rsidR="00530B02" w:rsidRPr="00734744" w:rsidRDefault="00530B02" w:rsidP="007B3574">
      <w:pPr>
        <w:tabs>
          <w:tab w:val="left" w:pos="6375"/>
        </w:tabs>
        <w:jc w:val="both"/>
        <w:rPr>
          <w:rFonts w:ascii="Times New Roman" w:hAnsi="Times New Roman" w:cs="Times New Roman"/>
        </w:rPr>
      </w:pPr>
    </w:p>
    <w:p w14:paraId="588DEF6E" w14:textId="77777777"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4.8.4 Effect of Exchange Rate on FDI</w:t>
      </w:r>
    </w:p>
    <w:p w14:paraId="4095F4AD" w14:textId="31ED0217" w:rsidR="007B3574" w:rsidRPr="00734744" w:rsidRDefault="007B3574" w:rsidP="007B3574">
      <w:pPr>
        <w:tabs>
          <w:tab w:val="left" w:pos="6375"/>
        </w:tabs>
        <w:spacing w:after="0"/>
        <w:jc w:val="both"/>
        <w:rPr>
          <w:rFonts w:ascii="Times New Roman" w:hAnsi="Times New Roman" w:cs="Times New Roman"/>
        </w:rPr>
      </w:pPr>
      <w:r w:rsidRPr="00734744">
        <w:rPr>
          <w:rFonts w:ascii="Times New Roman" w:hAnsi="Times New Roman" w:cs="Times New Roman"/>
        </w:rPr>
        <w:t>The exchange rate had a coefficient of 0.2234, with a reported p-value of 0.0237. The result indicates a positive and statistically significant relationship between exchange rate and FDI. The thesis therefore rejected the null hypothesis that exchange rate has no statistically significant relationship with FDI in Kenya. The finding is consistent with Omondi and Muturi (2013), whose study of Kenya identified a relationship between exchange-rate volatility and FDI. However, the thesis notes contrasting evidence from Hosein and Maryam (2012), who found a negative relationship between exchange-rate changes and FDI in Iran. Finding: Exchange rate had a positive and statistically significant effect on FDI in Kenya (β = 0.2234, p = 0.0237).</w:t>
      </w:r>
    </w:p>
    <w:p w14:paraId="0B5FC5F4" w14:textId="77777777" w:rsidR="007B3574" w:rsidRPr="00734744" w:rsidRDefault="007B3574" w:rsidP="002A0F7C">
      <w:pPr>
        <w:tabs>
          <w:tab w:val="left" w:pos="6375"/>
        </w:tabs>
        <w:jc w:val="both"/>
        <w:rPr>
          <w:rFonts w:ascii="Times New Roman" w:hAnsi="Times New Roman" w:cs="Times New Roman"/>
        </w:rPr>
      </w:pPr>
    </w:p>
    <w:p w14:paraId="71701A6B" w14:textId="65C1C451" w:rsidR="007B3574" w:rsidRPr="00734744" w:rsidRDefault="007B3574" w:rsidP="007B3574">
      <w:pPr>
        <w:tabs>
          <w:tab w:val="left" w:pos="6375"/>
        </w:tabs>
        <w:spacing w:after="0"/>
        <w:jc w:val="both"/>
        <w:rPr>
          <w:rFonts w:ascii="Times New Roman" w:hAnsi="Times New Roman" w:cs="Times New Roman"/>
          <w:b/>
          <w:bCs/>
        </w:rPr>
      </w:pPr>
      <w:r w:rsidRPr="00734744">
        <w:rPr>
          <w:rFonts w:ascii="Times New Roman" w:hAnsi="Times New Roman" w:cs="Times New Roman"/>
          <w:b/>
          <w:bCs/>
        </w:rPr>
        <w:t xml:space="preserve">4.9 Summary of Findings for Paper </w:t>
      </w:r>
    </w:p>
    <w:p w14:paraId="5AF10872" w14:textId="77777777" w:rsidR="00BB631A" w:rsidRPr="00734744" w:rsidRDefault="00BB631A" w:rsidP="007B3574">
      <w:pPr>
        <w:tabs>
          <w:tab w:val="left" w:pos="6375"/>
        </w:tabs>
        <w:spacing w:after="0"/>
        <w:jc w:val="both"/>
        <w:rPr>
          <w:rFonts w:ascii="Times New Roman" w:hAnsi="Times New Roman" w:cs="Times New Roman"/>
          <w:b/>
          <w:bCs/>
        </w:rPr>
      </w:pPr>
    </w:p>
    <w:p w14:paraId="74B25D53" w14:textId="21F59780" w:rsidR="007B3574" w:rsidRPr="00734744" w:rsidRDefault="00BB631A" w:rsidP="007B3574">
      <w:pPr>
        <w:tabs>
          <w:tab w:val="left" w:pos="6375"/>
        </w:tabs>
        <w:spacing w:after="0"/>
        <w:jc w:val="both"/>
        <w:rPr>
          <w:rFonts w:ascii="Times New Roman" w:hAnsi="Times New Roman" w:cs="Times New Roman"/>
        </w:rPr>
      </w:pPr>
      <w:r w:rsidRPr="00734744">
        <w:rPr>
          <w:rFonts w:ascii="Times New Roman" w:hAnsi="Times New Roman" w:cs="Times New Roman"/>
        </w:rPr>
        <w:t>Table 9: Presentation of findings</w:t>
      </w:r>
    </w:p>
    <w:tbl>
      <w:tblPr>
        <w:tblW w:w="5048" w:type="pct"/>
        <w:tblCellSpacing w:w="15" w:type="dxa"/>
        <w:tblInd w:w="-90"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715"/>
        <w:gridCol w:w="1636"/>
        <w:gridCol w:w="1133"/>
        <w:gridCol w:w="1408"/>
        <w:gridCol w:w="1558"/>
      </w:tblGrid>
      <w:tr w:rsidR="007B3574" w:rsidRPr="00734744" w14:paraId="65AB2D2A" w14:textId="77777777" w:rsidTr="00A31F19">
        <w:trPr>
          <w:tblHeader/>
          <w:tblCellSpacing w:w="15" w:type="dxa"/>
        </w:trPr>
        <w:tc>
          <w:tcPr>
            <w:tcW w:w="1942" w:type="pct"/>
            <w:tcBorders>
              <w:top w:val="single" w:sz="4" w:space="0" w:color="auto"/>
              <w:bottom w:val="single" w:sz="4" w:space="0" w:color="auto"/>
            </w:tcBorders>
            <w:vAlign w:val="center"/>
            <w:hideMark/>
          </w:tcPr>
          <w:p w14:paraId="79B32D10"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Macroeconomic variable</w:t>
            </w:r>
          </w:p>
        </w:tc>
        <w:tc>
          <w:tcPr>
            <w:tcW w:w="850" w:type="pct"/>
            <w:tcBorders>
              <w:top w:val="single" w:sz="4" w:space="0" w:color="auto"/>
              <w:bottom w:val="single" w:sz="4" w:space="0" w:color="auto"/>
            </w:tcBorders>
            <w:vAlign w:val="center"/>
            <w:hideMark/>
          </w:tcPr>
          <w:p w14:paraId="69D4BF03"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Coefficient</w:t>
            </w:r>
          </w:p>
        </w:tc>
        <w:tc>
          <w:tcPr>
            <w:tcW w:w="584" w:type="pct"/>
            <w:tcBorders>
              <w:top w:val="single" w:sz="4" w:space="0" w:color="auto"/>
              <w:bottom w:val="single" w:sz="4" w:space="0" w:color="auto"/>
            </w:tcBorders>
            <w:vAlign w:val="center"/>
            <w:hideMark/>
          </w:tcPr>
          <w:p w14:paraId="21B0CE34"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p-value</w:t>
            </w:r>
          </w:p>
        </w:tc>
        <w:tc>
          <w:tcPr>
            <w:tcW w:w="729" w:type="pct"/>
            <w:tcBorders>
              <w:top w:val="single" w:sz="4" w:space="0" w:color="auto"/>
              <w:bottom w:val="single" w:sz="4" w:space="0" w:color="auto"/>
            </w:tcBorders>
            <w:vAlign w:val="center"/>
            <w:hideMark/>
          </w:tcPr>
          <w:p w14:paraId="16E35AE3"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Direction</w:t>
            </w:r>
          </w:p>
        </w:tc>
        <w:tc>
          <w:tcPr>
            <w:tcW w:w="801" w:type="pct"/>
            <w:tcBorders>
              <w:top w:val="single" w:sz="4" w:space="0" w:color="auto"/>
              <w:bottom w:val="single" w:sz="4" w:space="0" w:color="auto"/>
            </w:tcBorders>
            <w:vAlign w:val="center"/>
            <w:hideMark/>
          </w:tcPr>
          <w:p w14:paraId="2B228092" w14:textId="77777777" w:rsidR="007B3574" w:rsidRPr="00734744" w:rsidRDefault="007B3574"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Decision</w:t>
            </w:r>
          </w:p>
        </w:tc>
      </w:tr>
      <w:tr w:rsidR="007B3574" w:rsidRPr="00734744" w14:paraId="270ADC5C" w14:textId="77777777" w:rsidTr="00A31F19">
        <w:trPr>
          <w:tblCellSpacing w:w="15" w:type="dxa"/>
        </w:trPr>
        <w:tc>
          <w:tcPr>
            <w:tcW w:w="1942" w:type="pct"/>
            <w:vAlign w:val="center"/>
            <w:hideMark/>
          </w:tcPr>
          <w:p w14:paraId="72F09313"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Real interest rate</w:t>
            </w:r>
          </w:p>
        </w:tc>
        <w:tc>
          <w:tcPr>
            <w:tcW w:w="850" w:type="pct"/>
            <w:vAlign w:val="center"/>
            <w:hideMark/>
          </w:tcPr>
          <w:p w14:paraId="1247328C"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0.3068</w:t>
            </w:r>
          </w:p>
        </w:tc>
        <w:tc>
          <w:tcPr>
            <w:tcW w:w="584" w:type="pct"/>
            <w:vAlign w:val="center"/>
            <w:hideMark/>
          </w:tcPr>
          <w:p w14:paraId="506AD50A"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0.0241</w:t>
            </w:r>
          </w:p>
        </w:tc>
        <w:tc>
          <w:tcPr>
            <w:tcW w:w="729" w:type="pct"/>
            <w:vAlign w:val="center"/>
            <w:hideMark/>
          </w:tcPr>
          <w:p w14:paraId="2D7BB29B"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Positive</w:t>
            </w:r>
          </w:p>
        </w:tc>
        <w:tc>
          <w:tcPr>
            <w:tcW w:w="801" w:type="pct"/>
            <w:vAlign w:val="center"/>
            <w:hideMark/>
          </w:tcPr>
          <w:p w14:paraId="7D7FB334"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r w:rsidR="007B3574" w:rsidRPr="00734744" w14:paraId="6B27E1D3" w14:textId="77777777" w:rsidTr="00A31F19">
        <w:trPr>
          <w:tblCellSpacing w:w="15" w:type="dxa"/>
        </w:trPr>
        <w:tc>
          <w:tcPr>
            <w:tcW w:w="1942" w:type="pct"/>
            <w:vAlign w:val="center"/>
            <w:hideMark/>
          </w:tcPr>
          <w:p w14:paraId="66B482AC"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Inflation</w:t>
            </w:r>
          </w:p>
        </w:tc>
        <w:tc>
          <w:tcPr>
            <w:tcW w:w="850" w:type="pct"/>
            <w:vAlign w:val="center"/>
            <w:hideMark/>
          </w:tcPr>
          <w:p w14:paraId="3605E4B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-0.3386</w:t>
            </w:r>
          </w:p>
        </w:tc>
        <w:tc>
          <w:tcPr>
            <w:tcW w:w="584" w:type="pct"/>
            <w:vAlign w:val="center"/>
            <w:hideMark/>
          </w:tcPr>
          <w:p w14:paraId="1B2501DA"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0.0494</w:t>
            </w:r>
          </w:p>
        </w:tc>
        <w:tc>
          <w:tcPr>
            <w:tcW w:w="729" w:type="pct"/>
            <w:vAlign w:val="center"/>
            <w:hideMark/>
          </w:tcPr>
          <w:p w14:paraId="75C4BDD7"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Negative</w:t>
            </w:r>
          </w:p>
        </w:tc>
        <w:tc>
          <w:tcPr>
            <w:tcW w:w="801" w:type="pct"/>
            <w:vAlign w:val="center"/>
            <w:hideMark/>
          </w:tcPr>
          <w:p w14:paraId="17B3E369"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r w:rsidR="007B3574" w:rsidRPr="00734744" w14:paraId="5E12B2D4" w14:textId="77777777" w:rsidTr="00A31F19">
        <w:trPr>
          <w:tblCellSpacing w:w="15" w:type="dxa"/>
        </w:trPr>
        <w:tc>
          <w:tcPr>
            <w:tcW w:w="1942" w:type="pct"/>
            <w:vAlign w:val="center"/>
            <w:hideMark/>
          </w:tcPr>
          <w:p w14:paraId="740F3BB5"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Economic growth</w:t>
            </w:r>
          </w:p>
        </w:tc>
        <w:tc>
          <w:tcPr>
            <w:tcW w:w="850" w:type="pct"/>
            <w:vAlign w:val="center"/>
            <w:hideMark/>
          </w:tcPr>
          <w:p w14:paraId="077289D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0.7762</w:t>
            </w:r>
          </w:p>
        </w:tc>
        <w:tc>
          <w:tcPr>
            <w:tcW w:w="584" w:type="pct"/>
            <w:vAlign w:val="center"/>
            <w:hideMark/>
          </w:tcPr>
          <w:p w14:paraId="501FA78B"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0.0000</w:t>
            </w:r>
          </w:p>
        </w:tc>
        <w:tc>
          <w:tcPr>
            <w:tcW w:w="729" w:type="pct"/>
            <w:vAlign w:val="center"/>
            <w:hideMark/>
          </w:tcPr>
          <w:p w14:paraId="696B6B8A"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Positive</w:t>
            </w:r>
          </w:p>
        </w:tc>
        <w:tc>
          <w:tcPr>
            <w:tcW w:w="801" w:type="pct"/>
            <w:vAlign w:val="center"/>
            <w:hideMark/>
          </w:tcPr>
          <w:p w14:paraId="59098A7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r w:rsidR="007B3574" w:rsidRPr="00734744" w14:paraId="6702A475" w14:textId="77777777" w:rsidTr="00A31F19">
        <w:trPr>
          <w:tblCellSpacing w:w="15" w:type="dxa"/>
        </w:trPr>
        <w:tc>
          <w:tcPr>
            <w:tcW w:w="1942" w:type="pct"/>
            <w:vAlign w:val="center"/>
            <w:hideMark/>
          </w:tcPr>
          <w:p w14:paraId="0E634B8E"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lastRenderedPageBreak/>
              <w:t>Exchange rate</w:t>
            </w:r>
          </w:p>
        </w:tc>
        <w:tc>
          <w:tcPr>
            <w:tcW w:w="850" w:type="pct"/>
            <w:vAlign w:val="center"/>
            <w:hideMark/>
          </w:tcPr>
          <w:p w14:paraId="12564694"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0.2234</w:t>
            </w:r>
          </w:p>
        </w:tc>
        <w:tc>
          <w:tcPr>
            <w:tcW w:w="584" w:type="pct"/>
            <w:vAlign w:val="center"/>
            <w:hideMark/>
          </w:tcPr>
          <w:p w14:paraId="12DE53E4"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0.0237</w:t>
            </w:r>
          </w:p>
        </w:tc>
        <w:tc>
          <w:tcPr>
            <w:tcW w:w="729" w:type="pct"/>
            <w:vAlign w:val="center"/>
            <w:hideMark/>
          </w:tcPr>
          <w:p w14:paraId="7645072D"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Positive</w:t>
            </w:r>
          </w:p>
        </w:tc>
        <w:tc>
          <w:tcPr>
            <w:tcW w:w="801" w:type="pct"/>
            <w:vAlign w:val="center"/>
            <w:hideMark/>
          </w:tcPr>
          <w:p w14:paraId="51312FC6" w14:textId="77777777" w:rsidR="007B3574" w:rsidRPr="00734744" w:rsidRDefault="007B3574" w:rsidP="00A31F19">
            <w:pPr>
              <w:tabs>
                <w:tab w:val="left" w:pos="6375"/>
              </w:tabs>
              <w:spacing w:after="0"/>
              <w:jc w:val="both"/>
              <w:rPr>
                <w:rFonts w:ascii="Times New Roman" w:hAnsi="Times New Roman" w:cs="Times New Roman"/>
              </w:rPr>
            </w:pPr>
            <w:r w:rsidRPr="00734744">
              <w:rPr>
                <w:rFonts w:ascii="Times New Roman" w:hAnsi="Times New Roman" w:cs="Times New Roman"/>
              </w:rPr>
              <w:t>Significant</w:t>
            </w:r>
          </w:p>
        </w:tc>
      </w:tr>
    </w:tbl>
    <w:p w14:paraId="4B45402B" w14:textId="23A7378A" w:rsidR="007B3574" w:rsidRPr="00734744" w:rsidRDefault="00BB631A" w:rsidP="007B3574">
      <w:pPr>
        <w:tabs>
          <w:tab w:val="left" w:pos="6375"/>
        </w:tabs>
        <w:jc w:val="both"/>
        <w:rPr>
          <w:rFonts w:ascii="Times New Roman" w:hAnsi="Times New Roman" w:cs="Times New Roman"/>
        </w:rPr>
      </w:pPr>
      <w:r w:rsidRPr="00734744">
        <w:rPr>
          <w:rFonts w:ascii="Times New Roman" w:hAnsi="Times New Roman" w:cs="Times New Roman"/>
        </w:rPr>
        <w:t>Source: Author</w:t>
      </w:r>
    </w:p>
    <w:p w14:paraId="288B777F" w14:textId="3FBE5D20" w:rsidR="007B3574" w:rsidRPr="00734744" w:rsidRDefault="007B3574" w:rsidP="007B3574">
      <w:pPr>
        <w:tabs>
          <w:tab w:val="left" w:pos="6375"/>
        </w:tabs>
        <w:jc w:val="both"/>
        <w:rPr>
          <w:rFonts w:ascii="Times New Roman" w:hAnsi="Times New Roman" w:cs="Times New Roman"/>
        </w:rPr>
      </w:pPr>
      <w:r w:rsidRPr="00734744">
        <w:rPr>
          <w:rFonts w:ascii="Times New Roman" w:hAnsi="Times New Roman" w:cs="Times New Roman"/>
        </w:rPr>
        <w:t>The thesis reports that all four selected macroeconomic variables had statistically significant effects on FDI in Kenya. Real interest rate, economic growth and exchange rate had positive effects, while inflation had a negative effect. The model as a whole was statistically significant (F = 21.4318, p &lt; 0.001) and the thesis reported an R² of 0.8374, indicating substantial explanatory power.</w:t>
      </w:r>
    </w:p>
    <w:p w14:paraId="24273C16" w14:textId="77777777" w:rsidR="009A7968" w:rsidRPr="00734744" w:rsidRDefault="009A7968" w:rsidP="00EB72D7">
      <w:pPr>
        <w:tabs>
          <w:tab w:val="left" w:pos="6375"/>
        </w:tabs>
        <w:jc w:val="both"/>
        <w:rPr>
          <w:rFonts w:ascii="Times New Roman" w:hAnsi="Times New Roman" w:cs="Times New Roman"/>
        </w:rPr>
      </w:pPr>
    </w:p>
    <w:p w14:paraId="45F77FFE" w14:textId="77777777" w:rsidR="00A46DDB" w:rsidRPr="00734744" w:rsidRDefault="00A46DDB" w:rsidP="00A46DDB">
      <w:pPr>
        <w:tabs>
          <w:tab w:val="left" w:pos="6375"/>
        </w:tabs>
        <w:jc w:val="both"/>
        <w:rPr>
          <w:rFonts w:ascii="Times New Roman" w:hAnsi="Times New Roman" w:cs="Times New Roman"/>
          <w:b/>
          <w:bCs/>
        </w:rPr>
      </w:pPr>
      <w:r w:rsidRPr="00734744">
        <w:rPr>
          <w:rFonts w:ascii="Times New Roman" w:hAnsi="Times New Roman" w:cs="Times New Roman"/>
          <w:b/>
          <w:bCs/>
        </w:rPr>
        <w:t>5. CONCLUSION AND POLICY IMPLICATIONS</w:t>
      </w:r>
    </w:p>
    <w:p w14:paraId="42F5FA8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5.1 Conclusion</w:t>
      </w:r>
    </w:p>
    <w:p w14:paraId="71990347" w14:textId="77777777" w:rsidR="00A46DDB"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study established that selected macroeconomic variables significantly influence foreign direct investment (FDI) in Kenya. Specifically, real interest rate, inflation, economic growth and exchange rate were found to have statistically significant relationships with FDI over the study period. </w:t>
      </w:r>
    </w:p>
    <w:p w14:paraId="491EE061" w14:textId="77777777" w:rsidR="00A31F19" w:rsidRPr="00734744" w:rsidRDefault="00A31F19" w:rsidP="00A46DDB">
      <w:pPr>
        <w:tabs>
          <w:tab w:val="left" w:pos="6375"/>
        </w:tabs>
        <w:spacing w:after="0"/>
        <w:jc w:val="both"/>
        <w:rPr>
          <w:rFonts w:ascii="Times New Roman" w:hAnsi="Times New Roman" w:cs="Times New Roman"/>
        </w:rPr>
      </w:pPr>
    </w:p>
    <w:p w14:paraId="161FACC3"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Real interest rate had a positive and statistically significant effect on FDI, with a coefficient of 0.3068 and a reported p-value of 0.0241. The finding indicates that increases in the real interest rate were associated with increases in FDI, holding other factors constant. The study therefore rejected the null hypothesis that real interest rate has no statistically significant effect on FDI. </w:t>
      </w:r>
    </w:p>
    <w:p w14:paraId="583372F4"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Inflation had a negative and statistically significant effect on FDI, with a coefficient of -0.3386 and a reported p-value of approximately 0.049. This indicates that increases in inflation were associated with reductions in FDI, holding other factors constant. The finding led to rejection of the null hypothesis concerning the absence of a significant relationship between inflation and FDI. </w:t>
      </w:r>
    </w:p>
    <w:p w14:paraId="48CDEABC"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Economic growth had a positive and statistically significant effect on FDI, with a coefficient of 0.7762 and a p-value of 0.0000. The result indicates that improvements in economic growth were associated with increased FDI inflows into Kenya. The null hypothesis that economic growth has no statistically significant effect on FDI was therefore rejected. </w:t>
      </w:r>
    </w:p>
    <w:p w14:paraId="1EB2FDF3"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Exchange rate also had a positive and statistically significant effect on FDI, with a coefficient of 0.2234 and a p-value of 0.0237. The study consequently rejected the null hypothesis that exchange rate has no statistically significant relationship with FDI. </w:t>
      </w:r>
    </w:p>
    <w:p w14:paraId="53C509F9"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Overall, the findings demonstrate that Kenya's FDI inflows are sensitive to the country's macroeconomic environment. Economic growth and real interest rates were positively associated with FDI, while inflation exerted a negative effect. Exchange-rate conditions were also found to have a significant positive relationship with FDI. </w:t>
      </w:r>
    </w:p>
    <w:p w14:paraId="665620B5" w14:textId="4092B896"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lastRenderedPageBreak/>
        <w:t xml:space="preserve">The study further found that the structural-break dummy had a significant negative effect on FDI, suggesting that major disruptive events during the study period adversely affected foreign investment. The thesis associates such disruptions with events including military coups, inter-tribal conflict, financial crises and post-election violence. </w:t>
      </w:r>
    </w:p>
    <w:p w14:paraId="11319E1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 Policy Implications and Recommendations</w:t>
      </w:r>
    </w:p>
    <w:p w14:paraId="378AA622"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Based on the findings, the study proposes the following policy implications for improving Kenya's capacity to attract and retain FDI.</w:t>
      </w:r>
    </w:p>
    <w:p w14:paraId="3CB5606F" w14:textId="77777777" w:rsidR="00A46DDB" w:rsidRPr="00734744" w:rsidRDefault="00A46DDB" w:rsidP="00A46DDB">
      <w:pPr>
        <w:tabs>
          <w:tab w:val="left" w:pos="6375"/>
        </w:tabs>
        <w:spacing w:after="0"/>
        <w:jc w:val="both"/>
        <w:rPr>
          <w:rFonts w:ascii="Times New Roman" w:hAnsi="Times New Roman" w:cs="Times New Roman"/>
        </w:rPr>
      </w:pPr>
    </w:p>
    <w:p w14:paraId="5D142EA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5.2.1 Promote Sustainable Economic Growth</w:t>
      </w:r>
    </w:p>
    <w:p w14:paraId="6A4EC7BC"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pursue policies and initiatives that encourage long-term and sustainable economic growth, given the positive and statistically significant relationship between economic growth and FDI. Sustained economic expansion can strengthen the investment environment and increase the attractiveness of Kenya to foreign investors. </w:t>
      </w:r>
    </w:p>
    <w:p w14:paraId="02ABC3F8" w14:textId="77777777" w:rsidR="00A46DDB" w:rsidRPr="00734744" w:rsidRDefault="00A46DDB" w:rsidP="00A46DDB">
      <w:pPr>
        <w:tabs>
          <w:tab w:val="left" w:pos="6375"/>
        </w:tabs>
        <w:spacing w:after="0"/>
        <w:jc w:val="both"/>
        <w:rPr>
          <w:rFonts w:ascii="Times New Roman" w:hAnsi="Times New Roman" w:cs="Times New Roman"/>
        </w:rPr>
      </w:pPr>
    </w:p>
    <w:p w14:paraId="6B5155EE"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5.2.2 Maintain Macroeconomic and Price Stability</w:t>
      </w:r>
    </w:p>
    <w:p w14:paraId="2A5A751D"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place greater emphasis on maintaining stable general price levels. The negative relationship between inflation and FDI indicates that persistent inflation can undermine the attractiveness of Kenya as an investment destination. Maintaining price stability can improve the competitiveness of domestic goods and services and provide greater predictability for foreign investors. </w:t>
      </w:r>
    </w:p>
    <w:p w14:paraId="7AEF1E40" w14:textId="77777777" w:rsidR="00A46DDB" w:rsidRPr="00734744" w:rsidRDefault="00A46DDB" w:rsidP="00A46DDB">
      <w:pPr>
        <w:tabs>
          <w:tab w:val="left" w:pos="6375"/>
        </w:tabs>
        <w:spacing w:after="0"/>
        <w:jc w:val="both"/>
        <w:rPr>
          <w:rFonts w:ascii="Times New Roman" w:hAnsi="Times New Roman" w:cs="Times New Roman"/>
        </w:rPr>
      </w:pPr>
    </w:p>
    <w:p w14:paraId="6B4B9181"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5.2.3 Strengthen Exchange-Rate Stability and the Investment Environment</w:t>
      </w:r>
    </w:p>
    <w:p w14:paraId="4D19F600" w14:textId="11FAAB9C"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Given the significant relationship between exchange rate and FDI, policies affecting the foreign-exchange environment should be carefully managed. The thesis concludes that </w:t>
      </w:r>
      <w:r w:rsidR="00A66E58" w:rsidRPr="00734744">
        <w:rPr>
          <w:rFonts w:ascii="Times New Roman" w:hAnsi="Times New Roman" w:cs="Times New Roman"/>
        </w:rPr>
        <w:t>favourable</w:t>
      </w:r>
      <w:r w:rsidRPr="00734744">
        <w:rPr>
          <w:rFonts w:ascii="Times New Roman" w:hAnsi="Times New Roman" w:cs="Times New Roman"/>
        </w:rPr>
        <w:t xml:space="preserve"> exchange-rate conditions can contribute to attracting greater levels of foreign investment. </w:t>
      </w:r>
    </w:p>
    <w:p w14:paraId="0D961EFA" w14:textId="77777777" w:rsidR="00A46DDB" w:rsidRPr="00734744" w:rsidRDefault="00A46DDB" w:rsidP="00A46DDB">
      <w:pPr>
        <w:tabs>
          <w:tab w:val="left" w:pos="6375"/>
        </w:tabs>
        <w:spacing w:after="0"/>
        <w:jc w:val="both"/>
        <w:rPr>
          <w:rFonts w:ascii="Times New Roman" w:hAnsi="Times New Roman" w:cs="Times New Roman"/>
        </w:rPr>
      </w:pPr>
    </w:p>
    <w:p w14:paraId="77FF4CD1"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5.2.4 Promote an Environment Conducive to Foreign Investment</w:t>
      </w:r>
    </w:p>
    <w:p w14:paraId="72DDF137" w14:textId="67E5AD1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broader findings indicate that macroeconomic stability is an important consideration in attracting FDI. Policy makers should therefore adopt a coordinated approach to economic management that considers economic growth, inflation, interest rates and exchange-rate conditions collectively, rather than addressing these variables in isolation.</w:t>
      </w:r>
      <w:r w:rsidR="005372DE" w:rsidRPr="00734744">
        <w:rPr>
          <w:rFonts w:ascii="Times New Roman" w:hAnsi="Times New Roman" w:cs="Times New Roman"/>
        </w:rPr>
        <w:t xml:space="preserve"> </w:t>
      </w:r>
      <w:r w:rsidRPr="00734744">
        <w:rPr>
          <w:rFonts w:ascii="Times New Roman" w:hAnsi="Times New Roman" w:cs="Times New Roman"/>
        </w:rPr>
        <w:t xml:space="preserve">The study's overall evidence suggests that strengthening the macroeconomic environment can improve Kenya's ability to attract foreign investment and support broader economic performance. </w:t>
      </w:r>
    </w:p>
    <w:p w14:paraId="477BC351" w14:textId="712E46FC" w:rsidR="00A46DDB" w:rsidRPr="00734744" w:rsidRDefault="00A46DDB" w:rsidP="00A46DDB">
      <w:pPr>
        <w:tabs>
          <w:tab w:val="left" w:pos="6375"/>
        </w:tabs>
        <w:jc w:val="both"/>
        <w:rPr>
          <w:rFonts w:ascii="Times New Roman" w:hAnsi="Times New Roman" w:cs="Times New Roman"/>
        </w:rPr>
      </w:pPr>
    </w:p>
    <w:p w14:paraId="7200C979"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5.3 Overall Policy Message</w:t>
      </w:r>
    </w:p>
    <w:p w14:paraId="233E1900" w14:textId="7777777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central policy implication emerging from Paper 1 is that Kenya's ability to attract FDI depends substantially on the quality and stability of its macroeconomic environment.</w:t>
      </w:r>
    </w:p>
    <w:p w14:paraId="2051DA29"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The evidence points in three broad directions:</w:t>
      </w:r>
    </w:p>
    <w:p w14:paraId="7F2B2378"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Economic growth ↑ → FDI ↑</w:t>
      </w:r>
    </w:p>
    <w:p w14:paraId="34FCA4DC"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lastRenderedPageBreak/>
        <w:t>Real interest rate ↑ → FDI ↑</w:t>
      </w:r>
    </w:p>
    <w:p w14:paraId="5B4D65E9"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Inflation ↑ → FDI ↓</w:t>
      </w:r>
    </w:p>
    <w:p w14:paraId="434B7B41"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while exchange-rate conditions were also significantly associated with FDI. </w:t>
      </w:r>
    </w:p>
    <w:p w14:paraId="41C43DC3"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Consequently, policies aimed at attracting FDI should not focus solely on investment incentives. They should also strengthen the underlying macroeconomic environment through sustainable economic growth, price stability, appropriate monetary conditions and a supportive foreign-exchange environment.</w:t>
      </w:r>
    </w:p>
    <w:p w14:paraId="208230D1" w14:textId="6EB47F62" w:rsidR="00A46DDB" w:rsidRPr="00734744" w:rsidRDefault="00A46DDB" w:rsidP="00A46DDB">
      <w:pPr>
        <w:tabs>
          <w:tab w:val="left" w:pos="6375"/>
        </w:tabs>
        <w:jc w:val="both"/>
        <w:rPr>
          <w:rFonts w:ascii="Times New Roman" w:hAnsi="Times New Roman" w:cs="Times New Roman"/>
        </w:rPr>
      </w:pPr>
    </w:p>
    <w:p w14:paraId="3D9786A3"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5.4 Suggested Further Research</w:t>
      </w:r>
    </w:p>
    <w:p w14:paraId="6C500D52" w14:textId="307E62C5"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thesis recommends further research in several areas. First, future studies could employ asymmetric modelling and an Autoregressive Distributed Lag (ARDL) approach to examine the specific contribution of exchange-rate components to inward FDI in Kenya. Second, further research could examine the long-run relationship between FDI and economic growth using cointegration and vector autoregressive approaches. Third, future research could examine the dynamic effects of inflation on the relationship between FDI and economic development rather than focusing only on its direct effect.</w:t>
      </w:r>
    </w:p>
    <w:p w14:paraId="5BE8AAF6" w14:textId="77777777" w:rsidR="008A237F" w:rsidRDefault="008A237F" w:rsidP="008A237F">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7F37743" w14:textId="77777777" w:rsidR="008A237F" w:rsidRDefault="008A237F" w:rsidP="008A237F">
      <w:pPr>
        <w:spacing w:after="0" w:line="240" w:lineRule="auto"/>
        <w:rPr>
          <w:rFonts w:ascii="Times New Roman" w:hAnsi="Times New Roman" w:cs="Times New Roman"/>
          <w:b/>
        </w:rPr>
      </w:pPr>
    </w:p>
    <w:p w14:paraId="2232FB4A" w14:textId="77777777" w:rsidR="008A237F" w:rsidRDefault="008A237F" w:rsidP="008A237F">
      <w:pPr>
        <w:spacing w:after="0" w:line="240" w:lineRule="auto"/>
        <w:rPr>
          <w:rFonts w:ascii="Times New Roman" w:hAnsi="Times New Roman" w:cs="Times New Roman"/>
          <w:b/>
        </w:rPr>
      </w:pPr>
    </w:p>
    <w:p w14:paraId="18DF1755" w14:textId="77777777" w:rsidR="008A237F" w:rsidRDefault="008A237F" w:rsidP="008A237F">
      <w:pPr>
        <w:spacing w:after="0" w:line="240" w:lineRule="auto"/>
        <w:rPr>
          <w:rFonts w:ascii="Times New Roman" w:hAnsi="Times New Roman" w:cs="Times New Roman"/>
          <w:b/>
        </w:rPr>
      </w:pPr>
    </w:p>
    <w:p w14:paraId="418EDC5D" w14:textId="77777777" w:rsidR="008A237F" w:rsidRPr="002D08AC" w:rsidRDefault="008A237F" w:rsidP="008A237F">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E38C862" w14:textId="77777777" w:rsidR="009A7968" w:rsidRPr="00734744" w:rsidRDefault="009A7968" w:rsidP="00EB72D7">
      <w:pPr>
        <w:tabs>
          <w:tab w:val="left" w:pos="6375"/>
        </w:tabs>
        <w:jc w:val="both"/>
        <w:rPr>
          <w:rFonts w:ascii="Times New Roman" w:hAnsi="Times New Roman" w:cs="Times New Roman"/>
        </w:rPr>
      </w:pPr>
    </w:p>
    <w:p w14:paraId="093C9BDF" w14:textId="77777777" w:rsidR="007B3574" w:rsidRPr="00734744" w:rsidRDefault="007B3574" w:rsidP="00EB72D7">
      <w:pPr>
        <w:tabs>
          <w:tab w:val="left" w:pos="6375"/>
        </w:tabs>
        <w:jc w:val="both"/>
        <w:rPr>
          <w:rFonts w:ascii="Times New Roman" w:hAnsi="Times New Roman" w:cs="Times New Roman"/>
        </w:rPr>
      </w:pPr>
    </w:p>
    <w:p w14:paraId="7816DD8B" w14:textId="73F1FF87" w:rsidR="007B3574" w:rsidRPr="00734744" w:rsidRDefault="00BB631A" w:rsidP="00EB72D7">
      <w:pPr>
        <w:tabs>
          <w:tab w:val="left" w:pos="6375"/>
        </w:tabs>
        <w:jc w:val="both"/>
        <w:rPr>
          <w:rFonts w:ascii="Times New Roman" w:hAnsi="Times New Roman" w:cs="Times New Roman"/>
          <w:b/>
          <w:bCs/>
        </w:rPr>
      </w:pPr>
      <w:r w:rsidRPr="00734744">
        <w:rPr>
          <w:rFonts w:ascii="Times New Roman" w:hAnsi="Times New Roman" w:cs="Times New Roman"/>
          <w:b/>
          <w:bCs/>
        </w:rPr>
        <w:t>References</w:t>
      </w:r>
    </w:p>
    <w:p w14:paraId="1E53740A"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Achieng, J. (2018). Critical Success Factors for Private and Public-Private Partnership Investments in Renewable Energy Development in Kenya.</w:t>
      </w:r>
    </w:p>
    <w:p w14:paraId="02975457" w14:textId="77777777" w:rsidR="00280A29" w:rsidRPr="00734744"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Beau, T. (2019). Normality of JSE returns: macro-outliers, micro-outliers: an empirical Evaluation. </w:t>
      </w:r>
      <w:proofErr w:type="spellStart"/>
      <w:r w:rsidRPr="00734744">
        <w:rPr>
          <w:rFonts w:ascii="Times New Roman" w:hAnsi="Times New Roman" w:cs="Times New Roman"/>
          <w:color w:val="000000" w:themeColor="text1"/>
        </w:rPr>
        <w:t>Alshamsi</w:t>
      </w:r>
      <w:proofErr w:type="spellEnd"/>
      <w:r w:rsidRPr="00734744">
        <w:rPr>
          <w:rFonts w:ascii="Times New Roman" w:hAnsi="Times New Roman" w:cs="Times New Roman"/>
          <w:color w:val="000000" w:themeColor="text1"/>
        </w:rPr>
        <w:t xml:space="preserve">, K., &amp; Azam, M. (2015). The impact of inflation and economic growth per capita on foreign direct investment: The case of United Arab Emirates. </w:t>
      </w:r>
      <w:r w:rsidRPr="00734744">
        <w:rPr>
          <w:rFonts w:ascii="Times New Roman" w:hAnsi="Times New Roman" w:cs="Times New Roman"/>
          <w:i/>
          <w:iCs/>
          <w:color w:val="000000" w:themeColor="text1"/>
        </w:rPr>
        <w:t>Investment Management and Financial Innovations, 12</w:t>
      </w:r>
      <w:r w:rsidRPr="00734744">
        <w:rPr>
          <w:rFonts w:ascii="Times New Roman" w:hAnsi="Times New Roman" w:cs="Times New Roman"/>
          <w:color w:val="000000" w:themeColor="text1"/>
        </w:rPr>
        <w:t xml:space="preserve">(3), 132–141. </w:t>
      </w:r>
    </w:p>
    <w:p w14:paraId="028B43A2"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Bendi, S., &amp; Pany, T. (2017). A Study on Economic Dimensions of India and China. </w:t>
      </w:r>
      <w:r w:rsidRPr="00734744">
        <w:rPr>
          <w:rFonts w:ascii="Times New Roman" w:hAnsi="Times New Roman" w:cs="Times New Roman"/>
          <w:i/>
          <w:iCs/>
          <w:color w:val="000000" w:themeColor="text1"/>
        </w:rPr>
        <w:t>Srusti Management Review, 10</w:t>
      </w:r>
      <w:r w:rsidRPr="00734744">
        <w:rPr>
          <w:rFonts w:ascii="Times New Roman" w:hAnsi="Times New Roman" w:cs="Times New Roman"/>
          <w:color w:val="000000" w:themeColor="text1"/>
        </w:rPr>
        <w:t xml:space="preserve">(1), 37–45. </w:t>
      </w:r>
    </w:p>
    <w:p w14:paraId="33AE4FE8"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lastRenderedPageBreak/>
        <w:t>Bond, P. (2019). Blue Economy threats, contradictions and resistances seen from South Africa. </w:t>
      </w:r>
      <w:r w:rsidRPr="00280A29">
        <w:rPr>
          <w:rFonts w:ascii="Times New Roman" w:hAnsi="Times New Roman" w:cs="Times New Roman"/>
          <w:i/>
          <w:iCs/>
          <w:color w:val="000000" w:themeColor="text1"/>
        </w:rPr>
        <w:t>Journal of Political Ecology</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26</w:t>
      </w:r>
      <w:r w:rsidRPr="00280A29">
        <w:rPr>
          <w:rFonts w:ascii="Times New Roman" w:hAnsi="Times New Roman" w:cs="Times New Roman"/>
          <w:color w:val="000000" w:themeColor="text1"/>
        </w:rPr>
        <w:t>(1).</w:t>
      </w:r>
    </w:p>
    <w:p w14:paraId="413C4EA5"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Cheelo, C. (2018). </w:t>
      </w:r>
      <w:r w:rsidRPr="00280A29">
        <w:rPr>
          <w:rFonts w:ascii="Times New Roman" w:hAnsi="Times New Roman" w:cs="Times New Roman"/>
          <w:i/>
          <w:iCs/>
          <w:color w:val="000000" w:themeColor="text1"/>
        </w:rPr>
        <w:t>Financing the Economic Stabilization and Growth Programme (Zambia Plus) in the Shadow of the IMF</w:t>
      </w:r>
      <w:r w:rsidRPr="00280A29">
        <w:rPr>
          <w:rFonts w:ascii="Times New Roman" w:hAnsi="Times New Roman" w:cs="Times New Roman"/>
          <w:color w:val="000000" w:themeColor="text1"/>
        </w:rPr>
        <w:t>. Zambia Institute for Policy Analysis &amp; Research.</w:t>
      </w:r>
    </w:p>
    <w:p w14:paraId="41A1DA32"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Church, J. (2016). Comparing the Consumer Price Index with the gross domestic product price index and Gross Domestic Product Implicit Price Deflator. </w:t>
      </w:r>
      <w:r w:rsidRPr="00734744">
        <w:rPr>
          <w:rFonts w:ascii="Times New Roman" w:hAnsi="Times New Roman" w:cs="Times New Roman"/>
          <w:i/>
          <w:iCs/>
          <w:color w:val="000000" w:themeColor="text1"/>
        </w:rPr>
        <w:t>Monthly Labor Review</w:t>
      </w:r>
      <w:r w:rsidRPr="00734744">
        <w:rPr>
          <w:rFonts w:ascii="Times New Roman" w:hAnsi="Times New Roman" w:cs="Times New Roman"/>
          <w:color w:val="000000" w:themeColor="text1"/>
        </w:rPr>
        <w:t xml:space="preserve">. </w:t>
      </w:r>
    </w:p>
    <w:p w14:paraId="793C8A3A"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Ciesielska, D., &amp; </w:t>
      </w:r>
      <w:proofErr w:type="spellStart"/>
      <w:r w:rsidRPr="00280A29">
        <w:rPr>
          <w:rFonts w:ascii="Times New Roman" w:hAnsi="Times New Roman" w:cs="Times New Roman"/>
          <w:color w:val="000000" w:themeColor="text1"/>
        </w:rPr>
        <w:t>Kołtuniak</w:t>
      </w:r>
      <w:proofErr w:type="spellEnd"/>
      <w:r w:rsidRPr="00280A29">
        <w:rPr>
          <w:rFonts w:ascii="Times New Roman" w:hAnsi="Times New Roman" w:cs="Times New Roman"/>
          <w:color w:val="000000" w:themeColor="text1"/>
        </w:rPr>
        <w:t>, M. (2017). Outward foreign direct investments and home country’s economic growth. </w:t>
      </w:r>
      <w:r w:rsidRPr="00280A29">
        <w:rPr>
          <w:rFonts w:ascii="Times New Roman" w:hAnsi="Times New Roman" w:cs="Times New Roman"/>
          <w:i/>
          <w:iCs/>
          <w:color w:val="000000" w:themeColor="text1"/>
        </w:rPr>
        <w:t>Physica A: Statistical Mechanics and its Applications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482</w:t>
      </w:r>
      <w:r w:rsidRPr="00280A29">
        <w:rPr>
          <w:rFonts w:ascii="Times New Roman" w:hAnsi="Times New Roman" w:cs="Times New Roman"/>
          <w:color w:val="000000" w:themeColor="text1"/>
        </w:rPr>
        <w:t>, 127-146.</w:t>
      </w:r>
    </w:p>
    <w:p w14:paraId="228FB9A6"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Cushman, D., &amp; De Vita, G. (2017). Exchange rate regimes and FDI in developing countries: A propensity score matching approach. </w:t>
      </w:r>
      <w:r w:rsidRPr="00734744">
        <w:rPr>
          <w:rFonts w:ascii="Times New Roman" w:hAnsi="Times New Roman" w:cs="Times New Roman"/>
          <w:i/>
          <w:iCs/>
          <w:color w:val="000000" w:themeColor="text1"/>
        </w:rPr>
        <w:t>Journal of International Money and Finance, 77</w:t>
      </w:r>
      <w:r w:rsidRPr="00734744">
        <w:rPr>
          <w:rFonts w:ascii="Times New Roman" w:hAnsi="Times New Roman" w:cs="Times New Roman"/>
          <w:color w:val="000000" w:themeColor="text1"/>
        </w:rPr>
        <w:t xml:space="preserve">, 143–163. </w:t>
      </w:r>
    </w:p>
    <w:p w14:paraId="7ED1E267"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Dondashe</w:t>
      </w:r>
      <w:proofErr w:type="spellEnd"/>
      <w:r w:rsidRPr="00734744">
        <w:rPr>
          <w:rFonts w:ascii="Times New Roman" w:hAnsi="Times New Roman" w:cs="Times New Roman"/>
          <w:color w:val="000000" w:themeColor="text1"/>
        </w:rPr>
        <w:t xml:space="preserve">, &amp; Phiri. (2018). </w:t>
      </w:r>
      <w:r w:rsidRPr="00734744">
        <w:rPr>
          <w:rFonts w:ascii="Times New Roman" w:hAnsi="Times New Roman" w:cs="Times New Roman"/>
          <w:i/>
          <w:iCs/>
          <w:color w:val="000000" w:themeColor="text1"/>
        </w:rPr>
        <w:t>[Reference entry should be retained exactly as recorded in the thesis bibliography; the currently extracted reference list does not show a matching full entry clearly enough to reconstruct it without guessing.]</w:t>
      </w:r>
    </w:p>
    <w:p w14:paraId="54E78619"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Dornbusch, R. (2019). The theory of flexible exchange rate regimes and macroeconomic policy. In </w:t>
      </w:r>
      <w:r w:rsidRPr="00280A29">
        <w:rPr>
          <w:rFonts w:ascii="Times New Roman" w:hAnsi="Times New Roman" w:cs="Times New Roman"/>
          <w:i/>
          <w:iCs/>
          <w:color w:val="000000" w:themeColor="text1"/>
        </w:rPr>
        <w:t>Flexible exchange rates and stabilization policy</w:t>
      </w:r>
      <w:r w:rsidRPr="00280A29">
        <w:rPr>
          <w:rFonts w:ascii="Times New Roman" w:hAnsi="Times New Roman" w:cs="Times New Roman"/>
          <w:color w:val="000000" w:themeColor="text1"/>
        </w:rPr>
        <w:t xml:space="preserve"> (pp. 123-143). London: Palgrave Macmillan UK. </w:t>
      </w:r>
    </w:p>
    <w:p w14:paraId="51105083"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(1988). The eclectic paradigm of international production: A restatement and some possible extensions. </w:t>
      </w:r>
      <w:r w:rsidRPr="00734744">
        <w:rPr>
          <w:rFonts w:ascii="Times New Roman" w:hAnsi="Times New Roman" w:cs="Times New Roman"/>
          <w:i/>
          <w:iCs/>
          <w:color w:val="000000" w:themeColor="text1"/>
        </w:rPr>
        <w:t>Journal of International Business Studies, 19</w:t>
      </w:r>
      <w:r w:rsidRPr="00734744">
        <w:rPr>
          <w:rFonts w:ascii="Times New Roman" w:hAnsi="Times New Roman" w:cs="Times New Roman"/>
          <w:color w:val="000000" w:themeColor="text1"/>
        </w:rPr>
        <w:t>(1), 1–31.</w:t>
      </w:r>
    </w:p>
    <w:p w14:paraId="79ED8CD9"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(2001). The eclectic (OLI) paradigm of international production: Past, present and future. </w:t>
      </w:r>
      <w:r w:rsidRPr="00734744">
        <w:rPr>
          <w:rFonts w:ascii="Times New Roman" w:hAnsi="Times New Roman" w:cs="Times New Roman"/>
          <w:i/>
          <w:iCs/>
          <w:color w:val="000000" w:themeColor="text1"/>
        </w:rPr>
        <w:t>International Journal of the Economics of Business, 8</w:t>
      </w:r>
      <w:r w:rsidRPr="00734744">
        <w:rPr>
          <w:rFonts w:ascii="Times New Roman" w:hAnsi="Times New Roman" w:cs="Times New Roman"/>
          <w:color w:val="000000" w:themeColor="text1"/>
        </w:rPr>
        <w:t>(2), 173–190.</w:t>
      </w:r>
    </w:p>
    <w:p w14:paraId="29416A2D"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Egilsson, J. H. (2020). How raising interest rates can cause inflation and currency depreciation. </w:t>
      </w:r>
      <w:r w:rsidRPr="00280A29">
        <w:rPr>
          <w:rFonts w:ascii="Times New Roman" w:hAnsi="Times New Roman" w:cs="Times New Roman"/>
          <w:i/>
          <w:iCs/>
          <w:color w:val="000000" w:themeColor="text1"/>
        </w:rPr>
        <w:t>Journal of Applied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23</w:t>
      </w:r>
      <w:r w:rsidRPr="00280A29">
        <w:rPr>
          <w:rFonts w:ascii="Times New Roman" w:hAnsi="Times New Roman" w:cs="Times New Roman"/>
          <w:color w:val="000000" w:themeColor="text1"/>
        </w:rPr>
        <w:t xml:space="preserve">(1), 450-468. </w:t>
      </w:r>
    </w:p>
    <w:p w14:paraId="4D93183D"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Engle, R. F., &amp; Granger, C. W. J. (1987). Co-integration and error correction: Representation, estimation, and testing. </w:t>
      </w:r>
      <w:proofErr w:type="spellStart"/>
      <w:r w:rsidRPr="00734744">
        <w:rPr>
          <w:rFonts w:ascii="Times New Roman" w:hAnsi="Times New Roman" w:cs="Times New Roman"/>
          <w:i/>
          <w:iCs/>
          <w:color w:val="000000" w:themeColor="text1"/>
        </w:rPr>
        <w:t>Econometrica</w:t>
      </w:r>
      <w:proofErr w:type="spellEnd"/>
      <w:r w:rsidRPr="00734744">
        <w:rPr>
          <w:rFonts w:ascii="Times New Roman" w:hAnsi="Times New Roman" w:cs="Times New Roman"/>
          <w:i/>
          <w:iCs/>
          <w:color w:val="000000" w:themeColor="text1"/>
        </w:rPr>
        <w:t>, 55</w:t>
      </w:r>
      <w:r w:rsidRPr="00734744">
        <w:rPr>
          <w:rFonts w:ascii="Times New Roman" w:hAnsi="Times New Roman" w:cs="Times New Roman"/>
          <w:color w:val="000000" w:themeColor="text1"/>
        </w:rPr>
        <w:t xml:space="preserve">(2), 251–276. </w:t>
      </w:r>
    </w:p>
    <w:p w14:paraId="1F15B879"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Faure, A. (2014). Interest Rates 7: An Optimal Rate of Interest (the Natural Rate).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254–2111. </w:t>
      </w:r>
    </w:p>
    <w:p w14:paraId="1F52CB68"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Fazira, D., &amp; </w:t>
      </w:r>
      <w:proofErr w:type="spellStart"/>
      <w:r w:rsidRPr="00734744">
        <w:rPr>
          <w:rFonts w:ascii="Times New Roman" w:hAnsi="Times New Roman" w:cs="Times New Roman"/>
          <w:color w:val="000000" w:themeColor="text1"/>
        </w:rPr>
        <w:t>Cahyadin</w:t>
      </w:r>
      <w:proofErr w:type="spellEnd"/>
      <w:r w:rsidRPr="00734744">
        <w:rPr>
          <w:rFonts w:ascii="Times New Roman" w:hAnsi="Times New Roman" w:cs="Times New Roman"/>
          <w:color w:val="000000" w:themeColor="text1"/>
        </w:rPr>
        <w:t xml:space="preserve">, M. (2018). The Impact of Interest Rate, Corruption Perception Index, and Economic Growth on Foreign Direct Investment in ASEAN-6. </w:t>
      </w:r>
      <w:r w:rsidRPr="00734744">
        <w:rPr>
          <w:rFonts w:ascii="Times New Roman" w:hAnsi="Times New Roman" w:cs="Times New Roman"/>
          <w:i/>
          <w:iCs/>
          <w:color w:val="000000" w:themeColor="text1"/>
        </w:rPr>
        <w:t xml:space="preserve">Journal </w:t>
      </w:r>
      <w:proofErr w:type="spellStart"/>
      <w:r w:rsidRPr="00734744">
        <w:rPr>
          <w:rFonts w:ascii="Times New Roman" w:hAnsi="Times New Roman" w:cs="Times New Roman"/>
          <w:i/>
          <w:iCs/>
          <w:color w:val="000000" w:themeColor="text1"/>
        </w:rPr>
        <w:t>Keuangan</w:t>
      </w:r>
      <w:proofErr w:type="spellEnd"/>
      <w:r w:rsidRPr="00734744">
        <w:rPr>
          <w:rFonts w:ascii="Times New Roman" w:hAnsi="Times New Roman" w:cs="Times New Roman"/>
          <w:i/>
          <w:iCs/>
          <w:color w:val="000000" w:themeColor="text1"/>
        </w:rPr>
        <w:t xml:space="preserve"> Dan Perbankan, 22</w:t>
      </w:r>
      <w:r w:rsidRPr="00734744">
        <w:rPr>
          <w:rFonts w:ascii="Times New Roman" w:hAnsi="Times New Roman" w:cs="Times New Roman"/>
          <w:color w:val="000000" w:themeColor="text1"/>
        </w:rPr>
        <w:t xml:space="preserve">(4). </w:t>
      </w:r>
    </w:p>
    <w:p w14:paraId="46521944"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FoEh</w:t>
      </w:r>
      <w:proofErr w:type="spellEnd"/>
      <w:r w:rsidRPr="00734744">
        <w:rPr>
          <w:rFonts w:ascii="Times New Roman" w:hAnsi="Times New Roman" w:cs="Times New Roman"/>
          <w:color w:val="000000" w:themeColor="text1"/>
        </w:rPr>
        <w:t xml:space="preserve">, J., Suryani, N., &amp; </w:t>
      </w:r>
      <w:proofErr w:type="spellStart"/>
      <w:r w:rsidRPr="00734744">
        <w:rPr>
          <w:rFonts w:ascii="Times New Roman" w:hAnsi="Times New Roman" w:cs="Times New Roman"/>
          <w:color w:val="000000" w:themeColor="text1"/>
        </w:rPr>
        <w:t>Silpama</w:t>
      </w:r>
      <w:proofErr w:type="spellEnd"/>
      <w:r w:rsidRPr="00734744">
        <w:rPr>
          <w:rFonts w:ascii="Times New Roman" w:hAnsi="Times New Roman" w:cs="Times New Roman"/>
          <w:color w:val="000000" w:themeColor="text1"/>
        </w:rPr>
        <w:t xml:space="preserve">, S. (2020). The Influence of Inflation Level, Exchange Rate and Gross Domestic Product on Foreign Direct Investment in the ASEAN Countries on 2007–2018. </w:t>
      </w:r>
      <w:r w:rsidRPr="00734744">
        <w:rPr>
          <w:rFonts w:ascii="Times New Roman" w:hAnsi="Times New Roman" w:cs="Times New Roman"/>
          <w:i/>
          <w:iCs/>
          <w:color w:val="000000" w:themeColor="text1"/>
        </w:rPr>
        <w:t>European Journal of Business and Management Research, 5</w:t>
      </w:r>
      <w:r w:rsidRPr="00734744">
        <w:rPr>
          <w:rFonts w:ascii="Times New Roman" w:hAnsi="Times New Roman" w:cs="Times New Roman"/>
          <w:color w:val="000000" w:themeColor="text1"/>
        </w:rPr>
        <w:t xml:space="preserve">(3). </w:t>
      </w:r>
    </w:p>
    <w:p w14:paraId="56A0204A"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lastRenderedPageBreak/>
        <w:t>Gnangnon</w:t>
      </w:r>
      <w:proofErr w:type="spellEnd"/>
      <w:r w:rsidRPr="00734744">
        <w:rPr>
          <w:rFonts w:ascii="Times New Roman" w:hAnsi="Times New Roman" w:cs="Times New Roman"/>
          <w:color w:val="000000" w:themeColor="text1"/>
        </w:rPr>
        <w:t xml:space="preserve">, S. (2017). Multilateral Trade Liberalisation and Foreign Direct Investment Inflows. </w:t>
      </w:r>
      <w:r w:rsidRPr="00734744">
        <w:rPr>
          <w:rFonts w:ascii="Times New Roman" w:hAnsi="Times New Roman" w:cs="Times New Roman"/>
          <w:i/>
          <w:iCs/>
          <w:color w:val="000000" w:themeColor="text1"/>
        </w:rPr>
        <w:t>Economic Affairs, 37</w:t>
      </w:r>
      <w:r w:rsidRPr="00734744">
        <w:rPr>
          <w:rFonts w:ascii="Times New Roman" w:hAnsi="Times New Roman" w:cs="Times New Roman"/>
          <w:color w:val="000000" w:themeColor="text1"/>
        </w:rPr>
        <w:t xml:space="preserve">(1), 66–84. </w:t>
      </w:r>
    </w:p>
    <w:p w14:paraId="5803A7E0"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Granger, C. W. J. (1969). Investigating causal relations by econometric models and cross-spectral methods. </w:t>
      </w:r>
      <w:proofErr w:type="spellStart"/>
      <w:r w:rsidRPr="00734744">
        <w:rPr>
          <w:rFonts w:ascii="Times New Roman" w:hAnsi="Times New Roman" w:cs="Times New Roman"/>
          <w:i/>
          <w:iCs/>
          <w:color w:val="000000" w:themeColor="text1"/>
        </w:rPr>
        <w:t>Econometrica</w:t>
      </w:r>
      <w:proofErr w:type="spellEnd"/>
      <w:r w:rsidRPr="00734744">
        <w:rPr>
          <w:rFonts w:ascii="Times New Roman" w:hAnsi="Times New Roman" w:cs="Times New Roman"/>
          <w:i/>
          <w:iCs/>
          <w:color w:val="000000" w:themeColor="text1"/>
        </w:rPr>
        <w:t>, 37</w:t>
      </w:r>
      <w:r w:rsidRPr="00734744">
        <w:rPr>
          <w:rFonts w:ascii="Times New Roman" w:hAnsi="Times New Roman" w:cs="Times New Roman"/>
          <w:color w:val="000000" w:themeColor="text1"/>
        </w:rPr>
        <w:t xml:space="preserve">(3), 424–438. </w:t>
      </w:r>
      <w:hyperlink r:id="rId7" w:tgtFrame="_new" w:history="1">
        <w:r w:rsidRPr="00734744">
          <w:rPr>
            <w:rStyle w:val="Hyperlink"/>
            <w:rFonts w:ascii="Times New Roman" w:hAnsi="Times New Roman" w:cs="Times New Roman"/>
            <w:color w:val="000000" w:themeColor="text1"/>
            <w:u w:val="none"/>
          </w:rPr>
          <w:t>https://doi.org/10.2307/1912791</w:t>
        </w:r>
      </w:hyperlink>
      <w:r w:rsidRPr="00734744">
        <w:rPr>
          <w:rFonts w:ascii="Times New Roman" w:hAnsi="Times New Roman" w:cs="Times New Roman"/>
          <w:color w:val="000000" w:themeColor="text1"/>
        </w:rPr>
        <w:t xml:space="preserve"> </w:t>
      </w:r>
    </w:p>
    <w:p w14:paraId="1F4C12EB"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GuechHeang</w:t>
      </w:r>
      <w:proofErr w:type="spellEnd"/>
      <w:r w:rsidRPr="00734744">
        <w:rPr>
          <w:rFonts w:ascii="Times New Roman" w:hAnsi="Times New Roman" w:cs="Times New Roman"/>
          <w:color w:val="000000" w:themeColor="text1"/>
        </w:rPr>
        <w:t xml:space="preserve">, L., &amp; </w:t>
      </w:r>
      <w:proofErr w:type="spellStart"/>
      <w:r w:rsidRPr="00734744">
        <w:rPr>
          <w:rFonts w:ascii="Times New Roman" w:hAnsi="Times New Roman" w:cs="Times New Roman"/>
          <w:color w:val="000000" w:themeColor="text1"/>
        </w:rPr>
        <w:t>Moolio</w:t>
      </w:r>
      <w:proofErr w:type="spellEnd"/>
      <w:r w:rsidRPr="00734744">
        <w:rPr>
          <w:rFonts w:ascii="Times New Roman" w:hAnsi="Times New Roman" w:cs="Times New Roman"/>
          <w:color w:val="000000" w:themeColor="text1"/>
        </w:rPr>
        <w:t xml:space="preserve">, P. (2013). The relationship between gross domestic product and foreign direct investment: The case of Cambodia. </w:t>
      </w:r>
      <w:r w:rsidRPr="00734744">
        <w:rPr>
          <w:rFonts w:ascii="Times New Roman" w:hAnsi="Times New Roman" w:cs="Times New Roman"/>
          <w:i/>
          <w:iCs/>
          <w:color w:val="000000" w:themeColor="text1"/>
        </w:rPr>
        <w:t>KASBIT Business Journal, 6</w:t>
      </w:r>
      <w:r w:rsidRPr="00734744">
        <w:rPr>
          <w:rFonts w:ascii="Times New Roman" w:hAnsi="Times New Roman" w:cs="Times New Roman"/>
          <w:color w:val="000000" w:themeColor="text1"/>
        </w:rPr>
        <w:t xml:space="preserve">(1), 87–99. </w:t>
      </w:r>
    </w:p>
    <w:p w14:paraId="447E9358"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Hennart</w:t>
      </w:r>
      <w:proofErr w:type="spellEnd"/>
      <w:r w:rsidRPr="00734744">
        <w:rPr>
          <w:rFonts w:ascii="Times New Roman" w:hAnsi="Times New Roman" w:cs="Times New Roman"/>
          <w:color w:val="000000" w:themeColor="text1"/>
        </w:rPr>
        <w:t xml:space="preserve">, J.-F. (1982). </w:t>
      </w:r>
      <w:r w:rsidRPr="00734744">
        <w:rPr>
          <w:rFonts w:ascii="Times New Roman" w:hAnsi="Times New Roman" w:cs="Times New Roman"/>
          <w:i/>
          <w:iCs/>
          <w:color w:val="000000" w:themeColor="text1"/>
        </w:rPr>
        <w:t>A theory of multinational enterprise</w:t>
      </w:r>
      <w:r w:rsidRPr="00734744">
        <w:rPr>
          <w:rFonts w:ascii="Times New Roman" w:hAnsi="Times New Roman" w:cs="Times New Roman"/>
          <w:color w:val="000000" w:themeColor="text1"/>
        </w:rPr>
        <w:t xml:space="preserve">. University of Michigan Press. </w:t>
      </w:r>
    </w:p>
    <w:p w14:paraId="46E765DE"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Ho, &amp; Rashid. (2019). </w:t>
      </w:r>
      <w:r w:rsidRPr="00734744">
        <w:rPr>
          <w:rFonts w:ascii="Times New Roman" w:hAnsi="Times New Roman" w:cs="Times New Roman"/>
          <w:i/>
          <w:iCs/>
          <w:color w:val="000000" w:themeColor="text1"/>
        </w:rPr>
        <w:t>[The full bibliographic entry needs to be retrieved from the thesis reference list before inclusion; I will not invent the missing details.]</w:t>
      </w:r>
    </w:p>
    <w:p w14:paraId="363BD9C1"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Jin, H., Zhang, S., &amp; Zhang, J. (2016). Spurious regression due to neglected non-stationary volatility. </w:t>
      </w:r>
      <w:r w:rsidRPr="00734744">
        <w:rPr>
          <w:rFonts w:ascii="Times New Roman" w:hAnsi="Times New Roman" w:cs="Times New Roman"/>
          <w:i/>
          <w:iCs/>
          <w:color w:val="000000" w:themeColor="text1"/>
        </w:rPr>
        <w:t>Computational Statistics, 32</w:t>
      </w:r>
      <w:r w:rsidRPr="00734744">
        <w:rPr>
          <w:rFonts w:ascii="Times New Roman" w:hAnsi="Times New Roman" w:cs="Times New Roman"/>
          <w:color w:val="000000" w:themeColor="text1"/>
        </w:rPr>
        <w:t xml:space="preserve">(3), 1065–1081. </w:t>
      </w:r>
    </w:p>
    <w:p w14:paraId="311D8E5E"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Karau, J., &amp; Ng’ang’a, P. (2019). </w:t>
      </w:r>
      <w:r w:rsidRPr="00734744">
        <w:rPr>
          <w:rFonts w:ascii="Times New Roman" w:hAnsi="Times New Roman" w:cs="Times New Roman"/>
          <w:i/>
          <w:iCs/>
          <w:color w:val="000000" w:themeColor="text1"/>
        </w:rPr>
        <w:t>Effects of macroeconomic factors on foreign direct investment in Kenya</w:t>
      </w:r>
      <w:r w:rsidRPr="00734744">
        <w:rPr>
          <w:rFonts w:ascii="Times New Roman" w:hAnsi="Times New Roman" w:cs="Times New Roman"/>
          <w:color w:val="000000" w:themeColor="text1"/>
        </w:rPr>
        <w:t xml:space="preserve">. </w:t>
      </w:r>
    </w:p>
    <w:p w14:paraId="55EB6A0A"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Karvanen, J. (2014). Study design in causal models. </w:t>
      </w:r>
      <w:r w:rsidRPr="00734744">
        <w:rPr>
          <w:rFonts w:ascii="Times New Roman" w:hAnsi="Times New Roman" w:cs="Times New Roman"/>
          <w:i/>
          <w:iCs/>
          <w:color w:val="000000" w:themeColor="text1"/>
        </w:rPr>
        <w:t>Scandinavian Journal of Statistics, 42</w:t>
      </w:r>
      <w:r w:rsidRPr="00734744">
        <w:rPr>
          <w:rFonts w:ascii="Times New Roman" w:hAnsi="Times New Roman" w:cs="Times New Roman"/>
          <w:color w:val="000000" w:themeColor="text1"/>
        </w:rPr>
        <w:t xml:space="preserve">(2), 361–377. </w:t>
      </w:r>
    </w:p>
    <w:p w14:paraId="434FDCD2"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Kim, Z. (2018). The Correlation between Foreign Direct Investment and Trade: Foreign Direct Investment Outflows, Gross Exports and Exports in Value Added. </w:t>
      </w:r>
      <w:r w:rsidRPr="00734744">
        <w:rPr>
          <w:rFonts w:ascii="Times New Roman" w:hAnsi="Times New Roman" w:cs="Times New Roman"/>
          <w:i/>
          <w:iCs/>
          <w:color w:val="000000" w:themeColor="text1"/>
        </w:rPr>
        <w:t>East and West Studies, 30</w:t>
      </w:r>
      <w:r w:rsidRPr="00734744">
        <w:rPr>
          <w:rFonts w:ascii="Times New Roman" w:hAnsi="Times New Roman" w:cs="Times New Roman"/>
          <w:color w:val="000000" w:themeColor="text1"/>
        </w:rPr>
        <w:t xml:space="preserve">(4), 157–177. </w:t>
      </w:r>
    </w:p>
    <w:p w14:paraId="69D7404C"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Kiplagat, B. (2016). </w:t>
      </w:r>
      <w:r w:rsidRPr="00734744">
        <w:rPr>
          <w:rFonts w:ascii="Times New Roman" w:hAnsi="Times New Roman" w:cs="Times New Roman"/>
          <w:i/>
          <w:iCs/>
          <w:color w:val="000000" w:themeColor="text1"/>
        </w:rPr>
        <w:t>The effects of interest rates on foreign direct investments in Kenya</w:t>
      </w:r>
      <w:r w:rsidRPr="00734744">
        <w:rPr>
          <w:rFonts w:ascii="Times New Roman" w:hAnsi="Times New Roman" w:cs="Times New Roman"/>
          <w:color w:val="000000" w:themeColor="text1"/>
        </w:rPr>
        <w:t xml:space="preserve"> [Research project, University of Nairobi]. University of Nairobi Repository. </w:t>
      </w:r>
    </w:p>
    <w:p w14:paraId="01CAA5EA"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Koojaroenprasit</w:t>
      </w:r>
      <w:proofErr w:type="spellEnd"/>
      <w:r w:rsidRPr="00734744">
        <w:rPr>
          <w:rFonts w:ascii="Times New Roman" w:hAnsi="Times New Roman" w:cs="Times New Roman"/>
          <w:color w:val="000000" w:themeColor="text1"/>
        </w:rPr>
        <w:t xml:space="preserve">, S. (2012). The impact of foreign direct investment on economic growth: A case study of South Korea. </w:t>
      </w:r>
      <w:r w:rsidRPr="00734744">
        <w:rPr>
          <w:rFonts w:ascii="Times New Roman" w:hAnsi="Times New Roman" w:cs="Times New Roman"/>
          <w:i/>
          <w:iCs/>
          <w:color w:val="000000" w:themeColor="text1"/>
        </w:rPr>
        <w:t>International Journal of Business and Social Science, 3</w:t>
      </w:r>
      <w:r w:rsidRPr="00734744">
        <w:rPr>
          <w:rFonts w:ascii="Times New Roman" w:hAnsi="Times New Roman" w:cs="Times New Roman"/>
          <w:color w:val="000000" w:themeColor="text1"/>
        </w:rPr>
        <w:t>(21), 8–17.</w:t>
      </w:r>
    </w:p>
    <w:p w14:paraId="564BB09D"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Latief, R., &amp; </w:t>
      </w:r>
      <w:proofErr w:type="spellStart"/>
      <w:r w:rsidRPr="00734744">
        <w:rPr>
          <w:rFonts w:ascii="Times New Roman" w:hAnsi="Times New Roman" w:cs="Times New Roman"/>
          <w:color w:val="000000" w:themeColor="text1"/>
        </w:rPr>
        <w:t>Lefen</w:t>
      </w:r>
      <w:proofErr w:type="spellEnd"/>
      <w:r w:rsidRPr="00734744">
        <w:rPr>
          <w:rFonts w:ascii="Times New Roman" w:hAnsi="Times New Roman" w:cs="Times New Roman"/>
          <w:color w:val="000000" w:themeColor="text1"/>
        </w:rPr>
        <w:t xml:space="preserve">, L. (2018). The effect of exchange rate volatility on international trade and foreign direct investment (FDI): A review of the literature. </w:t>
      </w:r>
      <w:r w:rsidRPr="00734744">
        <w:rPr>
          <w:rFonts w:ascii="Times New Roman" w:hAnsi="Times New Roman" w:cs="Times New Roman"/>
          <w:i/>
          <w:iCs/>
          <w:color w:val="000000" w:themeColor="text1"/>
        </w:rPr>
        <w:t>Journal of International Studies, 11</w:t>
      </w:r>
      <w:r w:rsidRPr="00734744">
        <w:rPr>
          <w:rFonts w:ascii="Times New Roman" w:hAnsi="Times New Roman" w:cs="Times New Roman"/>
          <w:color w:val="000000" w:themeColor="text1"/>
        </w:rPr>
        <w:t>(4), 85–100.</w:t>
      </w:r>
    </w:p>
    <w:p w14:paraId="30C35021"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Mansoor, M., &amp; Bibi, S. (2018). Financial development, exchange rate and foreign direct investment: Evidence from Pakistan. </w:t>
      </w:r>
      <w:r w:rsidRPr="00734744">
        <w:rPr>
          <w:rFonts w:ascii="Times New Roman" w:hAnsi="Times New Roman" w:cs="Times New Roman"/>
          <w:i/>
          <w:iCs/>
          <w:color w:val="000000" w:themeColor="text1"/>
        </w:rPr>
        <w:t>Journal of Economics and Sustainable Development, 9</w:t>
      </w:r>
      <w:r w:rsidRPr="00734744">
        <w:rPr>
          <w:rFonts w:ascii="Times New Roman" w:hAnsi="Times New Roman" w:cs="Times New Roman"/>
          <w:color w:val="000000" w:themeColor="text1"/>
        </w:rPr>
        <w:t>(7).</w:t>
      </w:r>
    </w:p>
    <w:p w14:paraId="4FE5CB58"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Medeiros, P., Marcuzzo, F., Youlton, C., &amp; Wendland, E. (2011). Error autocorrelation and linear regression for temperature-based evapotranspiration estimates improvement 1. </w:t>
      </w:r>
      <w:r w:rsidRPr="00734744">
        <w:rPr>
          <w:rFonts w:ascii="Times New Roman" w:hAnsi="Times New Roman" w:cs="Times New Roman"/>
          <w:i/>
          <w:iCs/>
          <w:color w:val="000000" w:themeColor="text1"/>
        </w:rPr>
        <w:t>JAWRA Journal of the American Water Resources Association, 48</w:t>
      </w:r>
      <w:r w:rsidRPr="00734744">
        <w:rPr>
          <w:rFonts w:ascii="Times New Roman" w:hAnsi="Times New Roman" w:cs="Times New Roman"/>
          <w:color w:val="000000" w:themeColor="text1"/>
        </w:rPr>
        <w:t xml:space="preserve">(2), 297–305. </w:t>
      </w:r>
    </w:p>
    <w:p w14:paraId="3DB6C224"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Meftah, S., &amp; Nassour, A. (2019). Macroeconomic variables and foreign direct investment inflows in Turkey. </w:t>
      </w:r>
      <w:proofErr w:type="spellStart"/>
      <w:r w:rsidRPr="00734744">
        <w:rPr>
          <w:rFonts w:ascii="Times New Roman" w:hAnsi="Times New Roman" w:cs="Times New Roman"/>
          <w:i/>
          <w:iCs/>
          <w:color w:val="000000" w:themeColor="text1"/>
        </w:rPr>
        <w:t>Signifikan</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Jurnal</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Ilmu</w:t>
      </w:r>
      <w:proofErr w:type="spellEnd"/>
      <w:r w:rsidRPr="00734744">
        <w:rPr>
          <w:rFonts w:ascii="Times New Roman" w:hAnsi="Times New Roman" w:cs="Times New Roman"/>
          <w:i/>
          <w:iCs/>
          <w:color w:val="000000" w:themeColor="text1"/>
        </w:rPr>
        <w:t xml:space="preserve"> Ekonomi, 8</w:t>
      </w:r>
      <w:r w:rsidRPr="00734744">
        <w:rPr>
          <w:rFonts w:ascii="Times New Roman" w:hAnsi="Times New Roman" w:cs="Times New Roman"/>
          <w:color w:val="000000" w:themeColor="text1"/>
        </w:rPr>
        <w:t xml:space="preserve">(2), 195–206. </w:t>
      </w:r>
    </w:p>
    <w:p w14:paraId="2742AA62"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lastRenderedPageBreak/>
        <w:t xml:space="preserve">Mohamed, P. (2011). Effects of multicollinearity on the estimation of macroeconomic variables by using data from Sudan.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367. </w:t>
      </w:r>
    </w:p>
    <w:p w14:paraId="438F3A22"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Mueller, G., &amp; Rigdon, S. (2015). The constant shape parameter assumption in Weibull regression. </w:t>
      </w:r>
      <w:r w:rsidRPr="00734744">
        <w:rPr>
          <w:rFonts w:ascii="Times New Roman" w:hAnsi="Times New Roman" w:cs="Times New Roman"/>
          <w:i/>
          <w:iCs/>
          <w:color w:val="000000" w:themeColor="text1"/>
        </w:rPr>
        <w:t>Quality Engineering, 27</w:t>
      </w:r>
      <w:r w:rsidRPr="00734744">
        <w:rPr>
          <w:rFonts w:ascii="Times New Roman" w:hAnsi="Times New Roman" w:cs="Times New Roman"/>
          <w:color w:val="000000" w:themeColor="text1"/>
        </w:rPr>
        <w:t xml:space="preserve">(3), 374–392. </w:t>
      </w:r>
    </w:p>
    <w:p w14:paraId="68B5FD98"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Mugenda, O. M., &amp; Mugenda, A. G. (2013). </w:t>
      </w:r>
      <w:r w:rsidRPr="00734744">
        <w:rPr>
          <w:rFonts w:ascii="Times New Roman" w:hAnsi="Times New Roman" w:cs="Times New Roman"/>
          <w:i/>
          <w:iCs/>
          <w:color w:val="000000" w:themeColor="text1"/>
        </w:rPr>
        <w:t>Research methods: Quantitative and qualitative approaches</w:t>
      </w:r>
      <w:r w:rsidRPr="00734744">
        <w:rPr>
          <w:rFonts w:ascii="Times New Roman" w:hAnsi="Times New Roman" w:cs="Times New Roman"/>
          <w:color w:val="000000" w:themeColor="text1"/>
        </w:rPr>
        <w:t>. Acts Press.</w:t>
      </w:r>
    </w:p>
    <w:p w14:paraId="28CEA8DB"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Musyoka, N., &amp; </w:t>
      </w:r>
      <w:proofErr w:type="spellStart"/>
      <w:r w:rsidRPr="00734744">
        <w:rPr>
          <w:rFonts w:ascii="Times New Roman" w:hAnsi="Times New Roman" w:cs="Times New Roman"/>
          <w:color w:val="000000" w:themeColor="text1"/>
        </w:rPr>
        <w:t>Ocharo</w:t>
      </w:r>
      <w:proofErr w:type="spellEnd"/>
      <w:r w:rsidRPr="00734744">
        <w:rPr>
          <w:rFonts w:ascii="Times New Roman" w:hAnsi="Times New Roman" w:cs="Times New Roman"/>
          <w:color w:val="000000" w:themeColor="text1"/>
        </w:rPr>
        <w:t xml:space="preserve">, K. (2018). Real interest rate, inflation, exchange rate, competitiveness and foreign direct investment in Kenya. </w:t>
      </w:r>
      <w:r w:rsidRPr="00734744">
        <w:rPr>
          <w:rFonts w:ascii="Times New Roman" w:hAnsi="Times New Roman" w:cs="Times New Roman"/>
          <w:i/>
          <w:iCs/>
          <w:color w:val="000000" w:themeColor="text1"/>
        </w:rPr>
        <w:t>American Journal of Economics, 3</w:t>
      </w:r>
      <w:r w:rsidRPr="00734744">
        <w:rPr>
          <w:rFonts w:ascii="Times New Roman" w:hAnsi="Times New Roman" w:cs="Times New Roman"/>
          <w:color w:val="000000" w:themeColor="text1"/>
        </w:rPr>
        <w:t xml:space="preserve">(1), 1–18. </w:t>
      </w:r>
    </w:p>
    <w:p w14:paraId="1B309DF8"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Nduati, M. (2018). </w:t>
      </w:r>
      <w:r w:rsidRPr="00734744">
        <w:rPr>
          <w:rFonts w:ascii="Times New Roman" w:hAnsi="Times New Roman" w:cs="Times New Roman"/>
          <w:i/>
          <w:iCs/>
          <w:color w:val="000000" w:themeColor="text1"/>
        </w:rPr>
        <w:t>The effect of inflation rate on foreign direct investments in Kenya</w:t>
      </w:r>
      <w:r w:rsidRPr="00734744">
        <w:rPr>
          <w:rFonts w:ascii="Times New Roman" w:hAnsi="Times New Roman" w:cs="Times New Roman"/>
          <w:color w:val="000000" w:themeColor="text1"/>
        </w:rPr>
        <w:t xml:space="preserve"> (Doctoral dissertation). University of Nairobi. </w:t>
      </w:r>
    </w:p>
    <w:p w14:paraId="332906B7"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Nosheen, M. (2013). Impact of foreign direct investment on gross domestic product. </w:t>
      </w:r>
      <w:r w:rsidRPr="00734744">
        <w:rPr>
          <w:rFonts w:ascii="Times New Roman" w:hAnsi="Times New Roman" w:cs="Times New Roman"/>
          <w:i/>
          <w:iCs/>
          <w:color w:val="000000" w:themeColor="text1"/>
        </w:rPr>
        <w:t>World Applied Sciences Journal, 24</w:t>
      </w:r>
      <w:r w:rsidRPr="00734744">
        <w:rPr>
          <w:rFonts w:ascii="Times New Roman" w:hAnsi="Times New Roman" w:cs="Times New Roman"/>
          <w:color w:val="000000" w:themeColor="text1"/>
        </w:rPr>
        <w:t xml:space="preserve">(10), 1358–1361. </w:t>
      </w:r>
    </w:p>
    <w:p w14:paraId="47F3693B"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Omondi, M., &amp; Muturi, W. (2013). Factors affecting the financial performance of listed companies at the Nairobi Securities Exchange in Kenya. </w:t>
      </w:r>
      <w:r w:rsidRPr="00734744">
        <w:rPr>
          <w:rFonts w:ascii="Times New Roman" w:hAnsi="Times New Roman" w:cs="Times New Roman"/>
          <w:i/>
          <w:iCs/>
          <w:color w:val="000000" w:themeColor="text1"/>
        </w:rPr>
        <w:t>Research Journal of Finance and Accounting, 4</w:t>
      </w:r>
      <w:r w:rsidRPr="00734744">
        <w:rPr>
          <w:rFonts w:ascii="Times New Roman" w:hAnsi="Times New Roman" w:cs="Times New Roman"/>
          <w:color w:val="000000" w:themeColor="text1"/>
        </w:rPr>
        <w:t xml:space="preserve">(15), 99–104. </w:t>
      </w:r>
    </w:p>
    <w:p w14:paraId="6018D299" w14:textId="77777777" w:rsidR="00280A29" w:rsidRPr="00734744"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Ouma, L. B. (2021). The question of regional integration in Africa: A critical analysis of Kenya's trade, infrastructure, and security in the context of the AFCFTA.</w:t>
      </w:r>
    </w:p>
    <w:p w14:paraId="33543371"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Paul, M., &amp; Sharma, P. (2019). Inflation Rate and Poverty: Does Poor become Poorer with Inflation?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3328539. </w:t>
      </w:r>
    </w:p>
    <w:p w14:paraId="40463331"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Phillips, P. C. B., &amp; Perron, P. (1988). Testing for a unit root in time series regression. </w:t>
      </w:r>
      <w:proofErr w:type="spellStart"/>
      <w:r w:rsidRPr="00734744">
        <w:rPr>
          <w:rFonts w:ascii="Times New Roman" w:hAnsi="Times New Roman" w:cs="Times New Roman"/>
          <w:i/>
          <w:iCs/>
          <w:color w:val="000000" w:themeColor="text1"/>
        </w:rPr>
        <w:t>Biometrika</w:t>
      </w:r>
      <w:proofErr w:type="spellEnd"/>
      <w:r w:rsidRPr="00734744">
        <w:rPr>
          <w:rFonts w:ascii="Times New Roman" w:hAnsi="Times New Roman" w:cs="Times New Roman"/>
          <w:i/>
          <w:iCs/>
          <w:color w:val="000000" w:themeColor="text1"/>
        </w:rPr>
        <w:t>, 75</w:t>
      </w:r>
      <w:r w:rsidRPr="00734744">
        <w:rPr>
          <w:rFonts w:ascii="Times New Roman" w:hAnsi="Times New Roman" w:cs="Times New Roman"/>
          <w:color w:val="000000" w:themeColor="text1"/>
        </w:rPr>
        <w:t xml:space="preserve">(2), 335–346. </w:t>
      </w:r>
      <w:hyperlink r:id="rId8" w:tgtFrame="_new" w:history="1">
        <w:r w:rsidRPr="00734744">
          <w:rPr>
            <w:rStyle w:val="Hyperlink"/>
            <w:rFonts w:ascii="Times New Roman" w:hAnsi="Times New Roman" w:cs="Times New Roman"/>
            <w:color w:val="000000" w:themeColor="text1"/>
            <w:u w:val="none"/>
          </w:rPr>
          <w:t>https://doi.org/10.1093/biomet/75.2.335</w:t>
        </w:r>
      </w:hyperlink>
    </w:p>
    <w:p w14:paraId="6026C108"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Pilarska, C. (2015). The Importance of Inward Foreign Direct Investment during the Transformation Process in Poland with a Focus on American Investment. </w:t>
      </w:r>
      <w:r w:rsidRPr="00734744">
        <w:rPr>
          <w:rFonts w:ascii="Times New Roman" w:hAnsi="Times New Roman" w:cs="Times New Roman"/>
          <w:i/>
          <w:iCs/>
          <w:color w:val="000000" w:themeColor="text1"/>
        </w:rPr>
        <w:t xml:space="preserve">Argumenta </w:t>
      </w:r>
      <w:proofErr w:type="spellStart"/>
      <w:r w:rsidRPr="00734744">
        <w:rPr>
          <w:rFonts w:ascii="Times New Roman" w:hAnsi="Times New Roman" w:cs="Times New Roman"/>
          <w:i/>
          <w:iCs/>
          <w:color w:val="000000" w:themeColor="text1"/>
        </w:rPr>
        <w:t>Oeconomica</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Cracoviensia</w:t>
      </w:r>
      <w:proofErr w:type="spellEnd"/>
      <w:r w:rsidRPr="00734744">
        <w:rPr>
          <w:rFonts w:ascii="Times New Roman" w:hAnsi="Times New Roman" w:cs="Times New Roman"/>
          <w:color w:val="000000" w:themeColor="text1"/>
        </w:rPr>
        <w:t xml:space="preserve">, (13), 103–125. </w:t>
      </w:r>
    </w:p>
    <w:p w14:paraId="1FB6ED65"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Siddiqui, H. A., &amp; </w:t>
      </w:r>
      <w:proofErr w:type="spellStart"/>
      <w:r w:rsidRPr="00734744">
        <w:rPr>
          <w:rFonts w:ascii="Times New Roman" w:hAnsi="Times New Roman" w:cs="Times New Roman"/>
          <w:color w:val="000000" w:themeColor="text1"/>
        </w:rPr>
        <w:t>Aumeboonsuke</w:t>
      </w:r>
      <w:proofErr w:type="spellEnd"/>
      <w:r w:rsidRPr="00734744">
        <w:rPr>
          <w:rFonts w:ascii="Times New Roman" w:hAnsi="Times New Roman" w:cs="Times New Roman"/>
          <w:color w:val="000000" w:themeColor="text1"/>
        </w:rPr>
        <w:t xml:space="preserve">, V. (2014). The role of interest rate in attracting FDI: A study on the ASEAN 5 economy. </w:t>
      </w:r>
      <w:r w:rsidRPr="00734744">
        <w:rPr>
          <w:rFonts w:ascii="Times New Roman" w:hAnsi="Times New Roman" w:cs="Times New Roman"/>
          <w:i/>
          <w:iCs/>
          <w:color w:val="000000" w:themeColor="text1"/>
        </w:rPr>
        <w:t>International Journal of Technical Research and Applications, 2</w:t>
      </w:r>
      <w:r w:rsidRPr="00734744">
        <w:rPr>
          <w:rFonts w:ascii="Times New Roman" w:hAnsi="Times New Roman" w:cs="Times New Roman"/>
          <w:color w:val="000000" w:themeColor="text1"/>
        </w:rPr>
        <w:t xml:space="preserve">(Special Issue 3), 59–70. </w:t>
      </w:r>
    </w:p>
    <w:p w14:paraId="47BE0D83"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Singh, S., &amp; Janor, H. (2019). Study on the causality nexus between macroeconomic variables using Vector Error Correction Modelling.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56. </w:t>
      </w:r>
    </w:p>
    <w:p w14:paraId="611941EA" w14:textId="77777777" w:rsidR="00280A29"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Ullah, I., &amp; Khan, M. A. (2017). Institutional quality and foreign direct investment inflows: evidence from Asian countries. </w:t>
      </w:r>
      <w:r w:rsidRPr="00280A29">
        <w:rPr>
          <w:rFonts w:ascii="Times New Roman" w:hAnsi="Times New Roman" w:cs="Times New Roman"/>
          <w:i/>
          <w:iCs/>
          <w:color w:val="000000" w:themeColor="text1"/>
        </w:rPr>
        <w:t>Journal of Economic Studies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44</w:t>
      </w:r>
      <w:r w:rsidRPr="00280A29">
        <w:rPr>
          <w:rFonts w:ascii="Times New Roman" w:hAnsi="Times New Roman" w:cs="Times New Roman"/>
          <w:color w:val="000000" w:themeColor="text1"/>
        </w:rPr>
        <w:t xml:space="preserve">(6), 1030-1050. </w:t>
      </w:r>
    </w:p>
    <w:p w14:paraId="21029A5B"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Usman, M., &amp; Ahmad, M. (2018). Testing The Relationship Among Macroeconomic Variables and Foreign Direct Investment Inflows in Pakistan. </w:t>
      </w:r>
      <w:r w:rsidRPr="00734744">
        <w:rPr>
          <w:rFonts w:ascii="Times New Roman" w:hAnsi="Times New Roman" w:cs="Times New Roman"/>
          <w:i/>
          <w:iCs/>
          <w:color w:val="000000" w:themeColor="text1"/>
        </w:rPr>
        <w:t>Scientific Research Journal, VI</w:t>
      </w:r>
      <w:r w:rsidRPr="00734744">
        <w:rPr>
          <w:rFonts w:ascii="Times New Roman" w:hAnsi="Times New Roman" w:cs="Times New Roman"/>
          <w:color w:val="000000" w:themeColor="text1"/>
        </w:rPr>
        <w:t xml:space="preserve">(VIII). </w:t>
      </w:r>
    </w:p>
    <w:p w14:paraId="7BE8618F" w14:textId="77777777" w:rsidR="00280A29" w:rsidRPr="00734744" w:rsidRDefault="00280A29"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lastRenderedPageBreak/>
        <w:t xml:space="preserve">Vincent, A. E., </w:t>
      </w:r>
      <w:proofErr w:type="spellStart"/>
      <w:r w:rsidRPr="00280A29">
        <w:rPr>
          <w:rFonts w:ascii="Times New Roman" w:hAnsi="Times New Roman" w:cs="Times New Roman"/>
          <w:color w:val="000000" w:themeColor="text1"/>
        </w:rPr>
        <w:t>Salubi</w:t>
      </w:r>
      <w:proofErr w:type="spellEnd"/>
      <w:r w:rsidRPr="00280A29">
        <w:rPr>
          <w:rFonts w:ascii="Times New Roman" w:hAnsi="Times New Roman" w:cs="Times New Roman"/>
          <w:color w:val="000000" w:themeColor="text1"/>
        </w:rPr>
        <w:t xml:space="preserve">, I. L., &amp; Timothy, P. (2017). Evaluating The Effect </w:t>
      </w:r>
      <w:r>
        <w:rPr>
          <w:rFonts w:ascii="Times New Roman" w:hAnsi="Times New Roman" w:cs="Times New Roman"/>
          <w:color w:val="000000" w:themeColor="text1"/>
        </w:rPr>
        <w:t>o</w:t>
      </w:r>
      <w:r w:rsidRPr="00280A29">
        <w:rPr>
          <w:rFonts w:ascii="Times New Roman" w:hAnsi="Times New Roman" w:cs="Times New Roman"/>
          <w:color w:val="000000" w:themeColor="text1"/>
        </w:rPr>
        <w:t xml:space="preserve">f Exchange Rate </w:t>
      </w:r>
      <w:r>
        <w:rPr>
          <w:rFonts w:ascii="Times New Roman" w:hAnsi="Times New Roman" w:cs="Times New Roman"/>
          <w:color w:val="000000" w:themeColor="text1"/>
        </w:rPr>
        <w:t>o</w:t>
      </w:r>
      <w:r w:rsidRPr="00280A29">
        <w:rPr>
          <w:rFonts w:ascii="Times New Roman" w:hAnsi="Times New Roman" w:cs="Times New Roman"/>
          <w:color w:val="000000" w:themeColor="text1"/>
        </w:rPr>
        <w:t>n Foreign Direct Investment (F</w:t>
      </w:r>
      <w:r>
        <w:rPr>
          <w:rFonts w:ascii="Times New Roman" w:hAnsi="Times New Roman" w:cs="Times New Roman"/>
          <w:color w:val="000000" w:themeColor="text1"/>
        </w:rPr>
        <w:t>DI</w:t>
      </w:r>
      <w:r w:rsidRPr="00280A29">
        <w:rPr>
          <w:rFonts w:ascii="Times New Roman" w:hAnsi="Times New Roman" w:cs="Times New Roman"/>
          <w:color w:val="000000" w:themeColor="text1"/>
        </w:rPr>
        <w:t xml:space="preserve">) </w:t>
      </w:r>
      <w:r>
        <w:rPr>
          <w:rFonts w:ascii="Times New Roman" w:hAnsi="Times New Roman" w:cs="Times New Roman"/>
          <w:color w:val="000000" w:themeColor="text1"/>
        </w:rPr>
        <w:t>i</w:t>
      </w:r>
      <w:r w:rsidRPr="00280A29">
        <w:rPr>
          <w:rFonts w:ascii="Times New Roman" w:hAnsi="Times New Roman" w:cs="Times New Roman"/>
          <w:color w:val="000000" w:themeColor="text1"/>
        </w:rPr>
        <w:t>n Nigeria. </w:t>
      </w:r>
      <w:r w:rsidRPr="00280A29">
        <w:rPr>
          <w:rFonts w:ascii="Times New Roman" w:hAnsi="Times New Roman" w:cs="Times New Roman"/>
          <w:i/>
          <w:iCs/>
          <w:color w:val="000000" w:themeColor="text1"/>
        </w:rPr>
        <w:t xml:space="preserve">Journal </w:t>
      </w:r>
      <w:r>
        <w:rPr>
          <w:rFonts w:ascii="Times New Roman" w:hAnsi="Times New Roman" w:cs="Times New Roman"/>
          <w:i/>
          <w:iCs/>
          <w:color w:val="000000" w:themeColor="text1"/>
        </w:rPr>
        <w:t>o</w:t>
      </w:r>
      <w:r w:rsidRPr="00280A29">
        <w:rPr>
          <w:rFonts w:ascii="Times New Roman" w:hAnsi="Times New Roman" w:cs="Times New Roman"/>
          <w:i/>
          <w:iCs/>
          <w:color w:val="000000" w:themeColor="text1"/>
        </w:rPr>
        <w:t xml:space="preserve">f Academic Research </w:t>
      </w:r>
      <w:r>
        <w:rPr>
          <w:rFonts w:ascii="Times New Roman" w:hAnsi="Times New Roman" w:cs="Times New Roman"/>
          <w:i/>
          <w:iCs/>
          <w:color w:val="000000" w:themeColor="text1"/>
        </w:rPr>
        <w:t>i</w:t>
      </w:r>
      <w:r w:rsidRPr="00280A29">
        <w:rPr>
          <w:rFonts w:ascii="Times New Roman" w:hAnsi="Times New Roman" w:cs="Times New Roman"/>
          <w:i/>
          <w:iCs/>
          <w:color w:val="000000" w:themeColor="text1"/>
        </w:rPr>
        <w:t>n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9</w:t>
      </w:r>
      <w:r w:rsidRPr="00280A29">
        <w:rPr>
          <w:rFonts w:ascii="Times New Roman" w:hAnsi="Times New Roman" w:cs="Times New Roman"/>
          <w:color w:val="000000" w:themeColor="text1"/>
        </w:rPr>
        <w:t>(1), 34.</w:t>
      </w:r>
      <w:r w:rsidRPr="00734744">
        <w:rPr>
          <w:rFonts w:ascii="Times New Roman" w:hAnsi="Times New Roman" w:cs="Times New Roman"/>
          <w:color w:val="000000" w:themeColor="text1"/>
        </w:rPr>
        <w:t xml:space="preserve"> </w:t>
      </w:r>
    </w:p>
    <w:p w14:paraId="1CF39640" w14:textId="77777777" w:rsidR="00280A29" w:rsidRPr="00734744" w:rsidRDefault="00280A29"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Wang, G., Wei, Y., Qiao, S., Lin, P., &amp; Chen, Y. (2018). </w:t>
      </w:r>
      <w:r w:rsidRPr="00734744">
        <w:rPr>
          <w:rFonts w:ascii="Times New Roman" w:hAnsi="Times New Roman" w:cs="Times New Roman"/>
          <w:i/>
          <w:iCs/>
          <w:color w:val="000000" w:themeColor="text1"/>
        </w:rPr>
        <w:t>Generalized inverses: Theory and computations</w:t>
      </w:r>
      <w:r w:rsidRPr="00734744">
        <w:rPr>
          <w:rFonts w:ascii="Times New Roman" w:hAnsi="Times New Roman" w:cs="Times New Roman"/>
          <w:color w:val="000000" w:themeColor="text1"/>
        </w:rPr>
        <w:t xml:space="preserve"> (Vol. 53). Singapore: Springer. </w:t>
      </w:r>
    </w:p>
    <w:p w14:paraId="47D7CCEC" w14:textId="77777777" w:rsidR="00280A29" w:rsidRPr="00734744"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Wasseja</w:t>
      </w:r>
      <w:proofErr w:type="spellEnd"/>
      <w:r w:rsidRPr="00734744">
        <w:rPr>
          <w:rFonts w:ascii="Times New Roman" w:hAnsi="Times New Roman" w:cs="Times New Roman"/>
          <w:color w:val="000000" w:themeColor="text1"/>
        </w:rPr>
        <w:t xml:space="preserve">, M., &amp; Mwenda, S. (2015). Analysis of the determinants of foreign direct investment in Kenya. </w:t>
      </w:r>
      <w:r w:rsidRPr="00734744">
        <w:rPr>
          <w:rFonts w:ascii="Times New Roman" w:hAnsi="Times New Roman" w:cs="Times New Roman"/>
          <w:i/>
          <w:iCs/>
          <w:color w:val="000000" w:themeColor="text1"/>
        </w:rPr>
        <w:t>Journal of Multidisciplinary Scientific Research, 3</w:t>
      </w:r>
      <w:r w:rsidRPr="00734744">
        <w:rPr>
          <w:rFonts w:ascii="Times New Roman" w:hAnsi="Times New Roman" w:cs="Times New Roman"/>
          <w:color w:val="000000" w:themeColor="text1"/>
        </w:rPr>
        <w:t>(4), 16–26.</w:t>
      </w:r>
    </w:p>
    <w:p w14:paraId="3CDD5200" w14:textId="77777777" w:rsidR="00280A29" w:rsidRDefault="00280A29"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Xaypanya</w:t>
      </w:r>
      <w:proofErr w:type="spellEnd"/>
      <w:r w:rsidRPr="00734744">
        <w:rPr>
          <w:rFonts w:ascii="Times New Roman" w:hAnsi="Times New Roman" w:cs="Times New Roman"/>
          <w:color w:val="000000" w:themeColor="text1"/>
        </w:rPr>
        <w:t xml:space="preserve">, P., </w:t>
      </w:r>
      <w:proofErr w:type="spellStart"/>
      <w:r w:rsidRPr="00734744">
        <w:rPr>
          <w:rFonts w:ascii="Times New Roman" w:hAnsi="Times New Roman" w:cs="Times New Roman"/>
          <w:color w:val="000000" w:themeColor="text1"/>
        </w:rPr>
        <w:t>Rangkakulnuwat</w:t>
      </w:r>
      <w:proofErr w:type="spellEnd"/>
      <w:r w:rsidRPr="00734744">
        <w:rPr>
          <w:rFonts w:ascii="Times New Roman" w:hAnsi="Times New Roman" w:cs="Times New Roman"/>
          <w:color w:val="000000" w:themeColor="text1"/>
        </w:rPr>
        <w:t xml:space="preserve">, P., &amp; </w:t>
      </w:r>
      <w:proofErr w:type="spellStart"/>
      <w:r w:rsidRPr="00734744">
        <w:rPr>
          <w:rFonts w:ascii="Times New Roman" w:hAnsi="Times New Roman" w:cs="Times New Roman"/>
          <w:color w:val="000000" w:themeColor="text1"/>
        </w:rPr>
        <w:t>Warunsiri</w:t>
      </w:r>
      <w:proofErr w:type="spellEnd"/>
      <w:r w:rsidRPr="00734744">
        <w:rPr>
          <w:rFonts w:ascii="Times New Roman" w:hAnsi="Times New Roman" w:cs="Times New Roman"/>
          <w:color w:val="000000" w:themeColor="text1"/>
        </w:rPr>
        <w:t xml:space="preserve"> </w:t>
      </w:r>
      <w:proofErr w:type="spellStart"/>
      <w:r w:rsidRPr="00734744">
        <w:rPr>
          <w:rFonts w:ascii="Times New Roman" w:hAnsi="Times New Roman" w:cs="Times New Roman"/>
          <w:color w:val="000000" w:themeColor="text1"/>
        </w:rPr>
        <w:t>Paweenawat</w:t>
      </w:r>
      <w:proofErr w:type="spellEnd"/>
      <w:r w:rsidRPr="00734744">
        <w:rPr>
          <w:rFonts w:ascii="Times New Roman" w:hAnsi="Times New Roman" w:cs="Times New Roman"/>
          <w:color w:val="000000" w:themeColor="text1"/>
        </w:rPr>
        <w:t xml:space="preserve">, S. (2015). The determinants of foreign direct investment in ASEAN: The first differencing panel data analysis. </w:t>
      </w:r>
      <w:r w:rsidRPr="00734744">
        <w:rPr>
          <w:rFonts w:ascii="Times New Roman" w:hAnsi="Times New Roman" w:cs="Times New Roman"/>
          <w:i/>
          <w:iCs/>
          <w:color w:val="000000" w:themeColor="text1"/>
        </w:rPr>
        <w:t>International Journal of Social Economics, 42</w:t>
      </w:r>
      <w:r w:rsidRPr="00734744">
        <w:rPr>
          <w:rFonts w:ascii="Times New Roman" w:hAnsi="Times New Roman" w:cs="Times New Roman"/>
          <w:color w:val="000000" w:themeColor="text1"/>
        </w:rPr>
        <w:t>(3), 239–250. https://doi.org/10.1108/IJSE-10-2013-0238</w:t>
      </w:r>
      <w:r>
        <w:rPr>
          <w:rFonts w:ascii="Times New Roman" w:hAnsi="Times New Roman" w:cs="Times New Roman"/>
          <w:color w:val="000000" w:themeColor="text1"/>
        </w:rPr>
        <w:t>.</w:t>
      </w:r>
    </w:p>
    <w:p w14:paraId="0FF1B32B" w14:textId="77777777" w:rsidR="005372DE" w:rsidRPr="00734744" w:rsidRDefault="005372DE" w:rsidP="00530B02">
      <w:pPr>
        <w:ind w:left="720"/>
        <w:jc w:val="both"/>
        <w:rPr>
          <w:rFonts w:ascii="Times New Roman" w:hAnsi="Times New Roman" w:cs="Times New Roman"/>
        </w:rPr>
      </w:pPr>
    </w:p>
    <w:p w14:paraId="1A40778B" w14:textId="77777777" w:rsidR="00ED7308" w:rsidRPr="00734744" w:rsidRDefault="00ED7308" w:rsidP="00530B02">
      <w:pPr>
        <w:ind w:left="720"/>
        <w:jc w:val="both"/>
        <w:rPr>
          <w:rFonts w:ascii="Times New Roman" w:hAnsi="Times New Roman" w:cs="Times New Roman"/>
        </w:rPr>
      </w:pPr>
    </w:p>
    <w:sectPr w:rsidR="00ED7308" w:rsidRPr="0073474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DB29D" w14:textId="77777777" w:rsidR="00E432BD" w:rsidRDefault="00E432BD" w:rsidP="00FE798B">
      <w:pPr>
        <w:spacing w:after="0" w:line="240" w:lineRule="auto"/>
      </w:pPr>
      <w:r>
        <w:separator/>
      </w:r>
    </w:p>
  </w:endnote>
  <w:endnote w:type="continuationSeparator" w:id="0">
    <w:p w14:paraId="4C2DBE69" w14:textId="77777777" w:rsidR="00E432BD" w:rsidRDefault="00E432BD" w:rsidP="00FE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301B3" w14:textId="77777777" w:rsidR="00CE212A" w:rsidRDefault="00CE2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06146"/>
      <w:docPartObj>
        <w:docPartGallery w:val="Page Numbers (Bottom of Page)"/>
        <w:docPartUnique/>
      </w:docPartObj>
    </w:sdtPr>
    <w:sdtEndPr>
      <w:rPr>
        <w:noProof/>
      </w:rPr>
    </w:sdtEndPr>
    <w:sdtContent>
      <w:p w14:paraId="7452E075" w14:textId="0D4827A1" w:rsidR="00A059D0" w:rsidRDefault="00A05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C24FB9" w14:textId="77777777" w:rsidR="00A059D0" w:rsidRDefault="00A059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BCA" w14:textId="77777777" w:rsidR="00CE212A" w:rsidRDefault="00CE2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6E28C" w14:textId="77777777" w:rsidR="00E432BD" w:rsidRDefault="00E432BD" w:rsidP="00FE798B">
      <w:pPr>
        <w:spacing w:after="0" w:line="240" w:lineRule="auto"/>
      </w:pPr>
      <w:r>
        <w:separator/>
      </w:r>
    </w:p>
  </w:footnote>
  <w:footnote w:type="continuationSeparator" w:id="0">
    <w:p w14:paraId="2AAEE2C7" w14:textId="77777777" w:rsidR="00E432BD" w:rsidRDefault="00E432BD" w:rsidP="00FE7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2BC7" w14:textId="1788A6DC" w:rsidR="00CE212A" w:rsidRDefault="00CE212A">
    <w:pPr>
      <w:pStyle w:val="Header"/>
    </w:pPr>
    <w:r>
      <w:rPr>
        <w:noProof/>
      </w:rPr>
      <w:pict w14:anchorId="6804B4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88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BD24" w14:textId="362DD53D" w:rsidR="00CE212A" w:rsidRDefault="00CE212A">
    <w:pPr>
      <w:pStyle w:val="Header"/>
    </w:pPr>
    <w:r>
      <w:rPr>
        <w:noProof/>
      </w:rPr>
      <w:pict w14:anchorId="7C0711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88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FBF8" w14:textId="34CC419D" w:rsidR="00CE212A" w:rsidRDefault="00CE212A">
    <w:pPr>
      <w:pStyle w:val="Header"/>
    </w:pPr>
    <w:r>
      <w:rPr>
        <w:noProof/>
      </w:rPr>
      <w:pict w14:anchorId="51D35E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88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BE9"/>
    <w:multiLevelType w:val="multilevel"/>
    <w:tmpl w:val="86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40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33"/>
    <w:rsid w:val="000710FB"/>
    <w:rsid w:val="000C4F1F"/>
    <w:rsid w:val="00146CA6"/>
    <w:rsid w:val="0015143C"/>
    <w:rsid w:val="00192EC5"/>
    <w:rsid w:val="001D23C2"/>
    <w:rsid w:val="001F0F12"/>
    <w:rsid w:val="002206A6"/>
    <w:rsid w:val="00222835"/>
    <w:rsid w:val="00226E13"/>
    <w:rsid w:val="00280A29"/>
    <w:rsid w:val="00283084"/>
    <w:rsid w:val="00296E51"/>
    <w:rsid w:val="002A0F7C"/>
    <w:rsid w:val="002F0DB7"/>
    <w:rsid w:val="00321BDE"/>
    <w:rsid w:val="004456DF"/>
    <w:rsid w:val="004A5305"/>
    <w:rsid w:val="004A7826"/>
    <w:rsid w:val="004C781B"/>
    <w:rsid w:val="004F393C"/>
    <w:rsid w:val="005237EB"/>
    <w:rsid w:val="00530B02"/>
    <w:rsid w:val="005372DE"/>
    <w:rsid w:val="0056547E"/>
    <w:rsid w:val="005D4F64"/>
    <w:rsid w:val="006022E0"/>
    <w:rsid w:val="006A12C0"/>
    <w:rsid w:val="006C6216"/>
    <w:rsid w:val="006F1BB6"/>
    <w:rsid w:val="00713DD5"/>
    <w:rsid w:val="00734744"/>
    <w:rsid w:val="00760015"/>
    <w:rsid w:val="007A01FE"/>
    <w:rsid w:val="007B3574"/>
    <w:rsid w:val="007F66C9"/>
    <w:rsid w:val="0082707E"/>
    <w:rsid w:val="00852094"/>
    <w:rsid w:val="0087116B"/>
    <w:rsid w:val="00896045"/>
    <w:rsid w:val="008A237F"/>
    <w:rsid w:val="008B72CC"/>
    <w:rsid w:val="009347A2"/>
    <w:rsid w:val="009A7968"/>
    <w:rsid w:val="00A059D0"/>
    <w:rsid w:val="00A31F19"/>
    <w:rsid w:val="00A46DDB"/>
    <w:rsid w:val="00A66E58"/>
    <w:rsid w:val="00A94437"/>
    <w:rsid w:val="00A9788C"/>
    <w:rsid w:val="00AA1AD7"/>
    <w:rsid w:val="00B24BA0"/>
    <w:rsid w:val="00B31FF1"/>
    <w:rsid w:val="00B37433"/>
    <w:rsid w:val="00B956CE"/>
    <w:rsid w:val="00BB631A"/>
    <w:rsid w:val="00BF6DD4"/>
    <w:rsid w:val="00C27914"/>
    <w:rsid w:val="00C55068"/>
    <w:rsid w:val="00CE212A"/>
    <w:rsid w:val="00E432BD"/>
    <w:rsid w:val="00E72B28"/>
    <w:rsid w:val="00EB72D7"/>
    <w:rsid w:val="00ED7308"/>
    <w:rsid w:val="00F11C04"/>
    <w:rsid w:val="00F64B45"/>
    <w:rsid w:val="00F654CE"/>
    <w:rsid w:val="00FE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13910"/>
  <w15:chartTrackingRefBased/>
  <w15:docId w15:val="{31C47ADB-D50D-47D2-BB60-B884B59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74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4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3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3743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3743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3743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3743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3743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743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743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743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3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3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7433"/>
    <w:pPr>
      <w:spacing w:before="160"/>
      <w:jc w:val="center"/>
    </w:pPr>
    <w:rPr>
      <w:i/>
      <w:iCs/>
      <w:color w:val="404040" w:themeColor="text1" w:themeTint="BF"/>
    </w:rPr>
  </w:style>
  <w:style w:type="character" w:customStyle="1" w:styleId="QuoteChar">
    <w:name w:val="Quote Char"/>
    <w:basedOn w:val="DefaultParagraphFont"/>
    <w:link w:val="Quote"/>
    <w:uiPriority w:val="29"/>
    <w:rsid w:val="00B37433"/>
    <w:rPr>
      <w:i/>
      <w:iCs/>
      <w:color w:val="404040" w:themeColor="text1" w:themeTint="BF"/>
      <w:lang w:val="en-GB"/>
    </w:rPr>
  </w:style>
  <w:style w:type="paragraph" w:styleId="ListParagraph">
    <w:name w:val="List Paragraph"/>
    <w:basedOn w:val="Normal"/>
    <w:uiPriority w:val="34"/>
    <w:qFormat/>
    <w:rsid w:val="00B37433"/>
    <w:pPr>
      <w:ind w:left="720"/>
      <w:contextualSpacing/>
    </w:pPr>
  </w:style>
  <w:style w:type="character" w:styleId="IntenseEmphasis">
    <w:name w:val="Intense Emphasis"/>
    <w:basedOn w:val="DefaultParagraphFont"/>
    <w:uiPriority w:val="21"/>
    <w:qFormat/>
    <w:rsid w:val="00B37433"/>
    <w:rPr>
      <w:i/>
      <w:iCs/>
      <w:color w:val="2F5496" w:themeColor="accent1" w:themeShade="BF"/>
    </w:rPr>
  </w:style>
  <w:style w:type="paragraph" w:styleId="IntenseQuote">
    <w:name w:val="Intense Quote"/>
    <w:basedOn w:val="Normal"/>
    <w:next w:val="Normal"/>
    <w:link w:val="IntenseQuoteChar"/>
    <w:uiPriority w:val="30"/>
    <w:qFormat/>
    <w:rsid w:val="00B374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33"/>
    <w:rPr>
      <w:i/>
      <w:iCs/>
      <w:color w:val="2F5496" w:themeColor="accent1" w:themeShade="BF"/>
      <w:lang w:val="en-GB"/>
    </w:rPr>
  </w:style>
  <w:style w:type="character" w:styleId="IntenseReference">
    <w:name w:val="Intense Reference"/>
    <w:basedOn w:val="DefaultParagraphFont"/>
    <w:uiPriority w:val="32"/>
    <w:qFormat/>
    <w:rsid w:val="00B37433"/>
    <w:rPr>
      <w:b/>
      <w:bCs/>
      <w:smallCaps/>
      <w:color w:val="2F5496" w:themeColor="accent1" w:themeShade="BF"/>
      <w:spacing w:val="5"/>
    </w:rPr>
  </w:style>
  <w:style w:type="character" w:styleId="PlaceholderText">
    <w:name w:val="Placeholder Text"/>
    <w:basedOn w:val="DefaultParagraphFont"/>
    <w:uiPriority w:val="99"/>
    <w:semiHidden/>
    <w:rsid w:val="00B31FF1"/>
    <w:rPr>
      <w:color w:val="666666"/>
    </w:rPr>
  </w:style>
  <w:style w:type="paragraph" w:styleId="Header">
    <w:name w:val="header"/>
    <w:basedOn w:val="Normal"/>
    <w:link w:val="HeaderChar"/>
    <w:uiPriority w:val="99"/>
    <w:unhideWhenUsed/>
    <w:rsid w:val="00FE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8B"/>
    <w:rPr>
      <w:lang w:val="en-GB"/>
    </w:rPr>
  </w:style>
  <w:style w:type="paragraph" w:styleId="Footer">
    <w:name w:val="footer"/>
    <w:basedOn w:val="Normal"/>
    <w:link w:val="FooterChar"/>
    <w:uiPriority w:val="99"/>
    <w:unhideWhenUsed/>
    <w:rsid w:val="00FE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8B"/>
    <w:rPr>
      <w:lang w:val="en-GB"/>
    </w:rPr>
  </w:style>
  <w:style w:type="character" w:styleId="Hyperlink">
    <w:name w:val="Hyperlink"/>
    <w:basedOn w:val="DefaultParagraphFont"/>
    <w:uiPriority w:val="99"/>
    <w:unhideWhenUsed/>
    <w:rsid w:val="005372DE"/>
    <w:rPr>
      <w:color w:val="0563C1" w:themeColor="hyperlink"/>
      <w:u w:val="single"/>
    </w:rPr>
  </w:style>
  <w:style w:type="character" w:styleId="UnresolvedMention">
    <w:name w:val="Unresolved Mention"/>
    <w:basedOn w:val="DefaultParagraphFont"/>
    <w:uiPriority w:val="99"/>
    <w:semiHidden/>
    <w:unhideWhenUsed/>
    <w:rsid w:val="00537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biomet/75.2.33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oi.org/10.2307/191279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25</Pages>
  <Words>8434</Words>
  <Characters>48077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Salesio Miriti</dc:creator>
  <cp:keywords/>
  <dc:description/>
  <cp:lastModifiedBy>SDI 1166</cp:lastModifiedBy>
  <cp:revision>12</cp:revision>
  <dcterms:created xsi:type="dcterms:W3CDTF">2026-08-18T10:56:00Z</dcterms:created>
  <dcterms:modified xsi:type="dcterms:W3CDTF">2026-08-27T11:08:00Z</dcterms:modified>
</cp:coreProperties>
</file>