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DFE37" w14:textId="77777777" w:rsidR="00B9060D" w:rsidRDefault="00000000">
      <w:pPr>
        <w:spacing w:line="360" w:lineRule="auto"/>
        <w:jc w:val="center"/>
        <w:rPr>
          <w:rFonts w:ascii="Times New Roman" w:eastAsia="Times New Roman" w:hAnsi="Times New Roman" w:cs="Times New Roman"/>
          <w:b/>
          <w:bCs/>
          <w:sz w:val="36"/>
          <w:szCs w:val="36"/>
          <w:highlight w:val="white"/>
        </w:rPr>
      </w:pPr>
      <w:r>
        <w:rPr>
          <w:rFonts w:ascii="Times New Roman" w:eastAsia="Times New Roman" w:hAnsi="Times New Roman" w:cs="Times New Roman"/>
          <w:b/>
          <w:bCs/>
          <w:sz w:val="36"/>
          <w:szCs w:val="36"/>
          <w:highlight w:val="white"/>
        </w:rPr>
        <w:t>The Influence of Relationship Marketing on Customer Lifetime Value: The Mediating Role of Customer Engagement</w:t>
      </w:r>
    </w:p>
    <w:p w14:paraId="4D9C406E" w14:textId="77777777" w:rsidR="00B9060D" w:rsidRDefault="00000000">
      <w:pPr>
        <w:spacing w:line="360" w:lineRule="auto"/>
        <w:rPr>
          <w:rFonts w:ascii="Times New Roman" w:eastAsia="Times New Roman" w:hAnsi="Times New Roman" w:cs="Times New Roman"/>
          <w:b/>
          <w:bCs/>
          <w:sz w:val="32"/>
          <w:szCs w:val="32"/>
          <w:highlight w:val="white"/>
        </w:rPr>
      </w:pPr>
      <w:r>
        <w:rPr>
          <w:rFonts w:ascii="Times New Roman" w:eastAsia="Times New Roman" w:hAnsi="Times New Roman" w:cs="Times New Roman"/>
          <w:b/>
          <w:bCs/>
          <w:sz w:val="32"/>
          <w:szCs w:val="32"/>
          <w:highlight w:val="white"/>
        </w:rPr>
        <w:t>Abstract</w:t>
      </w:r>
    </w:p>
    <w:p w14:paraId="7E60A861"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increasing competition in the banking sector has made the development of sustainable customer relationships an important concern for financial institutions. As customers gain more alternatives through digital banking and emerging financial services, banks must understand how relationship-focused strategies can translate into long-term customer value. Customer lifetime value provides an important measure for assessing the economic contribution of customers over time, but the process through which relationship marketing creates such value requires further investigation, particularly in emerging banking contexts. This study examined the influence of relationship marketing on customer lifetime value and assessed the mediating role of customer engagement among customers of Consolidated Bank Ghana in the Volta Region.</w:t>
      </w:r>
    </w:p>
    <w:p w14:paraId="5D288B12"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quantitative explanatory research design was adopted. Data were collected through a structured questionnaire administered to 367 customers, and the data were </w:t>
      </w:r>
      <w:proofErr w:type="spellStart"/>
      <w:r>
        <w:rPr>
          <w:rFonts w:ascii="Times New Roman" w:eastAsia="Times New Roman" w:hAnsi="Times New Roman" w:cs="Times New Roman"/>
          <w:sz w:val="24"/>
          <w:szCs w:val="24"/>
          <w:highlight w:val="white"/>
        </w:rPr>
        <w:t>analysed</w:t>
      </w:r>
      <w:proofErr w:type="spellEnd"/>
      <w:r>
        <w:rPr>
          <w:rFonts w:ascii="Times New Roman" w:eastAsia="Times New Roman" w:hAnsi="Times New Roman" w:cs="Times New Roman"/>
          <w:sz w:val="24"/>
          <w:szCs w:val="24"/>
          <w:highlight w:val="white"/>
        </w:rPr>
        <w:t xml:space="preserve"> using descriptive statistics, correlation analysis, multiple regression, and mediation analysis. The findings showed that relationship marketing significantly and positively influenced customer lifetime value. It was found that customer engagement also had a significant positive effect on customer lifetime value. Furthermore, the mediation analysis revealed that customer engagement partially mediated the relationship between relationship marketing and customer lifetime value, indicating that relational strategies create greater value when they encourage deeper customer involvement.</w:t>
      </w:r>
    </w:p>
    <w:p w14:paraId="776C18DD"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study concludes that banking institutions should move beyond maintaining customer relationships and focus on creating meaningful engagement experiences that strengthen long-term customer contributions. The findings provide useful insights for managers seeking to improve customer retention and profitability through integrated relationship and engagement strategies.</w:t>
      </w:r>
    </w:p>
    <w:p w14:paraId="0902C2A3"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Keywords:</w:t>
      </w:r>
      <w:r>
        <w:rPr>
          <w:rFonts w:ascii="Times New Roman" w:eastAsia="Times New Roman" w:hAnsi="Times New Roman" w:cs="Times New Roman"/>
          <w:sz w:val="24"/>
          <w:szCs w:val="24"/>
          <w:highlight w:val="white"/>
        </w:rPr>
        <w:t xml:space="preserve"> Relationship marketing, Customer engagement, Customer lifetime value, Banking sector, customer relationships, Customer retention</w:t>
      </w:r>
    </w:p>
    <w:p w14:paraId="49F18D81" w14:textId="77777777" w:rsidR="00B9060D" w:rsidRDefault="00B9060D">
      <w:pPr>
        <w:spacing w:line="360" w:lineRule="auto"/>
        <w:rPr>
          <w:rFonts w:ascii="Times New Roman" w:eastAsia="Times New Roman" w:hAnsi="Times New Roman" w:cs="Times New Roman"/>
          <w:b/>
          <w:bCs/>
          <w:sz w:val="32"/>
          <w:szCs w:val="32"/>
          <w:highlight w:val="white"/>
        </w:rPr>
      </w:pPr>
    </w:p>
    <w:p w14:paraId="52CE60BC" w14:textId="77777777" w:rsidR="00B9060D" w:rsidRDefault="00000000">
      <w:pPr>
        <w:spacing w:line="360" w:lineRule="auto"/>
        <w:rPr>
          <w:rFonts w:ascii="Times New Roman" w:eastAsia="Times New Roman" w:hAnsi="Times New Roman" w:cs="Times New Roman"/>
          <w:b/>
          <w:bCs/>
          <w:sz w:val="34"/>
          <w:szCs w:val="34"/>
          <w:highlight w:val="white"/>
        </w:rPr>
      </w:pPr>
      <w:r>
        <w:rPr>
          <w:rFonts w:ascii="Times New Roman" w:eastAsia="Times New Roman" w:hAnsi="Times New Roman" w:cs="Times New Roman"/>
          <w:b/>
          <w:bCs/>
          <w:sz w:val="32"/>
          <w:szCs w:val="32"/>
          <w:highlight w:val="white"/>
        </w:rPr>
        <w:t>Introduction</w:t>
      </w:r>
    </w:p>
    <w:p w14:paraId="5261E217"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increasing similarity of financial products and services has intensified competition among banking institutions, making customer relationships an important source of differentiation. Banks no longer compete solely through product offerings, interest rates, or transactional efficiency; instead, they increasingly focus on developing enduring relationships that encourage customer retention, loyalty, and long-term value creation. Relationship marketing has therefore gained prominence as a strategic approach that shifts attention from short-term exchanges towards continuous interactions that create mutual value between firms and customers (Kumar &amp; Reinartz, 2018). In service industries such as banking, where customer decisions are influenced by trust, reliability, communication quality, and service experiences, relationship-based strategies have become important mechanisms for strengthening customer relationships and improving </w:t>
      </w:r>
      <w:proofErr w:type="spellStart"/>
      <w:r>
        <w:rPr>
          <w:rFonts w:ascii="Times New Roman" w:eastAsia="Times New Roman" w:hAnsi="Times New Roman" w:cs="Times New Roman"/>
          <w:sz w:val="24"/>
          <w:szCs w:val="24"/>
          <w:highlight w:val="white"/>
        </w:rPr>
        <w:t>organisational</w:t>
      </w:r>
      <w:proofErr w:type="spellEnd"/>
      <w:r>
        <w:rPr>
          <w:rFonts w:ascii="Times New Roman" w:eastAsia="Times New Roman" w:hAnsi="Times New Roman" w:cs="Times New Roman"/>
          <w:sz w:val="24"/>
          <w:szCs w:val="24"/>
          <w:highlight w:val="white"/>
        </w:rPr>
        <w:t xml:space="preserve"> outcomes.</w:t>
      </w:r>
    </w:p>
    <w:p w14:paraId="102B6560"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Relationship marketing </w:t>
      </w:r>
      <w:proofErr w:type="spellStart"/>
      <w:r>
        <w:rPr>
          <w:rFonts w:ascii="Times New Roman" w:eastAsia="Times New Roman" w:hAnsi="Times New Roman" w:cs="Times New Roman"/>
          <w:sz w:val="24"/>
          <w:szCs w:val="24"/>
          <w:highlight w:val="white"/>
        </w:rPr>
        <w:t>emphasises</w:t>
      </w:r>
      <w:proofErr w:type="spellEnd"/>
      <w:r>
        <w:rPr>
          <w:rFonts w:ascii="Times New Roman" w:eastAsia="Times New Roman" w:hAnsi="Times New Roman" w:cs="Times New Roman"/>
          <w:sz w:val="24"/>
          <w:szCs w:val="24"/>
          <w:highlight w:val="white"/>
        </w:rPr>
        <w:t xml:space="preserve"> the development and maintenance of valuable customer relationships through trust-building, commitment, </w:t>
      </w:r>
      <w:proofErr w:type="spellStart"/>
      <w:r>
        <w:rPr>
          <w:rFonts w:ascii="Times New Roman" w:eastAsia="Times New Roman" w:hAnsi="Times New Roman" w:cs="Times New Roman"/>
          <w:sz w:val="24"/>
          <w:szCs w:val="24"/>
          <w:highlight w:val="white"/>
        </w:rPr>
        <w:t>personalised</w:t>
      </w:r>
      <w:proofErr w:type="spellEnd"/>
      <w:r>
        <w:rPr>
          <w:rFonts w:ascii="Times New Roman" w:eastAsia="Times New Roman" w:hAnsi="Times New Roman" w:cs="Times New Roman"/>
          <w:sz w:val="24"/>
          <w:szCs w:val="24"/>
          <w:highlight w:val="white"/>
        </w:rPr>
        <w:t xml:space="preserve"> communication, and consistent service delivery. Recent studies indicate that relationship-oriented activities enhance customer attachment and encourage </w:t>
      </w:r>
      <w:proofErr w:type="spellStart"/>
      <w:r>
        <w:rPr>
          <w:rFonts w:ascii="Times New Roman" w:eastAsia="Times New Roman" w:hAnsi="Times New Roman" w:cs="Times New Roman"/>
          <w:sz w:val="24"/>
          <w:szCs w:val="24"/>
          <w:highlight w:val="white"/>
        </w:rPr>
        <w:t>behaviours</w:t>
      </w:r>
      <w:proofErr w:type="spellEnd"/>
      <w:r>
        <w:rPr>
          <w:rFonts w:ascii="Times New Roman" w:eastAsia="Times New Roman" w:hAnsi="Times New Roman" w:cs="Times New Roman"/>
          <w:sz w:val="24"/>
          <w:szCs w:val="24"/>
          <w:highlight w:val="white"/>
        </w:rPr>
        <w:t xml:space="preserve"> such as repeat patronage, advocacy, and continued interaction with firms (Rather, 2020; </w:t>
      </w:r>
      <w:proofErr w:type="spellStart"/>
      <w:r>
        <w:rPr>
          <w:rFonts w:ascii="Times New Roman" w:eastAsia="Times New Roman" w:hAnsi="Times New Roman" w:cs="Times New Roman"/>
          <w:sz w:val="24"/>
          <w:szCs w:val="24"/>
          <w:highlight w:val="white"/>
        </w:rPr>
        <w:t>Commey</w:t>
      </w:r>
      <w:proofErr w:type="spellEnd"/>
      <w:r>
        <w:rPr>
          <w:rFonts w:ascii="Times New Roman" w:eastAsia="Times New Roman" w:hAnsi="Times New Roman" w:cs="Times New Roman"/>
          <w:sz w:val="24"/>
          <w:szCs w:val="24"/>
          <w:highlight w:val="white"/>
        </w:rPr>
        <w:t xml:space="preserve"> &amp; Adom, 2020). Digital transformation has further expanded the scope of relationship marketing by enabling firms to collect customer information, </w:t>
      </w:r>
      <w:proofErr w:type="spellStart"/>
      <w:r>
        <w:rPr>
          <w:rFonts w:ascii="Times New Roman" w:eastAsia="Times New Roman" w:hAnsi="Times New Roman" w:cs="Times New Roman"/>
          <w:sz w:val="24"/>
          <w:szCs w:val="24"/>
          <w:highlight w:val="white"/>
        </w:rPr>
        <w:t>personalise</w:t>
      </w:r>
      <w:proofErr w:type="spellEnd"/>
      <w:r>
        <w:rPr>
          <w:rFonts w:ascii="Times New Roman" w:eastAsia="Times New Roman" w:hAnsi="Times New Roman" w:cs="Times New Roman"/>
          <w:sz w:val="24"/>
          <w:szCs w:val="24"/>
          <w:highlight w:val="white"/>
        </w:rPr>
        <w:t xml:space="preserve"> interactions, and create multiple engagement points through digital platforms (Dwivedi et al., 2021). These developments have changed customer relationships from one-way communication processes into more interactive exchanges where customers participate in value creation.</w:t>
      </w:r>
    </w:p>
    <w:p w14:paraId="6BDCBF42"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major outcome associated with effective relationship marketing is customer lifetime value (CLV). Customer lifetime value represents the economic value a customer contributes to an </w:t>
      </w:r>
      <w:proofErr w:type="spellStart"/>
      <w:r>
        <w:rPr>
          <w:rFonts w:ascii="Times New Roman" w:eastAsia="Times New Roman" w:hAnsi="Times New Roman" w:cs="Times New Roman"/>
          <w:sz w:val="24"/>
          <w:szCs w:val="24"/>
          <w:highlight w:val="white"/>
        </w:rPr>
        <w:t>organisation</w:t>
      </w:r>
      <w:proofErr w:type="spellEnd"/>
      <w:r>
        <w:rPr>
          <w:rFonts w:ascii="Times New Roman" w:eastAsia="Times New Roman" w:hAnsi="Times New Roman" w:cs="Times New Roman"/>
          <w:sz w:val="24"/>
          <w:szCs w:val="24"/>
          <w:highlight w:val="white"/>
        </w:rPr>
        <w:t xml:space="preserve"> throughout the duration of the relationship and provides firms with a forward-looking approach for evaluating customer profitability (Kumar &amp; Reinartz, 2018). Unlike short-term measures such as individual transactions or sales volume, CLV enables </w:t>
      </w:r>
      <w:proofErr w:type="spellStart"/>
      <w:r>
        <w:rPr>
          <w:rFonts w:ascii="Times New Roman" w:eastAsia="Times New Roman" w:hAnsi="Times New Roman" w:cs="Times New Roman"/>
          <w:sz w:val="24"/>
          <w:szCs w:val="24"/>
          <w:highlight w:val="white"/>
        </w:rPr>
        <w:t>organisations</w:t>
      </w:r>
      <w:proofErr w:type="spellEnd"/>
      <w:r>
        <w:rPr>
          <w:rFonts w:ascii="Times New Roman" w:eastAsia="Times New Roman" w:hAnsi="Times New Roman" w:cs="Times New Roman"/>
          <w:sz w:val="24"/>
          <w:szCs w:val="24"/>
          <w:highlight w:val="white"/>
        </w:rPr>
        <w:t xml:space="preserve"> to assess the long-term financial contribution of customers and make informed decisions regarding customer </w:t>
      </w:r>
      <w:r>
        <w:rPr>
          <w:rFonts w:ascii="Times New Roman" w:eastAsia="Times New Roman" w:hAnsi="Times New Roman" w:cs="Times New Roman"/>
          <w:sz w:val="24"/>
          <w:szCs w:val="24"/>
          <w:highlight w:val="white"/>
        </w:rPr>
        <w:lastRenderedPageBreak/>
        <w:t>retention, resource allocation, and relationship investments (Gupta &amp; Valarie, 2006). In banking, where customers often maintain long-term relationships and use multiple financial services, understanding factors that improve CLV is particularly important for achieving sustainable profitability.</w:t>
      </w:r>
    </w:p>
    <w:p w14:paraId="0EA22756"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Although relationship marketing has been widely associated with improved customer outcomes, previous studies suggest that the relationship between relational strategies and customer value creation may involve additional mechanisms. One such mechanism is customer engagement. Customer engagement refers to customers’ cognitive, emotional, and </w:t>
      </w:r>
      <w:proofErr w:type="spellStart"/>
      <w:r>
        <w:rPr>
          <w:rFonts w:ascii="Times New Roman" w:eastAsia="Times New Roman" w:hAnsi="Times New Roman" w:cs="Times New Roman"/>
          <w:sz w:val="24"/>
          <w:szCs w:val="24"/>
          <w:highlight w:val="white"/>
        </w:rPr>
        <w:t>behavioural</w:t>
      </w:r>
      <w:proofErr w:type="spellEnd"/>
      <w:r>
        <w:rPr>
          <w:rFonts w:ascii="Times New Roman" w:eastAsia="Times New Roman" w:hAnsi="Times New Roman" w:cs="Times New Roman"/>
          <w:sz w:val="24"/>
          <w:szCs w:val="24"/>
          <w:highlight w:val="white"/>
        </w:rPr>
        <w:t xml:space="preserve"> involvement in interactions with a brand or </w:t>
      </w:r>
      <w:proofErr w:type="spellStart"/>
      <w:r>
        <w:rPr>
          <w:rFonts w:ascii="Times New Roman" w:eastAsia="Times New Roman" w:hAnsi="Times New Roman" w:cs="Times New Roman"/>
          <w:sz w:val="24"/>
          <w:szCs w:val="24"/>
          <w:highlight w:val="white"/>
        </w:rPr>
        <w:t>organisation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Hollebeek</w:t>
      </w:r>
      <w:proofErr w:type="spellEnd"/>
      <w:r>
        <w:rPr>
          <w:rFonts w:ascii="Times New Roman" w:eastAsia="Times New Roman" w:hAnsi="Times New Roman" w:cs="Times New Roman"/>
          <w:sz w:val="24"/>
          <w:szCs w:val="24"/>
          <w:highlight w:val="white"/>
        </w:rPr>
        <w:t xml:space="preserve"> et al., 2019). Unlike customer satisfaction, which primarily reflects an evaluation of service performance, engagement captures active participation through feedback, advocacy, communication, and value co-creation activities (Brodie et al., 2019). Engaged customers are more likely to maintain stronger relationships with firms, participate in brand-related activities, and contribute to long-term profitability (Pereira et al., 2024).</w:t>
      </w:r>
    </w:p>
    <w:p w14:paraId="7DCBD87E"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relationship between customer engagement and customer lifetime value has received increasing attention in marketing research. Evidence suggests that engaged customers demonstrate stronger loyalty intentions, increased participation, and greater willingness to maintain relationships with service providers (</w:t>
      </w:r>
      <w:proofErr w:type="spellStart"/>
      <w:r>
        <w:rPr>
          <w:rFonts w:ascii="Times New Roman" w:eastAsia="Times New Roman" w:hAnsi="Times New Roman" w:cs="Times New Roman"/>
          <w:sz w:val="24"/>
          <w:szCs w:val="24"/>
          <w:highlight w:val="white"/>
        </w:rPr>
        <w:t>Obilo</w:t>
      </w:r>
      <w:proofErr w:type="spellEnd"/>
      <w:r>
        <w:rPr>
          <w:rFonts w:ascii="Times New Roman" w:eastAsia="Times New Roman" w:hAnsi="Times New Roman" w:cs="Times New Roman"/>
          <w:sz w:val="24"/>
          <w:szCs w:val="24"/>
          <w:highlight w:val="white"/>
        </w:rPr>
        <w:t xml:space="preserve"> et al., 2021). In digital and service environments, engagement provides </w:t>
      </w:r>
      <w:proofErr w:type="spellStart"/>
      <w:r>
        <w:rPr>
          <w:rFonts w:ascii="Times New Roman" w:eastAsia="Times New Roman" w:hAnsi="Times New Roman" w:cs="Times New Roman"/>
          <w:sz w:val="24"/>
          <w:szCs w:val="24"/>
          <w:highlight w:val="white"/>
        </w:rPr>
        <w:t>organisations</w:t>
      </w:r>
      <w:proofErr w:type="spellEnd"/>
      <w:r>
        <w:rPr>
          <w:rFonts w:ascii="Times New Roman" w:eastAsia="Times New Roman" w:hAnsi="Times New Roman" w:cs="Times New Roman"/>
          <w:sz w:val="24"/>
          <w:szCs w:val="24"/>
          <w:highlight w:val="white"/>
        </w:rPr>
        <w:t xml:space="preserve"> with opportunities to understand customer preferences, improve </w:t>
      </w:r>
      <w:proofErr w:type="spellStart"/>
      <w:r>
        <w:rPr>
          <w:rFonts w:ascii="Times New Roman" w:eastAsia="Times New Roman" w:hAnsi="Times New Roman" w:cs="Times New Roman"/>
          <w:sz w:val="24"/>
          <w:szCs w:val="24"/>
          <w:highlight w:val="white"/>
        </w:rPr>
        <w:t>personalised</w:t>
      </w:r>
      <w:proofErr w:type="spellEnd"/>
      <w:r>
        <w:rPr>
          <w:rFonts w:ascii="Times New Roman" w:eastAsia="Times New Roman" w:hAnsi="Times New Roman" w:cs="Times New Roman"/>
          <w:sz w:val="24"/>
          <w:szCs w:val="24"/>
          <w:highlight w:val="white"/>
        </w:rPr>
        <w:t xml:space="preserve"> offerings, and strengthen relational outcomes (Dwivedi et al., 2021). Consequently, customer engagement may represent the process through which relationship marketing activities are converted into measurable improvements in customer lifetime value.</w:t>
      </w:r>
    </w:p>
    <w:p w14:paraId="103D5A34"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Existing empirical studies provide support for the association between relationship marketing and customer value outcomes, but findings remain inconsistent across different contexts. For example, research has shown that trust, assurance, and relational quality contribute positively to customer retention and value creation, while other studies have reported weaker relationships between relationship marketing practices and customer outcomes in certain banking environments (</w:t>
      </w:r>
      <w:proofErr w:type="spellStart"/>
      <w:r>
        <w:rPr>
          <w:rFonts w:ascii="Times New Roman" w:eastAsia="Times New Roman" w:hAnsi="Times New Roman" w:cs="Times New Roman"/>
          <w:sz w:val="24"/>
          <w:szCs w:val="24"/>
          <w:highlight w:val="white"/>
        </w:rPr>
        <w:t>Seyedin</w:t>
      </w:r>
      <w:proofErr w:type="spellEnd"/>
      <w:r>
        <w:rPr>
          <w:rFonts w:ascii="Times New Roman" w:eastAsia="Times New Roman" w:hAnsi="Times New Roman" w:cs="Times New Roman"/>
          <w:sz w:val="24"/>
          <w:szCs w:val="24"/>
          <w:highlight w:val="white"/>
        </w:rPr>
        <w:t xml:space="preserve"> et al., 2021). These variations suggest that relationship marketing alone may not fully explain differences in customer lifetime value. Rather, the extent to which customers become actively </w:t>
      </w:r>
      <w:r>
        <w:rPr>
          <w:rFonts w:ascii="Times New Roman" w:eastAsia="Times New Roman" w:hAnsi="Times New Roman" w:cs="Times New Roman"/>
          <w:sz w:val="24"/>
          <w:szCs w:val="24"/>
          <w:highlight w:val="white"/>
        </w:rPr>
        <w:lastRenderedPageBreak/>
        <w:t xml:space="preserve">engaged with the </w:t>
      </w:r>
      <w:proofErr w:type="spellStart"/>
      <w:r>
        <w:rPr>
          <w:rFonts w:ascii="Times New Roman" w:eastAsia="Times New Roman" w:hAnsi="Times New Roman" w:cs="Times New Roman"/>
          <w:sz w:val="24"/>
          <w:szCs w:val="24"/>
          <w:highlight w:val="white"/>
        </w:rPr>
        <w:t>organisation</w:t>
      </w:r>
      <w:proofErr w:type="spellEnd"/>
      <w:r>
        <w:rPr>
          <w:rFonts w:ascii="Times New Roman" w:eastAsia="Times New Roman" w:hAnsi="Times New Roman" w:cs="Times New Roman"/>
          <w:sz w:val="24"/>
          <w:szCs w:val="24"/>
          <w:highlight w:val="white"/>
        </w:rPr>
        <w:t xml:space="preserve"> may determine whether relational investments generate stronger financial outcomes.</w:t>
      </w:r>
    </w:p>
    <w:p w14:paraId="1CBA3D42"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banking sector in Ghana provides an important context for examining these relationships. The sector has experienced increased competition arising from digital banking developments, changing customer expectations, and the growing presence of alternative financial service providers. In this environment, banks must develop strategies that extend beyond transactional efficiency and focus on creating meaningful customer relationships. However, limited empirical attention has been given to how relationship marketing influences customer lifetime value through customer engagement within Ghana’s banking environment. Existing studies have concentrated largely on developed economies and selected Asian markets, creating a need for additional evidence from emerging markets (</w:t>
      </w:r>
      <w:proofErr w:type="spellStart"/>
      <w:r>
        <w:rPr>
          <w:rFonts w:ascii="Times New Roman" w:eastAsia="Times New Roman" w:hAnsi="Times New Roman" w:cs="Times New Roman"/>
          <w:sz w:val="24"/>
          <w:szCs w:val="24"/>
          <w:highlight w:val="white"/>
        </w:rPr>
        <w:t>Opuni</w:t>
      </w:r>
      <w:proofErr w:type="spellEnd"/>
      <w:r>
        <w:rPr>
          <w:rFonts w:ascii="Times New Roman" w:eastAsia="Times New Roman" w:hAnsi="Times New Roman" w:cs="Times New Roman"/>
          <w:sz w:val="24"/>
          <w:szCs w:val="24"/>
          <w:highlight w:val="white"/>
        </w:rPr>
        <w:t>-Frimpong et al., 2025; Thein et al., 2024).</w:t>
      </w:r>
    </w:p>
    <w:p w14:paraId="2FCCC194"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study addresses this gap by examining the influence of relationship marketing on customer lifetime value while investigating the mediating role of customer engagement among customers of Consolidated Bank Ghana in the Volta Region. The study contributes to relationship marketing literature by explaining the mechanism through which relational activities generate customer value outcomes. It also provides practical insights for banking managers seeking to improve customer profitability by integrating relationship-building strategies with engagement-focused initiatives.</w:t>
      </w:r>
    </w:p>
    <w:p w14:paraId="5D2B11DF"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Based on this purpose, the study addresses three objectives: first, to examine the relationship between relationship marketing and customer lifetime value; second, to examine the relationship between customer engagement and customer lifetime value; and third, to assess the mediating role of customer engagement in the relationship between relationship marketing and customer lifetime value.</w:t>
      </w:r>
    </w:p>
    <w:p w14:paraId="58598050" w14:textId="77777777" w:rsidR="00B9060D" w:rsidRDefault="00B9060D">
      <w:pPr>
        <w:spacing w:line="360" w:lineRule="auto"/>
        <w:jc w:val="both"/>
        <w:rPr>
          <w:rFonts w:ascii="Times New Roman" w:eastAsia="Times New Roman" w:hAnsi="Times New Roman" w:cs="Times New Roman"/>
          <w:sz w:val="24"/>
          <w:szCs w:val="24"/>
          <w:highlight w:val="white"/>
        </w:rPr>
      </w:pPr>
    </w:p>
    <w:p w14:paraId="7C9C50E7" w14:textId="77777777" w:rsidR="00B9060D" w:rsidRDefault="00000000">
      <w:pPr>
        <w:spacing w:after="80" w:line="360" w:lineRule="auto"/>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Methodology</w:t>
      </w:r>
    </w:p>
    <w:p w14:paraId="13D8B7F0"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Research Design</w:t>
      </w:r>
    </w:p>
    <w:p w14:paraId="7C153C23"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study adopted an explanatory research design. Explanatory designs are appropriate when research aims to investigate relationships between variables and determine whether changes in one </w:t>
      </w:r>
      <w:r>
        <w:rPr>
          <w:rFonts w:ascii="Times New Roman" w:eastAsia="Times New Roman" w:hAnsi="Times New Roman" w:cs="Times New Roman"/>
          <w:sz w:val="24"/>
          <w:szCs w:val="24"/>
          <w:highlight w:val="white"/>
        </w:rPr>
        <w:lastRenderedPageBreak/>
        <w:t>construct are associated with changes in another construct (Saunders et al., 2019). This design supported the investigation of the direct relationship between relationship marketing and customer lifetime value, the relationship between customer engagement and customer lifetime value, and the indirect effect of relationship marketing through customer engagement.</w:t>
      </w:r>
    </w:p>
    <w:p w14:paraId="55B115A2"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cross-sectional survey strategy was applied because data were collected from respondents at a single period. Survey designs are commonly used in quantitative research where researchers seek information from a defined population through structured instruments and </w:t>
      </w:r>
      <w:proofErr w:type="spellStart"/>
      <w:r>
        <w:rPr>
          <w:rFonts w:ascii="Times New Roman" w:eastAsia="Times New Roman" w:hAnsi="Times New Roman" w:cs="Times New Roman"/>
          <w:sz w:val="24"/>
          <w:szCs w:val="24"/>
          <w:highlight w:val="white"/>
        </w:rPr>
        <w:t>analyse</w:t>
      </w:r>
      <w:proofErr w:type="spellEnd"/>
      <w:r>
        <w:rPr>
          <w:rFonts w:ascii="Times New Roman" w:eastAsia="Times New Roman" w:hAnsi="Times New Roman" w:cs="Times New Roman"/>
          <w:sz w:val="24"/>
          <w:szCs w:val="24"/>
          <w:highlight w:val="white"/>
        </w:rPr>
        <w:t xml:space="preserve"> responses statistically (Creswell &amp; Creswell, 2017). The design enabled the researcher to collect comparable responses from customers of Consolidated Bank Ghana and evaluate the proposed relationships among the study variables.</w:t>
      </w:r>
    </w:p>
    <w:p w14:paraId="0597B8B4"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Study Population and Sample</w:t>
      </w:r>
    </w:p>
    <w:p w14:paraId="2895847E"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population of the study comprised customers of Consolidated Bank Ghana (CBG) located in the Volta Region of Ghana. The choice of this population was based on the need to examine relationship marketing practices in a banking environment where customer retention and long-term value creation are important strategic concerns. The thesis identifies CBG customers in the Volta Region as the target population for examining the relationship among relationship marketing, customer engagement, and customer lifetime value.</w:t>
      </w:r>
    </w:p>
    <w:p w14:paraId="0B08AAF8"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study obtained responses from 367 customers. The sample size was determined using the </w:t>
      </w:r>
      <w:proofErr w:type="spellStart"/>
      <w:r>
        <w:rPr>
          <w:rFonts w:ascii="Times New Roman" w:eastAsia="Times New Roman" w:hAnsi="Times New Roman" w:cs="Times New Roman"/>
          <w:sz w:val="24"/>
          <w:szCs w:val="24"/>
          <w:highlight w:val="white"/>
        </w:rPr>
        <w:t>Krejcie</w:t>
      </w:r>
      <w:proofErr w:type="spellEnd"/>
      <w:r>
        <w:rPr>
          <w:rFonts w:ascii="Times New Roman" w:eastAsia="Times New Roman" w:hAnsi="Times New Roman" w:cs="Times New Roman"/>
          <w:sz w:val="24"/>
          <w:szCs w:val="24"/>
          <w:highlight w:val="white"/>
        </w:rPr>
        <w:t xml:space="preserve"> and Morgan approach, while convenience sampling was used to select respondents who were available and willing to participate. The use of convenience sampling allowed the researcher to access active bank customers who had experience with the bank’s services and relationship marketing activities. Although convenience sampling may limit statistical </w:t>
      </w:r>
      <w:proofErr w:type="spellStart"/>
      <w:r>
        <w:rPr>
          <w:rFonts w:ascii="Times New Roman" w:eastAsia="Times New Roman" w:hAnsi="Times New Roman" w:cs="Times New Roman"/>
          <w:sz w:val="24"/>
          <w:szCs w:val="24"/>
          <w:highlight w:val="white"/>
        </w:rPr>
        <w:t>generalisation</w:t>
      </w:r>
      <w:proofErr w:type="spellEnd"/>
      <w:r>
        <w:rPr>
          <w:rFonts w:ascii="Times New Roman" w:eastAsia="Times New Roman" w:hAnsi="Times New Roman" w:cs="Times New Roman"/>
          <w:sz w:val="24"/>
          <w:szCs w:val="24"/>
          <w:highlight w:val="white"/>
        </w:rPr>
        <w:t>, it remains frequently used in business research where researchers require responses from individuals with direct experience of the phenomenon being studied.</w:t>
      </w:r>
    </w:p>
    <w:p w14:paraId="6693B3B9"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Data Collection Instrument and Procedure</w:t>
      </w:r>
    </w:p>
    <w:p w14:paraId="4B62B2EC"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Primary data were collected through a structured questionnaire. The questionnaire consisted of measurement items designed to capture the three major constructs of the study: relationship marketing, customer engagement, and customer lifetime value. </w:t>
      </w:r>
    </w:p>
    <w:p w14:paraId="2476E519"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measurement items were adapted from established scales used in previous marketing studies. The questionnaire was administered to customers of Consolidated Bank Ghana who had interacted with the bank’s services and relationship-building activities. The use of validated measurement scales strengthened the consistency of measurement and improved the reliability of the collected data. The thesis confirms that validated questionnaire items were used to measure relationship marketing, customer engagement, and customer lifetime value.</w:t>
      </w:r>
    </w:p>
    <w:p w14:paraId="003FB000"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Reliability and Validity Assessment</w:t>
      </w:r>
    </w:p>
    <w:p w14:paraId="264FA128"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study assessed the reliability and validity of the measurement instrument before conducting the main analysis. Reliability assessment determines whether measurement items consistently represent the constructs they are designed to measure, while validity assessment examines whether the instrument accurately captures the intended concepts. </w:t>
      </w:r>
    </w:p>
    <w:p w14:paraId="57E63500"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Data Analysis</w:t>
      </w:r>
    </w:p>
    <w:p w14:paraId="358C3571"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Data analysis was conducted using the Statistical Package for the Social Sciences (SPSS) version 25. The analysis involved descriptive statistics, correlation analysis, multiple regression analysis, and mediation analysis. Descriptive statistics were used to </w:t>
      </w:r>
      <w:proofErr w:type="spellStart"/>
      <w:r>
        <w:rPr>
          <w:rFonts w:ascii="Times New Roman" w:eastAsia="Times New Roman" w:hAnsi="Times New Roman" w:cs="Times New Roman"/>
          <w:sz w:val="24"/>
          <w:szCs w:val="24"/>
          <w:highlight w:val="white"/>
        </w:rPr>
        <w:t>summarise</w:t>
      </w:r>
      <w:proofErr w:type="spellEnd"/>
      <w:r>
        <w:rPr>
          <w:rFonts w:ascii="Times New Roman" w:eastAsia="Times New Roman" w:hAnsi="Times New Roman" w:cs="Times New Roman"/>
          <w:sz w:val="24"/>
          <w:szCs w:val="24"/>
          <w:highlight w:val="white"/>
        </w:rPr>
        <w:t xml:space="preserve"> respondent characteristics and the general patterns of responses. Correlation analysis was applied to examine the direction and strength of relationships among the study variables.</w:t>
      </w:r>
    </w:p>
    <w:p w14:paraId="5EEAEDDD"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Multiple regression analysis was used to determine the predictive effects of relationship marketing and customer engagement on customer lifetime value. Regression analysis is suitable for examining the contribution of independent variables to variations in a dependent variable and assessing the statistical significance of proposed relationships.</w:t>
      </w:r>
    </w:p>
    <w:p w14:paraId="75B431DD"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Mediation analysis was conducted to determine whether customer engagement explains the relationship between relationship marketing and customer lifetime value. Mediation analysis examines whether the effect of an independent variable on an outcome operates through an </w:t>
      </w:r>
      <w:r>
        <w:rPr>
          <w:rFonts w:ascii="Times New Roman" w:eastAsia="Times New Roman" w:hAnsi="Times New Roman" w:cs="Times New Roman"/>
          <w:sz w:val="24"/>
          <w:szCs w:val="24"/>
          <w:highlight w:val="white"/>
        </w:rPr>
        <w:lastRenderedPageBreak/>
        <w:t>intervening variable, allowing researchers to understand the mechanism connecting two constructs (</w:t>
      </w:r>
      <w:proofErr w:type="spellStart"/>
      <w:r>
        <w:rPr>
          <w:rFonts w:ascii="Times New Roman" w:eastAsia="Times New Roman" w:hAnsi="Times New Roman" w:cs="Times New Roman"/>
          <w:sz w:val="24"/>
          <w:szCs w:val="24"/>
          <w:highlight w:val="white"/>
        </w:rPr>
        <w:t>Rijnhart</w:t>
      </w:r>
      <w:proofErr w:type="spellEnd"/>
      <w:r>
        <w:rPr>
          <w:rFonts w:ascii="Times New Roman" w:eastAsia="Times New Roman" w:hAnsi="Times New Roman" w:cs="Times New Roman"/>
          <w:sz w:val="24"/>
          <w:szCs w:val="24"/>
          <w:highlight w:val="white"/>
        </w:rPr>
        <w:t xml:space="preserve"> et al., 2021). The study applied the Baron and Kenny regression-based mediation approach to assess the direct and indirect relationships among the variables.  </w:t>
      </w:r>
    </w:p>
    <w:p w14:paraId="1CE9F1C9"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Ethical Considerations</w:t>
      </w:r>
    </w:p>
    <w:p w14:paraId="55ED614B"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Ethical principles were observed throughout the research process to protect the rights, privacy, and welfare of participants. Before data collection, respondents were informed about the purpose of the study, the nature of their participation, and their right to participate voluntarily. Informed consent was obtained from participants before administering the questionnaire, and respondents were assured that they could withdraw from the study at any stage without any consequences. Confidentiality and anonymity were maintained by ensuring that no personally identifiable information was collected or disclosed, and the data obtained were used strictly for academic purposes.</w:t>
      </w:r>
    </w:p>
    <w:p w14:paraId="0EBA59B5"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Ethical approval was not obtained from a formal institutional review board or external ethics committee because the study involved minimal risk, collected only non-sensitive information from adult bank customers, and did not involve any medical intervention, vulnerable populations, or collection of personal identifiers. However, permission to collect data was obtained from the relevant </w:t>
      </w:r>
      <w:proofErr w:type="spellStart"/>
      <w:r>
        <w:rPr>
          <w:rFonts w:ascii="Times New Roman" w:eastAsia="Times New Roman" w:hAnsi="Times New Roman" w:cs="Times New Roman"/>
          <w:sz w:val="24"/>
          <w:szCs w:val="24"/>
          <w:highlight w:val="white"/>
        </w:rPr>
        <w:t>organisational</w:t>
      </w:r>
      <w:proofErr w:type="spellEnd"/>
      <w:r>
        <w:rPr>
          <w:rFonts w:ascii="Times New Roman" w:eastAsia="Times New Roman" w:hAnsi="Times New Roman" w:cs="Times New Roman"/>
          <w:sz w:val="24"/>
          <w:szCs w:val="24"/>
          <w:highlight w:val="white"/>
        </w:rPr>
        <w:t xml:space="preserve"> authorities, and all procedures followed accepted research ethics standards for conducting survey-based studies. The researcher ensured that participation remained voluntary and that all responses were handled securely throughout the research process.</w:t>
      </w:r>
    </w:p>
    <w:p w14:paraId="1E1037F8" w14:textId="77777777" w:rsidR="00B9060D" w:rsidRDefault="00B9060D">
      <w:pPr>
        <w:spacing w:line="360" w:lineRule="auto"/>
        <w:jc w:val="both"/>
        <w:rPr>
          <w:rFonts w:ascii="Times New Roman" w:eastAsia="Times New Roman" w:hAnsi="Times New Roman" w:cs="Times New Roman"/>
          <w:sz w:val="24"/>
          <w:szCs w:val="24"/>
          <w:highlight w:val="white"/>
        </w:rPr>
      </w:pPr>
    </w:p>
    <w:p w14:paraId="6F3FD5F2" w14:textId="77777777" w:rsidR="00B9060D" w:rsidRDefault="00000000">
      <w:pPr>
        <w:spacing w:after="80" w:line="360" w:lineRule="auto"/>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Results</w:t>
      </w:r>
    </w:p>
    <w:p w14:paraId="7EFF8F3C"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Respondents’ Characteristics</w:t>
      </w:r>
    </w:p>
    <w:p w14:paraId="2D26E769"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total of 367 completed questionnaires were included in the analysis. The demographic profile of respondents was assessed based on gender, age, and educational background. The distribution shows that male respondents constituted 54.8% of the sample, while female respondents represented 45.2%. Regarding age, most respondents were between 30 and 39 years (57.0%), followed by those aged 20–29 years (26.4%) and respondents aged 40 years and above (16.6%). </w:t>
      </w:r>
      <w:r>
        <w:rPr>
          <w:rFonts w:ascii="Times New Roman" w:eastAsia="Times New Roman" w:hAnsi="Times New Roman" w:cs="Times New Roman"/>
          <w:sz w:val="24"/>
          <w:szCs w:val="24"/>
          <w:highlight w:val="white"/>
        </w:rPr>
        <w:lastRenderedPageBreak/>
        <w:t>In terms of educational attainment, respondents with degree qualifications formed the largest group (43.0%), followed closely by those with master’s degrees (42.8%). Respondents with HND qualifications accounted for 12.0%, while those with PhD qualifications represented 2.2% of the sample.</w:t>
      </w:r>
    </w:p>
    <w:p w14:paraId="48886F4D" w14:textId="77777777" w:rsidR="00B9060D" w:rsidRDefault="00000000">
      <w:pPr>
        <w:spacing w:before="240" w:after="240" w:line="36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Table 1: Demographic Characteristics of Respondents</w:t>
      </w:r>
    </w:p>
    <w:tbl>
      <w:tblPr>
        <w:tblStyle w:val="a8"/>
        <w:tblW w:w="64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05"/>
        <w:gridCol w:w="2075"/>
        <w:gridCol w:w="1325"/>
        <w:gridCol w:w="1820"/>
      </w:tblGrid>
      <w:tr w:rsidR="00B9060D" w14:paraId="2B76C075"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22B3BE"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Variable</w:t>
            </w: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56408A"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Category</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F6B0AA"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Frequency</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E47559"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Percentage (%)</w:t>
            </w:r>
          </w:p>
        </w:tc>
      </w:tr>
      <w:tr w:rsidR="00B9060D" w14:paraId="0DBFB2A9"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C21C4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Gender</w:t>
            </w: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C3861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Male</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FCFAD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2F46E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54.8</w:t>
            </w:r>
          </w:p>
        </w:tc>
      </w:tr>
      <w:tr w:rsidR="00B9060D" w14:paraId="4A6C8A9A"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35AD5A"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481E4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Female</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BDDA4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166</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6AAC9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45.2</w:t>
            </w:r>
          </w:p>
        </w:tc>
      </w:tr>
      <w:tr w:rsidR="00B9060D" w14:paraId="2FFDF91C"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0E1D0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Age</w:t>
            </w: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7D2CCD"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Less than 20 years</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2C8D5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37066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w:t>
            </w:r>
          </w:p>
        </w:tc>
      </w:tr>
      <w:tr w:rsidR="00B9060D" w14:paraId="5BB9A1D7"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4A7087"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CBBE3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20–29 years</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4D0F4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97</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502C2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26.4</w:t>
            </w:r>
          </w:p>
        </w:tc>
      </w:tr>
      <w:tr w:rsidR="00B9060D" w14:paraId="5BD3D2E0"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829A41"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64B80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30–39 years</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F5E87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209</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E344D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57.0</w:t>
            </w:r>
          </w:p>
        </w:tc>
      </w:tr>
      <w:tr w:rsidR="00B9060D" w14:paraId="2F59198D"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4DCA1E"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4FCC9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40 years and above</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67D78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61</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C5264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16.6</w:t>
            </w:r>
          </w:p>
        </w:tc>
      </w:tr>
      <w:tr w:rsidR="00B9060D" w14:paraId="45D1512C"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3607D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Education</w:t>
            </w: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D6D5B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HND</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D1797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44</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2D959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12.0</w:t>
            </w:r>
          </w:p>
        </w:tc>
      </w:tr>
      <w:tr w:rsidR="00B9060D" w14:paraId="2E4BD032"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23D41D"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8D08D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Degree</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98212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158</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3DA0B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43.0</w:t>
            </w:r>
          </w:p>
        </w:tc>
      </w:tr>
      <w:tr w:rsidR="00B9060D" w14:paraId="127C1198"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7ED2BA"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66E4C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Master’s</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62F9B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157</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12921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42.8</w:t>
            </w:r>
          </w:p>
        </w:tc>
      </w:tr>
      <w:tr w:rsidR="00B9060D" w14:paraId="23DF1E4E"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BBAA64"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84A4A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PhD</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AE85B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4BD961"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2.2</w:t>
            </w:r>
          </w:p>
        </w:tc>
      </w:tr>
      <w:tr w:rsidR="00B9060D" w14:paraId="685FA7B4" w14:textId="77777777">
        <w:trPr>
          <w:trHeight w:val="515"/>
        </w:trPr>
        <w:tc>
          <w:tcPr>
            <w:tcW w:w="12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9A556D"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20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CC0E3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Total</w:t>
            </w:r>
          </w:p>
        </w:tc>
        <w:tc>
          <w:tcPr>
            <w:tcW w:w="13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492E3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367</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7FBC18"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100</w:t>
            </w:r>
          </w:p>
        </w:tc>
      </w:tr>
    </w:tbl>
    <w:p w14:paraId="38B18D11" w14:textId="77777777" w:rsidR="00B9060D" w:rsidRDefault="00B9060D">
      <w:pPr>
        <w:spacing w:before="240" w:after="240" w:line="360" w:lineRule="auto"/>
        <w:jc w:val="both"/>
        <w:rPr>
          <w:rFonts w:ascii="Times New Roman" w:eastAsia="Times New Roman" w:hAnsi="Times New Roman" w:cs="Times New Roman"/>
          <w:sz w:val="24"/>
          <w:szCs w:val="24"/>
          <w:highlight w:val="white"/>
        </w:rPr>
      </w:pPr>
    </w:p>
    <w:p w14:paraId="0E7D9581"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Measurement Model Assessment</w:t>
      </w:r>
    </w:p>
    <w:p w14:paraId="02DD1E8E"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The reliability and validity of the measurement scales were assessed before conducting the regression analyses. Factor loadings, Cronbach’s alpha coefficients, the Kaiser–Meyer–Olkin (KMO) measure, and Bartlett’s test of sphericity were examined to determine the adequacy of the constructs.</w:t>
      </w:r>
    </w:p>
    <w:p w14:paraId="77E9D2E6"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factor loadings for relationship marketing ranged from 0.677 to 0.817, with a Cronbach’s alpha value of 0.798. Customer engagement recorded factor loadings ranging from 0.537 to 0.809 and a Cronbach’s alpha value of 0.824. Customer lifetime value recorded factor loadings between 0.560 and 0.733, with a Cronbach’s alpha coefficient of 0.811. The KMO value was 0.743, while Bartlett’s test of sphericity was statistically significant (χ² = 4135.016, </w:t>
      </w:r>
      <w:proofErr w:type="spellStart"/>
      <w:r>
        <w:rPr>
          <w:rFonts w:ascii="Times New Roman" w:eastAsia="Times New Roman" w:hAnsi="Times New Roman" w:cs="Times New Roman"/>
          <w:sz w:val="24"/>
          <w:szCs w:val="24"/>
          <w:highlight w:val="white"/>
        </w:rPr>
        <w:t>df</w:t>
      </w:r>
      <w:proofErr w:type="spellEnd"/>
      <w:r>
        <w:rPr>
          <w:rFonts w:ascii="Times New Roman" w:eastAsia="Times New Roman" w:hAnsi="Times New Roman" w:cs="Times New Roman"/>
          <w:sz w:val="24"/>
          <w:szCs w:val="24"/>
          <w:highlight w:val="white"/>
        </w:rPr>
        <w:t xml:space="preserve"> = 171, p &lt; 0.001), indicating that the data were suitable for further statistical analysis.</w:t>
      </w:r>
    </w:p>
    <w:p w14:paraId="604CACED" w14:textId="77777777" w:rsidR="00B9060D" w:rsidRDefault="00000000">
      <w:pPr>
        <w:spacing w:before="240" w:after="240" w:line="36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Table 2: Reliability and Validity Assessment</w:t>
      </w:r>
    </w:p>
    <w:tbl>
      <w:tblPr>
        <w:tblStyle w:val="a9"/>
        <w:tblW w:w="92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45"/>
        <w:gridCol w:w="1970"/>
        <w:gridCol w:w="2525"/>
        <w:gridCol w:w="2090"/>
      </w:tblGrid>
      <w:tr w:rsidR="00B9060D" w14:paraId="06F43FAF" w14:textId="77777777">
        <w:trPr>
          <w:trHeight w:val="515"/>
        </w:trPr>
        <w:tc>
          <w:tcPr>
            <w:tcW w:w="26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92FC1A"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Construct</w:t>
            </w:r>
          </w:p>
        </w:tc>
        <w:tc>
          <w:tcPr>
            <w:tcW w:w="19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DE62E3"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Number of Items</w:t>
            </w:r>
          </w:p>
        </w:tc>
        <w:tc>
          <w:tcPr>
            <w:tcW w:w="25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84789B"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Factor Loading Range</w:t>
            </w:r>
          </w:p>
        </w:tc>
        <w:tc>
          <w:tcPr>
            <w:tcW w:w="20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13997E"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Cronbach’s Alpha</w:t>
            </w:r>
          </w:p>
        </w:tc>
      </w:tr>
      <w:tr w:rsidR="00B9060D" w14:paraId="762CD17E" w14:textId="77777777">
        <w:trPr>
          <w:trHeight w:val="515"/>
        </w:trPr>
        <w:tc>
          <w:tcPr>
            <w:tcW w:w="26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3BC5E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Relationship Marketing</w:t>
            </w:r>
          </w:p>
        </w:tc>
        <w:tc>
          <w:tcPr>
            <w:tcW w:w="19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2545D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w:t>
            </w:r>
          </w:p>
        </w:tc>
        <w:tc>
          <w:tcPr>
            <w:tcW w:w="25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F5A8D8"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0.677–0.817</w:t>
            </w:r>
          </w:p>
        </w:tc>
        <w:tc>
          <w:tcPr>
            <w:tcW w:w="20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5B287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0.798</w:t>
            </w:r>
          </w:p>
        </w:tc>
      </w:tr>
      <w:tr w:rsidR="00B9060D" w14:paraId="1F8D2AA9" w14:textId="77777777">
        <w:trPr>
          <w:trHeight w:val="515"/>
        </w:trPr>
        <w:tc>
          <w:tcPr>
            <w:tcW w:w="26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6DD4A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Customer Engagement</w:t>
            </w:r>
          </w:p>
        </w:tc>
        <w:tc>
          <w:tcPr>
            <w:tcW w:w="19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8494B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w:t>
            </w:r>
          </w:p>
        </w:tc>
        <w:tc>
          <w:tcPr>
            <w:tcW w:w="25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4AF0B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0.537–0.809</w:t>
            </w:r>
          </w:p>
        </w:tc>
        <w:tc>
          <w:tcPr>
            <w:tcW w:w="20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01CFC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0.824</w:t>
            </w:r>
          </w:p>
        </w:tc>
      </w:tr>
      <w:tr w:rsidR="00B9060D" w14:paraId="6466F13F" w14:textId="77777777">
        <w:trPr>
          <w:trHeight w:val="515"/>
        </w:trPr>
        <w:tc>
          <w:tcPr>
            <w:tcW w:w="26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AA6AA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Customer Lifetime Value</w:t>
            </w:r>
          </w:p>
        </w:tc>
        <w:tc>
          <w:tcPr>
            <w:tcW w:w="19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CACA5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w:t>
            </w:r>
          </w:p>
        </w:tc>
        <w:tc>
          <w:tcPr>
            <w:tcW w:w="25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C1F3A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0.560–0.733</w:t>
            </w:r>
          </w:p>
        </w:tc>
        <w:tc>
          <w:tcPr>
            <w:tcW w:w="20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AD2B6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0.811</w:t>
            </w:r>
          </w:p>
        </w:tc>
      </w:tr>
    </w:tbl>
    <w:p w14:paraId="5C41EE21" w14:textId="77777777" w:rsidR="00B9060D" w:rsidRDefault="00B9060D">
      <w:pPr>
        <w:spacing w:line="360" w:lineRule="auto"/>
        <w:jc w:val="both"/>
        <w:rPr>
          <w:rFonts w:ascii="Times New Roman" w:eastAsia="Times New Roman" w:hAnsi="Times New Roman" w:cs="Times New Roman"/>
          <w:sz w:val="24"/>
          <w:szCs w:val="24"/>
          <w:highlight w:val="white"/>
        </w:rPr>
      </w:pPr>
    </w:p>
    <w:tbl>
      <w:tblPr>
        <w:tblStyle w:val="aa"/>
        <w:tblW w:w="33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95"/>
        <w:gridCol w:w="1130"/>
      </w:tblGrid>
      <w:tr w:rsidR="00B9060D" w14:paraId="746F6EDB" w14:textId="77777777">
        <w:trPr>
          <w:trHeight w:val="515"/>
        </w:trPr>
        <w:tc>
          <w:tcPr>
            <w:tcW w:w="21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594592"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Measure</w:t>
            </w:r>
          </w:p>
        </w:tc>
        <w:tc>
          <w:tcPr>
            <w:tcW w:w="1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CEED39"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Value</w:t>
            </w:r>
          </w:p>
        </w:tc>
      </w:tr>
      <w:tr w:rsidR="00B9060D" w14:paraId="3A6C6769" w14:textId="77777777">
        <w:trPr>
          <w:trHeight w:val="515"/>
        </w:trPr>
        <w:tc>
          <w:tcPr>
            <w:tcW w:w="21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FCCEE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KMO</w:t>
            </w:r>
          </w:p>
        </w:tc>
        <w:tc>
          <w:tcPr>
            <w:tcW w:w="1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996961"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0.743</w:t>
            </w:r>
          </w:p>
        </w:tc>
      </w:tr>
      <w:tr w:rsidR="00B9060D" w14:paraId="3F1EEBA9" w14:textId="77777777">
        <w:trPr>
          <w:trHeight w:val="515"/>
        </w:trPr>
        <w:tc>
          <w:tcPr>
            <w:tcW w:w="21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C7F15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Bartlett’s Test χ²</w:t>
            </w:r>
          </w:p>
        </w:tc>
        <w:tc>
          <w:tcPr>
            <w:tcW w:w="1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81D03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4135.016</w:t>
            </w:r>
          </w:p>
        </w:tc>
      </w:tr>
      <w:tr w:rsidR="00B9060D" w14:paraId="039C08F4" w14:textId="77777777">
        <w:trPr>
          <w:trHeight w:val="515"/>
        </w:trPr>
        <w:tc>
          <w:tcPr>
            <w:tcW w:w="21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43861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Degrees of Freedom</w:t>
            </w:r>
          </w:p>
        </w:tc>
        <w:tc>
          <w:tcPr>
            <w:tcW w:w="1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7BF61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171</w:t>
            </w:r>
          </w:p>
        </w:tc>
      </w:tr>
      <w:tr w:rsidR="00B9060D" w14:paraId="32E76A39" w14:textId="77777777">
        <w:trPr>
          <w:trHeight w:val="515"/>
        </w:trPr>
        <w:tc>
          <w:tcPr>
            <w:tcW w:w="21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10282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Significance</w:t>
            </w:r>
          </w:p>
        </w:tc>
        <w:tc>
          <w:tcPr>
            <w:tcW w:w="1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E0F36D"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&lt;0.001</w:t>
            </w:r>
          </w:p>
        </w:tc>
      </w:tr>
    </w:tbl>
    <w:p w14:paraId="72E2ED70" w14:textId="77777777" w:rsidR="00B9060D" w:rsidRDefault="00B9060D">
      <w:pPr>
        <w:spacing w:line="360" w:lineRule="auto"/>
        <w:jc w:val="both"/>
        <w:rPr>
          <w:rFonts w:ascii="Times New Roman" w:eastAsia="Times New Roman" w:hAnsi="Times New Roman" w:cs="Times New Roman"/>
          <w:sz w:val="24"/>
          <w:szCs w:val="24"/>
          <w:highlight w:val="white"/>
        </w:rPr>
      </w:pPr>
    </w:p>
    <w:p w14:paraId="06BBCEA3"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Descriptive Statistics</w:t>
      </w:r>
    </w:p>
    <w:p w14:paraId="6DF2FAE2"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Descriptive statistics were conducted to examine respondents’ perceptions of the three study constructs. All variables were measured using a five-point Likert scale. Relationship marketing recorded the highest mean score (M = 4.063, SD = 0.93513), followed by customer engagement (M = 4.040, SD = 0.66460). Customer lifetime value recorded a mean score of 3.787 (SD = 0.77561).</w:t>
      </w:r>
    </w:p>
    <w:p w14:paraId="1D8FAEBC" w14:textId="77777777" w:rsidR="00B9060D" w:rsidRDefault="00000000">
      <w:pPr>
        <w:spacing w:before="240" w:after="240" w:line="36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Table 3: Descriptive Statistics of Study Variables</w:t>
      </w:r>
    </w:p>
    <w:tbl>
      <w:tblPr>
        <w:tblStyle w:val="ab"/>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45"/>
        <w:gridCol w:w="590"/>
        <w:gridCol w:w="815"/>
        <w:gridCol w:w="2240"/>
        <w:gridCol w:w="1250"/>
        <w:gridCol w:w="1295"/>
      </w:tblGrid>
      <w:tr w:rsidR="00B9060D" w14:paraId="110206BB" w14:textId="77777777">
        <w:trPr>
          <w:trHeight w:val="515"/>
        </w:trPr>
        <w:tc>
          <w:tcPr>
            <w:tcW w:w="26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2F14E0"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Variable</w:t>
            </w:r>
          </w:p>
        </w:tc>
        <w:tc>
          <w:tcPr>
            <w:tcW w:w="5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40A028"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N</w:t>
            </w:r>
          </w:p>
        </w:tc>
        <w:tc>
          <w:tcPr>
            <w:tcW w:w="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4CDCA6"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Mean</w:t>
            </w:r>
          </w:p>
        </w:tc>
        <w:tc>
          <w:tcPr>
            <w:tcW w:w="22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9960A"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Standard Deviation</w:t>
            </w:r>
          </w:p>
        </w:tc>
        <w:tc>
          <w:tcPr>
            <w:tcW w:w="1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BDA6EC"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Minimum</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B96270"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Maximum</w:t>
            </w:r>
          </w:p>
        </w:tc>
      </w:tr>
      <w:tr w:rsidR="00B9060D" w14:paraId="595A1A72" w14:textId="77777777">
        <w:trPr>
          <w:trHeight w:val="515"/>
        </w:trPr>
        <w:tc>
          <w:tcPr>
            <w:tcW w:w="26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C9011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Relationship Marketing</w:t>
            </w:r>
          </w:p>
        </w:tc>
        <w:tc>
          <w:tcPr>
            <w:tcW w:w="5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3AFC85"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367</w:t>
            </w:r>
          </w:p>
        </w:tc>
        <w:tc>
          <w:tcPr>
            <w:tcW w:w="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F66ED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4.063</w:t>
            </w:r>
          </w:p>
        </w:tc>
        <w:tc>
          <w:tcPr>
            <w:tcW w:w="22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081611"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0.93513</w:t>
            </w:r>
          </w:p>
        </w:tc>
        <w:tc>
          <w:tcPr>
            <w:tcW w:w="1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432E5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56A73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w:t>
            </w:r>
          </w:p>
        </w:tc>
      </w:tr>
      <w:tr w:rsidR="00B9060D" w14:paraId="6F29B794" w14:textId="77777777">
        <w:trPr>
          <w:trHeight w:val="515"/>
        </w:trPr>
        <w:tc>
          <w:tcPr>
            <w:tcW w:w="26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B57CB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Customer Engagement</w:t>
            </w:r>
          </w:p>
        </w:tc>
        <w:tc>
          <w:tcPr>
            <w:tcW w:w="5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7E4CD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367</w:t>
            </w:r>
          </w:p>
        </w:tc>
        <w:tc>
          <w:tcPr>
            <w:tcW w:w="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570F0D"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4.040</w:t>
            </w:r>
          </w:p>
        </w:tc>
        <w:tc>
          <w:tcPr>
            <w:tcW w:w="22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E9470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0.66460</w:t>
            </w:r>
          </w:p>
        </w:tc>
        <w:tc>
          <w:tcPr>
            <w:tcW w:w="1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57BC21"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D901E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w:t>
            </w:r>
          </w:p>
        </w:tc>
      </w:tr>
      <w:tr w:rsidR="00B9060D" w14:paraId="300E9DFD" w14:textId="77777777">
        <w:trPr>
          <w:trHeight w:val="515"/>
        </w:trPr>
        <w:tc>
          <w:tcPr>
            <w:tcW w:w="26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74945D"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Customer Lifetime Value</w:t>
            </w:r>
          </w:p>
        </w:tc>
        <w:tc>
          <w:tcPr>
            <w:tcW w:w="5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6C875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367</w:t>
            </w:r>
          </w:p>
        </w:tc>
        <w:tc>
          <w:tcPr>
            <w:tcW w:w="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908FA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3.787</w:t>
            </w:r>
          </w:p>
        </w:tc>
        <w:tc>
          <w:tcPr>
            <w:tcW w:w="22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E420A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0.77561</w:t>
            </w:r>
          </w:p>
        </w:tc>
        <w:tc>
          <w:tcPr>
            <w:tcW w:w="1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C6AEB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28A35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w:t>
            </w:r>
          </w:p>
        </w:tc>
      </w:tr>
    </w:tbl>
    <w:p w14:paraId="3BCFCFE6" w14:textId="77777777" w:rsidR="00B9060D" w:rsidRDefault="00B9060D">
      <w:pPr>
        <w:pStyle w:val="Heading3"/>
        <w:keepNext w:val="0"/>
        <w:keepLines w:val="0"/>
        <w:spacing w:before="280" w:line="360" w:lineRule="auto"/>
        <w:jc w:val="both"/>
        <w:rPr>
          <w:rFonts w:ascii="Times New Roman" w:eastAsia="Times New Roman" w:hAnsi="Times New Roman" w:cs="Times New Roman"/>
          <w:b/>
          <w:bCs/>
          <w:color w:val="000000"/>
          <w:sz w:val="26"/>
          <w:szCs w:val="26"/>
          <w:highlight w:val="white"/>
        </w:rPr>
      </w:pPr>
      <w:bookmarkStart w:id="0" w:name="_heading=h.to3z1j1dbcu8" w:colFirst="0" w:colLast="0"/>
      <w:bookmarkEnd w:id="0"/>
    </w:p>
    <w:p w14:paraId="2E676DFE"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Correlation Analysis</w:t>
      </w:r>
    </w:p>
    <w:p w14:paraId="50F36F08"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correlation analysis examined relationships among demographic variables, relationship marketing, customer engagement, and customer lifetime value. The results show a positive association between relationship marketing and customer engagement (r = 0.587). Relationship marketing also demonstrated a positive relationship with customer lifetime value (r = 0.168), while customer engagement showed a positive relationship with customer lifetime value (r = 0.249).</w:t>
      </w:r>
    </w:p>
    <w:p w14:paraId="25F763DE" w14:textId="77777777" w:rsidR="00B9060D" w:rsidRDefault="00000000">
      <w:pPr>
        <w:spacing w:before="240" w:after="240" w:line="36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Table 4: Correlation Matrix</w:t>
      </w:r>
    </w:p>
    <w:tbl>
      <w:tblPr>
        <w:tblStyle w:val="ac"/>
        <w:tblW w:w="73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85"/>
        <w:gridCol w:w="845"/>
        <w:gridCol w:w="845"/>
        <w:gridCol w:w="845"/>
        <w:gridCol w:w="770"/>
        <w:gridCol w:w="770"/>
        <w:gridCol w:w="350"/>
      </w:tblGrid>
      <w:tr w:rsidR="00B9060D" w14:paraId="2DC3826D" w14:textId="77777777">
        <w:trPr>
          <w:trHeight w:val="515"/>
        </w:trPr>
        <w:tc>
          <w:tcPr>
            <w:tcW w:w="2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BF0CF3"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Variable</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607CD4"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1</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A18D7B"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2</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BD97ED"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3</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7A3CAF"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4</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76DA65"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5</w:t>
            </w:r>
          </w:p>
        </w:tc>
        <w:tc>
          <w:tcPr>
            <w:tcW w:w="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A51FD8"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6</w:t>
            </w:r>
          </w:p>
        </w:tc>
      </w:tr>
      <w:tr w:rsidR="00B9060D" w14:paraId="5E673C55" w14:textId="77777777">
        <w:trPr>
          <w:trHeight w:val="515"/>
        </w:trPr>
        <w:tc>
          <w:tcPr>
            <w:tcW w:w="2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6F6B1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Gender</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6BFC85"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C31F69"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98AF40"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87F542"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D8A8A3"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CA4FE1" w14:textId="77777777" w:rsidR="00B9060D" w:rsidRDefault="00B9060D">
            <w:pPr>
              <w:spacing w:line="360" w:lineRule="auto"/>
              <w:jc w:val="both"/>
              <w:rPr>
                <w:rFonts w:ascii="Times New Roman" w:eastAsia="Times New Roman" w:hAnsi="Times New Roman" w:cs="Times New Roman"/>
                <w:sz w:val="24"/>
                <w:szCs w:val="24"/>
                <w:highlight w:val="white"/>
              </w:rPr>
            </w:pPr>
          </w:p>
        </w:tc>
      </w:tr>
      <w:tr w:rsidR="00B9060D" w14:paraId="3A6307E4" w14:textId="77777777">
        <w:trPr>
          <w:trHeight w:val="515"/>
        </w:trPr>
        <w:tc>
          <w:tcPr>
            <w:tcW w:w="2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8281A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2. Age</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B5291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-0.175</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F6BC2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9E4CF0"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FA6250"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9A69B5"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D62C02" w14:textId="77777777" w:rsidR="00B9060D" w:rsidRDefault="00B9060D">
            <w:pPr>
              <w:spacing w:line="360" w:lineRule="auto"/>
              <w:jc w:val="both"/>
              <w:rPr>
                <w:rFonts w:ascii="Times New Roman" w:eastAsia="Times New Roman" w:hAnsi="Times New Roman" w:cs="Times New Roman"/>
                <w:sz w:val="24"/>
                <w:szCs w:val="24"/>
                <w:highlight w:val="white"/>
              </w:rPr>
            </w:pPr>
          </w:p>
        </w:tc>
      </w:tr>
      <w:tr w:rsidR="00B9060D" w14:paraId="7DC74996" w14:textId="77777777">
        <w:trPr>
          <w:trHeight w:val="515"/>
        </w:trPr>
        <w:tc>
          <w:tcPr>
            <w:tcW w:w="2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32946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Education</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737CA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-0.179</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81A84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0.021</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205EB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DE668C"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11016B"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7049AD" w14:textId="77777777" w:rsidR="00B9060D" w:rsidRDefault="00B9060D">
            <w:pPr>
              <w:spacing w:line="360" w:lineRule="auto"/>
              <w:jc w:val="both"/>
              <w:rPr>
                <w:rFonts w:ascii="Times New Roman" w:eastAsia="Times New Roman" w:hAnsi="Times New Roman" w:cs="Times New Roman"/>
                <w:sz w:val="24"/>
                <w:szCs w:val="24"/>
                <w:highlight w:val="white"/>
              </w:rPr>
            </w:pPr>
          </w:p>
        </w:tc>
      </w:tr>
      <w:tr w:rsidR="00B9060D" w14:paraId="1C6E3C16" w14:textId="77777777">
        <w:trPr>
          <w:trHeight w:val="515"/>
        </w:trPr>
        <w:tc>
          <w:tcPr>
            <w:tcW w:w="2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5EF43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Relationship Marketing</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CC554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-0.040</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F0301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0.129</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722ED5"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0.029</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7B95F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3516DA" w14:textId="77777777" w:rsidR="00B9060D" w:rsidRDefault="00B9060D">
            <w:pPr>
              <w:spacing w:line="360" w:lineRule="auto"/>
              <w:jc w:val="both"/>
              <w:rPr>
                <w:rFonts w:ascii="Times New Roman" w:eastAsia="Times New Roman" w:hAnsi="Times New Roman" w:cs="Times New Roman"/>
                <w:sz w:val="24"/>
                <w:szCs w:val="24"/>
                <w:highlight w:val="white"/>
              </w:rPr>
            </w:pPr>
          </w:p>
        </w:tc>
        <w:tc>
          <w:tcPr>
            <w:tcW w:w="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A4ED0" w14:textId="77777777" w:rsidR="00B9060D" w:rsidRDefault="00B9060D">
            <w:pPr>
              <w:spacing w:line="360" w:lineRule="auto"/>
              <w:jc w:val="both"/>
              <w:rPr>
                <w:rFonts w:ascii="Times New Roman" w:eastAsia="Times New Roman" w:hAnsi="Times New Roman" w:cs="Times New Roman"/>
                <w:sz w:val="24"/>
                <w:szCs w:val="24"/>
                <w:highlight w:val="white"/>
              </w:rPr>
            </w:pPr>
          </w:p>
        </w:tc>
      </w:tr>
      <w:tr w:rsidR="00B9060D" w14:paraId="64B0F0B5" w14:textId="77777777">
        <w:trPr>
          <w:trHeight w:val="515"/>
        </w:trPr>
        <w:tc>
          <w:tcPr>
            <w:tcW w:w="2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03C62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Customer Engagement</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D5757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-0.102</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0787D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0.198</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F3B68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-0.058</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AEF878"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0.587</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7EE4B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c>
          <w:tcPr>
            <w:tcW w:w="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1A1BFF" w14:textId="77777777" w:rsidR="00B9060D" w:rsidRDefault="00B9060D">
            <w:pPr>
              <w:spacing w:line="360" w:lineRule="auto"/>
              <w:jc w:val="both"/>
              <w:rPr>
                <w:rFonts w:ascii="Times New Roman" w:eastAsia="Times New Roman" w:hAnsi="Times New Roman" w:cs="Times New Roman"/>
                <w:sz w:val="24"/>
                <w:szCs w:val="24"/>
                <w:highlight w:val="white"/>
              </w:rPr>
            </w:pPr>
          </w:p>
        </w:tc>
      </w:tr>
      <w:tr w:rsidR="00B9060D" w14:paraId="211CF88F" w14:textId="77777777">
        <w:trPr>
          <w:trHeight w:val="515"/>
        </w:trPr>
        <w:tc>
          <w:tcPr>
            <w:tcW w:w="2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0F3F3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Customer Lifetime Value</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FA388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0.196</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56F7B1"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-0.061</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69360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-0.152</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4AF75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0.168</w:t>
            </w:r>
          </w:p>
        </w:tc>
        <w:tc>
          <w:tcPr>
            <w:tcW w:w="7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FEEEE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0.249</w:t>
            </w:r>
          </w:p>
        </w:tc>
        <w:tc>
          <w:tcPr>
            <w:tcW w:w="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1F5C18"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p>
        </w:tc>
      </w:tr>
    </w:tbl>
    <w:p w14:paraId="6F7858E4" w14:textId="77777777" w:rsidR="00B9060D" w:rsidRDefault="00B9060D">
      <w:pPr>
        <w:pStyle w:val="Heading3"/>
        <w:keepNext w:val="0"/>
        <w:keepLines w:val="0"/>
        <w:spacing w:before="280" w:line="360" w:lineRule="auto"/>
        <w:jc w:val="both"/>
        <w:rPr>
          <w:rFonts w:ascii="Times New Roman" w:eastAsia="Times New Roman" w:hAnsi="Times New Roman" w:cs="Times New Roman"/>
          <w:b/>
          <w:bCs/>
          <w:color w:val="000000"/>
          <w:sz w:val="26"/>
          <w:szCs w:val="26"/>
          <w:highlight w:val="white"/>
        </w:rPr>
      </w:pPr>
      <w:bookmarkStart w:id="1" w:name="_heading=h.kphqiki08ta6" w:colFirst="0" w:colLast="0"/>
      <w:bookmarkEnd w:id="1"/>
    </w:p>
    <w:p w14:paraId="76F725F3"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Regression Analysis</w:t>
      </w:r>
    </w:p>
    <w:p w14:paraId="0277D6B0" w14:textId="77777777" w:rsidR="00B9060D" w:rsidRDefault="00000000">
      <w:pPr>
        <w:spacing w:before="240" w:after="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Relationship Between Relationship Marketing and Customer Lifetime Value</w:t>
      </w:r>
    </w:p>
    <w:p w14:paraId="4A73D7B5"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multiple regression analysis was conducted to determine whether relationship marketing predicts customer lifetime value while controlling for demographic characteristics. The results indicate that relationship marketing has a positive and statistically significant effect on customer lifetime value (β = 0.154, t = 3.668, p &lt; 0.001). The overall regression model was significant (F = 8.666), explaining 8.7% of the variance in customer lifetime value (R² = 0.087).</w:t>
      </w:r>
    </w:p>
    <w:p w14:paraId="59271651" w14:textId="77777777" w:rsidR="00B9060D" w:rsidRDefault="00000000">
      <w:pPr>
        <w:spacing w:before="240" w:after="240" w:line="36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Table 5: Regression Results: Relationship Marketing Predicting Customer Lifetime Value</w:t>
      </w:r>
    </w:p>
    <w:tbl>
      <w:tblPr>
        <w:tblStyle w:val="ad"/>
        <w:tblW w:w="71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10"/>
        <w:gridCol w:w="845"/>
        <w:gridCol w:w="1850"/>
        <w:gridCol w:w="935"/>
        <w:gridCol w:w="995"/>
      </w:tblGrid>
      <w:tr w:rsidR="00B9060D" w14:paraId="3263DEB4"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9010EB"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Predictor</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E5EBFF"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β</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9B93AB"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Standard Error</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7CCEAD"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t-value</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11AE99"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p-value</w:t>
            </w:r>
          </w:p>
        </w:tc>
      </w:tr>
      <w:tr w:rsidR="00B9060D" w14:paraId="6F5EC876"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635EE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Gender</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3DAB8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0.268</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E91B9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0.081</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D3BA9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3.323</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A9BA5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0.001</w:t>
            </w:r>
          </w:p>
        </w:tc>
      </w:tr>
      <w:tr w:rsidR="00B9060D" w14:paraId="6AC47A41"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3D58C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Age</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843C6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-0.062</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0D773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0.061</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A4076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-1.018</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BC9C48"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0.309</w:t>
            </w:r>
          </w:p>
        </w:tc>
      </w:tr>
      <w:tr w:rsidR="00B9060D" w14:paraId="56377989"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92F27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Education</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6BC95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-0.136</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18FFB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0.055</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166D1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-2.461</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63D6E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0.014</w:t>
            </w:r>
          </w:p>
        </w:tc>
      </w:tr>
      <w:tr w:rsidR="00B9060D" w14:paraId="0D2D4412"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3E6A0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Relationship Marketing</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75EED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0.154</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58DB0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0.042</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D7F12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3.668</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4BACB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&lt;0.001</w:t>
            </w:r>
          </w:p>
        </w:tc>
      </w:tr>
    </w:tbl>
    <w:p w14:paraId="1C990F61"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Model statistics: F = 8.666; R² = 0.087.</w:t>
      </w:r>
    </w:p>
    <w:p w14:paraId="36EFAF7D" w14:textId="77777777" w:rsidR="00B9060D" w:rsidRDefault="00000000">
      <w:pPr>
        <w:spacing w:before="240" w:after="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Relationship Between Customer Engagement and Customer Lifetime Value</w:t>
      </w:r>
    </w:p>
    <w:p w14:paraId="242C318B"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second regression model examined the effect of customer engagement on customer lifetime value. The findings show that customer engagement significantly predicts customer lifetime value (β = 0.326, t = 3.668, p &lt; 0.001). The model was significant (F = 13.218) and explained 12.7% of the variance in customer lifetime value (R² = 0.127).</w:t>
      </w:r>
    </w:p>
    <w:p w14:paraId="4E7560E3" w14:textId="77777777" w:rsidR="00B9060D" w:rsidRDefault="00000000">
      <w:pPr>
        <w:spacing w:before="240" w:after="240" w:line="36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Table 6: Regression Results: Customer Engagement Predicting Customer Lifetime Value</w:t>
      </w:r>
    </w:p>
    <w:tbl>
      <w:tblPr>
        <w:tblStyle w:val="ae"/>
        <w:tblW w:w="70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0"/>
        <w:gridCol w:w="845"/>
        <w:gridCol w:w="1850"/>
        <w:gridCol w:w="935"/>
        <w:gridCol w:w="995"/>
      </w:tblGrid>
      <w:tr w:rsidR="00B9060D" w14:paraId="2D92FD32" w14:textId="77777777">
        <w:trPr>
          <w:trHeight w:val="515"/>
        </w:trPr>
        <w:tc>
          <w:tcPr>
            <w:tcW w:w="24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12B192"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Predictor</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32DDFE"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β</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7B3CB4"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Standard Error</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D4A0A6"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t-value</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2409A7"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p-value</w:t>
            </w:r>
          </w:p>
        </w:tc>
      </w:tr>
      <w:tr w:rsidR="00B9060D" w14:paraId="1BE5CF0C" w14:textId="77777777">
        <w:trPr>
          <w:trHeight w:val="515"/>
        </w:trPr>
        <w:tc>
          <w:tcPr>
            <w:tcW w:w="24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08437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Gender</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1170C5"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0.300</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1FFA2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0.079</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CB7F2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3.323</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DAF49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&lt;0.001</w:t>
            </w:r>
          </w:p>
        </w:tc>
      </w:tr>
      <w:tr w:rsidR="00B9060D" w14:paraId="158CC372" w14:textId="77777777">
        <w:trPr>
          <w:trHeight w:val="515"/>
        </w:trPr>
        <w:tc>
          <w:tcPr>
            <w:tcW w:w="24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44CDC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Age</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985ED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-0.096</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7BDD8A"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0.061</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EEB2C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-1.018</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4D464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0.114</w:t>
            </w:r>
          </w:p>
        </w:tc>
      </w:tr>
      <w:tr w:rsidR="00B9060D" w14:paraId="0DE19F81" w14:textId="77777777">
        <w:trPr>
          <w:trHeight w:val="515"/>
        </w:trPr>
        <w:tc>
          <w:tcPr>
            <w:tcW w:w="24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3296BF"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Education</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CE0F4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-0.108</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2CF43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0.054</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A24250"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-2.461</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D6F0D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0.047</w:t>
            </w:r>
          </w:p>
        </w:tc>
      </w:tr>
      <w:tr w:rsidR="00B9060D" w14:paraId="1F7ECA05" w14:textId="77777777">
        <w:trPr>
          <w:trHeight w:val="515"/>
        </w:trPr>
        <w:tc>
          <w:tcPr>
            <w:tcW w:w="24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B0CAF7"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Customer Engagement</w:t>
            </w:r>
          </w:p>
        </w:tc>
        <w:tc>
          <w:tcPr>
            <w:tcW w:w="8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673AEC"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0.326</w:t>
            </w:r>
          </w:p>
        </w:tc>
        <w:tc>
          <w:tcPr>
            <w:tcW w:w="1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4C5DBB"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0.059</w:t>
            </w:r>
          </w:p>
        </w:tc>
        <w:tc>
          <w:tcPr>
            <w:tcW w:w="9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B49B4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3.668</w:t>
            </w:r>
          </w:p>
        </w:tc>
        <w:tc>
          <w:tcPr>
            <w:tcW w:w="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B61CE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&lt;0.001</w:t>
            </w:r>
          </w:p>
        </w:tc>
      </w:tr>
    </w:tbl>
    <w:p w14:paraId="5E18D2F8"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Model statistics: F = 13.218; R² = 0.127.</w:t>
      </w:r>
    </w:p>
    <w:p w14:paraId="79626AED" w14:textId="77777777" w:rsidR="00B9060D" w:rsidRDefault="00000000">
      <w:pPr>
        <w:spacing w:before="28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Mediation Analysis</w:t>
      </w:r>
    </w:p>
    <w:p w14:paraId="4FAD0972"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mediating role of customer engagement was examined using three regression models. Model 1 assessed the direct effect of relationship marketing on customer lifetime value and showed a significant relationship (β = 0.140, t = 3.264, p = 0.001). Model 2 examined the effect of relationship marketing on customer engagement and found a significant relationship (β = 0.291, t = 4.913, p &lt; 0.001). Model 3 included both relationship marketing and customer engagement as predictors of customer lifetime value. Customer engagement remained significant (β = 0.268, t = 9.247, p &lt; 0.001), while the effect of relationship marketing reduced, indicating partial mediation.</w:t>
      </w:r>
    </w:p>
    <w:p w14:paraId="3C50444A" w14:textId="77777777" w:rsidR="00B9060D" w:rsidRDefault="00000000">
      <w:pPr>
        <w:spacing w:before="240" w:after="240" w:line="36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Table 7: Mediation Analysis: Customer Engagement as Mediator</w:t>
      </w:r>
    </w:p>
    <w:tbl>
      <w:tblPr>
        <w:tblStyle w:val="af"/>
        <w:tblW w:w="8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10"/>
        <w:gridCol w:w="1685"/>
        <w:gridCol w:w="2480"/>
        <w:gridCol w:w="1685"/>
      </w:tblGrid>
      <w:tr w:rsidR="00B9060D" w14:paraId="12EC690D"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58979B"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Predictor</w:t>
            </w:r>
          </w:p>
        </w:tc>
        <w:tc>
          <w:tcPr>
            <w:tcW w:w="1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BD1583"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Model 1: CLV</w:t>
            </w:r>
          </w:p>
        </w:tc>
        <w:tc>
          <w:tcPr>
            <w:tcW w:w="24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EF1457"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Model 2: Engagement</w:t>
            </w:r>
          </w:p>
        </w:tc>
        <w:tc>
          <w:tcPr>
            <w:tcW w:w="1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EC0799" w14:textId="77777777" w:rsidR="00B9060D" w:rsidRDefault="00000000">
            <w:pPr>
              <w:spacing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Model 3: CLV</w:t>
            </w:r>
          </w:p>
        </w:tc>
      </w:tr>
      <w:tr w:rsidR="00B9060D" w14:paraId="4F57581A"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86E3EE"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Relationship Marketing</w:t>
            </w:r>
          </w:p>
        </w:tc>
        <w:tc>
          <w:tcPr>
            <w:tcW w:w="1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E2CA85"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β = 0.140***</w:t>
            </w:r>
          </w:p>
        </w:tc>
        <w:tc>
          <w:tcPr>
            <w:tcW w:w="24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803ED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β = 0.291***</w:t>
            </w:r>
          </w:p>
        </w:tc>
        <w:tc>
          <w:tcPr>
            <w:tcW w:w="1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F76E83"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β = 0.102**</w:t>
            </w:r>
          </w:p>
        </w:tc>
      </w:tr>
      <w:tr w:rsidR="00B9060D" w14:paraId="785C6989"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DBC658"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Customer Engagement</w:t>
            </w:r>
          </w:p>
        </w:tc>
        <w:tc>
          <w:tcPr>
            <w:tcW w:w="1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550332"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tc>
        <w:tc>
          <w:tcPr>
            <w:tcW w:w="24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687E36"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tc>
        <w:tc>
          <w:tcPr>
            <w:tcW w:w="1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BED0C9"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β = 0.268***</w:t>
            </w:r>
          </w:p>
        </w:tc>
      </w:tr>
      <w:tr w:rsidR="00B9060D" w14:paraId="6A17053F" w14:textId="77777777">
        <w:trPr>
          <w:trHeight w:val="515"/>
        </w:trPr>
        <w:tc>
          <w:tcPr>
            <w:tcW w:w="25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49A7A8"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R²</w:t>
            </w:r>
          </w:p>
        </w:tc>
        <w:tc>
          <w:tcPr>
            <w:tcW w:w="1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B18751"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0.028</w:t>
            </w:r>
          </w:p>
        </w:tc>
        <w:tc>
          <w:tcPr>
            <w:tcW w:w="24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A0D324"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0.062</w:t>
            </w:r>
          </w:p>
        </w:tc>
        <w:tc>
          <w:tcPr>
            <w:tcW w:w="1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D0E611" w14:textId="77777777" w:rsidR="00B9060D" w:rsidRDefault="00000000">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0.063</w:t>
            </w:r>
          </w:p>
        </w:tc>
      </w:tr>
    </w:tbl>
    <w:p w14:paraId="10313175"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Note: **p &lt; 0.01; ***p &lt; 0.001.</w:t>
      </w:r>
    </w:p>
    <w:p w14:paraId="4A431ABD"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Overall, the findings demonstrate that relationship marketing contributes positively to customer lifetime value, while customer engagement provides an explanatory pathway through which relationship marketing influences customer value outcomes.</w:t>
      </w:r>
    </w:p>
    <w:p w14:paraId="0B659835" w14:textId="77777777" w:rsidR="00B9060D" w:rsidRDefault="00000000">
      <w:pPr>
        <w:spacing w:before="240" w:after="240" w:line="360" w:lineRule="auto"/>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Hypothesis Testing</w:t>
      </w:r>
    </w:p>
    <w:p w14:paraId="538CF109"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hypotheses developed for this study were tested using multiple regression and mediation analysis. The results are presented in Table 8.</w:t>
      </w:r>
    </w:p>
    <w:p w14:paraId="6107C08E" w14:textId="77777777" w:rsidR="00B9060D" w:rsidRDefault="00000000">
      <w:pPr>
        <w:spacing w:before="240" w:after="240" w:line="36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Table 8: Summary of Hypothesis Testing</w:t>
      </w:r>
    </w:p>
    <w:tbl>
      <w:tblPr>
        <w:tblStyle w:val="af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2490"/>
        <w:gridCol w:w="4125"/>
        <w:gridCol w:w="1350"/>
      </w:tblGrid>
      <w:tr w:rsidR="00B9060D" w14:paraId="45C42C83" w14:textId="77777777">
        <w:trPr>
          <w:trHeight w:val="51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730312" w14:textId="77777777" w:rsidR="00B9060D" w:rsidRDefault="00000000">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Hypothesis</w:t>
            </w:r>
          </w:p>
        </w:tc>
        <w:tc>
          <w:tcPr>
            <w:tcW w:w="2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498A34" w14:textId="77777777" w:rsidR="00B9060D" w:rsidRDefault="00000000">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Relationship Tested</w:t>
            </w:r>
          </w:p>
        </w:tc>
        <w:tc>
          <w:tcPr>
            <w:tcW w:w="41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47BD5E" w14:textId="77777777" w:rsidR="00B9060D" w:rsidRDefault="00000000">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Statistical Evidence</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388146" w14:textId="77777777" w:rsidR="00B9060D" w:rsidRDefault="00000000">
            <w:pPr>
              <w:spacing w:before="240" w:after="240" w:line="36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Decision</w:t>
            </w:r>
          </w:p>
        </w:tc>
      </w:tr>
      <w:tr w:rsidR="00B9060D" w14:paraId="4DA08C62" w14:textId="77777777">
        <w:trPr>
          <w:trHeight w:val="107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EC8A17"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H1</w:t>
            </w:r>
          </w:p>
        </w:tc>
        <w:tc>
          <w:tcPr>
            <w:tcW w:w="2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7A486E"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Relationship marketing has a significant positive effect on customer lifetime value</w:t>
            </w:r>
          </w:p>
        </w:tc>
        <w:tc>
          <w:tcPr>
            <w:tcW w:w="41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398705"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β = 0.154, t = 3.668, p &lt; 0.001</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FD833D"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Supported</w:t>
            </w:r>
          </w:p>
        </w:tc>
      </w:tr>
      <w:tr w:rsidR="00B9060D" w14:paraId="61263E7B" w14:textId="77777777">
        <w:trPr>
          <w:trHeight w:val="107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366FEF"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H2</w:t>
            </w:r>
          </w:p>
        </w:tc>
        <w:tc>
          <w:tcPr>
            <w:tcW w:w="2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70DF9D"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Customer engagement has a significant </w:t>
            </w:r>
            <w:r>
              <w:rPr>
                <w:rFonts w:ascii="Times New Roman" w:eastAsia="Times New Roman" w:hAnsi="Times New Roman" w:cs="Times New Roman"/>
                <w:sz w:val="24"/>
                <w:szCs w:val="24"/>
                <w:highlight w:val="white"/>
              </w:rPr>
              <w:lastRenderedPageBreak/>
              <w:t>positive effect on customer lifetime value</w:t>
            </w:r>
          </w:p>
        </w:tc>
        <w:tc>
          <w:tcPr>
            <w:tcW w:w="41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3F884A"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β = 0.326, t = 3.668, p &lt; 0.001</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5C5B45"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Supported</w:t>
            </w:r>
          </w:p>
        </w:tc>
      </w:tr>
      <w:tr w:rsidR="00B9060D" w14:paraId="5CCC8790" w14:textId="77777777">
        <w:trPr>
          <w:trHeight w:val="164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37DB6A"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H3</w:t>
            </w:r>
          </w:p>
        </w:tc>
        <w:tc>
          <w:tcPr>
            <w:tcW w:w="2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E9261B"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Customer engagement mediates the relationship between relationship marketing and customer lifetime value</w:t>
            </w:r>
          </w:p>
        </w:tc>
        <w:tc>
          <w:tcPr>
            <w:tcW w:w="41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67C747"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Cardo" w:eastAsia="Cardo" w:hAnsi="Cardo" w:cs="Cardo"/>
                <w:sz w:val="24"/>
                <w:szCs w:val="24"/>
                <w:highlight w:val="white"/>
              </w:rPr>
              <w:t>Relationship marketing → Engagement: β = 0.291, p &lt; 0.001; Engagement → CLV: β = 0.268, p &lt; 0.001; direct effect reduced after mediation</w:t>
            </w:r>
          </w:p>
        </w:tc>
        <w:tc>
          <w:tcPr>
            <w:tcW w:w="13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54D719"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Supported (Partial Mediation)</w:t>
            </w:r>
          </w:p>
        </w:tc>
      </w:tr>
    </w:tbl>
    <w:p w14:paraId="2D7982F8"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results indicate that all proposed hypotheses were supported. The findings confirm that relationship marketing contributes directly to customer lifetime value while also influencing customer value indirectly through customer engagement.</w:t>
      </w:r>
    </w:p>
    <w:p w14:paraId="29A22DE6" w14:textId="77777777" w:rsidR="00B9060D" w:rsidRDefault="00000000">
      <w:pPr>
        <w:spacing w:before="240" w:after="240" w:line="360" w:lineRule="auto"/>
        <w:jc w:val="both"/>
        <w:rPr>
          <w:rFonts w:ascii="Times New Roman" w:eastAsia="Times New Roman" w:hAnsi="Times New Roman" w:cs="Times New Roman"/>
          <w:b/>
          <w:bCs/>
          <w:sz w:val="34"/>
          <w:szCs w:val="34"/>
          <w:highlight w:val="white"/>
        </w:rPr>
      </w:pPr>
      <w:r>
        <w:rPr>
          <w:rFonts w:ascii="Times New Roman" w:eastAsia="Times New Roman" w:hAnsi="Times New Roman" w:cs="Times New Roman"/>
          <w:sz w:val="24"/>
          <w:szCs w:val="24"/>
          <w:highlight w:val="white"/>
        </w:rPr>
        <w:br/>
      </w:r>
      <w:r>
        <w:rPr>
          <w:rFonts w:ascii="Times New Roman" w:eastAsia="Times New Roman" w:hAnsi="Times New Roman" w:cs="Times New Roman"/>
          <w:sz w:val="24"/>
          <w:szCs w:val="24"/>
          <w:highlight w:val="white"/>
        </w:rPr>
        <w:br/>
      </w:r>
      <w:r>
        <w:rPr>
          <w:rFonts w:ascii="Times New Roman" w:eastAsia="Times New Roman" w:hAnsi="Times New Roman" w:cs="Times New Roman"/>
          <w:b/>
          <w:bCs/>
          <w:sz w:val="34"/>
          <w:szCs w:val="34"/>
          <w:highlight w:val="white"/>
        </w:rPr>
        <w:t>Discussion</w:t>
      </w:r>
    </w:p>
    <w:p w14:paraId="4DC7A72C"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study examined the influence of relationship marketing on customer lifetime value and investigated the mediating role of customer engagement among customers of Consolidated Bank Ghana in the Volta Region. The findings provide evidence that relationship marketing significantly contributes to customer lifetime value, customer engagement significantly predicts customer lifetime value, and customer engagement partially mediates the relationship between relationship marketing and customer lifetime value. These findings contribute to ongoing discussions on how banking institutions can transform customer relationships into long-term financial outcomes.</w:t>
      </w:r>
    </w:p>
    <w:p w14:paraId="7F651BEC"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first objective examined the relationship between relationship marketing and customer lifetime value. The findings revealed that relationship marketing had a positive and significant effect on customer lifetime value (β = 0.154, p &lt; 0.001). This indicates that customers who perceive stronger relational efforts from the bank are more likely to demonstrate higher long-term value. This finding supports earlier empirical evidence that relationship marketing practices, </w:t>
      </w:r>
      <w:r>
        <w:rPr>
          <w:rFonts w:ascii="Times New Roman" w:eastAsia="Times New Roman" w:hAnsi="Times New Roman" w:cs="Times New Roman"/>
          <w:sz w:val="24"/>
          <w:szCs w:val="24"/>
          <w:highlight w:val="white"/>
        </w:rPr>
        <w:lastRenderedPageBreak/>
        <w:t xml:space="preserve">including trust development, </w:t>
      </w:r>
      <w:proofErr w:type="spellStart"/>
      <w:r>
        <w:rPr>
          <w:rFonts w:ascii="Times New Roman" w:eastAsia="Times New Roman" w:hAnsi="Times New Roman" w:cs="Times New Roman"/>
          <w:sz w:val="24"/>
          <w:szCs w:val="24"/>
          <w:highlight w:val="white"/>
        </w:rPr>
        <w:t>personalised</w:t>
      </w:r>
      <w:proofErr w:type="spellEnd"/>
      <w:r>
        <w:rPr>
          <w:rFonts w:ascii="Times New Roman" w:eastAsia="Times New Roman" w:hAnsi="Times New Roman" w:cs="Times New Roman"/>
          <w:sz w:val="24"/>
          <w:szCs w:val="24"/>
          <w:highlight w:val="white"/>
        </w:rPr>
        <w:t xml:space="preserve"> communication, and continuous interaction, contribute to stronger customer retention and profitability outcomes (Hidayat &amp; </w:t>
      </w:r>
      <w:proofErr w:type="spellStart"/>
      <w:r>
        <w:rPr>
          <w:rFonts w:ascii="Times New Roman" w:eastAsia="Times New Roman" w:hAnsi="Times New Roman" w:cs="Times New Roman"/>
          <w:sz w:val="24"/>
          <w:szCs w:val="24"/>
          <w:highlight w:val="white"/>
        </w:rPr>
        <w:t>Idrus</w:t>
      </w:r>
      <w:proofErr w:type="spellEnd"/>
      <w:r>
        <w:rPr>
          <w:rFonts w:ascii="Times New Roman" w:eastAsia="Times New Roman" w:hAnsi="Times New Roman" w:cs="Times New Roman"/>
          <w:sz w:val="24"/>
          <w:szCs w:val="24"/>
          <w:highlight w:val="white"/>
        </w:rPr>
        <w:t xml:space="preserve">, 2023). Similar conclusions were reported by </w:t>
      </w:r>
      <w:proofErr w:type="spellStart"/>
      <w:r>
        <w:rPr>
          <w:rFonts w:ascii="Times New Roman" w:eastAsia="Times New Roman" w:hAnsi="Times New Roman" w:cs="Times New Roman"/>
          <w:sz w:val="24"/>
          <w:szCs w:val="24"/>
          <w:highlight w:val="white"/>
        </w:rPr>
        <w:t>Seyedin</w:t>
      </w:r>
      <w:proofErr w:type="spellEnd"/>
      <w:r>
        <w:rPr>
          <w:rFonts w:ascii="Times New Roman" w:eastAsia="Times New Roman" w:hAnsi="Times New Roman" w:cs="Times New Roman"/>
          <w:sz w:val="24"/>
          <w:szCs w:val="24"/>
          <w:highlight w:val="white"/>
        </w:rPr>
        <w:t xml:space="preserve"> et al. (2021), who found a positive relationship between relationship marketing practices and customer value outcomes in banking institutions.</w:t>
      </w:r>
    </w:p>
    <w:p w14:paraId="64ED1DE0"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consistency between the present study and previous research can be explained by the nature of banking services. Unlike many consumer products, banking relationships often extend over several years because customers depend on financial institutions for savings, payments, credit facilities, and other financial services. Therefore, relational activities that strengthen confidence and commitment may increase the likelihood that customers maintain their relationships with the bank. This finding also supports the argument that relationship marketing provides value beyond immediate transactions by encouraging continued interaction and deeper customer relationships.</w:t>
      </w:r>
    </w:p>
    <w:p w14:paraId="779FFF00"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However, the strength of the relationship between relationship marketing and customer lifetime value in this study was relatively modest, with relationship marketing explaining 8.7% of the variance in customer lifetime value. This suggests that although relationship marketing contributes significantly to customer value creation, other factors may also influence customers’ long-term financial contribution. Factors such as service quality, digital banking experience, pricing, convenience, and competitive alternatives may also shape customer lifetime value. Recent research on banking customer value similarly highlights that CLV is influenced by multiple </w:t>
      </w:r>
      <w:proofErr w:type="spellStart"/>
      <w:r>
        <w:rPr>
          <w:rFonts w:ascii="Times New Roman" w:eastAsia="Times New Roman" w:hAnsi="Times New Roman" w:cs="Times New Roman"/>
          <w:sz w:val="24"/>
          <w:szCs w:val="24"/>
          <w:highlight w:val="white"/>
        </w:rPr>
        <w:t>behavioural</w:t>
      </w:r>
      <w:proofErr w:type="spellEnd"/>
      <w:r>
        <w:rPr>
          <w:rFonts w:ascii="Times New Roman" w:eastAsia="Times New Roman" w:hAnsi="Times New Roman" w:cs="Times New Roman"/>
          <w:sz w:val="24"/>
          <w:szCs w:val="24"/>
          <w:highlight w:val="white"/>
        </w:rPr>
        <w:t xml:space="preserve"> and transactional factors, requiring financial institutions to combine relationship strategies with broader customer management approaches (Cowan et al., 2023).</w:t>
      </w:r>
    </w:p>
    <w:p w14:paraId="5006A107"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second objective assessed the relationship between customer engagement and customer lifetime value. The results demonstrated that customer engagement significantly predicted customer lifetime value (β = 0.326, p &lt; 0.001), with the model explaining 12.7% of the variance in customer lifetime value. This finding indicates that customers who actively interact with the bank, participate in service relationships, and maintain stronger psychological connections are more likely to generate greater long-term value.</w:t>
      </w:r>
    </w:p>
    <w:p w14:paraId="295C7777"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This finding agrees with previous empirical studies showing that customer engagement strengthens customer loyalty, advocacy, and retention </w:t>
      </w:r>
      <w:proofErr w:type="spellStart"/>
      <w:r>
        <w:rPr>
          <w:rFonts w:ascii="Times New Roman" w:eastAsia="Times New Roman" w:hAnsi="Times New Roman" w:cs="Times New Roman"/>
          <w:sz w:val="24"/>
          <w:szCs w:val="24"/>
          <w:highlight w:val="white"/>
        </w:rPr>
        <w:t>behaviours</w:t>
      </w:r>
      <w:proofErr w:type="spellEnd"/>
      <w:r>
        <w:rPr>
          <w:rFonts w:ascii="Times New Roman" w:eastAsia="Times New Roman" w:hAnsi="Times New Roman" w:cs="Times New Roman"/>
          <w:sz w:val="24"/>
          <w:szCs w:val="24"/>
          <w:highlight w:val="white"/>
        </w:rPr>
        <w:t xml:space="preserve">. Rather and </w:t>
      </w:r>
      <w:proofErr w:type="spellStart"/>
      <w:r>
        <w:rPr>
          <w:rFonts w:ascii="Times New Roman" w:eastAsia="Times New Roman" w:hAnsi="Times New Roman" w:cs="Times New Roman"/>
          <w:sz w:val="24"/>
          <w:szCs w:val="24"/>
          <w:highlight w:val="white"/>
        </w:rPr>
        <w:t>Hollebeek</w:t>
      </w:r>
      <w:proofErr w:type="spellEnd"/>
      <w:r>
        <w:rPr>
          <w:rFonts w:ascii="Times New Roman" w:eastAsia="Times New Roman" w:hAnsi="Times New Roman" w:cs="Times New Roman"/>
          <w:sz w:val="24"/>
          <w:szCs w:val="24"/>
          <w:highlight w:val="white"/>
        </w:rPr>
        <w:t xml:space="preserve"> (2021) found that engaged customers demonstrate stronger relational attachment and contribute positively to firm </w:t>
      </w:r>
      <w:r>
        <w:rPr>
          <w:rFonts w:ascii="Times New Roman" w:eastAsia="Times New Roman" w:hAnsi="Times New Roman" w:cs="Times New Roman"/>
          <w:sz w:val="24"/>
          <w:szCs w:val="24"/>
          <w:highlight w:val="white"/>
        </w:rPr>
        <w:lastRenderedPageBreak/>
        <w:t xml:space="preserve">performance outcomes. Similarly, Segarra-Moliner and Moliner-Tena (2024) reported that customer engagement </w:t>
      </w:r>
      <w:proofErr w:type="spellStart"/>
      <w:r>
        <w:rPr>
          <w:rFonts w:ascii="Times New Roman" w:eastAsia="Times New Roman" w:hAnsi="Times New Roman" w:cs="Times New Roman"/>
          <w:sz w:val="24"/>
          <w:szCs w:val="24"/>
          <w:highlight w:val="white"/>
        </w:rPr>
        <w:t>behaviours</w:t>
      </w:r>
      <w:proofErr w:type="spellEnd"/>
      <w:r>
        <w:rPr>
          <w:rFonts w:ascii="Times New Roman" w:eastAsia="Times New Roman" w:hAnsi="Times New Roman" w:cs="Times New Roman"/>
          <w:sz w:val="24"/>
          <w:szCs w:val="24"/>
          <w:highlight w:val="white"/>
        </w:rPr>
        <w:t xml:space="preserve"> influence customer value creation in service contexts. The similarity between these studies and the present research reinforces the argument that customer engagement represents an important pathway through which service </w:t>
      </w:r>
      <w:proofErr w:type="spellStart"/>
      <w:r>
        <w:rPr>
          <w:rFonts w:ascii="Times New Roman" w:eastAsia="Times New Roman" w:hAnsi="Times New Roman" w:cs="Times New Roman"/>
          <w:sz w:val="24"/>
          <w:szCs w:val="24"/>
          <w:highlight w:val="white"/>
        </w:rPr>
        <w:t>organisations</w:t>
      </w:r>
      <w:proofErr w:type="spellEnd"/>
      <w:r>
        <w:rPr>
          <w:rFonts w:ascii="Times New Roman" w:eastAsia="Times New Roman" w:hAnsi="Times New Roman" w:cs="Times New Roman"/>
          <w:sz w:val="24"/>
          <w:szCs w:val="24"/>
          <w:highlight w:val="white"/>
        </w:rPr>
        <w:t xml:space="preserve"> strengthen customer relationships.</w:t>
      </w:r>
    </w:p>
    <w:p w14:paraId="5B5FD59D"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stronger predictive contribution of customer engagement compared with relationship marketing also provides an important insight. While relationship marketing establishes the foundation for developing customer relationships, engagement reflects the extent to which customers actively participate in those relationships. In the banking environment, customers may receive relational benefits from their bank, but long-term value is more likely to increase when customers become actively involved through repeated interactions, service adoption, communication, and continued usage of banking products.</w:t>
      </w:r>
    </w:p>
    <w:p w14:paraId="0692C985"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third objective examined the mediating role of customer engagement in the relationship between relationship marketing and customer lifetime value. The mediation analysis showed that customer engagement partially mediates this relationship. Relationship marketing significantly predicted customer engagement (β = 0.291, p &lt; 0.001), and customer engagement remained a significant predictor of customer lifetime value after controlling for relationship marketing (β = 0.268, p &lt; 0.001). The reduction in the direct effect of relationship marketing after introducing customer engagement confirms that relational strategies influence customer value partly through increased engagement.</w:t>
      </w:r>
    </w:p>
    <w:p w14:paraId="4849B2DB"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finding provides additional explanation for inconsistent results reported in previous relationship marketing research. Some studies have found strong direct relationships between relationship marketing and customer outcomes, while others have reported weaker effects. The present findings suggest that customer engagement may explain these variations because relationship-building activities do not automatically generate greater customer value unless customers actively respond to those efforts. Similar evidence has been reported by Mandal (2023), who argued that engagement functions as a mechanism connecting relational marketing activities with customer outcomes.</w:t>
      </w:r>
    </w:p>
    <w:p w14:paraId="4E5F5699"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The partial mediation finding also extends understanding of relationship marketing within emerging banking markets. Previous studies have mainly examined customer engagement and relationship marketing relationships in developed markets or highly digital service environments. The current study demonstrates that these relationships remain relevant within the Ghanaian banking context, where financial institutions operate under increasing competition and changing customer expectations. The finding suggests that banks should focus not only on establishing customer relationships but also on creating opportunities for customers to participate actively in those relationships.</w:t>
      </w:r>
    </w:p>
    <w:p w14:paraId="3A89F9A8"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From a theoretical perspective, the findings provide support for relationship marketing perspectives that </w:t>
      </w:r>
      <w:proofErr w:type="spellStart"/>
      <w:r>
        <w:rPr>
          <w:rFonts w:ascii="Times New Roman" w:eastAsia="Times New Roman" w:hAnsi="Times New Roman" w:cs="Times New Roman"/>
          <w:sz w:val="24"/>
          <w:szCs w:val="24"/>
          <w:highlight w:val="white"/>
        </w:rPr>
        <w:t>emphasise</w:t>
      </w:r>
      <w:proofErr w:type="spellEnd"/>
      <w:r>
        <w:rPr>
          <w:rFonts w:ascii="Times New Roman" w:eastAsia="Times New Roman" w:hAnsi="Times New Roman" w:cs="Times New Roman"/>
          <w:sz w:val="24"/>
          <w:szCs w:val="24"/>
          <w:highlight w:val="white"/>
        </w:rPr>
        <w:t xml:space="preserve"> trust, commitment, and ongoing interaction as drivers of customer value creation. The results also strengthen customer engagement theory by demonstrating that engagement serves as an explanatory mechanism linking relational activities with financial outcomes. By incorporating customer engagement into the relationship between relationship marketing and customer lifetime value, this study provides a more complete explanation of how customer-focused strategies produce </w:t>
      </w:r>
      <w:proofErr w:type="spellStart"/>
      <w:r>
        <w:rPr>
          <w:rFonts w:ascii="Times New Roman" w:eastAsia="Times New Roman" w:hAnsi="Times New Roman" w:cs="Times New Roman"/>
          <w:sz w:val="24"/>
          <w:szCs w:val="24"/>
          <w:highlight w:val="white"/>
        </w:rPr>
        <w:t>organisational</w:t>
      </w:r>
      <w:proofErr w:type="spellEnd"/>
      <w:r>
        <w:rPr>
          <w:rFonts w:ascii="Times New Roman" w:eastAsia="Times New Roman" w:hAnsi="Times New Roman" w:cs="Times New Roman"/>
          <w:sz w:val="24"/>
          <w:szCs w:val="24"/>
          <w:highlight w:val="white"/>
        </w:rPr>
        <w:t xml:space="preserve"> benefits.</w:t>
      </w:r>
    </w:p>
    <w:p w14:paraId="5A3B8636"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findings have practical implications for banking managers. Banks seeking to improve customer lifetime value should develop relationship marketing </w:t>
      </w:r>
      <w:proofErr w:type="spellStart"/>
      <w:r>
        <w:rPr>
          <w:rFonts w:ascii="Times New Roman" w:eastAsia="Times New Roman" w:hAnsi="Times New Roman" w:cs="Times New Roman"/>
          <w:sz w:val="24"/>
          <w:szCs w:val="24"/>
          <w:highlight w:val="white"/>
        </w:rPr>
        <w:t>programmes</w:t>
      </w:r>
      <w:proofErr w:type="spellEnd"/>
      <w:r>
        <w:rPr>
          <w:rFonts w:ascii="Times New Roman" w:eastAsia="Times New Roman" w:hAnsi="Times New Roman" w:cs="Times New Roman"/>
          <w:sz w:val="24"/>
          <w:szCs w:val="24"/>
          <w:highlight w:val="white"/>
        </w:rPr>
        <w:t xml:space="preserve"> that encourage active customer participation. </w:t>
      </w:r>
      <w:proofErr w:type="spellStart"/>
      <w:r>
        <w:rPr>
          <w:rFonts w:ascii="Times New Roman" w:eastAsia="Times New Roman" w:hAnsi="Times New Roman" w:cs="Times New Roman"/>
          <w:sz w:val="24"/>
          <w:szCs w:val="24"/>
          <w:highlight w:val="white"/>
        </w:rPr>
        <w:t>Personalised</w:t>
      </w:r>
      <w:proofErr w:type="spellEnd"/>
      <w:r>
        <w:rPr>
          <w:rFonts w:ascii="Times New Roman" w:eastAsia="Times New Roman" w:hAnsi="Times New Roman" w:cs="Times New Roman"/>
          <w:sz w:val="24"/>
          <w:szCs w:val="24"/>
          <w:highlight w:val="white"/>
        </w:rPr>
        <w:t xml:space="preserve"> communication, responsive customer support, digital interaction platforms, and opportunities for customer feedback may strengthen engagement and improve long-term customer profitability. However, relationship initiatives should be supported by consistent service delivery because customers evaluate banking relationships through their overall experience.</w:t>
      </w:r>
    </w:p>
    <w:p w14:paraId="389899D6"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Despite these contributions, the findings should be interpreted considering the study context. The research focused on customers of Consolidated Bank Ghana in the Volta Region, which may limit the extent to which the findings represent customers in other geographical areas or banking institutions. Future studies could examine similar relationships across multiple banks and regions while incorporating additional variables such as service quality, digital banking adoption, customer trust, and switching </w:t>
      </w:r>
      <w:proofErr w:type="spellStart"/>
      <w:r>
        <w:rPr>
          <w:rFonts w:ascii="Times New Roman" w:eastAsia="Times New Roman" w:hAnsi="Times New Roman" w:cs="Times New Roman"/>
          <w:sz w:val="24"/>
          <w:szCs w:val="24"/>
          <w:highlight w:val="white"/>
        </w:rPr>
        <w:t>behaviour</w:t>
      </w:r>
      <w:proofErr w:type="spellEnd"/>
      <w:r>
        <w:rPr>
          <w:rFonts w:ascii="Times New Roman" w:eastAsia="Times New Roman" w:hAnsi="Times New Roman" w:cs="Times New Roman"/>
          <w:sz w:val="24"/>
          <w:szCs w:val="24"/>
          <w:highlight w:val="white"/>
        </w:rPr>
        <w:t>.</w:t>
      </w:r>
    </w:p>
    <w:p w14:paraId="515286E0"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Overall, this study demonstrates that relationship marketing contributes to customer lifetime value both directly and indirectly through customer engagement. The findings highlight that successful customer relationships in banking require more than maintaining contact with customers; they require strategies that encourage meaningful interaction and sustained involvement.</w:t>
      </w:r>
    </w:p>
    <w:p w14:paraId="660D1AEF" w14:textId="77777777" w:rsidR="00B9060D" w:rsidRDefault="00B9060D">
      <w:pPr>
        <w:spacing w:before="240" w:after="240" w:line="360" w:lineRule="auto"/>
        <w:jc w:val="both"/>
        <w:rPr>
          <w:rFonts w:ascii="Times New Roman" w:eastAsia="Times New Roman" w:hAnsi="Times New Roman" w:cs="Times New Roman"/>
          <w:sz w:val="24"/>
          <w:szCs w:val="24"/>
          <w:highlight w:val="white"/>
        </w:rPr>
      </w:pPr>
    </w:p>
    <w:p w14:paraId="1FCF41AE" w14:textId="77777777" w:rsidR="00B9060D" w:rsidRDefault="00000000">
      <w:pPr>
        <w:spacing w:before="240" w:after="240" w:line="360" w:lineRule="auto"/>
        <w:rPr>
          <w:rFonts w:ascii="Times New Roman" w:eastAsia="Times New Roman" w:hAnsi="Times New Roman" w:cs="Times New Roman"/>
          <w:b/>
          <w:bCs/>
          <w:sz w:val="32"/>
          <w:szCs w:val="32"/>
          <w:highlight w:val="white"/>
        </w:rPr>
      </w:pPr>
      <w:r>
        <w:rPr>
          <w:rFonts w:ascii="Times New Roman" w:eastAsia="Times New Roman" w:hAnsi="Times New Roman" w:cs="Times New Roman"/>
          <w:b/>
          <w:bCs/>
          <w:sz w:val="32"/>
          <w:szCs w:val="32"/>
          <w:highlight w:val="white"/>
        </w:rPr>
        <w:t>Conclusion</w:t>
      </w:r>
    </w:p>
    <w:p w14:paraId="6D17778A"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study examined how relationship marketing influences customer lifetime value and the extent to which customer engagement explains this relationship among customers of Consolidated Bank Ghana in the Volta Region. The findings provide evidence that building strong customer relationships remains an important pathway for creating long-term customer value in the banking sector. Specifically, it was found that relationship marketing has a positive and significant effect on customer lifetime value, indicating that relational efforts such as trust-building, continuous interaction, and customer-focused strategies contribute to stronger long-term customer outcomes.</w:t>
      </w:r>
    </w:p>
    <w:p w14:paraId="3851E657"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Furthermore, it was found that customer engagement significantly predicts customer lifetime value, suggesting that customers who actively interact with and participate in their banking relationships are more likely to contribute greater value over time. The study also established that customer engagement partially mediates the relationship between relationship marketing and customer lifetime value. This shows that relationship marketing does not only influence customer value directly but also works by encouraging deeper customer involvement with the bank.</w:t>
      </w:r>
    </w:p>
    <w:p w14:paraId="38FE5F2A"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Consequently, banking institutions should move beyond maintaining customer relationships as a communication exercise and develop strategies that promote active customer participation. Managers should invest in </w:t>
      </w:r>
      <w:proofErr w:type="spellStart"/>
      <w:r>
        <w:rPr>
          <w:rFonts w:ascii="Times New Roman" w:eastAsia="Times New Roman" w:hAnsi="Times New Roman" w:cs="Times New Roman"/>
          <w:sz w:val="24"/>
          <w:szCs w:val="24"/>
          <w:highlight w:val="white"/>
        </w:rPr>
        <w:t>personalised</w:t>
      </w:r>
      <w:proofErr w:type="spellEnd"/>
      <w:r>
        <w:rPr>
          <w:rFonts w:ascii="Times New Roman" w:eastAsia="Times New Roman" w:hAnsi="Times New Roman" w:cs="Times New Roman"/>
          <w:sz w:val="24"/>
          <w:szCs w:val="24"/>
          <w:highlight w:val="white"/>
        </w:rPr>
        <w:t xml:space="preserve"> services, responsive digital platforms, feedback mechanisms, and engagement initiatives that strengthen customers’ connection with the bank. From a policy perspective, banking regulators and industry stakeholders should encourage customer-</w:t>
      </w:r>
      <w:proofErr w:type="spellStart"/>
      <w:r>
        <w:rPr>
          <w:rFonts w:ascii="Times New Roman" w:eastAsia="Times New Roman" w:hAnsi="Times New Roman" w:cs="Times New Roman"/>
          <w:sz w:val="24"/>
          <w:szCs w:val="24"/>
          <w:highlight w:val="white"/>
        </w:rPr>
        <w:t>centred</w:t>
      </w:r>
      <w:proofErr w:type="spellEnd"/>
      <w:r>
        <w:rPr>
          <w:rFonts w:ascii="Times New Roman" w:eastAsia="Times New Roman" w:hAnsi="Times New Roman" w:cs="Times New Roman"/>
          <w:sz w:val="24"/>
          <w:szCs w:val="24"/>
          <w:highlight w:val="white"/>
        </w:rPr>
        <w:t xml:space="preserve"> service practices that improve trust and long-term financial relationships.</w:t>
      </w:r>
    </w:p>
    <w:p w14:paraId="119593A5" w14:textId="77777777" w:rsidR="00B9060D" w:rsidRDefault="00000000">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Future research should extend this study by examining other banking institutions, regions, and customer groups to determine whether the relationships identified remain consistent across </w:t>
      </w:r>
      <w:r>
        <w:rPr>
          <w:rFonts w:ascii="Times New Roman" w:eastAsia="Times New Roman" w:hAnsi="Times New Roman" w:cs="Times New Roman"/>
          <w:sz w:val="24"/>
          <w:szCs w:val="24"/>
          <w:highlight w:val="white"/>
        </w:rPr>
        <w:lastRenderedPageBreak/>
        <w:t>different contexts. Researchers may also incorporate additional factors such as digital banking experience, service quality, and customer trust to provide a broader understanding of the drivers of customer lifetime value.</w:t>
      </w:r>
    </w:p>
    <w:p w14:paraId="324DDC10" w14:textId="77777777" w:rsidR="00B9060D" w:rsidRDefault="00B9060D">
      <w:pPr>
        <w:spacing w:before="240" w:after="240" w:line="360" w:lineRule="auto"/>
        <w:jc w:val="both"/>
        <w:rPr>
          <w:rFonts w:ascii="Times New Roman" w:eastAsia="Times New Roman" w:hAnsi="Times New Roman" w:cs="Times New Roman"/>
          <w:sz w:val="24"/>
          <w:szCs w:val="24"/>
          <w:highlight w:val="white"/>
        </w:rPr>
      </w:pPr>
    </w:p>
    <w:p w14:paraId="70001159" w14:textId="77777777" w:rsidR="00B9060D" w:rsidRDefault="00000000">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Competing Interests:</w:t>
      </w:r>
      <w:r>
        <w:rPr>
          <w:rFonts w:ascii="Times New Roman" w:eastAsia="Times New Roman" w:hAnsi="Times New Roman" w:cs="Times New Roman"/>
          <w:sz w:val="24"/>
          <w:szCs w:val="24"/>
        </w:rPr>
        <w:t xml:space="preserve"> All the authors declare that they have no conflict of interest.</w:t>
      </w:r>
    </w:p>
    <w:p w14:paraId="5A8C050F" w14:textId="77777777" w:rsidR="008D76A3" w:rsidRDefault="008D76A3" w:rsidP="008D76A3">
      <w:pPr>
        <w:spacing w:line="240" w:lineRule="auto"/>
        <w:rPr>
          <w:rFonts w:ascii="Times New Roman" w:hAnsi="Times New Roman" w:cs="Times New Roman"/>
          <w:b/>
        </w:rPr>
      </w:pPr>
      <w:r w:rsidRPr="000839CE">
        <w:rPr>
          <w:rFonts w:ascii="Times New Roman" w:hAnsi="Times New Roman" w:cs="Times New Roman"/>
          <w:b/>
        </w:rPr>
        <w:t>Declaration of AI Use</w:t>
      </w:r>
    </w:p>
    <w:p w14:paraId="48AAFE12" w14:textId="77777777" w:rsidR="008D76A3" w:rsidRDefault="008D76A3" w:rsidP="008D76A3">
      <w:pPr>
        <w:spacing w:line="240" w:lineRule="auto"/>
        <w:rPr>
          <w:rFonts w:ascii="Times New Roman" w:hAnsi="Times New Roman" w:cs="Times New Roman"/>
          <w:b/>
        </w:rPr>
      </w:pPr>
    </w:p>
    <w:p w14:paraId="62E1C869" w14:textId="77777777" w:rsidR="008D76A3" w:rsidRDefault="008D76A3" w:rsidP="008D76A3">
      <w:pPr>
        <w:spacing w:line="240" w:lineRule="auto"/>
        <w:rPr>
          <w:rFonts w:ascii="Times New Roman" w:hAnsi="Times New Roman" w:cs="Times New Roman"/>
          <w:b/>
        </w:rPr>
      </w:pPr>
    </w:p>
    <w:p w14:paraId="0AD2561D" w14:textId="77777777" w:rsidR="008D76A3" w:rsidRDefault="008D76A3" w:rsidP="008D76A3">
      <w:pPr>
        <w:spacing w:line="240" w:lineRule="auto"/>
        <w:rPr>
          <w:rFonts w:ascii="Times New Roman" w:hAnsi="Times New Roman" w:cs="Times New Roman"/>
          <w:b/>
        </w:rPr>
      </w:pPr>
    </w:p>
    <w:p w14:paraId="423E5493" w14:textId="77777777" w:rsidR="008D76A3" w:rsidRPr="002D08AC" w:rsidRDefault="008D76A3" w:rsidP="008D76A3">
      <w:pPr>
        <w:spacing w:line="240" w:lineRule="auto"/>
        <w:rPr>
          <w:sz w:val="20"/>
          <w:szCs w:val="20"/>
        </w:rPr>
      </w:pPr>
      <w:r w:rsidRPr="002D08AC">
        <w:rPr>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4E768F" w14:textId="77777777" w:rsidR="00B9060D" w:rsidRDefault="00B9060D">
      <w:pPr>
        <w:spacing w:before="240" w:after="240" w:line="360" w:lineRule="auto"/>
        <w:jc w:val="both"/>
        <w:rPr>
          <w:rFonts w:ascii="Times New Roman" w:eastAsia="Times New Roman" w:hAnsi="Times New Roman" w:cs="Times New Roman"/>
          <w:sz w:val="24"/>
          <w:szCs w:val="24"/>
        </w:rPr>
      </w:pPr>
    </w:p>
    <w:p w14:paraId="6A274269" w14:textId="77777777" w:rsidR="00B9060D" w:rsidRDefault="00000000">
      <w:pPr>
        <w:spacing w:before="240" w:after="240" w:line="360" w:lineRule="auto"/>
        <w:rPr>
          <w:rFonts w:ascii="Times New Roman" w:eastAsia="Times New Roman" w:hAnsi="Times New Roman" w:cs="Times New Roman"/>
          <w:b/>
          <w:bCs/>
          <w:sz w:val="32"/>
          <w:szCs w:val="32"/>
          <w:highlight w:val="white"/>
        </w:rPr>
      </w:pPr>
      <w:r>
        <w:rPr>
          <w:rFonts w:ascii="Times New Roman" w:eastAsia="Times New Roman" w:hAnsi="Times New Roman" w:cs="Times New Roman"/>
          <w:b/>
          <w:bCs/>
          <w:sz w:val="32"/>
          <w:szCs w:val="32"/>
          <w:highlight w:val="white"/>
        </w:rPr>
        <w:t>References</w:t>
      </w:r>
    </w:p>
    <w:p w14:paraId="7F2B96B9"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Brodie, R. J., Fehrer, J. A., Jaakkola, E., &amp; Conduit, J. (2019). Actor Engagement in Networks: Defining the Conceptual Domain. </w:t>
      </w:r>
      <w:r>
        <w:rPr>
          <w:rFonts w:ascii="Times New Roman" w:eastAsia="Times New Roman" w:hAnsi="Times New Roman" w:cs="Times New Roman"/>
          <w:i/>
          <w:iCs/>
          <w:sz w:val="24"/>
          <w:szCs w:val="24"/>
        </w:rPr>
        <w:t>Journal of Service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22</w:t>
      </w:r>
      <w:r>
        <w:rPr>
          <w:rFonts w:ascii="Times New Roman" w:eastAsia="Times New Roman" w:hAnsi="Times New Roman" w:cs="Times New Roman"/>
          <w:sz w:val="24"/>
          <w:szCs w:val="24"/>
        </w:rPr>
        <w:t>(2), 173–188.</w:t>
      </w:r>
      <w:hyperlink r:id="rId8">
        <w:r w:rsidR="00B9060D">
          <w:rPr>
            <w:rFonts w:ascii="Times New Roman" w:eastAsia="Times New Roman" w:hAnsi="Times New Roman" w:cs="Times New Roman"/>
            <w:sz w:val="24"/>
            <w:szCs w:val="24"/>
          </w:rPr>
          <w:t xml:space="preserve"> </w:t>
        </w:r>
      </w:hyperlink>
      <w:hyperlink r:id="rId9">
        <w:r w:rsidR="00B9060D">
          <w:rPr>
            <w:rFonts w:ascii="Times New Roman" w:eastAsia="Times New Roman" w:hAnsi="Times New Roman" w:cs="Times New Roman"/>
            <w:color w:val="1155CC"/>
            <w:sz w:val="24"/>
            <w:szCs w:val="24"/>
            <w:u w:val="single"/>
          </w:rPr>
          <w:t>https://doi.org/10.1177/1094670519827385</w:t>
        </w:r>
      </w:hyperlink>
    </w:p>
    <w:p w14:paraId="46423C94"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Commey</w:t>
      </w:r>
      <w:proofErr w:type="spellEnd"/>
      <w:r>
        <w:rPr>
          <w:rFonts w:ascii="Times New Roman" w:eastAsia="Times New Roman" w:hAnsi="Times New Roman" w:cs="Times New Roman"/>
          <w:sz w:val="24"/>
          <w:szCs w:val="24"/>
        </w:rPr>
        <w:t xml:space="preserve">, N. O., &amp; Adom, K. (2020). Relationship Marketing and Customer Retention in the Ghanaian Banking Industry. </w:t>
      </w:r>
      <w:r>
        <w:rPr>
          <w:rFonts w:ascii="Times New Roman" w:eastAsia="Times New Roman" w:hAnsi="Times New Roman" w:cs="Times New Roman"/>
          <w:i/>
          <w:iCs/>
          <w:sz w:val="24"/>
          <w:szCs w:val="24"/>
        </w:rPr>
        <w:t>European Journal of Business and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(29), 1–13.</w:t>
      </w:r>
      <w:hyperlink r:id="rId10">
        <w:r w:rsidR="00B9060D">
          <w:rPr>
            <w:rFonts w:ascii="Times New Roman" w:eastAsia="Times New Roman" w:hAnsi="Times New Roman" w:cs="Times New Roman"/>
            <w:sz w:val="24"/>
            <w:szCs w:val="24"/>
          </w:rPr>
          <w:t xml:space="preserve"> </w:t>
        </w:r>
      </w:hyperlink>
      <w:hyperlink r:id="rId11">
        <w:r w:rsidR="00B9060D">
          <w:rPr>
            <w:rFonts w:ascii="Times New Roman" w:eastAsia="Times New Roman" w:hAnsi="Times New Roman" w:cs="Times New Roman"/>
            <w:color w:val="1155CC"/>
            <w:sz w:val="24"/>
            <w:szCs w:val="24"/>
            <w:u w:val="single"/>
          </w:rPr>
          <w:t>https://iiste.org/Journals/index.php/EJBM/article/view/54381</w:t>
        </w:r>
      </w:hyperlink>
    </w:p>
    <w:p w14:paraId="761ADFE4"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Cowan, G., Mercuri, S., &amp; </w:t>
      </w:r>
      <w:proofErr w:type="spellStart"/>
      <w:r>
        <w:rPr>
          <w:rFonts w:ascii="Times New Roman" w:eastAsia="Times New Roman" w:hAnsi="Times New Roman" w:cs="Times New Roman"/>
          <w:sz w:val="24"/>
          <w:szCs w:val="24"/>
        </w:rPr>
        <w:t>Khraishi</w:t>
      </w:r>
      <w:proofErr w:type="spellEnd"/>
      <w:r>
        <w:rPr>
          <w:rFonts w:ascii="Times New Roman" w:eastAsia="Times New Roman" w:hAnsi="Times New Roman" w:cs="Times New Roman"/>
          <w:sz w:val="24"/>
          <w:szCs w:val="24"/>
        </w:rPr>
        <w:t xml:space="preserve">, R. (2023). </w:t>
      </w:r>
      <w:r>
        <w:rPr>
          <w:rFonts w:ascii="Times New Roman" w:eastAsia="Times New Roman" w:hAnsi="Times New Roman" w:cs="Times New Roman"/>
          <w:i/>
          <w:iCs/>
          <w:sz w:val="24"/>
          <w:szCs w:val="24"/>
        </w:rPr>
        <w:t>Modeling customer lifetime-value in the retail banking industry</w:t>
      </w:r>
      <w:r>
        <w:rPr>
          <w:rFonts w:ascii="Times New Roman" w:eastAsia="Times New Roman" w:hAnsi="Times New Roman" w:cs="Times New Roman"/>
          <w:sz w:val="24"/>
          <w:szCs w:val="24"/>
        </w:rPr>
        <w:t xml:space="preserve"> (arXiv:2304.03038). </w:t>
      </w:r>
      <w:proofErr w:type="spellStart"/>
      <w:r>
        <w:rPr>
          <w:rFonts w:ascii="Times New Roman" w:eastAsia="Times New Roman" w:hAnsi="Times New Roman" w:cs="Times New Roman"/>
          <w:sz w:val="24"/>
          <w:szCs w:val="24"/>
        </w:rPr>
        <w:t>arXiv</w:t>
      </w:r>
      <w:proofErr w:type="spellEnd"/>
      <w:r>
        <w:rPr>
          <w:rFonts w:ascii="Times New Roman" w:eastAsia="Times New Roman" w:hAnsi="Times New Roman" w:cs="Times New Roman"/>
          <w:sz w:val="24"/>
          <w:szCs w:val="24"/>
        </w:rPr>
        <w:t>.</w:t>
      </w:r>
      <w:hyperlink r:id="rId12">
        <w:r w:rsidR="00B9060D">
          <w:rPr>
            <w:rFonts w:ascii="Times New Roman" w:eastAsia="Times New Roman" w:hAnsi="Times New Roman" w:cs="Times New Roman"/>
            <w:sz w:val="24"/>
            <w:szCs w:val="24"/>
          </w:rPr>
          <w:t xml:space="preserve"> </w:t>
        </w:r>
      </w:hyperlink>
      <w:hyperlink r:id="rId13">
        <w:r w:rsidR="00B9060D">
          <w:rPr>
            <w:rFonts w:ascii="Times New Roman" w:eastAsia="Times New Roman" w:hAnsi="Times New Roman" w:cs="Times New Roman"/>
            <w:color w:val="1155CC"/>
            <w:sz w:val="24"/>
            <w:szCs w:val="24"/>
            <w:u w:val="single"/>
          </w:rPr>
          <w:t>https://doi.org/10.48550/arXiv.2304.03038</w:t>
        </w:r>
      </w:hyperlink>
    </w:p>
    <w:p w14:paraId="000C1DC6"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Creswell, J. W., &amp; Creswell, J. D. (2017). </w:t>
      </w:r>
      <w:r>
        <w:rPr>
          <w:rFonts w:ascii="Times New Roman" w:eastAsia="Times New Roman" w:hAnsi="Times New Roman" w:cs="Times New Roman"/>
          <w:i/>
          <w:iCs/>
          <w:sz w:val="24"/>
          <w:szCs w:val="24"/>
        </w:rPr>
        <w:t>Research Design: Qualitative, Quantitative, and Mixed Methods Approaches. 4th Edition</w:t>
      </w:r>
      <w:r>
        <w:rPr>
          <w:rFonts w:ascii="Times New Roman" w:eastAsia="Times New Roman" w:hAnsi="Times New Roman" w:cs="Times New Roman"/>
          <w:sz w:val="24"/>
          <w:szCs w:val="24"/>
        </w:rPr>
        <w:t>.</w:t>
      </w:r>
      <w:hyperlink r:id="rId14">
        <w:r w:rsidR="00B9060D">
          <w:rPr>
            <w:rFonts w:ascii="Times New Roman" w:eastAsia="Times New Roman" w:hAnsi="Times New Roman" w:cs="Times New Roman"/>
            <w:sz w:val="24"/>
            <w:szCs w:val="24"/>
          </w:rPr>
          <w:t xml:space="preserve"> </w:t>
        </w:r>
      </w:hyperlink>
      <w:hyperlink r:id="rId15">
        <w:r w:rsidR="00B9060D">
          <w:rPr>
            <w:rFonts w:ascii="Times New Roman" w:eastAsia="Times New Roman" w:hAnsi="Times New Roman" w:cs="Times New Roman"/>
            <w:color w:val="1155CC"/>
            <w:sz w:val="24"/>
            <w:szCs w:val="24"/>
            <w:u w:val="single"/>
          </w:rPr>
          <w:t>https://edge.sagepub.com/creswellrd5e</w:t>
        </w:r>
      </w:hyperlink>
    </w:p>
    <w:p w14:paraId="6BDEF6CA"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Dwivedi, Y. K., </w:t>
      </w:r>
      <w:proofErr w:type="spellStart"/>
      <w:r>
        <w:rPr>
          <w:rFonts w:ascii="Times New Roman" w:eastAsia="Times New Roman" w:hAnsi="Times New Roman" w:cs="Times New Roman"/>
          <w:sz w:val="24"/>
          <w:szCs w:val="24"/>
        </w:rPr>
        <w:t>Ismagilova</w:t>
      </w:r>
      <w:proofErr w:type="spellEnd"/>
      <w:r>
        <w:rPr>
          <w:rFonts w:ascii="Times New Roman" w:eastAsia="Times New Roman" w:hAnsi="Times New Roman" w:cs="Times New Roman"/>
          <w:sz w:val="24"/>
          <w:szCs w:val="24"/>
        </w:rPr>
        <w:t xml:space="preserve">, E., Hughes, D. L., Carlson, J., </w:t>
      </w:r>
      <w:proofErr w:type="spellStart"/>
      <w:r>
        <w:rPr>
          <w:rFonts w:ascii="Times New Roman" w:eastAsia="Times New Roman" w:hAnsi="Times New Roman" w:cs="Times New Roman"/>
          <w:sz w:val="24"/>
          <w:szCs w:val="24"/>
        </w:rPr>
        <w:t>Filieri</w:t>
      </w:r>
      <w:proofErr w:type="spellEnd"/>
      <w:r>
        <w:rPr>
          <w:rFonts w:ascii="Times New Roman" w:eastAsia="Times New Roman" w:hAnsi="Times New Roman" w:cs="Times New Roman"/>
          <w:sz w:val="24"/>
          <w:szCs w:val="24"/>
        </w:rPr>
        <w:t xml:space="preserve">, R., Jacobson, J., Jain, V., Karjaluoto, H., </w:t>
      </w:r>
      <w:proofErr w:type="spellStart"/>
      <w:r>
        <w:rPr>
          <w:rFonts w:ascii="Times New Roman" w:eastAsia="Times New Roman" w:hAnsi="Times New Roman" w:cs="Times New Roman"/>
          <w:sz w:val="24"/>
          <w:szCs w:val="24"/>
        </w:rPr>
        <w:t>Kefi</w:t>
      </w:r>
      <w:proofErr w:type="spellEnd"/>
      <w:r>
        <w:rPr>
          <w:rFonts w:ascii="Times New Roman" w:eastAsia="Times New Roman" w:hAnsi="Times New Roman" w:cs="Times New Roman"/>
          <w:sz w:val="24"/>
          <w:szCs w:val="24"/>
        </w:rPr>
        <w:t xml:space="preserve">, H., Krishen, A. S., Kumar, V., Rahman, M. M., Raman, R., </w:t>
      </w:r>
      <w:proofErr w:type="spellStart"/>
      <w:r>
        <w:rPr>
          <w:rFonts w:ascii="Times New Roman" w:eastAsia="Times New Roman" w:hAnsi="Times New Roman" w:cs="Times New Roman"/>
          <w:sz w:val="24"/>
          <w:szCs w:val="24"/>
        </w:rPr>
        <w:t>Rauschnabel</w:t>
      </w:r>
      <w:proofErr w:type="spellEnd"/>
      <w:r>
        <w:rPr>
          <w:rFonts w:ascii="Times New Roman" w:eastAsia="Times New Roman" w:hAnsi="Times New Roman" w:cs="Times New Roman"/>
          <w:sz w:val="24"/>
          <w:szCs w:val="24"/>
        </w:rPr>
        <w:t xml:space="preserve">, P. A., Rowley, J., Salo, J., Tran, G. A., &amp; Wang, Y. (2021). Setting the </w:t>
      </w:r>
      <w:r>
        <w:rPr>
          <w:rFonts w:ascii="Times New Roman" w:eastAsia="Times New Roman" w:hAnsi="Times New Roman" w:cs="Times New Roman"/>
          <w:sz w:val="24"/>
          <w:szCs w:val="24"/>
        </w:rPr>
        <w:lastRenderedPageBreak/>
        <w:t xml:space="preserve">future of digital and social media marketing research: Perspectives and research propositions. </w:t>
      </w:r>
      <w:r>
        <w:rPr>
          <w:rFonts w:ascii="Times New Roman" w:eastAsia="Times New Roman" w:hAnsi="Times New Roman" w:cs="Times New Roman"/>
          <w:i/>
          <w:iCs/>
          <w:sz w:val="24"/>
          <w:szCs w:val="24"/>
        </w:rPr>
        <w:t>International Journal of Information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59</w:t>
      </w:r>
      <w:r>
        <w:rPr>
          <w:rFonts w:ascii="Times New Roman" w:eastAsia="Times New Roman" w:hAnsi="Times New Roman" w:cs="Times New Roman"/>
          <w:sz w:val="24"/>
          <w:szCs w:val="24"/>
        </w:rPr>
        <w:t>, 102168.</w:t>
      </w:r>
      <w:hyperlink r:id="rId16">
        <w:r w:rsidR="00B9060D">
          <w:rPr>
            <w:rFonts w:ascii="Times New Roman" w:eastAsia="Times New Roman" w:hAnsi="Times New Roman" w:cs="Times New Roman"/>
            <w:sz w:val="24"/>
            <w:szCs w:val="24"/>
          </w:rPr>
          <w:t xml:space="preserve"> </w:t>
        </w:r>
      </w:hyperlink>
      <w:hyperlink r:id="rId17">
        <w:r w:rsidR="00B9060D">
          <w:rPr>
            <w:rFonts w:ascii="Times New Roman" w:eastAsia="Times New Roman" w:hAnsi="Times New Roman" w:cs="Times New Roman"/>
            <w:color w:val="1155CC"/>
            <w:sz w:val="24"/>
            <w:szCs w:val="24"/>
            <w:u w:val="single"/>
          </w:rPr>
          <w:t>https://doi.org/10.1016/j.ijinfomgt.2020.102168</w:t>
        </w:r>
      </w:hyperlink>
    </w:p>
    <w:p w14:paraId="63AE969F"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Gupta, S., &amp; Valarie, Z. (2006). Customer Metrics and Their Impact on Financial Performance. </w:t>
      </w:r>
      <w:r>
        <w:rPr>
          <w:rFonts w:ascii="Times New Roman" w:eastAsia="Times New Roman" w:hAnsi="Times New Roman" w:cs="Times New Roman"/>
          <w:i/>
          <w:iCs/>
          <w:sz w:val="24"/>
          <w:szCs w:val="24"/>
        </w:rPr>
        <w:t>Marketing 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25</w:t>
      </w:r>
      <w:r>
        <w:rPr>
          <w:rFonts w:ascii="Times New Roman" w:eastAsia="Times New Roman" w:hAnsi="Times New Roman" w:cs="Times New Roman"/>
          <w:sz w:val="24"/>
          <w:szCs w:val="24"/>
        </w:rPr>
        <w:t>(6), 551–765.</w:t>
      </w:r>
      <w:hyperlink r:id="rId18">
        <w:r w:rsidR="00B9060D">
          <w:rPr>
            <w:rFonts w:ascii="Times New Roman" w:eastAsia="Times New Roman" w:hAnsi="Times New Roman" w:cs="Times New Roman"/>
            <w:sz w:val="24"/>
            <w:szCs w:val="24"/>
          </w:rPr>
          <w:t xml:space="preserve"> </w:t>
        </w:r>
      </w:hyperlink>
      <w:hyperlink r:id="rId19">
        <w:r w:rsidR="00B9060D">
          <w:rPr>
            <w:rFonts w:ascii="Times New Roman" w:eastAsia="Times New Roman" w:hAnsi="Times New Roman" w:cs="Times New Roman"/>
            <w:color w:val="1155CC"/>
            <w:sz w:val="24"/>
            <w:szCs w:val="24"/>
            <w:u w:val="single"/>
          </w:rPr>
          <w:t>https://doi.org/10.1287/mksc.1060.0221</w:t>
        </w:r>
      </w:hyperlink>
    </w:p>
    <w:p w14:paraId="3BD54753"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Hidayat, K., &amp; </w:t>
      </w:r>
      <w:proofErr w:type="spellStart"/>
      <w:r>
        <w:rPr>
          <w:rFonts w:ascii="Times New Roman" w:eastAsia="Times New Roman" w:hAnsi="Times New Roman" w:cs="Times New Roman"/>
          <w:sz w:val="24"/>
          <w:szCs w:val="24"/>
        </w:rPr>
        <w:t>Idrus</w:t>
      </w:r>
      <w:proofErr w:type="spellEnd"/>
      <w:r>
        <w:rPr>
          <w:rFonts w:ascii="Times New Roman" w:eastAsia="Times New Roman" w:hAnsi="Times New Roman" w:cs="Times New Roman"/>
          <w:sz w:val="24"/>
          <w:szCs w:val="24"/>
        </w:rPr>
        <w:t xml:space="preserve">, M. I. (2023). The effect of relationship marketing towards switching barriers, customer satisfaction, and customer trust on bank customers. </w:t>
      </w:r>
      <w:r>
        <w:rPr>
          <w:rFonts w:ascii="Times New Roman" w:eastAsia="Times New Roman" w:hAnsi="Times New Roman" w:cs="Times New Roman"/>
          <w:i/>
          <w:iCs/>
          <w:sz w:val="24"/>
          <w:szCs w:val="24"/>
        </w:rPr>
        <w:t>Journal of Innovation and Entrepreneurship</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(1), 29.</w:t>
      </w:r>
      <w:hyperlink r:id="rId20">
        <w:r w:rsidR="00B9060D">
          <w:rPr>
            <w:rFonts w:ascii="Times New Roman" w:eastAsia="Times New Roman" w:hAnsi="Times New Roman" w:cs="Times New Roman"/>
            <w:sz w:val="24"/>
            <w:szCs w:val="24"/>
          </w:rPr>
          <w:t xml:space="preserve"> </w:t>
        </w:r>
      </w:hyperlink>
      <w:hyperlink r:id="rId21">
        <w:r w:rsidR="00B9060D">
          <w:rPr>
            <w:rFonts w:ascii="Times New Roman" w:eastAsia="Times New Roman" w:hAnsi="Times New Roman" w:cs="Times New Roman"/>
            <w:color w:val="1155CC"/>
            <w:sz w:val="24"/>
            <w:szCs w:val="24"/>
            <w:u w:val="single"/>
          </w:rPr>
          <w:t>https://doi.org/10.1186/s13731-023-00270-7</w:t>
        </w:r>
      </w:hyperlink>
    </w:p>
    <w:p w14:paraId="001E14C5"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Hollebeek</w:t>
      </w:r>
      <w:proofErr w:type="spellEnd"/>
      <w:r>
        <w:rPr>
          <w:rFonts w:ascii="Times New Roman" w:eastAsia="Times New Roman" w:hAnsi="Times New Roman" w:cs="Times New Roman"/>
          <w:sz w:val="24"/>
          <w:szCs w:val="24"/>
        </w:rPr>
        <w:t xml:space="preserve">, L. D., Srivastava, R. K., &amp; Chen, T. (2019). S-D logic–informed customer engagement: Integrative framework, revised fundamental propositions, and application to CRM. </w:t>
      </w:r>
      <w:r>
        <w:rPr>
          <w:rFonts w:ascii="Times New Roman" w:eastAsia="Times New Roman" w:hAnsi="Times New Roman" w:cs="Times New Roman"/>
          <w:i/>
          <w:iCs/>
          <w:sz w:val="24"/>
          <w:szCs w:val="24"/>
        </w:rPr>
        <w:t>Journal of the Academy of Marketing 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47</w:t>
      </w:r>
      <w:r>
        <w:rPr>
          <w:rFonts w:ascii="Times New Roman" w:eastAsia="Times New Roman" w:hAnsi="Times New Roman" w:cs="Times New Roman"/>
          <w:sz w:val="24"/>
          <w:szCs w:val="24"/>
        </w:rPr>
        <w:t>(1), 161–185.</w:t>
      </w:r>
      <w:hyperlink r:id="rId22">
        <w:r w:rsidR="00B9060D">
          <w:rPr>
            <w:rFonts w:ascii="Times New Roman" w:eastAsia="Times New Roman" w:hAnsi="Times New Roman" w:cs="Times New Roman"/>
            <w:sz w:val="24"/>
            <w:szCs w:val="24"/>
          </w:rPr>
          <w:t xml:space="preserve"> </w:t>
        </w:r>
      </w:hyperlink>
      <w:hyperlink r:id="rId23">
        <w:r w:rsidR="00B9060D">
          <w:rPr>
            <w:rFonts w:ascii="Times New Roman" w:eastAsia="Times New Roman" w:hAnsi="Times New Roman" w:cs="Times New Roman"/>
            <w:color w:val="1155CC"/>
            <w:sz w:val="24"/>
            <w:szCs w:val="24"/>
            <w:u w:val="single"/>
          </w:rPr>
          <w:t>https://doi.org/10.1007/s11747-016-0494-5</w:t>
        </w:r>
      </w:hyperlink>
    </w:p>
    <w:p w14:paraId="1D0F8656"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Kumar, V., &amp; Reinartz, W. (2018). </w:t>
      </w:r>
      <w:r>
        <w:rPr>
          <w:rFonts w:ascii="Times New Roman" w:eastAsia="Times New Roman" w:hAnsi="Times New Roman" w:cs="Times New Roman"/>
          <w:i/>
          <w:iCs/>
          <w:sz w:val="24"/>
          <w:szCs w:val="24"/>
        </w:rPr>
        <w:t>Customer Relationship Management</w:t>
      </w:r>
      <w:r>
        <w:rPr>
          <w:rFonts w:ascii="Times New Roman" w:eastAsia="Times New Roman" w:hAnsi="Times New Roman" w:cs="Times New Roman"/>
          <w:sz w:val="24"/>
          <w:szCs w:val="24"/>
        </w:rPr>
        <w:t>. Springer.</w:t>
      </w:r>
      <w:hyperlink r:id="rId24">
        <w:r w:rsidR="00B9060D">
          <w:rPr>
            <w:rFonts w:ascii="Times New Roman" w:eastAsia="Times New Roman" w:hAnsi="Times New Roman" w:cs="Times New Roman"/>
            <w:sz w:val="24"/>
            <w:szCs w:val="24"/>
          </w:rPr>
          <w:t xml:space="preserve"> </w:t>
        </w:r>
      </w:hyperlink>
      <w:hyperlink r:id="rId25">
        <w:r w:rsidR="00B9060D">
          <w:rPr>
            <w:rFonts w:ascii="Times New Roman" w:eastAsia="Times New Roman" w:hAnsi="Times New Roman" w:cs="Times New Roman"/>
            <w:color w:val="1155CC"/>
            <w:sz w:val="24"/>
            <w:szCs w:val="24"/>
            <w:u w:val="single"/>
          </w:rPr>
          <w:t>https://doi.org/10.1007/978-3-662-55381-7</w:t>
        </w:r>
      </w:hyperlink>
    </w:p>
    <w:p w14:paraId="77A150A1"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Mandal, P. C. (2023). Engaging Customers and Managing Customer Relationships: Strategies and Initiatives. </w:t>
      </w:r>
      <w:r>
        <w:rPr>
          <w:rFonts w:ascii="Times New Roman" w:eastAsia="Times New Roman" w:hAnsi="Times New Roman" w:cs="Times New Roman"/>
          <w:i/>
          <w:iCs/>
          <w:sz w:val="24"/>
          <w:szCs w:val="24"/>
        </w:rPr>
        <w:t>Journal of Business Ecosystems (JBE)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w:t>
      </w:r>
      <w:r>
        <w:rPr>
          <w:rFonts w:ascii="Times New Roman" w:eastAsia="Times New Roman" w:hAnsi="Times New Roman" w:cs="Times New Roman"/>
          <w:sz w:val="24"/>
          <w:szCs w:val="24"/>
        </w:rPr>
        <w:t>(1), 1–14.</w:t>
      </w:r>
      <w:hyperlink r:id="rId26">
        <w:r w:rsidR="00B9060D">
          <w:rPr>
            <w:rFonts w:ascii="Times New Roman" w:eastAsia="Times New Roman" w:hAnsi="Times New Roman" w:cs="Times New Roman"/>
            <w:sz w:val="24"/>
            <w:szCs w:val="24"/>
          </w:rPr>
          <w:t xml:space="preserve"> </w:t>
        </w:r>
      </w:hyperlink>
      <w:hyperlink r:id="rId27">
        <w:r w:rsidR="00B9060D">
          <w:rPr>
            <w:rFonts w:ascii="Times New Roman" w:eastAsia="Times New Roman" w:hAnsi="Times New Roman" w:cs="Times New Roman"/>
            <w:color w:val="1155CC"/>
            <w:sz w:val="24"/>
            <w:szCs w:val="24"/>
            <w:u w:val="single"/>
          </w:rPr>
          <w:t>https://doi.org/10.4018/JBE.322405</w:t>
        </w:r>
      </w:hyperlink>
    </w:p>
    <w:p w14:paraId="029F3258"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Obilo</w:t>
      </w:r>
      <w:proofErr w:type="spellEnd"/>
      <w:r>
        <w:rPr>
          <w:rFonts w:ascii="Times New Roman" w:eastAsia="Times New Roman" w:hAnsi="Times New Roman" w:cs="Times New Roman"/>
          <w:sz w:val="24"/>
          <w:szCs w:val="24"/>
        </w:rPr>
        <w:t xml:space="preserve">, O. O., </w:t>
      </w:r>
      <w:proofErr w:type="spellStart"/>
      <w:r>
        <w:rPr>
          <w:rFonts w:ascii="Times New Roman" w:eastAsia="Times New Roman" w:hAnsi="Times New Roman" w:cs="Times New Roman"/>
          <w:sz w:val="24"/>
          <w:szCs w:val="24"/>
        </w:rPr>
        <w:t>Chefor</w:t>
      </w:r>
      <w:proofErr w:type="spellEnd"/>
      <w:r>
        <w:rPr>
          <w:rFonts w:ascii="Times New Roman" w:eastAsia="Times New Roman" w:hAnsi="Times New Roman" w:cs="Times New Roman"/>
          <w:sz w:val="24"/>
          <w:szCs w:val="24"/>
        </w:rPr>
        <w:t xml:space="preserve">, E., &amp; Saleh, A. (2021). Revisiting the consumer brand engagement concept. </w:t>
      </w:r>
      <w:r>
        <w:rPr>
          <w:rFonts w:ascii="Times New Roman" w:eastAsia="Times New Roman" w:hAnsi="Times New Roman" w:cs="Times New Roman"/>
          <w:i/>
          <w:iCs/>
          <w:sz w:val="24"/>
          <w:szCs w:val="24"/>
        </w:rPr>
        <w:t>Journal of Business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126</w:t>
      </w:r>
      <w:r>
        <w:rPr>
          <w:rFonts w:ascii="Times New Roman" w:eastAsia="Times New Roman" w:hAnsi="Times New Roman" w:cs="Times New Roman"/>
          <w:sz w:val="24"/>
          <w:szCs w:val="24"/>
        </w:rPr>
        <w:t>, 634–643.</w:t>
      </w:r>
      <w:hyperlink r:id="rId28">
        <w:r w:rsidR="00B9060D">
          <w:rPr>
            <w:rFonts w:ascii="Times New Roman" w:eastAsia="Times New Roman" w:hAnsi="Times New Roman" w:cs="Times New Roman"/>
            <w:sz w:val="24"/>
            <w:szCs w:val="24"/>
          </w:rPr>
          <w:t xml:space="preserve"> </w:t>
        </w:r>
      </w:hyperlink>
      <w:hyperlink r:id="rId29">
        <w:r w:rsidR="00B9060D">
          <w:rPr>
            <w:rFonts w:ascii="Times New Roman" w:eastAsia="Times New Roman" w:hAnsi="Times New Roman" w:cs="Times New Roman"/>
            <w:color w:val="1155CC"/>
            <w:sz w:val="24"/>
            <w:szCs w:val="24"/>
            <w:u w:val="single"/>
          </w:rPr>
          <w:t>https://doi.org/10.1016/j.jbusres.2019.12.023</w:t>
        </w:r>
      </w:hyperlink>
    </w:p>
    <w:p w14:paraId="305B0534"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Opuni</w:t>
      </w:r>
      <w:proofErr w:type="spellEnd"/>
      <w:r>
        <w:rPr>
          <w:rFonts w:ascii="Times New Roman" w:eastAsia="Times New Roman" w:hAnsi="Times New Roman" w:cs="Times New Roman"/>
          <w:sz w:val="24"/>
          <w:szCs w:val="24"/>
        </w:rPr>
        <w:t xml:space="preserve">-Frimpong, J., </w:t>
      </w:r>
      <w:proofErr w:type="spellStart"/>
      <w:r>
        <w:rPr>
          <w:rFonts w:ascii="Times New Roman" w:eastAsia="Times New Roman" w:hAnsi="Times New Roman" w:cs="Times New Roman"/>
          <w:sz w:val="24"/>
          <w:szCs w:val="24"/>
        </w:rPr>
        <w:t>Dzorka</w:t>
      </w:r>
      <w:proofErr w:type="spellEnd"/>
      <w:r>
        <w:rPr>
          <w:rFonts w:ascii="Times New Roman" w:eastAsia="Times New Roman" w:hAnsi="Times New Roman" w:cs="Times New Roman"/>
          <w:sz w:val="24"/>
          <w:szCs w:val="24"/>
        </w:rPr>
        <w:t xml:space="preserve">, M., &amp; Oheneba </w:t>
      </w:r>
      <w:proofErr w:type="spellStart"/>
      <w:r>
        <w:rPr>
          <w:rFonts w:ascii="Times New Roman" w:eastAsia="Times New Roman" w:hAnsi="Times New Roman" w:cs="Times New Roman"/>
          <w:sz w:val="24"/>
          <w:szCs w:val="24"/>
        </w:rPr>
        <w:t>Akomaning</w:t>
      </w:r>
      <w:proofErr w:type="spellEnd"/>
      <w:r>
        <w:rPr>
          <w:rFonts w:ascii="Times New Roman" w:eastAsia="Times New Roman" w:hAnsi="Times New Roman" w:cs="Times New Roman"/>
          <w:sz w:val="24"/>
          <w:szCs w:val="24"/>
        </w:rPr>
        <w:t xml:space="preserve">, J. (2025). Assessing bank financial performance in the context of digital financial service policy: Empirical insights. </w:t>
      </w:r>
      <w:r>
        <w:rPr>
          <w:rFonts w:ascii="Times New Roman" w:eastAsia="Times New Roman" w:hAnsi="Times New Roman" w:cs="Times New Roman"/>
          <w:i/>
          <w:iCs/>
          <w:sz w:val="24"/>
          <w:szCs w:val="24"/>
        </w:rPr>
        <w:t>Digital Policy, Regulation and Governance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27</w:t>
      </w:r>
      <w:r>
        <w:rPr>
          <w:rFonts w:ascii="Times New Roman" w:eastAsia="Times New Roman" w:hAnsi="Times New Roman" w:cs="Times New Roman"/>
          <w:sz w:val="24"/>
          <w:szCs w:val="24"/>
        </w:rPr>
        <w:t>(6), 648–667.</w:t>
      </w:r>
      <w:hyperlink r:id="rId30">
        <w:r w:rsidR="00B9060D">
          <w:rPr>
            <w:rFonts w:ascii="Times New Roman" w:eastAsia="Times New Roman" w:hAnsi="Times New Roman" w:cs="Times New Roman"/>
            <w:sz w:val="24"/>
            <w:szCs w:val="24"/>
          </w:rPr>
          <w:t xml:space="preserve"> </w:t>
        </w:r>
      </w:hyperlink>
      <w:hyperlink r:id="rId31">
        <w:r w:rsidR="00B9060D">
          <w:rPr>
            <w:rFonts w:ascii="Times New Roman" w:eastAsia="Times New Roman" w:hAnsi="Times New Roman" w:cs="Times New Roman"/>
            <w:color w:val="1155CC"/>
            <w:sz w:val="24"/>
            <w:szCs w:val="24"/>
            <w:u w:val="single"/>
          </w:rPr>
          <w:t>https://doi.org/10.1108/DPRG-09-2024-0243</w:t>
        </w:r>
      </w:hyperlink>
    </w:p>
    <w:p w14:paraId="2EE36E51"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 xml:space="preserve">Pereira, D., Silva, J., &amp; Casais, B. (2024). Consumer Brand Engagement Fostered by Cause-Related Marketing in Emotional and Functional Brands. </w:t>
      </w:r>
      <w:r>
        <w:rPr>
          <w:rFonts w:ascii="Times New Roman" w:eastAsia="Times New Roman" w:hAnsi="Times New Roman" w:cs="Times New Roman"/>
          <w:i/>
          <w:iCs/>
          <w:sz w:val="24"/>
          <w:szCs w:val="24"/>
        </w:rPr>
        <w:t>Journal of Nonprofit &amp; Public Sector Marketing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36</w:t>
      </w:r>
      <w:r>
        <w:rPr>
          <w:rFonts w:ascii="Times New Roman" w:eastAsia="Times New Roman" w:hAnsi="Times New Roman" w:cs="Times New Roman"/>
          <w:sz w:val="24"/>
          <w:szCs w:val="24"/>
        </w:rPr>
        <w:t>(5), 685–712.</w:t>
      </w:r>
      <w:hyperlink r:id="rId32">
        <w:r w:rsidR="00B9060D">
          <w:rPr>
            <w:rFonts w:ascii="Times New Roman" w:eastAsia="Times New Roman" w:hAnsi="Times New Roman" w:cs="Times New Roman"/>
            <w:sz w:val="24"/>
            <w:szCs w:val="24"/>
          </w:rPr>
          <w:t xml:space="preserve"> </w:t>
        </w:r>
      </w:hyperlink>
      <w:hyperlink r:id="rId33">
        <w:r w:rsidR="00B9060D">
          <w:rPr>
            <w:rFonts w:ascii="Times New Roman" w:eastAsia="Times New Roman" w:hAnsi="Times New Roman" w:cs="Times New Roman"/>
            <w:color w:val="1155CC"/>
            <w:sz w:val="24"/>
            <w:szCs w:val="24"/>
            <w:u w:val="single"/>
          </w:rPr>
          <w:t>https://doi.org/10.1080/10495142.2024.2329258</w:t>
        </w:r>
      </w:hyperlink>
    </w:p>
    <w:p w14:paraId="660BDC69"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Rather, R. A. (2020). Customer experience and engagement in tourism destinations: The experiential marketing perspective. </w:t>
      </w:r>
      <w:r>
        <w:rPr>
          <w:rFonts w:ascii="Times New Roman" w:eastAsia="Times New Roman" w:hAnsi="Times New Roman" w:cs="Times New Roman"/>
          <w:i/>
          <w:iCs/>
          <w:sz w:val="24"/>
          <w:szCs w:val="24"/>
        </w:rPr>
        <w:t>Journal of Travel &amp; Tourism Marketing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37</w:t>
      </w:r>
      <w:r>
        <w:rPr>
          <w:rFonts w:ascii="Times New Roman" w:eastAsia="Times New Roman" w:hAnsi="Times New Roman" w:cs="Times New Roman"/>
          <w:sz w:val="24"/>
          <w:szCs w:val="24"/>
        </w:rPr>
        <w:t>(1), 15–32.</w:t>
      </w:r>
      <w:hyperlink r:id="rId34">
        <w:r w:rsidR="00B9060D">
          <w:rPr>
            <w:rFonts w:ascii="Times New Roman" w:eastAsia="Times New Roman" w:hAnsi="Times New Roman" w:cs="Times New Roman"/>
            <w:sz w:val="24"/>
            <w:szCs w:val="24"/>
          </w:rPr>
          <w:t xml:space="preserve"> </w:t>
        </w:r>
      </w:hyperlink>
      <w:hyperlink r:id="rId35">
        <w:r w:rsidR="00B9060D">
          <w:rPr>
            <w:rFonts w:ascii="Times New Roman" w:eastAsia="Times New Roman" w:hAnsi="Times New Roman" w:cs="Times New Roman"/>
            <w:color w:val="1155CC"/>
            <w:sz w:val="24"/>
            <w:szCs w:val="24"/>
            <w:u w:val="single"/>
          </w:rPr>
          <w:t>https://doi.org/10.1080/10548408.2019.1686101</w:t>
        </w:r>
      </w:hyperlink>
    </w:p>
    <w:p w14:paraId="701390D1"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Rather, R. A., &amp; </w:t>
      </w:r>
      <w:proofErr w:type="spellStart"/>
      <w:r>
        <w:rPr>
          <w:rFonts w:ascii="Times New Roman" w:eastAsia="Times New Roman" w:hAnsi="Times New Roman" w:cs="Times New Roman"/>
          <w:sz w:val="24"/>
          <w:szCs w:val="24"/>
        </w:rPr>
        <w:t>Hollebeek</w:t>
      </w:r>
      <w:proofErr w:type="spellEnd"/>
      <w:r>
        <w:rPr>
          <w:rFonts w:ascii="Times New Roman" w:eastAsia="Times New Roman" w:hAnsi="Times New Roman" w:cs="Times New Roman"/>
          <w:sz w:val="24"/>
          <w:szCs w:val="24"/>
        </w:rPr>
        <w:t xml:space="preserve">, L. D. (2021). Customers’ service-related engagement, experience, and behavioral intent: Moderating role of age. </w:t>
      </w:r>
      <w:r>
        <w:rPr>
          <w:rFonts w:ascii="Times New Roman" w:eastAsia="Times New Roman" w:hAnsi="Times New Roman" w:cs="Times New Roman"/>
          <w:i/>
          <w:iCs/>
          <w:sz w:val="24"/>
          <w:szCs w:val="24"/>
        </w:rPr>
        <w:t>Journal of Retailing and Consumer Services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60</w:t>
      </w:r>
      <w:r>
        <w:rPr>
          <w:rFonts w:ascii="Times New Roman" w:eastAsia="Times New Roman" w:hAnsi="Times New Roman" w:cs="Times New Roman"/>
          <w:sz w:val="24"/>
          <w:szCs w:val="24"/>
        </w:rPr>
        <w:t>, 102453.</w:t>
      </w:r>
      <w:hyperlink r:id="rId36">
        <w:r w:rsidR="00B9060D">
          <w:rPr>
            <w:rFonts w:ascii="Times New Roman" w:eastAsia="Times New Roman" w:hAnsi="Times New Roman" w:cs="Times New Roman"/>
            <w:sz w:val="24"/>
            <w:szCs w:val="24"/>
          </w:rPr>
          <w:t xml:space="preserve"> </w:t>
        </w:r>
      </w:hyperlink>
      <w:hyperlink r:id="rId37">
        <w:r w:rsidR="00B9060D">
          <w:rPr>
            <w:rFonts w:ascii="Times New Roman" w:eastAsia="Times New Roman" w:hAnsi="Times New Roman" w:cs="Times New Roman"/>
            <w:color w:val="1155CC"/>
            <w:sz w:val="24"/>
            <w:szCs w:val="24"/>
            <w:u w:val="single"/>
          </w:rPr>
          <w:t>https://doi.org/10.1016/j.jretconser.2021.102453</w:t>
        </w:r>
      </w:hyperlink>
    </w:p>
    <w:p w14:paraId="39A7989D"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Rijnhart</w:t>
      </w:r>
      <w:proofErr w:type="spellEnd"/>
      <w:r>
        <w:rPr>
          <w:rFonts w:ascii="Times New Roman" w:eastAsia="Times New Roman" w:hAnsi="Times New Roman" w:cs="Times New Roman"/>
          <w:sz w:val="24"/>
          <w:szCs w:val="24"/>
        </w:rPr>
        <w:t xml:space="preserve">, J. J. M., Lamp, S. J., Valente, M. J., MacKinnon, D. P., </w:t>
      </w:r>
      <w:proofErr w:type="spellStart"/>
      <w:r>
        <w:rPr>
          <w:rFonts w:ascii="Times New Roman" w:eastAsia="Times New Roman" w:hAnsi="Times New Roman" w:cs="Times New Roman"/>
          <w:sz w:val="24"/>
          <w:szCs w:val="24"/>
        </w:rPr>
        <w:t>Twisk</w:t>
      </w:r>
      <w:proofErr w:type="spellEnd"/>
      <w:r>
        <w:rPr>
          <w:rFonts w:ascii="Times New Roman" w:eastAsia="Times New Roman" w:hAnsi="Times New Roman" w:cs="Times New Roman"/>
          <w:sz w:val="24"/>
          <w:szCs w:val="24"/>
        </w:rPr>
        <w:t xml:space="preserve">, J. W. R., &amp; Heymans, M. W. (2021). Mediation analysis methods used in observational research: A scoping review and recommendations. </w:t>
      </w:r>
      <w:r>
        <w:rPr>
          <w:rFonts w:ascii="Times New Roman" w:eastAsia="Times New Roman" w:hAnsi="Times New Roman" w:cs="Times New Roman"/>
          <w:i/>
          <w:iCs/>
          <w:sz w:val="24"/>
          <w:szCs w:val="24"/>
        </w:rPr>
        <w:t>BMC Medical Research Methodology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21</w:t>
      </w:r>
      <w:r>
        <w:rPr>
          <w:rFonts w:ascii="Times New Roman" w:eastAsia="Times New Roman" w:hAnsi="Times New Roman" w:cs="Times New Roman"/>
          <w:sz w:val="24"/>
          <w:szCs w:val="24"/>
        </w:rPr>
        <w:t>(1), 226.</w:t>
      </w:r>
      <w:hyperlink r:id="rId38">
        <w:r w:rsidR="00B9060D">
          <w:rPr>
            <w:rFonts w:ascii="Times New Roman" w:eastAsia="Times New Roman" w:hAnsi="Times New Roman" w:cs="Times New Roman"/>
            <w:sz w:val="24"/>
            <w:szCs w:val="24"/>
          </w:rPr>
          <w:t xml:space="preserve"> </w:t>
        </w:r>
      </w:hyperlink>
      <w:hyperlink r:id="rId39">
        <w:r w:rsidR="00B9060D">
          <w:rPr>
            <w:rFonts w:ascii="Times New Roman" w:eastAsia="Times New Roman" w:hAnsi="Times New Roman" w:cs="Times New Roman"/>
            <w:color w:val="1155CC"/>
            <w:sz w:val="24"/>
            <w:szCs w:val="24"/>
            <w:u w:val="single"/>
          </w:rPr>
          <w:t>https://doi.org/10.1186/s12874-021-01426-3</w:t>
        </w:r>
      </w:hyperlink>
    </w:p>
    <w:p w14:paraId="6D968E15"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Saunders, M. N., Lewis, P., &amp; Thornhill, A. (2019). </w:t>
      </w:r>
      <w:r>
        <w:rPr>
          <w:rFonts w:ascii="Times New Roman" w:eastAsia="Times New Roman" w:hAnsi="Times New Roman" w:cs="Times New Roman"/>
          <w:i/>
          <w:iCs/>
          <w:sz w:val="24"/>
          <w:szCs w:val="24"/>
        </w:rPr>
        <w:t>Research Methods for Business Students: Chapter 4 “Understanding research philosophy and approaches to theory development” -8th edition</w:t>
      </w:r>
      <w:r>
        <w:rPr>
          <w:rFonts w:ascii="Times New Roman" w:eastAsia="Times New Roman" w:hAnsi="Times New Roman" w:cs="Times New Roman"/>
          <w:sz w:val="24"/>
          <w:szCs w:val="24"/>
        </w:rPr>
        <w:t>. ResearchGate.</w:t>
      </w:r>
      <w:hyperlink r:id="rId40">
        <w:r w:rsidR="00B9060D">
          <w:rPr>
            <w:rFonts w:ascii="Times New Roman" w:eastAsia="Times New Roman" w:hAnsi="Times New Roman" w:cs="Times New Roman"/>
            <w:sz w:val="24"/>
            <w:szCs w:val="24"/>
          </w:rPr>
          <w:t xml:space="preserve"> </w:t>
        </w:r>
      </w:hyperlink>
      <w:hyperlink r:id="rId41">
        <w:r w:rsidR="00B9060D">
          <w:rPr>
            <w:rFonts w:ascii="Times New Roman" w:eastAsia="Times New Roman" w:hAnsi="Times New Roman" w:cs="Times New Roman"/>
            <w:color w:val="1155CC"/>
            <w:sz w:val="24"/>
            <w:szCs w:val="24"/>
            <w:u w:val="single"/>
          </w:rPr>
          <w:t>https://www.researchgate.net/publication/240218229_Research_Methods_for_Business_Students</w:t>
        </w:r>
      </w:hyperlink>
    </w:p>
    <w:p w14:paraId="43D5ADAB"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Segarra-Moliner, J.-R., &amp; Moliner-Tena, M.-Á. (2024). Engaging in customer citizenship </w:t>
      </w:r>
      <w:proofErr w:type="spellStart"/>
      <w:r>
        <w:rPr>
          <w:rFonts w:ascii="Times New Roman" w:eastAsia="Times New Roman" w:hAnsi="Times New Roman" w:cs="Times New Roman"/>
          <w:sz w:val="24"/>
          <w:szCs w:val="24"/>
        </w:rPr>
        <w:t>behaviours</w:t>
      </w:r>
      <w:proofErr w:type="spellEnd"/>
      <w:r>
        <w:rPr>
          <w:rFonts w:ascii="Times New Roman" w:eastAsia="Times New Roman" w:hAnsi="Times New Roman" w:cs="Times New Roman"/>
          <w:sz w:val="24"/>
          <w:szCs w:val="24"/>
        </w:rPr>
        <w:t xml:space="preserve"> to predict customer lifetime value. </w:t>
      </w:r>
      <w:r>
        <w:rPr>
          <w:rFonts w:ascii="Times New Roman" w:eastAsia="Times New Roman" w:hAnsi="Times New Roman" w:cs="Times New Roman"/>
          <w:i/>
          <w:iCs/>
          <w:sz w:val="24"/>
          <w:szCs w:val="24"/>
        </w:rPr>
        <w:t>Journal of Marketing Analytics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(2), 307–320.</w:t>
      </w:r>
      <w:hyperlink r:id="rId42">
        <w:r w:rsidR="00B9060D">
          <w:rPr>
            <w:rFonts w:ascii="Times New Roman" w:eastAsia="Times New Roman" w:hAnsi="Times New Roman" w:cs="Times New Roman"/>
            <w:sz w:val="24"/>
            <w:szCs w:val="24"/>
          </w:rPr>
          <w:t xml:space="preserve"> </w:t>
        </w:r>
      </w:hyperlink>
      <w:hyperlink r:id="rId43">
        <w:r w:rsidR="00B9060D">
          <w:rPr>
            <w:rFonts w:ascii="Times New Roman" w:eastAsia="Times New Roman" w:hAnsi="Times New Roman" w:cs="Times New Roman"/>
            <w:color w:val="1155CC"/>
            <w:sz w:val="24"/>
            <w:szCs w:val="24"/>
            <w:u w:val="single"/>
          </w:rPr>
          <w:t>https://doi.org/10.1057/s41270-022-00195-2</w:t>
        </w:r>
      </w:hyperlink>
    </w:p>
    <w:p w14:paraId="777464A4" w14:textId="77777777" w:rsidR="00B9060D" w:rsidRDefault="00000000">
      <w:pPr>
        <w:spacing w:before="240" w:after="240" w:line="360" w:lineRule="auto"/>
        <w:ind w:left="880" w:hanging="44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Seyedin, B., Ramazani, M., </w:t>
      </w:r>
      <w:proofErr w:type="spellStart"/>
      <w:r>
        <w:rPr>
          <w:rFonts w:ascii="Times New Roman" w:eastAsia="Times New Roman" w:hAnsi="Times New Roman" w:cs="Times New Roman"/>
          <w:sz w:val="24"/>
          <w:szCs w:val="24"/>
        </w:rPr>
        <w:t>Bodaghi</w:t>
      </w:r>
      <w:proofErr w:type="spellEnd"/>
      <w:r>
        <w:rPr>
          <w:rFonts w:ascii="Times New Roman" w:eastAsia="Times New Roman" w:hAnsi="Times New Roman" w:cs="Times New Roman"/>
          <w:sz w:val="24"/>
          <w:szCs w:val="24"/>
        </w:rPr>
        <w:t xml:space="preserve"> Khajeh Noubar, H., &amp; </w:t>
      </w:r>
      <w:proofErr w:type="spellStart"/>
      <w:r>
        <w:rPr>
          <w:rFonts w:ascii="Times New Roman" w:eastAsia="Times New Roman" w:hAnsi="Times New Roman" w:cs="Times New Roman"/>
          <w:sz w:val="24"/>
          <w:szCs w:val="24"/>
        </w:rPr>
        <w:t>Alavimatin</w:t>
      </w:r>
      <w:proofErr w:type="spellEnd"/>
      <w:r>
        <w:rPr>
          <w:rFonts w:ascii="Times New Roman" w:eastAsia="Times New Roman" w:hAnsi="Times New Roman" w:cs="Times New Roman"/>
          <w:sz w:val="24"/>
          <w:szCs w:val="24"/>
        </w:rPr>
        <w:t xml:space="preserve">, Y. (2021). Customer lifetime value analysis in the banking industry with an emphasis on brand equity. </w:t>
      </w:r>
      <w:r>
        <w:rPr>
          <w:rFonts w:ascii="Times New Roman" w:eastAsia="Times New Roman" w:hAnsi="Times New Roman" w:cs="Times New Roman"/>
          <w:i/>
          <w:iCs/>
          <w:sz w:val="24"/>
          <w:szCs w:val="24"/>
        </w:rPr>
        <w:t>International Journal of Nonlinear Analysis and Applications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(2), 991–1004.</w:t>
      </w:r>
      <w:hyperlink r:id="rId44">
        <w:r w:rsidR="00B9060D">
          <w:rPr>
            <w:rFonts w:ascii="Times New Roman" w:eastAsia="Times New Roman" w:hAnsi="Times New Roman" w:cs="Times New Roman"/>
            <w:sz w:val="24"/>
            <w:szCs w:val="24"/>
          </w:rPr>
          <w:t xml:space="preserve"> </w:t>
        </w:r>
      </w:hyperlink>
      <w:hyperlink r:id="rId45">
        <w:r w:rsidR="00B9060D">
          <w:rPr>
            <w:rFonts w:ascii="Times New Roman" w:eastAsia="Times New Roman" w:hAnsi="Times New Roman" w:cs="Times New Roman"/>
            <w:color w:val="1155CC"/>
            <w:sz w:val="24"/>
            <w:szCs w:val="24"/>
            <w:u w:val="single"/>
          </w:rPr>
          <w:t>https://doi.org/10.22075/ijnaa.2021.5169</w:t>
        </w:r>
      </w:hyperlink>
    </w:p>
    <w:p w14:paraId="4745DA85" w14:textId="77777777" w:rsidR="00B9060D" w:rsidRDefault="00000000">
      <w:pPr>
        <w:spacing w:before="240" w:after="240" w:line="360" w:lineRule="auto"/>
        <w:ind w:left="880" w:hanging="4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Thein, E. E., Niigata, A., &amp; Inaba, K. (2024). Concentrated bank market and SMEs’ collateral issues: A study of the firms of developing Asian countries. </w:t>
      </w:r>
      <w:r>
        <w:rPr>
          <w:rFonts w:ascii="Times New Roman" w:eastAsia="Times New Roman" w:hAnsi="Times New Roman" w:cs="Times New Roman"/>
          <w:i/>
          <w:iCs/>
          <w:sz w:val="24"/>
          <w:szCs w:val="24"/>
        </w:rPr>
        <w:t>Journal of Economic Structures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13</w:t>
      </w:r>
      <w:r>
        <w:rPr>
          <w:rFonts w:ascii="Times New Roman" w:eastAsia="Times New Roman" w:hAnsi="Times New Roman" w:cs="Times New Roman"/>
          <w:sz w:val="24"/>
          <w:szCs w:val="24"/>
        </w:rPr>
        <w:t>(1), 18.</w:t>
      </w:r>
      <w:hyperlink r:id="rId46">
        <w:r w:rsidR="00B9060D">
          <w:rPr>
            <w:rFonts w:ascii="Times New Roman" w:eastAsia="Times New Roman" w:hAnsi="Times New Roman" w:cs="Times New Roman"/>
            <w:sz w:val="24"/>
            <w:szCs w:val="24"/>
          </w:rPr>
          <w:t xml:space="preserve"> </w:t>
        </w:r>
      </w:hyperlink>
      <w:hyperlink r:id="rId47">
        <w:r w:rsidR="00B9060D">
          <w:rPr>
            <w:rFonts w:ascii="Times New Roman" w:eastAsia="Times New Roman" w:hAnsi="Times New Roman" w:cs="Times New Roman"/>
            <w:color w:val="1155CC"/>
            <w:sz w:val="24"/>
            <w:szCs w:val="24"/>
            <w:u w:val="single"/>
          </w:rPr>
          <w:t>https://doi.org/10.1186/s40008-024-00338-x</w:t>
        </w:r>
      </w:hyperlink>
    </w:p>
    <w:p w14:paraId="5DDCEC5E" w14:textId="77777777" w:rsidR="00B9060D" w:rsidRDefault="00B9060D">
      <w:pPr>
        <w:spacing w:before="240" w:after="240" w:line="360" w:lineRule="auto"/>
        <w:jc w:val="both"/>
        <w:rPr>
          <w:rFonts w:ascii="Times New Roman" w:eastAsia="Times New Roman" w:hAnsi="Times New Roman" w:cs="Times New Roman"/>
          <w:sz w:val="24"/>
          <w:szCs w:val="24"/>
          <w:highlight w:val="white"/>
        </w:rPr>
      </w:pPr>
    </w:p>
    <w:p w14:paraId="7F64B9FF" w14:textId="77777777" w:rsidR="00B9060D" w:rsidRDefault="00B9060D">
      <w:pPr>
        <w:spacing w:line="360" w:lineRule="auto"/>
        <w:jc w:val="both"/>
        <w:rPr>
          <w:rFonts w:ascii="Times New Roman" w:eastAsia="Times New Roman" w:hAnsi="Times New Roman" w:cs="Times New Roman"/>
          <w:sz w:val="24"/>
          <w:szCs w:val="24"/>
          <w:highlight w:val="white"/>
        </w:rPr>
      </w:pPr>
    </w:p>
    <w:p w14:paraId="56406266" w14:textId="77777777" w:rsidR="00B9060D" w:rsidRDefault="00B9060D">
      <w:pPr>
        <w:spacing w:line="360" w:lineRule="auto"/>
        <w:jc w:val="both"/>
        <w:rPr>
          <w:rFonts w:ascii="Times New Roman" w:eastAsia="Times New Roman" w:hAnsi="Times New Roman" w:cs="Times New Roman"/>
          <w:sz w:val="24"/>
          <w:szCs w:val="24"/>
          <w:highlight w:val="white"/>
        </w:rPr>
      </w:pPr>
    </w:p>
    <w:sectPr w:rsidR="00B9060D">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63A48" w14:textId="77777777" w:rsidR="00F54F3E" w:rsidRDefault="00F54F3E" w:rsidP="00A265DF">
      <w:pPr>
        <w:spacing w:line="240" w:lineRule="auto"/>
      </w:pPr>
      <w:r>
        <w:separator/>
      </w:r>
    </w:p>
  </w:endnote>
  <w:endnote w:type="continuationSeparator" w:id="0">
    <w:p w14:paraId="4D875025" w14:textId="77777777" w:rsidR="00F54F3E" w:rsidRDefault="00F54F3E" w:rsidP="00A265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do">
    <w:charset w:val="00"/>
    <w:family w:val="auto"/>
    <w:pitch w:val="default"/>
    <w:embedRegular r:id="rId1" w:fontKey="{FA7326C7-C096-4BFA-A010-7D03FE0D9AF0}"/>
  </w:font>
  <w:font w:name="Calibri">
    <w:panose1 w:val="020F0502020204030204"/>
    <w:charset w:val="00"/>
    <w:family w:val="swiss"/>
    <w:pitch w:val="variable"/>
    <w:sig w:usb0="E4002EFF" w:usb1="C200247B" w:usb2="00000009" w:usb3="00000000" w:csb0="000001FF" w:csb1="00000000"/>
    <w:embedRegular r:id="rId2" w:fontKey="{2997D156-7A6B-4C43-864E-B30A13D42F44}"/>
  </w:font>
  <w:font w:name="Cambria">
    <w:panose1 w:val="02040503050406030204"/>
    <w:charset w:val="00"/>
    <w:family w:val="roman"/>
    <w:pitch w:val="variable"/>
    <w:sig w:usb0="E00006FF" w:usb1="420024FF" w:usb2="02000000" w:usb3="00000000" w:csb0="0000019F" w:csb1="00000000"/>
    <w:embedRegular r:id="rId3" w:fontKey="{86A61CFB-7B07-43C0-B647-486134E28B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FC42" w14:textId="77777777" w:rsidR="00A265DF" w:rsidRDefault="00A265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01C0" w14:textId="77777777" w:rsidR="00A265DF" w:rsidRDefault="00A265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7026" w14:textId="77777777" w:rsidR="00A265DF" w:rsidRDefault="00A26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4ACA" w14:textId="77777777" w:rsidR="00F54F3E" w:rsidRDefault="00F54F3E" w:rsidP="00A265DF">
      <w:pPr>
        <w:spacing w:line="240" w:lineRule="auto"/>
      </w:pPr>
      <w:r>
        <w:separator/>
      </w:r>
    </w:p>
  </w:footnote>
  <w:footnote w:type="continuationSeparator" w:id="0">
    <w:p w14:paraId="438C2D6D" w14:textId="77777777" w:rsidR="00F54F3E" w:rsidRDefault="00F54F3E" w:rsidP="00A265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B1EF6" w14:textId="780EF103" w:rsidR="00A265DF" w:rsidRDefault="00A265DF">
    <w:pPr>
      <w:pStyle w:val="Header"/>
    </w:pPr>
    <w:r>
      <w:rPr>
        <w:noProof/>
      </w:rPr>
      <w:pict w14:anchorId="5D288F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70047"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B200" w14:textId="3D4FC828" w:rsidR="00A265DF" w:rsidRDefault="00A265DF">
    <w:pPr>
      <w:pStyle w:val="Header"/>
    </w:pPr>
    <w:r>
      <w:rPr>
        <w:noProof/>
      </w:rPr>
      <w:pict w14:anchorId="6206E3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70048"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F249" w14:textId="42ABC887" w:rsidR="00A265DF" w:rsidRDefault="00A265DF">
    <w:pPr>
      <w:pStyle w:val="Header"/>
    </w:pPr>
    <w:r>
      <w:rPr>
        <w:noProof/>
      </w:rPr>
      <w:pict w14:anchorId="611020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570046"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E0EB8"/>
    <w:multiLevelType w:val="multilevel"/>
    <w:tmpl w:val="929AA286"/>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81012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60D"/>
    <w:rsid w:val="00244A01"/>
    <w:rsid w:val="006A7EC6"/>
    <w:rsid w:val="008D76A3"/>
    <w:rsid w:val="00A265DF"/>
    <w:rsid w:val="00A4321C"/>
    <w:rsid w:val="00B9060D"/>
    <w:rsid w:val="00F54F3E"/>
    <w:rsid w:val="00F77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55993"/>
  <w15:docId w15:val="{D0440B36-9DF5-4F99-A2BE-1DB63155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character" w:styleId="Hyperlink">
    <w:name w:val="Hyperlink"/>
    <w:basedOn w:val="DefaultParagraphFont"/>
    <w:uiPriority w:val="99"/>
    <w:unhideWhenUsed/>
    <w:rsid w:val="00244A01"/>
    <w:rPr>
      <w:color w:val="0000FF" w:themeColor="hyperlink"/>
      <w:u w:val="single"/>
    </w:rPr>
  </w:style>
  <w:style w:type="character" w:styleId="UnresolvedMention">
    <w:name w:val="Unresolved Mention"/>
    <w:basedOn w:val="DefaultParagraphFont"/>
    <w:uiPriority w:val="99"/>
    <w:semiHidden/>
    <w:unhideWhenUsed/>
    <w:rsid w:val="00244A01"/>
    <w:rPr>
      <w:color w:val="605E5C"/>
      <w:shd w:val="clear" w:color="auto" w:fill="E1DFDD"/>
    </w:rPr>
  </w:style>
  <w:style w:type="paragraph" w:styleId="Header">
    <w:name w:val="header"/>
    <w:basedOn w:val="Normal"/>
    <w:link w:val="HeaderChar"/>
    <w:uiPriority w:val="99"/>
    <w:unhideWhenUsed/>
    <w:rsid w:val="00A265DF"/>
    <w:pPr>
      <w:tabs>
        <w:tab w:val="center" w:pos="4513"/>
        <w:tab w:val="right" w:pos="9026"/>
      </w:tabs>
      <w:spacing w:line="240" w:lineRule="auto"/>
    </w:pPr>
  </w:style>
  <w:style w:type="character" w:customStyle="1" w:styleId="HeaderChar">
    <w:name w:val="Header Char"/>
    <w:basedOn w:val="DefaultParagraphFont"/>
    <w:link w:val="Header"/>
    <w:uiPriority w:val="99"/>
    <w:rsid w:val="00A265DF"/>
  </w:style>
  <w:style w:type="paragraph" w:styleId="Footer">
    <w:name w:val="footer"/>
    <w:basedOn w:val="Normal"/>
    <w:link w:val="FooterChar"/>
    <w:uiPriority w:val="99"/>
    <w:unhideWhenUsed/>
    <w:rsid w:val="00A265DF"/>
    <w:pPr>
      <w:tabs>
        <w:tab w:val="center" w:pos="4513"/>
        <w:tab w:val="right" w:pos="9026"/>
      </w:tabs>
      <w:spacing w:line="240" w:lineRule="auto"/>
    </w:pPr>
  </w:style>
  <w:style w:type="character" w:customStyle="1" w:styleId="FooterChar">
    <w:name w:val="Footer Char"/>
    <w:basedOn w:val="DefaultParagraphFont"/>
    <w:link w:val="Footer"/>
    <w:uiPriority w:val="99"/>
    <w:rsid w:val="00A26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48550/arXiv.2304.03038" TargetMode="External"/><Relationship Id="rId18" Type="http://schemas.openxmlformats.org/officeDocument/2006/relationships/hyperlink" Target="https://doi.org/10.1287/mksc.1060.0221" TargetMode="External"/><Relationship Id="rId26" Type="http://schemas.openxmlformats.org/officeDocument/2006/relationships/hyperlink" Target="https://doi.org/10.4018/JBE.322405" TargetMode="External"/><Relationship Id="rId39" Type="http://schemas.openxmlformats.org/officeDocument/2006/relationships/hyperlink" Target="https://doi.org/10.1186/s12874-021-01426-3" TargetMode="External"/><Relationship Id="rId21" Type="http://schemas.openxmlformats.org/officeDocument/2006/relationships/hyperlink" Target="https://doi.org/10.1186/s13731-023-00270-7" TargetMode="External"/><Relationship Id="rId34" Type="http://schemas.openxmlformats.org/officeDocument/2006/relationships/hyperlink" Target="https://doi.org/10.1080/10548408.2019.1686101" TargetMode="External"/><Relationship Id="rId42" Type="http://schemas.openxmlformats.org/officeDocument/2006/relationships/hyperlink" Target="https://doi.org/10.1057/s41270-022-00195-2" TargetMode="External"/><Relationship Id="rId47" Type="http://schemas.openxmlformats.org/officeDocument/2006/relationships/hyperlink" Target="https://doi.org/10.1186/s40008-024-00338-x"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ijinfomgt.2020.102168" TargetMode="External"/><Relationship Id="rId29" Type="http://schemas.openxmlformats.org/officeDocument/2006/relationships/hyperlink" Target="https://doi.org/10.1016/j.jbusres.2019.12.023" TargetMode="External"/><Relationship Id="rId11" Type="http://schemas.openxmlformats.org/officeDocument/2006/relationships/hyperlink" Target="https://iiste.org/Journals/index.php/EJBM/article/view/54381" TargetMode="External"/><Relationship Id="rId24" Type="http://schemas.openxmlformats.org/officeDocument/2006/relationships/hyperlink" Target="https://doi.org/10.1007/978-3-662-55381-7" TargetMode="External"/><Relationship Id="rId32" Type="http://schemas.openxmlformats.org/officeDocument/2006/relationships/hyperlink" Target="https://doi.org/10.1080/10495142.2024.2329258" TargetMode="External"/><Relationship Id="rId37" Type="http://schemas.openxmlformats.org/officeDocument/2006/relationships/hyperlink" Target="https://doi.org/10.1016/j.jretconser.2021.102453" TargetMode="External"/><Relationship Id="rId40" Type="http://schemas.openxmlformats.org/officeDocument/2006/relationships/hyperlink" Target="https://www.researchgate.net/publication/240218229_Research_Methods_for_Business_Students" TargetMode="External"/><Relationship Id="rId45" Type="http://schemas.openxmlformats.org/officeDocument/2006/relationships/hyperlink" Target="https://doi.org/10.22075/ijnaa.2021.5169"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s://iiste.org/Journals/index.php/EJBM/article/view/54381" TargetMode="External"/><Relationship Id="rId19" Type="http://schemas.openxmlformats.org/officeDocument/2006/relationships/hyperlink" Target="https://doi.org/10.1287/mksc.1060.0221" TargetMode="External"/><Relationship Id="rId31" Type="http://schemas.openxmlformats.org/officeDocument/2006/relationships/hyperlink" Target="https://doi.org/10.1108/DPRG-09-2024-0243" TargetMode="External"/><Relationship Id="rId44" Type="http://schemas.openxmlformats.org/officeDocument/2006/relationships/hyperlink" Target="https://doi.org/10.22075/ijnaa.2021.5169"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177/1094670519827385" TargetMode="External"/><Relationship Id="rId14" Type="http://schemas.openxmlformats.org/officeDocument/2006/relationships/hyperlink" Target="https://edge.sagepub.com/creswellrd5e" TargetMode="External"/><Relationship Id="rId22" Type="http://schemas.openxmlformats.org/officeDocument/2006/relationships/hyperlink" Target="https://doi.org/10.1007/s11747-016-0494-5" TargetMode="External"/><Relationship Id="rId27" Type="http://schemas.openxmlformats.org/officeDocument/2006/relationships/hyperlink" Target="https://doi.org/10.4018/JBE.322405" TargetMode="External"/><Relationship Id="rId30" Type="http://schemas.openxmlformats.org/officeDocument/2006/relationships/hyperlink" Target="https://doi.org/10.1108/DPRG-09-2024-0243" TargetMode="External"/><Relationship Id="rId35" Type="http://schemas.openxmlformats.org/officeDocument/2006/relationships/hyperlink" Target="https://doi.org/10.1080/10548408.2019.1686101" TargetMode="External"/><Relationship Id="rId43" Type="http://schemas.openxmlformats.org/officeDocument/2006/relationships/hyperlink" Target="https://doi.org/10.1057/s41270-022-00195-2" TargetMode="External"/><Relationship Id="rId48" Type="http://schemas.openxmlformats.org/officeDocument/2006/relationships/header" Target="header1.xml"/><Relationship Id="rId8" Type="http://schemas.openxmlformats.org/officeDocument/2006/relationships/hyperlink" Target="https://doi.org/10.1177/1094670519827385" TargetMode="Externa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doi.org/10.48550/arXiv.2304.03038" TargetMode="External"/><Relationship Id="rId17" Type="http://schemas.openxmlformats.org/officeDocument/2006/relationships/hyperlink" Target="https://doi.org/10.1016/j.ijinfomgt.2020.102168" TargetMode="External"/><Relationship Id="rId25" Type="http://schemas.openxmlformats.org/officeDocument/2006/relationships/hyperlink" Target="https://doi.org/10.1007/978-3-662-55381-7" TargetMode="External"/><Relationship Id="rId33" Type="http://schemas.openxmlformats.org/officeDocument/2006/relationships/hyperlink" Target="https://doi.org/10.1080/10495142.2024.2329258" TargetMode="External"/><Relationship Id="rId38" Type="http://schemas.openxmlformats.org/officeDocument/2006/relationships/hyperlink" Target="https://doi.org/10.1186/s12874-021-01426-3" TargetMode="External"/><Relationship Id="rId46" Type="http://schemas.openxmlformats.org/officeDocument/2006/relationships/hyperlink" Target="https://doi.org/10.1186/s40008-024-00338-x" TargetMode="External"/><Relationship Id="rId20" Type="http://schemas.openxmlformats.org/officeDocument/2006/relationships/hyperlink" Target="https://doi.org/10.1186/s13731-023-00270-7" TargetMode="External"/><Relationship Id="rId41" Type="http://schemas.openxmlformats.org/officeDocument/2006/relationships/hyperlink" Target="https://www.researchgate.net/publication/240218229_Research_Methods_for_Business_Student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dge.sagepub.com/creswellrd5e" TargetMode="External"/><Relationship Id="rId23" Type="http://schemas.openxmlformats.org/officeDocument/2006/relationships/hyperlink" Target="https://doi.org/10.1007/s11747-016-0494-5" TargetMode="External"/><Relationship Id="rId28" Type="http://schemas.openxmlformats.org/officeDocument/2006/relationships/hyperlink" Target="https://doi.org/10.1016/j.jbusres.2019.12.023" TargetMode="External"/><Relationship Id="rId36" Type="http://schemas.openxmlformats.org/officeDocument/2006/relationships/hyperlink" Target="https://doi.org/10.1016/j.jretconser.2021.102453" TargetMode="External"/><Relationship Id="rId4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YuQ8z0D5Djojag6NcYubPN7QA==">CgMxLjAyDmgudG8zejFqMWRiY3U4Mg5oLmtwaHFpa2kwOHRhNjgAciExR3hzZDdaZTdKNFI4RHFGUnR0ZkxMN1ppdTV5RG1yR3o=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6240</Words>
  <Characters>35572</Characters>
  <Application>Microsoft Office Word</Application>
  <DocSecurity>0</DocSecurity>
  <Lines>296</Lines>
  <Paragraphs>83</Paragraphs>
  <ScaleCrop>false</ScaleCrop>
  <Company/>
  <LinksUpToDate>false</LinksUpToDate>
  <CharactersWithSpaces>41729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1166</cp:lastModifiedBy>
  <cp:revision>5</cp:revision>
  <dcterms:created xsi:type="dcterms:W3CDTF">2026-09-26T10:14:00Z</dcterms:created>
  <dcterms:modified xsi:type="dcterms:W3CDTF">2026-09-26T13:27:00Z</dcterms:modified>
</cp:coreProperties>
</file>