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B0AA" w14:textId="77777777" w:rsidR="00D71021" w:rsidRDefault="00D71021" w:rsidP="001A4FC7">
      <w:pPr>
        <w:rPr>
          <w:rFonts w:ascii="Times New Roman" w:hAnsi="Times New Roman"/>
          <w:b/>
          <w:iCs/>
          <w:sz w:val="24"/>
          <w:szCs w:val="24"/>
        </w:rPr>
      </w:pPr>
      <w:r w:rsidRPr="00D71021">
        <w:rPr>
          <w:rFonts w:ascii="Times New Roman" w:hAnsi="Times New Roman"/>
          <w:b/>
          <w:iCs/>
          <w:sz w:val="24"/>
          <w:szCs w:val="24"/>
        </w:rPr>
        <w:t>Original Research Article</w:t>
      </w:r>
    </w:p>
    <w:p w14:paraId="66171B6C" w14:textId="3885F0B2" w:rsidR="003577DB" w:rsidRPr="00FF22DE" w:rsidRDefault="001F46C2" w:rsidP="001A4FC7">
      <w:pPr>
        <w:rPr>
          <w:rFonts w:ascii="Times New Roman" w:hAnsi="Times New Roman"/>
          <w:b/>
          <w:sz w:val="24"/>
          <w:szCs w:val="24"/>
        </w:rPr>
      </w:pPr>
      <w:r w:rsidRPr="00FF22DE">
        <w:rPr>
          <w:rFonts w:ascii="Times New Roman" w:hAnsi="Times New Roman"/>
          <w:b/>
          <w:iCs/>
          <w:sz w:val="24"/>
          <w:szCs w:val="24"/>
        </w:rPr>
        <w:t>Comparative</w:t>
      </w:r>
      <w:r w:rsidR="00EB1833">
        <w:rPr>
          <w:rFonts w:ascii="Times New Roman" w:hAnsi="Times New Roman"/>
          <w:b/>
          <w:iCs/>
          <w:sz w:val="24"/>
          <w:szCs w:val="24"/>
        </w:rPr>
        <w:t xml:space="preserve"> Study on the</w:t>
      </w:r>
      <w:r w:rsidRPr="00FF22DE">
        <w:rPr>
          <w:rFonts w:ascii="Times New Roman" w:hAnsi="Times New Roman"/>
          <w:b/>
          <w:iCs/>
          <w:sz w:val="24"/>
          <w:szCs w:val="24"/>
        </w:rPr>
        <w:t xml:space="preserve"> Phytochemical, Micr</w:t>
      </w:r>
      <w:r w:rsidR="00EB1833">
        <w:rPr>
          <w:rFonts w:ascii="Times New Roman" w:hAnsi="Times New Roman"/>
          <w:b/>
          <w:iCs/>
          <w:sz w:val="24"/>
          <w:szCs w:val="24"/>
        </w:rPr>
        <w:t>onutrient and Sensory Qualities</w:t>
      </w:r>
      <w:r w:rsidRPr="00FF22DE">
        <w:rPr>
          <w:rFonts w:ascii="Times New Roman" w:hAnsi="Times New Roman"/>
          <w:b/>
          <w:iCs/>
          <w:sz w:val="24"/>
          <w:szCs w:val="24"/>
        </w:rPr>
        <w:t xml:space="preserve"> of Green and Black</w:t>
      </w:r>
      <w:r w:rsidRPr="00FF22DE">
        <w:rPr>
          <w:rFonts w:ascii="Times New Roman" w:hAnsi="Times New Roman"/>
          <w:b/>
          <w:i/>
          <w:iCs/>
          <w:sz w:val="24"/>
          <w:szCs w:val="24"/>
        </w:rPr>
        <w:t xml:space="preserve"> </w:t>
      </w:r>
      <w:r w:rsidR="003577DB" w:rsidRPr="00FF22DE">
        <w:rPr>
          <w:rFonts w:ascii="Times New Roman" w:hAnsi="Times New Roman"/>
          <w:b/>
          <w:i/>
          <w:iCs/>
          <w:sz w:val="24"/>
          <w:szCs w:val="24"/>
        </w:rPr>
        <w:t xml:space="preserve">Jatropha </w:t>
      </w:r>
      <w:proofErr w:type="spellStart"/>
      <w:r w:rsidR="003577DB" w:rsidRPr="00FF22DE">
        <w:rPr>
          <w:rFonts w:ascii="Times New Roman" w:hAnsi="Times New Roman"/>
          <w:b/>
          <w:i/>
          <w:iCs/>
          <w:sz w:val="24"/>
          <w:szCs w:val="24"/>
        </w:rPr>
        <w:t>Tanjorensis</w:t>
      </w:r>
      <w:proofErr w:type="spellEnd"/>
      <w:r w:rsidRPr="00FF22DE">
        <w:rPr>
          <w:rFonts w:ascii="Times New Roman" w:hAnsi="Times New Roman"/>
          <w:b/>
          <w:sz w:val="24"/>
          <w:szCs w:val="24"/>
        </w:rPr>
        <w:t xml:space="preserve"> Herbal Teas.</w:t>
      </w:r>
    </w:p>
    <w:p w14:paraId="46F3D6FD" w14:textId="77777777" w:rsidR="00BA7948" w:rsidRDefault="00BA7948" w:rsidP="00FF22DE">
      <w:pPr>
        <w:tabs>
          <w:tab w:val="left" w:pos="2361"/>
        </w:tabs>
        <w:jc w:val="both"/>
        <w:rPr>
          <w:rFonts w:ascii="Times New Roman" w:hAnsi="Times New Roman"/>
          <w:b/>
          <w:bCs/>
          <w:sz w:val="24"/>
          <w:szCs w:val="24"/>
        </w:rPr>
      </w:pPr>
    </w:p>
    <w:p w14:paraId="6CC65459" w14:textId="77777777" w:rsidR="00BA7948" w:rsidRDefault="00BA7948" w:rsidP="00FF22DE">
      <w:pPr>
        <w:tabs>
          <w:tab w:val="left" w:pos="2361"/>
        </w:tabs>
        <w:jc w:val="both"/>
        <w:rPr>
          <w:rFonts w:ascii="Times New Roman" w:hAnsi="Times New Roman"/>
          <w:b/>
          <w:bCs/>
          <w:sz w:val="24"/>
          <w:szCs w:val="24"/>
        </w:rPr>
      </w:pPr>
    </w:p>
    <w:p w14:paraId="72BFB0F4" w14:textId="138B9456" w:rsidR="001F46C2" w:rsidRPr="00FF22DE" w:rsidRDefault="001F46C2" w:rsidP="00FF22DE">
      <w:pPr>
        <w:tabs>
          <w:tab w:val="left" w:pos="2361"/>
        </w:tabs>
        <w:jc w:val="both"/>
        <w:rPr>
          <w:rFonts w:ascii="Times New Roman" w:hAnsi="Times New Roman"/>
          <w:b/>
          <w:bCs/>
          <w:sz w:val="24"/>
          <w:szCs w:val="24"/>
        </w:rPr>
      </w:pPr>
      <w:r w:rsidRPr="00FF22DE">
        <w:rPr>
          <w:rFonts w:ascii="Times New Roman" w:hAnsi="Times New Roman"/>
          <w:b/>
          <w:bCs/>
          <w:sz w:val="24"/>
          <w:szCs w:val="24"/>
        </w:rPr>
        <w:t xml:space="preserve">Abstract </w:t>
      </w:r>
      <w:r w:rsidR="00FF22DE" w:rsidRPr="00FF22DE">
        <w:rPr>
          <w:rFonts w:ascii="Times New Roman" w:hAnsi="Times New Roman"/>
          <w:b/>
          <w:bCs/>
          <w:sz w:val="24"/>
          <w:szCs w:val="24"/>
        </w:rPr>
        <w:tab/>
      </w:r>
    </w:p>
    <w:p w14:paraId="3EF463C5" w14:textId="77777777" w:rsidR="00297E92" w:rsidRPr="00FF22DE" w:rsidRDefault="001F46C2" w:rsidP="00A37ACD">
      <w:pPr>
        <w:spacing w:line="480" w:lineRule="auto"/>
        <w:jc w:val="both"/>
        <w:rPr>
          <w:sz w:val="24"/>
          <w:szCs w:val="24"/>
        </w:rPr>
      </w:pPr>
      <w:r w:rsidRPr="00FF22DE">
        <w:rPr>
          <w:rFonts w:ascii="Times New Roman" w:hAnsi="Times New Roman"/>
          <w:i/>
          <w:iCs/>
          <w:sz w:val="24"/>
          <w:szCs w:val="24"/>
        </w:rPr>
        <w:t xml:space="preserve">Jatropha </w:t>
      </w:r>
      <w:proofErr w:type="spellStart"/>
      <w:r w:rsidRPr="00FF22DE">
        <w:rPr>
          <w:rFonts w:ascii="Times New Roman" w:hAnsi="Times New Roman"/>
          <w:i/>
          <w:iCs/>
          <w:sz w:val="24"/>
          <w:szCs w:val="24"/>
        </w:rPr>
        <w:t>Tanjorensis</w:t>
      </w:r>
      <w:proofErr w:type="spellEnd"/>
      <w:r w:rsidRPr="00FF22DE">
        <w:rPr>
          <w:rFonts w:ascii="Times New Roman" w:hAnsi="Times New Roman"/>
          <w:i/>
          <w:iCs/>
          <w:sz w:val="24"/>
          <w:szCs w:val="24"/>
        </w:rPr>
        <w:t xml:space="preserve"> </w:t>
      </w:r>
      <w:r w:rsidRPr="00FF22DE">
        <w:rPr>
          <w:rFonts w:ascii="Times New Roman" w:hAnsi="Times New Roman"/>
          <w:iCs/>
          <w:sz w:val="24"/>
          <w:szCs w:val="24"/>
        </w:rPr>
        <w:t xml:space="preserve">is traditionally used as a vegetable </w:t>
      </w:r>
      <w:r w:rsidR="002D0474" w:rsidRPr="00FF22DE">
        <w:rPr>
          <w:rFonts w:ascii="Times New Roman" w:hAnsi="Times New Roman"/>
          <w:iCs/>
          <w:sz w:val="24"/>
          <w:szCs w:val="24"/>
        </w:rPr>
        <w:t>and medicinal plant, but its potential</w:t>
      </w:r>
      <w:r w:rsidR="00EB1833">
        <w:rPr>
          <w:rFonts w:ascii="Times New Roman" w:hAnsi="Times New Roman"/>
          <w:iCs/>
          <w:sz w:val="24"/>
          <w:szCs w:val="24"/>
        </w:rPr>
        <w:t xml:space="preserve"> as </w:t>
      </w:r>
      <w:proofErr w:type="gramStart"/>
      <w:r w:rsidR="00EB1833">
        <w:rPr>
          <w:rFonts w:ascii="Times New Roman" w:hAnsi="Times New Roman"/>
          <w:iCs/>
          <w:sz w:val="24"/>
          <w:szCs w:val="24"/>
        </w:rPr>
        <w:t>a</w:t>
      </w:r>
      <w:proofErr w:type="gramEnd"/>
      <w:r w:rsidR="00EB1833">
        <w:rPr>
          <w:rFonts w:ascii="Times New Roman" w:hAnsi="Times New Roman"/>
          <w:iCs/>
          <w:sz w:val="24"/>
          <w:szCs w:val="24"/>
        </w:rPr>
        <w:t xml:space="preserve"> </w:t>
      </w:r>
      <w:r w:rsidR="002D0474" w:rsidRPr="00FF22DE">
        <w:rPr>
          <w:rFonts w:ascii="Times New Roman" w:hAnsi="Times New Roman"/>
          <w:iCs/>
          <w:sz w:val="24"/>
          <w:szCs w:val="24"/>
        </w:rPr>
        <w:t>herbal tea remains relativ</w:t>
      </w:r>
      <w:r w:rsidR="00EB1833">
        <w:rPr>
          <w:rFonts w:ascii="Times New Roman" w:hAnsi="Times New Roman"/>
          <w:iCs/>
          <w:sz w:val="24"/>
          <w:szCs w:val="24"/>
        </w:rPr>
        <w:t>ely underexplored. In t</w:t>
      </w:r>
      <w:r w:rsidR="001A4FC7">
        <w:rPr>
          <w:rFonts w:ascii="Times New Roman" w:hAnsi="Times New Roman"/>
          <w:iCs/>
          <w:sz w:val="24"/>
          <w:szCs w:val="24"/>
        </w:rPr>
        <w:t>his study</w:t>
      </w:r>
      <w:r w:rsidR="00EB1833">
        <w:rPr>
          <w:rFonts w:ascii="Times New Roman" w:hAnsi="Times New Roman"/>
          <w:iCs/>
          <w:sz w:val="24"/>
          <w:szCs w:val="24"/>
        </w:rPr>
        <w:t>,</w:t>
      </w:r>
      <w:r w:rsidR="00EB1833" w:rsidRPr="00FF22DE">
        <w:rPr>
          <w:rFonts w:ascii="Times New Roman" w:hAnsi="Times New Roman"/>
          <w:iCs/>
          <w:sz w:val="24"/>
          <w:szCs w:val="24"/>
        </w:rPr>
        <w:t xml:space="preserve"> </w:t>
      </w:r>
      <w:r w:rsidR="00EB1833" w:rsidRPr="00FF22DE">
        <w:rPr>
          <w:rFonts w:ascii="Times New Roman" w:hAnsi="Times New Roman"/>
          <w:i/>
          <w:iCs/>
          <w:sz w:val="24"/>
          <w:szCs w:val="24"/>
        </w:rPr>
        <w:t>J</w:t>
      </w:r>
      <w:r w:rsidR="00EB1833">
        <w:rPr>
          <w:rFonts w:ascii="Times New Roman" w:hAnsi="Times New Roman"/>
          <w:i/>
          <w:iCs/>
          <w:sz w:val="24"/>
          <w:szCs w:val="24"/>
        </w:rPr>
        <w:t>atropha</w:t>
      </w:r>
      <w:r w:rsidR="00EB1833" w:rsidRPr="00FF22DE">
        <w:rPr>
          <w:rFonts w:ascii="Times New Roman" w:hAnsi="Times New Roman"/>
          <w:i/>
          <w:iCs/>
          <w:sz w:val="24"/>
          <w:szCs w:val="24"/>
        </w:rPr>
        <w:t xml:space="preserve">. </w:t>
      </w:r>
      <w:proofErr w:type="spellStart"/>
      <w:r w:rsidR="00EB1833" w:rsidRPr="00FF22DE">
        <w:rPr>
          <w:rFonts w:ascii="Times New Roman" w:hAnsi="Times New Roman"/>
          <w:i/>
          <w:iCs/>
          <w:sz w:val="24"/>
          <w:szCs w:val="24"/>
        </w:rPr>
        <w:t>tanjorensis</w:t>
      </w:r>
      <w:proofErr w:type="spellEnd"/>
      <w:r w:rsidR="00EB1833" w:rsidRPr="00FF22DE">
        <w:rPr>
          <w:rFonts w:ascii="Times New Roman" w:hAnsi="Times New Roman"/>
          <w:iCs/>
          <w:sz w:val="24"/>
          <w:szCs w:val="24"/>
        </w:rPr>
        <w:t xml:space="preserve"> leaves were processed into green and black teas usin</w:t>
      </w:r>
      <w:r w:rsidR="00EB1833">
        <w:rPr>
          <w:rFonts w:ascii="Times New Roman" w:hAnsi="Times New Roman"/>
          <w:iCs/>
          <w:sz w:val="24"/>
          <w:szCs w:val="24"/>
        </w:rPr>
        <w:t>g standard method</w:t>
      </w:r>
      <w:r w:rsidR="00EB1833" w:rsidRPr="00FF22DE">
        <w:rPr>
          <w:rFonts w:ascii="Times New Roman" w:hAnsi="Times New Roman"/>
          <w:iCs/>
          <w:sz w:val="24"/>
          <w:szCs w:val="24"/>
        </w:rPr>
        <w:t>s.</w:t>
      </w:r>
      <w:r w:rsidR="00EB1833">
        <w:rPr>
          <w:rFonts w:ascii="Times New Roman" w:hAnsi="Times New Roman"/>
          <w:iCs/>
          <w:sz w:val="24"/>
          <w:szCs w:val="24"/>
        </w:rPr>
        <w:t xml:space="preserve"> T</w:t>
      </w:r>
      <w:r w:rsidR="000F688F" w:rsidRPr="00FF22DE">
        <w:rPr>
          <w:rFonts w:ascii="Times New Roman" w:hAnsi="Times New Roman"/>
          <w:iCs/>
          <w:sz w:val="24"/>
          <w:szCs w:val="24"/>
        </w:rPr>
        <w:t>he phytochemical composition</w:t>
      </w:r>
      <w:r w:rsidR="00EB1833">
        <w:rPr>
          <w:rFonts w:ascii="Times New Roman" w:hAnsi="Times New Roman"/>
          <w:iCs/>
          <w:sz w:val="24"/>
          <w:szCs w:val="24"/>
        </w:rPr>
        <w:t xml:space="preserve"> (</w:t>
      </w:r>
      <w:r w:rsidR="00EB1833" w:rsidRPr="00FF22DE">
        <w:rPr>
          <w:rFonts w:ascii="Times New Roman" w:hAnsi="Times New Roman"/>
          <w:iCs/>
          <w:sz w:val="24"/>
          <w:szCs w:val="24"/>
        </w:rPr>
        <w:t>saponins, alkaloids, flavonoids, tannins and oxalates</w:t>
      </w:r>
      <w:r w:rsidR="00EB1833">
        <w:rPr>
          <w:rFonts w:ascii="Times New Roman" w:hAnsi="Times New Roman"/>
          <w:iCs/>
          <w:sz w:val="24"/>
          <w:szCs w:val="24"/>
        </w:rPr>
        <w:t>)</w:t>
      </w:r>
      <w:r w:rsidR="000F688F" w:rsidRPr="00FF22DE">
        <w:rPr>
          <w:rFonts w:ascii="Times New Roman" w:hAnsi="Times New Roman"/>
          <w:iCs/>
          <w:sz w:val="24"/>
          <w:szCs w:val="24"/>
        </w:rPr>
        <w:t xml:space="preserve">, </w:t>
      </w:r>
      <w:r w:rsidR="00EB1833">
        <w:rPr>
          <w:rFonts w:ascii="Times New Roman" w:hAnsi="Times New Roman"/>
          <w:iCs/>
          <w:sz w:val="24"/>
          <w:szCs w:val="24"/>
        </w:rPr>
        <w:t xml:space="preserve">some </w:t>
      </w:r>
      <w:r w:rsidR="000F688F" w:rsidRPr="00FF22DE">
        <w:rPr>
          <w:rFonts w:ascii="Times New Roman" w:hAnsi="Times New Roman"/>
          <w:iCs/>
          <w:sz w:val="24"/>
          <w:szCs w:val="24"/>
        </w:rPr>
        <w:t>selected micronutrients</w:t>
      </w:r>
      <w:r w:rsidR="00EB1833">
        <w:rPr>
          <w:rFonts w:ascii="Times New Roman" w:hAnsi="Times New Roman"/>
          <w:iCs/>
          <w:sz w:val="24"/>
          <w:szCs w:val="24"/>
        </w:rPr>
        <w:t xml:space="preserve"> (</w:t>
      </w:r>
      <w:r w:rsidR="00EB1833" w:rsidRPr="00FF22DE">
        <w:rPr>
          <w:rFonts w:ascii="Times New Roman" w:hAnsi="Times New Roman"/>
          <w:iCs/>
          <w:sz w:val="24"/>
          <w:szCs w:val="24"/>
        </w:rPr>
        <w:t>vitamin C, iron and zinc</w:t>
      </w:r>
      <w:r w:rsidR="00EB1833">
        <w:rPr>
          <w:rFonts w:ascii="Times New Roman" w:hAnsi="Times New Roman"/>
          <w:iCs/>
          <w:sz w:val="24"/>
          <w:szCs w:val="24"/>
        </w:rPr>
        <w:t>)</w:t>
      </w:r>
      <w:r w:rsidR="000F688F" w:rsidRPr="00FF22DE">
        <w:rPr>
          <w:rFonts w:ascii="Times New Roman" w:hAnsi="Times New Roman"/>
          <w:iCs/>
          <w:sz w:val="24"/>
          <w:szCs w:val="24"/>
        </w:rPr>
        <w:t xml:space="preserve"> and sensory ch</w:t>
      </w:r>
      <w:r w:rsidR="00EB1833">
        <w:rPr>
          <w:rFonts w:ascii="Times New Roman" w:hAnsi="Times New Roman"/>
          <w:iCs/>
          <w:sz w:val="24"/>
          <w:szCs w:val="24"/>
        </w:rPr>
        <w:t>aracteristics of these</w:t>
      </w:r>
      <w:r w:rsidR="000F688F" w:rsidRPr="00FF22DE">
        <w:rPr>
          <w:rFonts w:ascii="Times New Roman" w:hAnsi="Times New Roman"/>
          <w:iCs/>
          <w:sz w:val="24"/>
          <w:szCs w:val="24"/>
        </w:rPr>
        <w:t xml:space="preserve"> </w:t>
      </w:r>
      <w:r w:rsidR="000F688F" w:rsidRPr="00FF22DE">
        <w:rPr>
          <w:rFonts w:ascii="Times New Roman" w:hAnsi="Times New Roman"/>
          <w:i/>
          <w:iCs/>
          <w:sz w:val="24"/>
          <w:szCs w:val="24"/>
        </w:rPr>
        <w:t xml:space="preserve">J. </w:t>
      </w:r>
      <w:proofErr w:type="spellStart"/>
      <w:r w:rsidR="000F688F" w:rsidRPr="00FF22DE">
        <w:rPr>
          <w:rFonts w:ascii="Times New Roman" w:hAnsi="Times New Roman"/>
          <w:i/>
          <w:iCs/>
          <w:sz w:val="24"/>
          <w:szCs w:val="24"/>
        </w:rPr>
        <w:t>tanjorensis</w:t>
      </w:r>
      <w:proofErr w:type="spellEnd"/>
      <w:r w:rsidR="000F688F" w:rsidRPr="00FF22DE">
        <w:rPr>
          <w:rFonts w:ascii="Times New Roman" w:hAnsi="Times New Roman"/>
          <w:iCs/>
          <w:sz w:val="24"/>
          <w:szCs w:val="24"/>
        </w:rPr>
        <w:t xml:space="preserve"> herbal teas</w:t>
      </w:r>
      <w:r w:rsidR="00EB1833">
        <w:rPr>
          <w:rFonts w:ascii="Times New Roman" w:hAnsi="Times New Roman"/>
          <w:iCs/>
          <w:sz w:val="24"/>
          <w:szCs w:val="24"/>
        </w:rPr>
        <w:t xml:space="preserve"> were determined.</w:t>
      </w:r>
      <w:r w:rsidR="00293752" w:rsidRPr="00FF22DE">
        <w:rPr>
          <w:rFonts w:ascii="Times New Roman" w:hAnsi="Times New Roman"/>
          <w:iCs/>
          <w:sz w:val="24"/>
          <w:szCs w:val="24"/>
        </w:rPr>
        <w:t xml:space="preserve"> Sensory evaluation employed a 9-point Hedonic scale using 20 panelists, with commercial green and black teas included as reference samples. </w:t>
      </w:r>
      <w:r w:rsidR="00AD7200">
        <w:rPr>
          <w:rFonts w:ascii="Times New Roman" w:hAnsi="Times New Roman"/>
          <w:sz w:val="24"/>
          <w:szCs w:val="24"/>
        </w:rPr>
        <w:t>Results obtained showe</w:t>
      </w:r>
      <w:r w:rsidR="00712CE0">
        <w:rPr>
          <w:rFonts w:ascii="Times New Roman" w:hAnsi="Times New Roman"/>
          <w:sz w:val="24"/>
          <w:szCs w:val="24"/>
        </w:rPr>
        <w:t>d</w:t>
      </w:r>
      <w:r w:rsidR="00AD7200">
        <w:rPr>
          <w:rFonts w:ascii="Times New Roman" w:hAnsi="Times New Roman"/>
          <w:sz w:val="24"/>
          <w:szCs w:val="24"/>
        </w:rPr>
        <w:t xml:space="preserve"> s</w:t>
      </w:r>
      <w:r w:rsidR="00297E92" w:rsidRPr="00FF22DE">
        <w:rPr>
          <w:rFonts w:ascii="Times New Roman" w:hAnsi="Times New Roman"/>
          <w:sz w:val="24"/>
          <w:szCs w:val="24"/>
        </w:rPr>
        <w:t>ignificant diff</w:t>
      </w:r>
      <w:r w:rsidR="00AD7200">
        <w:rPr>
          <w:rFonts w:ascii="Times New Roman" w:hAnsi="Times New Roman"/>
          <w:sz w:val="24"/>
          <w:szCs w:val="24"/>
        </w:rPr>
        <w:t>erences (p &lt; 0.05)</w:t>
      </w:r>
      <w:r w:rsidR="00297E92" w:rsidRPr="00FF22DE">
        <w:rPr>
          <w:rFonts w:ascii="Times New Roman" w:hAnsi="Times New Roman"/>
          <w:sz w:val="24"/>
          <w:szCs w:val="24"/>
        </w:rPr>
        <w:t xml:space="preserve"> between the green and black </w:t>
      </w:r>
      <w:r w:rsidR="00297E92" w:rsidRPr="00FF22DE">
        <w:rPr>
          <w:rFonts w:ascii="Times New Roman" w:hAnsi="Times New Roman"/>
          <w:i/>
          <w:sz w:val="24"/>
          <w:szCs w:val="24"/>
        </w:rPr>
        <w:t xml:space="preserve">J. </w:t>
      </w:r>
      <w:proofErr w:type="spellStart"/>
      <w:r w:rsidR="00297E92" w:rsidRPr="00FF22DE">
        <w:rPr>
          <w:rFonts w:ascii="Times New Roman" w:hAnsi="Times New Roman"/>
          <w:i/>
          <w:sz w:val="24"/>
          <w:szCs w:val="24"/>
        </w:rPr>
        <w:t>tanjorensis</w:t>
      </w:r>
      <w:proofErr w:type="spellEnd"/>
      <w:r w:rsidR="00297E92" w:rsidRPr="00FF22DE">
        <w:rPr>
          <w:rFonts w:ascii="Times New Roman" w:hAnsi="Times New Roman"/>
          <w:sz w:val="24"/>
          <w:szCs w:val="24"/>
        </w:rPr>
        <w:t xml:space="preserve"> teas in the measured phytochemical and micronutrient parameters. Black </w:t>
      </w:r>
      <w:r w:rsidR="00297E92" w:rsidRPr="00FF22DE">
        <w:rPr>
          <w:rFonts w:ascii="Times New Roman" w:hAnsi="Times New Roman"/>
          <w:i/>
          <w:sz w:val="24"/>
          <w:szCs w:val="24"/>
        </w:rPr>
        <w:t xml:space="preserve">J. </w:t>
      </w:r>
      <w:proofErr w:type="spellStart"/>
      <w:r w:rsidR="00297E92" w:rsidRPr="00FF22DE">
        <w:rPr>
          <w:rFonts w:ascii="Times New Roman" w:hAnsi="Times New Roman"/>
          <w:i/>
          <w:sz w:val="24"/>
          <w:szCs w:val="24"/>
        </w:rPr>
        <w:t>tanjorensis</w:t>
      </w:r>
      <w:proofErr w:type="spellEnd"/>
      <w:r w:rsidR="00297E92" w:rsidRPr="00FF22DE">
        <w:rPr>
          <w:rFonts w:ascii="Times New Roman" w:hAnsi="Times New Roman"/>
          <w:sz w:val="24"/>
          <w:szCs w:val="24"/>
        </w:rPr>
        <w:t xml:space="preserve"> tea contained higher levels of saponins (1.85%), flavonoids (12.15%), tannins (11.53%) and oxalates (3.05%), whereas green tea had a higher alkaloid content (3.85%). Green tea also recorded higher concentrations of vitamin C (19.07 mg/100 g), iron (1.72 mg/100 g) and zinc (0.17 mg/100 g) than black tea. Sensory evaluation showed significant differences in aroma and overall acceptability, while appearance and taste did not differ significantly. Black </w:t>
      </w:r>
      <w:r w:rsidR="00297E92" w:rsidRPr="00FF22DE">
        <w:rPr>
          <w:rFonts w:ascii="Times New Roman" w:hAnsi="Times New Roman"/>
          <w:i/>
          <w:sz w:val="24"/>
          <w:szCs w:val="24"/>
        </w:rPr>
        <w:t xml:space="preserve">J. </w:t>
      </w:r>
      <w:proofErr w:type="spellStart"/>
      <w:r w:rsidR="00297E92" w:rsidRPr="00FF22DE">
        <w:rPr>
          <w:rFonts w:ascii="Times New Roman" w:hAnsi="Times New Roman"/>
          <w:i/>
          <w:sz w:val="24"/>
          <w:szCs w:val="24"/>
        </w:rPr>
        <w:t>tanjorensis</w:t>
      </w:r>
      <w:proofErr w:type="spellEnd"/>
      <w:r w:rsidR="00297E92" w:rsidRPr="00FF22DE">
        <w:rPr>
          <w:rFonts w:ascii="Times New Roman" w:hAnsi="Times New Roman"/>
          <w:sz w:val="24"/>
          <w:szCs w:val="24"/>
        </w:rPr>
        <w:t xml:space="preserve"> tea generally received higher sensory scores than green </w:t>
      </w:r>
      <w:r w:rsidR="00297E92" w:rsidRPr="00FF22DE">
        <w:rPr>
          <w:rFonts w:ascii="Times New Roman" w:hAnsi="Times New Roman"/>
          <w:i/>
          <w:sz w:val="24"/>
          <w:szCs w:val="24"/>
        </w:rPr>
        <w:t xml:space="preserve">J. </w:t>
      </w:r>
      <w:proofErr w:type="spellStart"/>
      <w:r w:rsidR="00297E92" w:rsidRPr="00FF22DE">
        <w:rPr>
          <w:rFonts w:ascii="Times New Roman" w:hAnsi="Times New Roman"/>
          <w:i/>
          <w:sz w:val="24"/>
          <w:szCs w:val="24"/>
        </w:rPr>
        <w:t>tanjorensis</w:t>
      </w:r>
      <w:proofErr w:type="spellEnd"/>
      <w:r w:rsidR="00297E92" w:rsidRPr="00FF22DE">
        <w:rPr>
          <w:rFonts w:ascii="Times New Roman" w:hAnsi="Times New Roman"/>
          <w:sz w:val="24"/>
          <w:szCs w:val="24"/>
        </w:rPr>
        <w:t xml:space="preserve"> tea, particularly for aroma and overall acceptability. The findings indicate that the two processing approaches resulted in distinct compositional and sensory characteristics, supporting further development of </w:t>
      </w:r>
      <w:r w:rsidR="00297E92" w:rsidRPr="00FF22DE">
        <w:rPr>
          <w:rFonts w:ascii="Times New Roman" w:hAnsi="Times New Roman"/>
          <w:i/>
          <w:sz w:val="24"/>
          <w:szCs w:val="24"/>
        </w:rPr>
        <w:t xml:space="preserve">J. </w:t>
      </w:r>
      <w:proofErr w:type="spellStart"/>
      <w:r w:rsidR="00297E92" w:rsidRPr="00FF22DE">
        <w:rPr>
          <w:rFonts w:ascii="Times New Roman" w:hAnsi="Times New Roman"/>
          <w:i/>
          <w:sz w:val="24"/>
          <w:szCs w:val="24"/>
        </w:rPr>
        <w:t>tanjorensis</w:t>
      </w:r>
      <w:proofErr w:type="spellEnd"/>
      <w:r w:rsidR="00297E92" w:rsidRPr="00FF22DE">
        <w:rPr>
          <w:rFonts w:ascii="Times New Roman" w:hAnsi="Times New Roman"/>
          <w:sz w:val="24"/>
          <w:szCs w:val="24"/>
        </w:rPr>
        <w:t xml:space="preserve"> leaves as </w:t>
      </w:r>
      <w:proofErr w:type="gramStart"/>
      <w:r w:rsidR="00297E92" w:rsidRPr="00FF22DE">
        <w:rPr>
          <w:rFonts w:ascii="Times New Roman" w:hAnsi="Times New Roman"/>
          <w:sz w:val="24"/>
          <w:szCs w:val="24"/>
        </w:rPr>
        <w:t>a</w:t>
      </w:r>
      <w:proofErr w:type="gramEnd"/>
      <w:r w:rsidR="00297E92" w:rsidRPr="00FF22DE">
        <w:rPr>
          <w:rFonts w:ascii="Times New Roman" w:hAnsi="Times New Roman"/>
          <w:sz w:val="24"/>
          <w:szCs w:val="24"/>
        </w:rPr>
        <w:t xml:space="preserve"> herbal tea ingredient.</w:t>
      </w:r>
    </w:p>
    <w:p w14:paraId="40A46265" w14:textId="77777777" w:rsidR="00297E92" w:rsidRPr="00FF22DE" w:rsidRDefault="00297E92" w:rsidP="00A37ACD">
      <w:pPr>
        <w:spacing w:line="480" w:lineRule="auto"/>
        <w:jc w:val="both"/>
        <w:rPr>
          <w:rFonts w:ascii="Times New Roman" w:hAnsi="Times New Roman"/>
          <w:sz w:val="24"/>
          <w:szCs w:val="24"/>
        </w:rPr>
      </w:pPr>
      <w:r w:rsidRPr="00FF22DE">
        <w:rPr>
          <w:rFonts w:ascii="Times New Roman" w:hAnsi="Times New Roman"/>
          <w:b/>
          <w:sz w:val="24"/>
          <w:szCs w:val="24"/>
        </w:rPr>
        <w:lastRenderedPageBreak/>
        <w:t xml:space="preserve">Keywords: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herbal tea; phytochemicals; micronutrients; green tea; black tea; sensory evaluation</w:t>
      </w:r>
      <w:r w:rsidR="00E129BC" w:rsidRPr="00FF22DE">
        <w:rPr>
          <w:rFonts w:ascii="Times New Roman" w:hAnsi="Times New Roman"/>
          <w:sz w:val="24"/>
          <w:szCs w:val="24"/>
        </w:rPr>
        <w:t>.</w:t>
      </w:r>
    </w:p>
    <w:p w14:paraId="7D5F90C2" w14:textId="77777777" w:rsidR="00E129BC" w:rsidRPr="00FF22DE" w:rsidRDefault="00E129BC" w:rsidP="00A37ACD">
      <w:pPr>
        <w:pStyle w:val="ListParagraph"/>
        <w:numPr>
          <w:ilvl w:val="0"/>
          <w:numId w:val="1"/>
        </w:numPr>
        <w:spacing w:line="480" w:lineRule="auto"/>
        <w:jc w:val="both"/>
        <w:rPr>
          <w:rFonts w:ascii="Times New Roman" w:hAnsi="Times New Roman"/>
          <w:b/>
          <w:sz w:val="24"/>
          <w:szCs w:val="24"/>
        </w:rPr>
      </w:pPr>
      <w:r w:rsidRPr="00FF22DE">
        <w:rPr>
          <w:rFonts w:ascii="Times New Roman" w:hAnsi="Times New Roman"/>
          <w:b/>
          <w:sz w:val="24"/>
          <w:szCs w:val="24"/>
        </w:rPr>
        <w:t>Introduction</w:t>
      </w:r>
    </w:p>
    <w:p w14:paraId="56415B09" w14:textId="77777777" w:rsidR="00087F30" w:rsidRPr="00FF22DE" w:rsidRDefault="00087F30" w:rsidP="00A37ACD">
      <w:pPr>
        <w:spacing w:line="480" w:lineRule="auto"/>
        <w:jc w:val="both"/>
        <w:rPr>
          <w:rFonts w:ascii="Times New Roman" w:hAnsi="Times New Roman"/>
          <w:sz w:val="24"/>
          <w:szCs w:val="24"/>
        </w:rPr>
      </w:pPr>
      <w:r w:rsidRPr="00FF22DE">
        <w:rPr>
          <w:rFonts w:ascii="Times New Roman" w:hAnsi="Times New Roman"/>
          <w:sz w:val="24"/>
          <w:szCs w:val="24"/>
        </w:rPr>
        <w:t>Tea is widely consumed as a beverage, and the increasing interest in herbal and functional beverages has encouraged the use of plant materials other than Camellia sinensis for tea development. Herbal teas may be prepared from leaves, flowers, stems, roots and other plant parts and are distinct from conventional teas derived from C. sinensis. The chemical characteristics of tea products are influenced by raw material and processing conditions, making processing an important consideration in the development of alternative tea products (Aaqil et al., 2023; Wong et al., 2022).</w:t>
      </w:r>
    </w:p>
    <w:p w14:paraId="244E4C27" w14:textId="77777777" w:rsidR="00087F30" w:rsidRPr="00FF22DE" w:rsidRDefault="00087F30" w:rsidP="00A37ACD">
      <w:pPr>
        <w:spacing w:line="480" w:lineRule="auto"/>
        <w:jc w:val="both"/>
        <w:rPr>
          <w:rFonts w:ascii="Times New Roman" w:hAnsi="Times New Roman"/>
          <w:sz w:val="24"/>
          <w:szCs w:val="24"/>
        </w:rPr>
      </w:pPr>
      <w:r w:rsidRPr="00FF22DE">
        <w:rPr>
          <w:rFonts w:ascii="Times New Roman" w:hAnsi="Times New Roman"/>
          <w:sz w:val="24"/>
          <w:szCs w:val="24"/>
        </w:rPr>
        <w:t>Green and black tea processing differ mainly in the extent to which enzymatic oxidation is permitted. For green-tea manufacture, heat treatment is used to inactivate oxidative enzymes, whereas black-tea manufacture allows enzymatic oxidation after leaf disruption. These contrasting conditions can alter the phytochemical profile and sensory characteristics of the resulting tea (Aaqil et al., 2023; Wong et al., 2022). Such processing differences provide a useful basis for comparing alternative herbal tea products processed using green- and black-tea approaches</w:t>
      </w:r>
      <w:r w:rsidR="005D2609" w:rsidRPr="00FF22DE">
        <w:rPr>
          <w:rFonts w:ascii="Times New Roman" w:hAnsi="Times New Roman"/>
          <w:sz w:val="24"/>
          <w:szCs w:val="24"/>
        </w:rPr>
        <w:t>.</w:t>
      </w:r>
    </w:p>
    <w:p w14:paraId="6ACC2C83" w14:textId="77777777" w:rsidR="00E61068" w:rsidRPr="00FF22DE" w:rsidRDefault="005D2609" w:rsidP="00A37ACD">
      <w:pPr>
        <w:spacing w:line="360" w:lineRule="auto"/>
        <w:jc w:val="both"/>
        <w:rPr>
          <w:rFonts w:ascii="Times New Roman" w:hAnsi="Times New Roman"/>
          <w:sz w:val="24"/>
          <w:szCs w:val="24"/>
        </w:rPr>
      </w:pP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is a leafy plant used as a vegetable and in traditional healing practices in Nigeria.</w:t>
      </w:r>
      <w:r w:rsidR="0081522C" w:rsidRPr="00FF22DE">
        <w:rPr>
          <w:rFonts w:ascii="Times New Roman" w:hAnsi="Times New Roman"/>
          <w:sz w:val="24"/>
          <w:szCs w:val="24"/>
        </w:rPr>
        <w:t xml:space="preserve"> It belongs to the family </w:t>
      </w:r>
      <w:proofErr w:type="spellStart"/>
      <w:r w:rsidR="0081522C" w:rsidRPr="00FF22DE">
        <w:rPr>
          <w:rFonts w:ascii="Times New Roman" w:hAnsi="Times New Roman"/>
          <w:sz w:val="24"/>
          <w:szCs w:val="24"/>
        </w:rPr>
        <w:t>Euphorbiaceae</w:t>
      </w:r>
      <w:proofErr w:type="spellEnd"/>
      <w:r w:rsidR="0081522C" w:rsidRPr="00FF22DE">
        <w:rPr>
          <w:rFonts w:ascii="Times New Roman" w:hAnsi="Times New Roman"/>
          <w:sz w:val="24"/>
          <w:szCs w:val="24"/>
        </w:rPr>
        <w:t xml:space="preserve"> and is known locally by names such as ‘hospital is too far’ and ‘Catholic vegetable’ (Akhigbe, </w:t>
      </w:r>
      <w:proofErr w:type="spellStart"/>
      <w:r w:rsidR="0081522C" w:rsidRPr="00FF22DE">
        <w:rPr>
          <w:rFonts w:ascii="Times New Roman" w:hAnsi="Times New Roman"/>
          <w:sz w:val="24"/>
          <w:szCs w:val="24"/>
        </w:rPr>
        <w:t>Idu</w:t>
      </w:r>
      <w:proofErr w:type="spellEnd"/>
      <w:r w:rsidR="0081522C" w:rsidRPr="00FF22DE">
        <w:rPr>
          <w:rFonts w:ascii="Times New Roman" w:hAnsi="Times New Roman"/>
          <w:sz w:val="24"/>
          <w:szCs w:val="24"/>
        </w:rPr>
        <w:t xml:space="preserve">, </w:t>
      </w:r>
      <w:proofErr w:type="spellStart"/>
      <w:r w:rsidR="0081522C" w:rsidRPr="00FF22DE">
        <w:rPr>
          <w:rFonts w:ascii="Times New Roman" w:hAnsi="Times New Roman"/>
          <w:sz w:val="24"/>
          <w:szCs w:val="24"/>
        </w:rPr>
        <w:t>Orhue</w:t>
      </w:r>
      <w:proofErr w:type="spellEnd"/>
      <w:r w:rsidR="0081522C" w:rsidRPr="00FF22DE">
        <w:rPr>
          <w:rFonts w:ascii="Times New Roman" w:hAnsi="Times New Roman"/>
          <w:sz w:val="24"/>
          <w:szCs w:val="24"/>
        </w:rPr>
        <w:t xml:space="preserve">, </w:t>
      </w:r>
      <w:proofErr w:type="spellStart"/>
      <w:r w:rsidR="0081522C" w:rsidRPr="00FF22DE">
        <w:rPr>
          <w:rFonts w:ascii="Times New Roman" w:hAnsi="Times New Roman"/>
          <w:sz w:val="24"/>
          <w:szCs w:val="24"/>
        </w:rPr>
        <w:t>Atamn</w:t>
      </w:r>
      <w:proofErr w:type="spellEnd"/>
      <w:r w:rsidR="0081522C" w:rsidRPr="00FF22DE">
        <w:rPr>
          <w:rFonts w:ascii="Times New Roman" w:hAnsi="Times New Roman"/>
          <w:sz w:val="24"/>
          <w:szCs w:val="24"/>
        </w:rPr>
        <w:t xml:space="preserve"> &amp; </w:t>
      </w:r>
      <w:proofErr w:type="spellStart"/>
      <w:r w:rsidR="0081522C" w:rsidRPr="00FF22DE">
        <w:rPr>
          <w:rFonts w:ascii="Times New Roman" w:hAnsi="Times New Roman"/>
          <w:sz w:val="24"/>
          <w:szCs w:val="24"/>
        </w:rPr>
        <w:t>Ehimwenman</w:t>
      </w:r>
      <w:proofErr w:type="spellEnd"/>
      <w:r w:rsidR="0081522C" w:rsidRPr="00FF22DE">
        <w:rPr>
          <w:rFonts w:ascii="Times New Roman" w:hAnsi="Times New Roman"/>
          <w:sz w:val="24"/>
          <w:szCs w:val="24"/>
        </w:rPr>
        <w:t xml:space="preserve">, 2009). </w:t>
      </w:r>
      <w:r w:rsidRPr="00FF22DE">
        <w:rPr>
          <w:rFonts w:ascii="Times New Roman" w:hAnsi="Times New Roman"/>
          <w:sz w:val="24"/>
          <w:szCs w:val="24"/>
        </w:rPr>
        <w:t xml:space="preserve"> Previous research has reported phytochemicals and nutrients in its leaves, indicating that the plant has compositional characteristics of interest for food-product development (</w:t>
      </w:r>
      <w:proofErr w:type="spellStart"/>
      <w:r w:rsidRPr="00FF22DE">
        <w:rPr>
          <w:rFonts w:ascii="Times New Roman" w:hAnsi="Times New Roman"/>
          <w:sz w:val="24"/>
          <w:szCs w:val="24"/>
        </w:rPr>
        <w:t>Anhwange</w:t>
      </w:r>
      <w:proofErr w:type="spellEnd"/>
      <w:r w:rsidRPr="00FF22DE">
        <w:rPr>
          <w:rFonts w:ascii="Times New Roman" w:hAnsi="Times New Roman"/>
          <w:sz w:val="24"/>
          <w:szCs w:val="24"/>
        </w:rPr>
        <w:t xml:space="preserve"> et al., 2019).</w:t>
      </w:r>
      <w:r w:rsidR="00E61068" w:rsidRPr="00FF22DE">
        <w:rPr>
          <w:rFonts w:ascii="Times New Roman" w:hAnsi="Times New Roman"/>
          <w:sz w:val="24"/>
          <w:szCs w:val="24"/>
        </w:rPr>
        <w:t xml:space="preserve"> </w:t>
      </w:r>
      <w:r w:rsidR="00E61068" w:rsidRPr="00FF22DE">
        <w:rPr>
          <w:rFonts w:ascii="Times New Roman" w:hAnsi="Times New Roman"/>
          <w:i/>
          <w:sz w:val="24"/>
          <w:szCs w:val="24"/>
        </w:rPr>
        <w:t xml:space="preserve">Jatropha </w:t>
      </w:r>
      <w:proofErr w:type="spellStart"/>
      <w:r w:rsidR="00E61068" w:rsidRPr="00FF22DE">
        <w:rPr>
          <w:rFonts w:ascii="Times New Roman" w:hAnsi="Times New Roman"/>
          <w:i/>
          <w:sz w:val="24"/>
          <w:szCs w:val="24"/>
        </w:rPr>
        <w:t>tanjorensis</w:t>
      </w:r>
      <w:proofErr w:type="spellEnd"/>
      <w:r w:rsidR="00E61068" w:rsidRPr="00FF22DE">
        <w:rPr>
          <w:rFonts w:ascii="Times New Roman" w:hAnsi="Times New Roman"/>
          <w:sz w:val="24"/>
          <w:szCs w:val="24"/>
        </w:rPr>
        <w:t xml:space="preserve"> leaf possess abundant anti-oxidant properties that could effectively ameliorate the effects of oxidative stress caused by excess reactive oxygen species generated by </w:t>
      </w:r>
      <w:r w:rsidR="00E61068" w:rsidRPr="00FF22DE">
        <w:rPr>
          <w:rFonts w:ascii="Times New Roman" w:hAnsi="Times New Roman"/>
          <w:sz w:val="24"/>
          <w:szCs w:val="24"/>
        </w:rPr>
        <w:lastRenderedPageBreak/>
        <w:t xml:space="preserve">the </w:t>
      </w:r>
      <w:proofErr w:type="spellStart"/>
      <w:proofErr w:type="gramStart"/>
      <w:r w:rsidR="00E61068" w:rsidRPr="00FF22DE">
        <w:rPr>
          <w:rFonts w:ascii="Times New Roman" w:hAnsi="Times New Roman"/>
          <w:sz w:val="24"/>
          <w:szCs w:val="24"/>
        </w:rPr>
        <w:t>CCl</w:t>
      </w:r>
      <w:proofErr w:type="spellEnd"/>
      <w:r w:rsidR="00E61068" w:rsidRPr="00FF22DE">
        <w:rPr>
          <w:rFonts w:ascii="Times New Roman" w:hAnsi="Times New Roman"/>
          <w:sz w:val="24"/>
          <w:szCs w:val="24"/>
        </w:rPr>
        <w:t xml:space="preserve"> ,</w:t>
      </w:r>
      <w:proofErr w:type="gramEnd"/>
      <w:r w:rsidR="00E61068" w:rsidRPr="00FF22DE">
        <w:rPr>
          <w:rFonts w:ascii="Times New Roman" w:hAnsi="Times New Roman"/>
          <w:sz w:val="24"/>
          <w:szCs w:val="24"/>
        </w:rPr>
        <w:t xml:space="preserve"> and other free radicals from metabolic reactions and xenobiotics with similar mechanism of actions. (</w:t>
      </w:r>
      <w:proofErr w:type="spellStart"/>
      <w:r w:rsidR="00E61068" w:rsidRPr="00FF22DE">
        <w:rPr>
          <w:rFonts w:ascii="Times New Roman" w:hAnsi="Times New Roman"/>
          <w:sz w:val="24"/>
          <w:szCs w:val="24"/>
        </w:rPr>
        <w:t>Ochulor</w:t>
      </w:r>
      <w:proofErr w:type="spellEnd"/>
      <w:r w:rsidR="00E61068" w:rsidRPr="00FF22DE">
        <w:rPr>
          <w:rFonts w:ascii="Times New Roman" w:hAnsi="Times New Roman"/>
          <w:sz w:val="24"/>
          <w:szCs w:val="24"/>
        </w:rPr>
        <w:t xml:space="preserve">, </w:t>
      </w:r>
      <w:proofErr w:type="spellStart"/>
      <w:proofErr w:type="gramStart"/>
      <w:r w:rsidR="00E61068" w:rsidRPr="00FF22DE">
        <w:rPr>
          <w:rFonts w:ascii="Times New Roman" w:hAnsi="Times New Roman"/>
          <w:sz w:val="24"/>
          <w:szCs w:val="24"/>
        </w:rPr>
        <w:t>Njoku,Uroko</w:t>
      </w:r>
      <w:proofErr w:type="spellEnd"/>
      <w:proofErr w:type="gramEnd"/>
      <w:r w:rsidR="00E61068" w:rsidRPr="00FF22DE">
        <w:rPr>
          <w:rFonts w:ascii="Times New Roman" w:hAnsi="Times New Roman"/>
          <w:sz w:val="24"/>
          <w:szCs w:val="24"/>
        </w:rPr>
        <w:t xml:space="preserve"> &amp; Egba, 2018).</w:t>
      </w:r>
    </w:p>
    <w:p w14:paraId="35D48E35" w14:textId="77777777" w:rsidR="00E61068" w:rsidRPr="00FF22DE" w:rsidRDefault="005D2609" w:rsidP="00A37ACD">
      <w:pPr>
        <w:spacing w:line="480" w:lineRule="auto"/>
        <w:jc w:val="both"/>
        <w:rPr>
          <w:rFonts w:ascii="Times New Roman" w:hAnsi="Times New Roman"/>
          <w:sz w:val="24"/>
          <w:szCs w:val="24"/>
        </w:rPr>
      </w:pPr>
      <w:r w:rsidRPr="00FF22DE">
        <w:rPr>
          <w:rFonts w:ascii="Times New Roman" w:hAnsi="Times New Roman"/>
          <w:sz w:val="24"/>
          <w:szCs w:val="24"/>
        </w:rPr>
        <w:t xml:space="preserve">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has also been included in herbal tea formu</w:t>
      </w:r>
      <w:r w:rsidR="00DD6EFB">
        <w:rPr>
          <w:rFonts w:ascii="Times New Roman" w:hAnsi="Times New Roman"/>
          <w:sz w:val="24"/>
          <w:szCs w:val="24"/>
        </w:rPr>
        <w:t xml:space="preserve">lations, rather than a single herbal tea </w:t>
      </w:r>
      <w:r w:rsidRPr="00FF22DE">
        <w:rPr>
          <w:rFonts w:ascii="Times New Roman" w:hAnsi="Times New Roman"/>
          <w:sz w:val="24"/>
          <w:szCs w:val="24"/>
        </w:rPr>
        <w:t>processed</w:t>
      </w:r>
      <w:r w:rsidR="00A74B90">
        <w:rPr>
          <w:rFonts w:ascii="Times New Roman" w:hAnsi="Times New Roman"/>
          <w:sz w:val="24"/>
          <w:szCs w:val="24"/>
        </w:rPr>
        <w:t xml:space="preserve"> from</w:t>
      </w:r>
      <w:r w:rsidRPr="00FF22DE">
        <w:rPr>
          <w:rFonts w:ascii="Times New Roman" w:hAnsi="Times New Roman"/>
          <w:sz w:val="24"/>
          <w:szCs w:val="24"/>
        </w:rPr>
        <w:t xml:space="preserve">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teas (</w:t>
      </w:r>
      <w:proofErr w:type="spellStart"/>
      <w:r w:rsidRPr="00FF22DE">
        <w:rPr>
          <w:rFonts w:ascii="Times New Roman" w:hAnsi="Times New Roman"/>
          <w:sz w:val="24"/>
          <w:szCs w:val="24"/>
        </w:rPr>
        <w:t>Ityo</w:t>
      </w:r>
      <w:proofErr w:type="spellEnd"/>
      <w:r w:rsidRPr="00FF22DE">
        <w:rPr>
          <w:rFonts w:ascii="Times New Roman" w:hAnsi="Times New Roman"/>
          <w:sz w:val="24"/>
          <w:szCs w:val="24"/>
        </w:rPr>
        <w:t xml:space="preserve"> et al., 2023).</w:t>
      </w:r>
      <w:r w:rsidR="00E61068" w:rsidRPr="00FF22DE">
        <w:rPr>
          <w:rFonts w:ascii="Times New Roman" w:hAnsi="Times New Roman"/>
          <w:sz w:val="24"/>
          <w:szCs w:val="24"/>
        </w:rPr>
        <w:t xml:space="preserve"> </w:t>
      </w:r>
    </w:p>
    <w:p w14:paraId="36606165" w14:textId="77777777" w:rsidR="00E61068" w:rsidRPr="00FF22DE" w:rsidRDefault="00E61068" w:rsidP="00A37ACD">
      <w:pPr>
        <w:spacing w:line="480" w:lineRule="auto"/>
        <w:jc w:val="both"/>
        <w:rPr>
          <w:rFonts w:ascii="Times New Roman" w:hAnsi="Times New Roman"/>
          <w:sz w:val="24"/>
          <w:szCs w:val="24"/>
        </w:rPr>
      </w:pPr>
      <w:r w:rsidRPr="00FF22DE">
        <w:rPr>
          <w:rFonts w:ascii="Times New Roman" w:hAnsi="Times New Roman"/>
          <w:sz w:val="24"/>
          <w:szCs w:val="24"/>
        </w:rPr>
        <w:t xml:space="preserve">Despite its use as a vegetable and its reported phytochemical and nutritional composition, </w:t>
      </w:r>
      <w:r w:rsidR="00A74B90">
        <w:rPr>
          <w:rFonts w:ascii="Times New Roman" w:hAnsi="Times New Roman"/>
          <w:sz w:val="24"/>
          <w:szCs w:val="24"/>
        </w:rPr>
        <w:t xml:space="preserve">there is limited </w:t>
      </w:r>
      <w:r w:rsidRPr="00FF22DE">
        <w:rPr>
          <w:rFonts w:ascii="Times New Roman" w:hAnsi="Times New Roman"/>
          <w:sz w:val="24"/>
          <w:szCs w:val="24"/>
        </w:rPr>
        <w:t>informat</w:t>
      </w:r>
      <w:r w:rsidR="00A74B90">
        <w:rPr>
          <w:rFonts w:ascii="Times New Roman" w:hAnsi="Times New Roman"/>
          <w:sz w:val="24"/>
          <w:szCs w:val="24"/>
        </w:rPr>
        <w:t>ion on the effect of different tea-processing methods</w:t>
      </w:r>
      <w:r w:rsidRPr="00FF22DE">
        <w:rPr>
          <w:rFonts w:ascii="Times New Roman" w:hAnsi="Times New Roman"/>
          <w:sz w:val="24"/>
          <w:szCs w:val="24"/>
        </w:rPr>
        <w:t xml:space="preserve"> on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Therefore, this study compared the phytochemical composition, selected micronutrients and sensory characteristics of green and black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herbal teas.</w:t>
      </w:r>
    </w:p>
    <w:p w14:paraId="2A8526E0" w14:textId="77777777" w:rsidR="00E61068" w:rsidRPr="00FF22DE" w:rsidRDefault="00E61068" w:rsidP="00A37ACD">
      <w:pPr>
        <w:pStyle w:val="ListParagraph"/>
        <w:numPr>
          <w:ilvl w:val="0"/>
          <w:numId w:val="1"/>
        </w:numPr>
        <w:spacing w:line="480" w:lineRule="auto"/>
        <w:jc w:val="both"/>
        <w:rPr>
          <w:rFonts w:ascii="Times New Roman" w:hAnsi="Times New Roman"/>
          <w:b/>
          <w:sz w:val="24"/>
          <w:szCs w:val="24"/>
        </w:rPr>
      </w:pPr>
      <w:r w:rsidRPr="00FF22DE">
        <w:rPr>
          <w:rFonts w:ascii="Times New Roman" w:hAnsi="Times New Roman"/>
          <w:b/>
          <w:sz w:val="24"/>
          <w:szCs w:val="24"/>
        </w:rPr>
        <w:t>Materials and methods</w:t>
      </w:r>
    </w:p>
    <w:p w14:paraId="51312848" w14:textId="77777777" w:rsidR="00E61068" w:rsidRPr="00FF22DE" w:rsidRDefault="00E61068" w:rsidP="00A37ACD">
      <w:pPr>
        <w:pStyle w:val="Heading2"/>
        <w:spacing w:after="80"/>
        <w:jc w:val="both"/>
        <w:rPr>
          <w:color w:val="auto"/>
          <w:sz w:val="24"/>
          <w:szCs w:val="24"/>
        </w:rPr>
      </w:pPr>
      <w:r w:rsidRPr="00FF22DE">
        <w:rPr>
          <w:color w:val="auto"/>
          <w:sz w:val="24"/>
          <w:szCs w:val="24"/>
        </w:rPr>
        <w:t>2.1 Materials and Source of Raw Material</w:t>
      </w:r>
    </w:p>
    <w:p w14:paraId="65E321E1" w14:textId="77777777" w:rsidR="00E61068" w:rsidRPr="00FF22DE" w:rsidRDefault="00E61068" w:rsidP="00A37ACD">
      <w:pPr>
        <w:spacing w:line="480" w:lineRule="auto"/>
        <w:jc w:val="both"/>
        <w:rPr>
          <w:rFonts w:ascii="Times New Roman" w:hAnsi="Times New Roman"/>
          <w:sz w:val="24"/>
          <w:szCs w:val="24"/>
        </w:rPr>
      </w:pPr>
      <w:r w:rsidRPr="00FF22DE">
        <w:rPr>
          <w:rFonts w:ascii="Times New Roman" w:hAnsi="Times New Roman"/>
          <w:sz w:val="24"/>
          <w:szCs w:val="24"/>
        </w:rPr>
        <w:t xml:space="preserve">Fresh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leaves used in the study were harvested from a local farm in Owerri West Local Government Area of Imo State, Nigeria. Equipment used for processing included a sieve, wooden rolling pin, food dehydrator and electric blender. Chemicals and reagents used for chemical analyses were analytical grade and were obtained from the National Centre for Energy Research and Development, University of Nigeria, Nsukka, and the Department of Food Science and Technology, Federal University of Technology, Owerri.</w:t>
      </w:r>
    </w:p>
    <w:p w14:paraId="559798C4" w14:textId="77777777" w:rsidR="008966FE" w:rsidRPr="00FF22DE" w:rsidRDefault="008966FE" w:rsidP="00A37ACD">
      <w:pPr>
        <w:pStyle w:val="Heading2"/>
        <w:spacing w:after="80"/>
        <w:jc w:val="both"/>
        <w:rPr>
          <w:color w:val="auto"/>
          <w:sz w:val="24"/>
          <w:szCs w:val="24"/>
        </w:rPr>
      </w:pPr>
      <w:r w:rsidRPr="00FF22DE">
        <w:rPr>
          <w:color w:val="auto"/>
          <w:sz w:val="24"/>
          <w:szCs w:val="24"/>
        </w:rPr>
        <w:t xml:space="preserve">2.2 Processing of J. </w:t>
      </w:r>
      <w:proofErr w:type="spellStart"/>
      <w:r w:rsidRPr="00FF22DE">
        <w:rPr>
          <w:color w:val="auto"/>
          <w:sz w:val="24"/>
          <w:szCs w:val="24"/>
        </w:rPr>
        <w:t>tanjorensis</w:t>
      </w:r>
      <w:proofErr w:type="spellEnd"/>
      <w:r w:rsidRPr="00FF22DE">
        <w:rPr>
          <w:color w:val="auto"/>
          <w:sz w:val="24"/>
          <w:szCs w:val="24"/>
        </w:rPr>
        <w:t xml:space="preserve"> Herbal Teas</w:t>
      </w:r>
    </w:p>
    <w:p w14:paraId="33CC83DA" w14:textId="77777777" w:rsidR="008966FE" w:rsidRPr="00FF22DE" w:rsidRDefault="008966FE" w:rsidP="00A37ACD">
      <w:pPr>
        <w:spacing w:line="480" w:lineRule="auto"/>
        <w:jc w:val="both"/>
        <w:rPr>
          <w:sz w:val="24"/>
          <w:szCs w:val="24"/>
        </w:rPr>
      </w:pPr>
      <w:r w:rsidRPr="00FF22DE">
        <w:rPr>
          <w:rFonts w:ascii="Times New Roman" w:hAnsi="Times New Roman"/>
          <w:sz w:val="24"/>
          <w:szCs w:val="24"/>
        </w:rPr>
        <w:t xml:space="preserve">Black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 was produced using the combination of a method described by Aaqil et al., (2023) for processing of black tea from Camelia Sinensis plant and a method described by </w:t>
      </w:r>
      <w:proofErr w:type="spellStart"/>
      <w:r w:rsidRPr="00FF22DE">
        <w:rPr>
          <w:rFonts w:ascii="Times New Roman" w:hAnsi="Times New Roman"/>
          <w:sz w:val="24"/>
          <w:szCs w:val="24"/>
        </w:rPr>
        <w:t>Ndife</w:t>
      </w:r>
      <w:proofErr w:type="spellEnd"/>
      <w:r w:rsidRPr="00FF22DE">
        <w:rPr>
          <w:rFonts w:ascii="Times New Roman" w:hAnsi="Times New Roman"/>
          <w:sz w:val="24"/>
          <w:szCs w:val="24"/>
        </w:rPr>
        <w:t xml:space="preserve"> et al., (2019) for processing black tisane from scent </w:t>
      </w:r>
      <w:proofErr w:type="gramStart"/>
      <w:r w:rsidRPr="00FF22DE">
        <w:rPr>
          <w:rFonts w:ascii="Times New Roman" w:hAnsi="Times New Roman"/>
          <w:sz w:val="24"/>
          <w:szCs w:val="24"/>
        </w:rPr>
        <w:t>leaves..</w:t>
      </w:r>
      <w:proofErr w:type="gramEnd"/>
      <w:r w:rsidRPr="00FF22DE">
        <w:rPr>
          <w:rFonts w:ascii="Times New Roman" w:hAnsi="Times New Roman"/>
          <w:sz w:val="24"/>
          <w:szCs w:val="24"/>
        </w:rPr>
        <w:t xml:space="preserve"> Fresh leaves were harvested, sorted and washed with clean water. The leaves were drained on a sieve and spread on a tray at room temperature for 3 h to reduce moisture. They were then manually rolled with a wooden </w:t>
      </w:r>
      <w:r w:rsidRPr="00FF22DE">
        <w:rPr>
          <w:rFonts w:ascii="Times New Roman" w:hAnsi="Times New Roman"/>
          <w:sz w:val="24"/>
          <w:szCs w:val="24"/>
        </w:rPr>
        <w:lastRenderedPageBreak/>
        <w:t>rolling pin to reduce leaf size and rupture the plant tissues. The rolled leaves were spread in a thin layer on clean sack bags placed on a hygienic floor surface and allowed to undergo enzymatic oxidation under ambient conditions for 6 h. Oxidation was terminated by dehydration at 70 °C for 4 h using a food dehydrator. The dried leaves were ground with an electric blender and packaged in tea bags.</w:t>
      </w:r>
    </w:p>
    <w:p w14:paraId="47EB0435" w14:textId="77777777" w:rsidR="008966FE" w:rsidRPr="00FF22DE" w:rsidRDefault="008966FE" w:rsidP="00A37ACD">
      <w:pPr>
        <w:spacing w:line="480" w:lineRule="auto"/>
        <w:jc w:val="both"/>
        <w:rPr>
          <w:rFonts w:ascii="Times New Roman" w:hAnsi="Times New Roman"/>
          <w:sz w:val="24"/>
          <w:szCs w:val="24"/>
        </w:rPr>
      </w:pPr>
      <w:r w:rsidRPr="00FF22DE">
        <w:rPr>
          <w:rFonts w:ascii="Times New Roman" w:hAnsi="Times New Roman"/>
          <w:sz w:val="24"/>
          <w:szCs w:val="24"/>
        </w:rPr>
        <w:t xml:space="preserve">Green </w:t>
      </w:r>
      <w:r w:rsidRPr="00FF22DE">
        <w:rPr>
          <w:rFonts w:ascii="Times New Roman" w:hAnsi="Times New Roman"/>
          <w:i/>
          <w:sz w:val="24"/>
          <w:szCs w:val="24"/>
        </w:rPr>
        <w:t xml:space="preserve">J.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 was processed following an approach adopted from green-tisane processing (</w:t>
      </w:r>
      <w:proofErr w:type="spellStart"/>
      <w:r w:rsidRPr="00FF22DE">
        <w:rPr>
          <w:rFonts w:ascii="Times New Roman" w:hAnsi="Times New Roman"/>
          <w:sz w:val="24"/>
          <w:szCs w:val="24"/>
        </w:rPr>
        <w:t>Ndife</w:t>
      </w:r>
      <w:proofErr w:type="spellEnd"/>
      <w:r w:rsidRPr="00FF22DE">
        <w:rPr>
          <w:rFonts w:ascii="Times New Roman" w:hAnsi="Times New Roman"/>
          <w:sz w:val="24"/>
          <w:szCs w:val="24"/>
        </w:rPr>
        <w:t xml:space="preserve"> et al., 2019). Fresh leaves were harvested, sorted and washed. The leaves were steam-blanched for 3 min to inactivate oxidative enzymes, drained and cooled to room temperature. They were manually roll-pressed with a wooden roller until sufficiently flattened and ruptured. The leaves were then dehydrated at 70 °C for 5 h, ground with an electric blender and packaged in tea bags.</w:t>
      </w:r>
    </w:p>
    <w:p w14:paraId="1E0D4012" w14:textId="77777777" w:rsidR="0021117B" w:rsidRPr="00535721" w:rsidRDefault="00FF22DE" w:rsidP="00A37ACD">
      <w:pPr>
        <w:spacing w:line="480" w:lineRule="auto"/>
        <w:jc w:val="both"/>
        <w:rPr>
          <w:sz w:val="28"/>
          <w:szCs w:val="28"/>
        </w:rPr>
      </w:pPr>
      <w:r w:rsidRPr="00FF22DE">
        <w:rPr>
          <w:rFonts w:ascii="Times New Roman" w:hAnsi="Times New Roman"/>
          <w:noProof/>
          <w:sz w:val="24"/>
          <w:szCs w:val="24"/>
          <w:lang w:eastAsia="en-US"/>
        </w:rPr>
        <w:drawing>
          <wp:anchor distT="0" distB="0" distL="114300" distR="114300" simplePos="0" relativeHeight="251659264" behindDoc="0" locked="0" layoutInCell="1" allowOverlap="1" wp14:anchorId="498AFC69" wp14:editId="740217A4">
            <wp:simplePos x="0" y="0"/>
            <wp:positionH relativeFrom="margin">
              <wp:posOffset>1083945</wp:posOffset>
            </wp:positionH>
            <wp:positionV relativeFrom="paragraph">
              <wp:posOffset>6350</wp:posOffset>
            </wp:positionV>
            <wp:extent cx="3762375" cy="2019935"/>
            <wp:effectExtent l="0" t="0" r="9525" b="0"/>
            <wp:wrapSquare wrapText="bothSides"/>
            <wp:docPr id="16"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3762375" cy="2019935"/>
                    </a:xfrm>
                    <a:prstGeom prst="rect">
                      <a:avLst/>
                    </a:prstGeom>
                  </pic:spPr>
                </pic:pic>
              </a:graphicData>
            </a:graphic>
            <wp14:sizeRelH relativeFrom="margin">
              <wp14:pctWidth>0</wp14:pctWidth>
            </wp14:sizeRelH>
            <wp14:sizeRelV relativeFrom="margin">
              <wp14:pctHeight>0</wp14:pctHeight>
            </wp14:sizeRelV>
          </wp:anchor>
        </w:drawing>
      </w:r>
    </w:p>
    <w:p w14:paraId="7D5FABB5" w14:textId="77777777" w:rsidR="008966FE" w:rsidRPr="00535721" w:rsidRDefault="008966FE" w:rsidP="00A37ACD">
      <w:pPr>
        <w:spacing w:line="480" w:lineRule="auto"/>
        <w:jc w:val="both"/>
        <w:rPr>
          <w:sz w:val="28"/>
          <w:szCs w:val="28"/>
        </w:rPr>
      </w:pPr>
    </w:p>
    <w:p w14:paraId="5A4B2F4C" w14:textId="77777777" w:rsidR="00FF22DE" w:rsidRDefault="00FF22DE" w:rsidP="00A37ACD">
      <w:pPr>
        <w:spacing w:line="480" w:lineRule="auto"/>
        <w:jc w:val="both"/>
        <w:rPr>
          <w:sz w:val="28"/>
          <w:szCs w:val="28"/>
        </w:rPr>
      </w:pPr>
    </w:p>
    <w:p w14:paraId="116249DC" w14:textId="77777777" w:rsidR="00FF22DE" w:rsidRPr="00535721" w:rsidRDefault="00FF22DE" w:rsidP="00A37ACD">
      <w:pPr>
        <w:spacing w:line="480" w:lineRule="auto"/>
        <w:jc w:val="both"/>
        <w:rPr>
          <w:sz w:val="28"/>
          <w:szCs w:val="28"/>
        </w:rPr>
      </w:pPr>
    </w:p>
    <w:p w14:paraId="02B828D5" w14:textId="77777777" w:rsidR="0021117B" w:rsidRPr="00FF22DE" w:rsidRDefault="0021117B" w:rsidP="00FF22DE">
      <w:pPr>
        <w:pStyle w:val="Caption"/>
        <w:jc w:val="center"/>
        <w:rPr>
          <w:rFonts w:ascii="Times New Roman" w:hAnsi="Times New Roman"/>
          <w:b/>
          <w:i w:val="0"/>
          <w:color w:val="auto"/>
          <w:sz w:val="24"/>
          <w:szCs w:val="24"/>
        </w:rPr>
      </w:pPr>
      <w:bookmarkStart w:id="0" w:name="_Toc225968772"/>
      <w:r w:rsidRPr="00FF22DE">
        <w:rPr>
          <w:rFonts w:ascii="Times New Roman" w:hAnsi="Times New Roman"/>
          <w:b/>
          <w:i w:val="0"/>
          <w:color w:val="auto"/>
          <w:sz w:val="24"/>
          <w:szCs w:val="24"/>
        </w:rPr>
        <w:t xml:space="preserve">Fig. </w:t>
      </w:r>
      <w:r w:rsidRPr="00FF22DE">
        <w:rPr>
          <w:rFonts w:ascii="Times New Roman" w:hAnsi="Times New Roman"/>
          <w:b/>
          <w:i w:val="0"/>
          <w:color w:val="auto"/>
          <w:sz w:val="24"/>
          <w:szCs w:val="24"/>
        </w:rPr>
        <w:fldChar w:fldCharType="begin"/>
      </w:r>
      <w:r w:rsidRPr="00FF22DE">
        <w:rPr>
          <w:rFonts w:ascii="Times New Roman" w:hAnsi="Times New Roman"/>
          <w:b/>
          <w:i w:val="0"/>
          <w:color w:val="auto"/>
          <w:sz w:val="24"/>
          <w:szCs w:val="24"/>
        </w:rPr>
        <w:instrText xml:space="preserve"> SEQ Figure \* ARABIC </w:instrText>
      </w:r>
      <w:r w:rsidRPr="00FF22DE">
        <w:rPr>
          <w:rFonts w:ascii="Times New Roman" w:hAnsi="Times New Roman"/>
          <w:b/>
          <w:i w:val="0"/>
          <w:color w:val="auto"/>
          <w:sz w:val="24"/>
          <w:szCs w:val="24"/>
        </w:rPr>
        <w:fldChar w:fldCharType="separate"/>
      </w:r>
      <w:r w:rsidRPr="00FF22DE">
        <w:rPr>
          <w:rFonts w:ascii="Times New Roman" w:hAnsi="Times New Roman"/>
          <w:b/>
          <w:i w:val="0"/>
          <w:noProof/>
          <w:color w:val="auto"/>
          <w:sz w:val="24"/>
          <w:szCs w:val="24"/>
        </w:rPr>
        <w:t>1</w:t>
      </w:r>
      <w:r w:rsidRPr="00FF22DE">
        <w:rPr>
          <w:rFonts w:ascii="Times New Roman" w:hAnsi="Times New Roman"/>
          <w:b/>
          <w:i w:val="0"/>
          <w:color w:val="auto"/>
          <w:sz w:val="24"/>
          <w:szCs w:val="24"/>
        </w:rPr>
        <w:fldChar w:fldCharType="end"/>
      </w:r>
      <w:r w:rsidRPr="00FF22DE">
        <w:rPr>
          <w:rFonts w:ascii="Times New Roman" w:hAnsi="Times New Roman"/>
          <w:b/>
          <w:i w:val="0"/>
          <w:color w:val="auto"/>
          <w:sz w:val="24"/>
          <w:szCs w:val="24"/>
        </w:rPr>
        <w:t xml:space="preserve">: Picture of </w:t>
      </w:r>
      <w:r w:rsidRPr="00FF22DE">
        <w:rPr>
          <w:rFonts w:ascii="Times New Roman" w:hAnsi="Times New Roman"/>
          <w:b/>
          <w:color w:val="auto"/>
          <w:sz w:val="24"/>
          <w:szCs w:val="24"/>
        </w:rPr>
        <w:t xml:space="preserve">Jatropha </w:t>
      </w:r>
      <w:proofErr w:type="spellStart"/>
      <w:r w:rsidRPr="00FF22DE">
        <w:rPr>
          <w:rFonts w:ascii="Times New Roman" w:hAnsi="Times New Roman"/>
          <w:b/>
          <w:color w:val="auto"/>
          <w:sz w:val="24"/>
          <w:szCs w:val="24"/>
        </w:rPr>
        <w:t>tanjorensis</w:t>
      </w:r>
      <w:proofErr w:type="spellEnd"/>
      <w:r w:rsidRPr="00FF22DE">
        <w:rPr>
          <w:rFonts w:ascii="Times New Roman" w:hAnsi="Times New Roman"/>
          <w:b/>
          <w:i w:val="0"/>
          <w:color w:val="auto"/>
          <w:sz w:val="24"/>
          <w:szCs w:val="24"/>
        </w:rPr>
        <w:t xml:space="preserve"> plant (Source: </w:t>
      </w:r>
      <w:proofErr w:type="spellStart"/>
      <w:r w:rsidRPr="00FF22DE">
        <w:rPr>
          <w:rFonts w:ascii="Times New Roman" w:hAnsi="Times New Roman"/>
          <w:b/>
          <w:i w:val="0"/>
          <w:color w:val="auto"/>
          <w:sz w:val="24"/>
          <w:szCs w:val="24"/>
        </w:rPr>
        <w:t>Imohesen</w:t>
      </w:r>
      <w:proofErr w:type="spellEnd"/>
      <w:r w:rsidRPr="00FF22DE">
        <w:rPr>
          <w:rFonts w:ascii="Times New Roman" w:hAnsi="Times New Roman"/>
          <w:b/>
          <w:i w:val="0"/>
          <w:color w:val="auto"/>
          <w:sz w:val="24"/>
          <w:szCs w:val="24"/>
        </w:rPr>
        <w:t>, 2023</w:t>
      </w:r>
      <w:bookmarkEnd w:id="0"/>
      <w:r w:rsidRPr="00FF22DE">
        <w:rPr>
          <w:rFonts w:ascii="Times New Roman" w:hAnsi="Times New Roman"/>
          <w:b/>
          <w:i w:val="0"/>
          <w:color w:val="auto"/>
          <w:sz w:val="24"/>
          <w:szCs w:val="24"/>
        </w:rPr>
        <w:t>)</w:t>
      </w:r>
    </w:p>
    <w:p w14:paraId="6E0337C9" w14:textId="77777777" w:rsidR="00FF22DE" w:rsidRDefault="00FF22DE" w:rsidP="00FF22DE">
      <w:pPr>
        <w:jc w:val="center"/>
        <w:rPr>
          <w:sz w:val="28"/>
          <w:szCs w:val="28"/>
        </w:rPr>
      </w:pPr>
    </w:p>
    <w:p w14:paraId="0C801402" w14:textId="77777777" w:rsidR="00FF22DE" w:rsidRDefault="00FF22DE" w:rsidP="00A37ACD">
      <w:pPr>
        <w:jc w:val="both"/>
        <w:rPr>
          <w:sz w:val="28"/>
          <w:szCs w:val="28"/>
        </w:rPr>
      </w:pPr>
    </w:p>
    <w:p w14:paraId="288C5031" w14:textId="77777777" w:rsidR="00FF22DE" w:rsidRDefault="00FF22DE" w:rsidP="00A37ACD">
      <w:pPr>
        <w:jc w:val="both"/>
        <w:rPr>
          <w:sz w:val="28"/>
          <w:szCs w:val="28"/>
        </w:rPr>
      </w:pPr>
    </w:p>
    <w:p w14:paraId="29ED3BDF" w14:textId="77777777" w:rsidR="00CA5518" w:rsidRPr="00535721" w:rsidRDefault="00351418" w:rsidP="00A37ACD">
      <w:pPr>
        <w:jc w:val="both"/>
        <w:rPr>
          <w:sz w:val="28"/>
          <w:szCs w:val="28"/>
        </w:rPr>
      </w:pPr>
      <w:r w:rsidRPr="00535721">
        <w:rPr>
          <w:noProof/>
          <w:sz w:val="28"/>
          <w:szCs w:val="28"/>
          <w:lang w:eastAsia="en-US"/>
        </w:rPr>
        <w:lastRenderedPageBreak/>
        <mc:AlternateContent>
          <mc:Choice Requires="wps">
            <w:drawing>
              <wp:anchor distT="45720" distB="45720" distL="114300" distR="114300" simplePos="0" relativeHeight="251663360" behindDoc="0" locked="0" layoutInCell="1" allowOverlap="1" wp14:anchorId="114D6AD6" wp14:editId="62083E3A">
                <wp:simplePos x="0" y="0"/>
                <wp:positionH relativeFrom="margin">
                  <wp:align>center</wp:align>
                </wp:positionH>
                <wp:positionV relativeFrom="paragraph">
                  <wp:posOffset>219075</wp:posOffset>
                </wp:positionV>
                <wp:extent cx="2173605" cy="381000"/>
                <wp:effectExtent l="0" t="0" r="1714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381000"/>
                        </a:xfrm>
                        <a:prstGeom prst="rect">
                          <a:avLst/>
                        </a:prstGeom>
                        <a:solidFill>
                          <a:srgbClr val="FFFFFF"/>
                        </a:solidFill>
                        <a:ln w="9525">
                          <a:solidFill>
                            <a:srgbClr val="000000"/>
                          </a:solidFill>
                          <a:miter lim="800000"/>
                          <a:headEnd/>
                          <a:tailEnd/>
                        </a:ln>
                      </wps:spPr>
                      <wps:txbx>
                        <w:txbxContent>
                          <w:p w14:paraId="25C3B2BB" w14:textId="77777777" w:rsidR="00C23D7A" w:rsidRPr="00FF22DE" w:rsidRDefault="00C23D7A" w:rsidP="00351418">
                            <w:pPr>
                              <w:jc w:val="cente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5FAC764A" w14:textId="77777777" w:rsidR="00C23D7A" w:rsidRDefault="00C23D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D6AD6" id="_x0000_t202" coordsize="21600,21600" o:spt="202" path="m,l,21600r21600,l21600,xe">
                <v:stroke joinstyle="miter"/>
                <v:path gradientshapeok="t" o:connecttype="rect"/>
              </v:shapetype>
              <v:shape id="Text Box 2" o:spid="_x0000_s1026" type="#_x0000_t202" style="position:absolute;left:0;text-align:left;margin-left:0;margin-top:17.25pt;width:171.15pt;height:30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">
                <v:textbox>
                  <w:txbxContent>
                    <w:p w14:paraId="25C3B2BB" w14:textId="77777777" w:rsidR="00C23D7A" w:rsidRPr="00FF22DE" w:rsidRDefault="00C23D7A" w:rsidP="00351418">
                      <w:pPr>
                        <w:jc w:val="cente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5FAC764A" w14:textId="77777777" w:rsidR="00C23D7A" w:rsidRDefault="00C23D7A"/>
                  </w:txbxContent>
                </v:textbox>
                <w10:wrap type="square" anchorx="margin"/>
              </v:shape>
            </w:pict>
          </mc:Fallback>
        </mc:AlternateContent>
      </w:r>
    </w:p>
    <w:p w14:paraId="0D1EAC36" w14:textId="77777777" w:rsidR="00351418" w:rsidRPr="00535721" w:rsidRDefault="00351418" w:rsidP="00A37ACD">
      <w:pPr>
        <w:jc w:val="both"/>
        <w:rPr>
          <w:rFonts w:ascii="Times New Roman" w:hAnsi="Times New Roman"/>
          <w:sz w:val="28"/>
          <w:szCs w:val="28"/>
        </w:rPr>
      </w:pPr>
    </w:p>
    <w:p w14:paraId="6CC1510E" w14:textId="77777777" w:rsidR="00351418" w:rsidRPr="00535721" w:rsidRDefault="00351418" w:rsidP="00915316">
      <w:pPr>
        <w:jc w:val="center"/>
        <w:rPr>
          <w:rFonts w:ascii="Times New Roman" w:hAnsi="Times New Roman"/>
          <w:sz w:val="28"/>
          <w:szCs w:val="28"/>
        </w:rPr>
      </w:pPr>
      <w:r w:rsidRPr="00535721">
        <w:rPr>
          <w:rFonts w:ascii="Times New Roman" w:hAnsi="Times New Roman"/>
          <w:sz w:val="28"/>
          <w:szCs w:val="28"/>
        </w:rPr>
        <w:t>↓</w:t>
      </w:r>
    </w:p>
    <w:p w14:paraId="4F4F8431"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Harvesting</w:t>
      </w:r>
    </w:p>
    <w:p w14:paraId="388F1A40"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64EEE9E8"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Sorting/washing</w:t>
      </w:r>
    </w:p>
    <w:p w14:paraId="3C904F42" w14:textId="77777777" w:rsidR="00351418" w:rsidRPr="00FF22DE" w:rsidRDefault="00351418" w:rsidP="00915316">
      <w:pPr>
        <w:jc w:val="center"/>
        <w:rPr>
          <w:rFonts w:ascii="Times New Roman" w:hAnsi="Times New Roman"/>
          <w:sz w:val="24"/>
          <w:szCs w:val="24"/>
        </w:rPr>
      </w:pPr>
      <w:r w:rsidRPr="00FF22DE">
        <w:rPr>
          <w:rFonts w:ascii="Times New Roman" w:hAnsi="Times New Roman"/>
          <w:sz w:val="24"/>
          <w:szCs w:val="24"/>
        </w:rPr>
        <w:t>↓</w:t>
      </w:r>
    </w:p>
    <w:p w14:paraId="073D78FD" w14:textId="77777777" w:rsidR="00CA5518" w:rsidRPr="00FF22DE" w:rsidRDefault="00351418" w:rsidP="00915316">
      <w:pPr>
        <w:jc w:val="center"/>
        <w:rPr>
          <w:rFonts w:ascii="Times New Roman" w:hAnsi="Times New Roman"/>
          <w:sz w:val="24"/>
          <w:szCs w:val="24"/>
        </w:rPr>
      </w:pPr>
      <w:r w:rsidRPr="00FF22DE">
        <w:rPr>
          <w:rFonts w:ascii="Times New Roman" w:hAnsi="Times New Roman"/>
          <w:sz w:val="24"/>
          <w:szCs w:val="24"/>
        </w:rPr>
        <w:t>Withering</w:t>
      </w:r>
    </w:p>
    <w:p w14:paraId="5C572580"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1646840E"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Rolling</w:t>
      </w:r>
    </w:p>
    <w:p w14:paraId="2A44DDC9"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2EFD338C"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Enzymatic oxidation (6 H)</w:t>
      </w:r>
    </w:p>
    <w:p w14:paraId="42AF5F4C"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5CE7AD7D"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 xml:space="preserve">Dehydration (70 </w:t>
      </w:r>
      <w:r w:rsidRPr="00FF22DE">
        <w:rPr>
          <w:rFonts w:ascii="Times New Roman" w:hAnsi="Times New Roman"/>
          <w:sz w:val="24"/>
          <w:szCs w:val="24"/>
          <w:vertAlign w:val="superscript"/>
        </w:rPr>
        <w:t>0</w:t>
      </w:r>
      <w:r w:rsidRPr="00FF22DE">
        <w:rPr>
          <w:rFonts w:ascii="Times New Roman" w:hAnsi="Times New Roman"/>
          <w:sz w:val="24"/>
          <w:szCs w:val="24"/>
        </w:rPr>
        <w:t>C for 4 H)</w:t>
      </w:r>
    </w:p>
    <w:p w14:paraId="3EF78E2B"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3A15E7D4"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Grinding</w:t>
      </w:r>
    </w:p>
    <w:p w14:paraId="756B928B"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w:t>
      </w:r>
    </w:p>
    <w:p w14:paraId="3AE1D93B" w14:textId="77777777" w:rsidR="00CA5518" w:rsidRPr="00FF22DE" w:rsidRDefault="00CA5518" w:rsidP="00915316">
      <w:pPr>
        <w:jc w:val="center"/>
        <w:rPr>
          <w:rFonts w:ascii="Times New Roman" w:hAnsi="Times New Roman"/>
          <w:sz w:val="24"/>
          <w:szCs w:val="24"/>
        </w:rPr>
      </w:pPr>
      <w:r w:rsidRPr="00FF22DE">
        <w:rPr>
          <w:rFonts w:ascii="Times New Roman" w:hAnsi="Times New Roman"/>
          <w:sz w:val="24"/>
          <w:szCs w:val="24"/>
        </w:rPr>
        <w:t>Packaging</w:t>
      </w:r>
    </w:p>
    <w:p w14:paraId="0557744B" w14:textId="77777777" w:rsidR="00CA5518" w:rsidRPr="00FF22DE" w:rsidRDefault="00CA5518" w:rsidP="00915316">
      <w:pPr>
        <w:jc w:val="center"/>
        <w:rPr>
          <w:rFonts w:ascii="Times New Roman" w:hAnsi="Times New Roman"/>
          <w:sz w:val="24"/>
          <w:szCs w:val="24"/>
        </w:rPr>
      </w:pPr>
      <w:r w:rsidRPr="00FF22DE">
        <w:rPr>
          <w:rFonts w:ascii="Times New Roman" w:hAnsi="Times New Roman"/>
          <w:noProof/>
          <w:sz w:val="24"/>
          <w:szCs w:val="24"/>
          <w:lang w:eastAsia="en-US"/>
        </w:rPr>
        <mc:AlternateContent>
          <mc:Choice Requires="wps">
            <w:drawing>
              <wp:anchor distT="0" distB="0" distL="0" distR="0" simplePos="0" relativeHeight="251661312" behindDoc="0" locked="0" layoutInCell="1" allowOverlap="1" wp14:anchorId="352C92C2" wp14:editId="0A06E828">
                <wp:simplePos x="0" y="0"/>
                <wp:positionH relativeFrom="column">
                  <wp:posOffset>2475851</wp:posOffset>
                </wp:positionH>
                <wp:positionV relativeFrom="paragraph">
                  <wp:posOffset>239395</wp:posOffset>
                </wp:positionV>
                <wp:extent cx="1058238" cy="287676"/>
                <wp:effectExtent l="0" t="0" r="27940" b="17145"/>
                <wp:wrapNone/>
                <wp:docPr id="1053"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8238" cy="287676"/>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7F3A5BC2" w14:textId="77777777" w:rsidR="00C23D7A" w:rsidRDefault="00C23D7A" w:rsidP="00CA5518">
                            <w:pPr>
                              <w:jc w:val="center"/>
                              <w:rPr>
                                <w:rFonts w:ascii="Times New Roman" w:hAnsi="Times New Roman"/>
                                <w:b/>
                                <w:sz w:val="28"/>
                                <w:szCs w:val="28"/>
                              </w:rPr>
                            </w:pPr>
                            <w:r>
                              <w:rPr>
                                <w:rFonts w:ascii="Times New Roman" w:hAnsi="Times New Roman"/>
                                <w:b/>
                                <w:sz w:val="28"/>
                                <w:szCs w:val="28"/>
                              </w:rPr>
                              <w:t>Black Tea</w:t>
                            </w:r>
                          </w:p>
                          <w:p w14:paraId="7CDF27D2" w14:textId="77777777" w:rsidR="00C23D7A" w:rsidRDefault="00C23D7A" w:rsidP="00CA5518"/>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C92C2" id="Text Box 208" o:spid="_x0000_s1027" style="position:absolute;left:0;text-align:left;margin-left:194.95pt;margin-top:18.85pt;width:83.35pt;height:22.6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" strokeweight=".5pt">
                <v:stroke joinstyle="round"/>
                <v:path arrowok="t"/>
                <v:textbox>
                  <w:txbxContent>
                    <w:p w14:paraId="7F3A5BC2" w14:textId="77777777" w:rsidR="00C23D7A" w:rsidRDefault="00C23D7A" w:rsidP="00CA5518">
                      <w:pPr>
                        <w:jc w:val="center"/>
                        <w:rPr>
                          <w:rFonts w:ascii="Times New Roman" w:hAnsi="Times New Roman"/>
                          <w:b/>
                          <w:sz w:val="28"/>
                          <w:szCs w:val="28"/>
                        </w:rPr>
                      </w:pPr>
                      <w:r>
                        <w:rPr>
                          <w:rFonts w:ascii="Times New Roman" w:hAnsi="Times New Roman"/>
                          <w:b/>
                          <w:sz w:val="28"/>
                          <w:szCs w:val="28"/>
                        </w:rPr>
                        <w:t>Black Tea</w:t>
                      </w:r>
                    </w:p>
                    <w:p w14:paraId="7CDF27D2" w14:textId="77777777" w:rsidR="00C23D7A" w:rsidRDefault="00C23D7A" w:rsidP="00CA5518"/>
                  </w:txbxContent>
                </v:textbox>
              </v:rect>
            </w:pict>
          </mc:Fallback>
        </mc:AlternateContent>
      </w:r>
      <w:r w:rsidRPr="00FF22DE">
        <w:rPr>
          <w:rFonts w:ascii="Times New Roman" w:hAnsi="Times New Roman"/>
          <w:sz w:val="24"/>
          <w:szCs w:val="24"/>
        </w:rPr>
        <w:t>↓</w:t>
      </w:r>
    </w:p>
    <w:p w14:paraId="07151C25" w14:textId="77777777" w:rsidR="00CA5518" w:rsidRPr="00FF22DE" w:rsidRDefault="00CA5518" w:rsidP="00915316">
      <w:pPr>
        <w:jc w:val="center"/>
        <w:rPr>
          <w:rFonts w:ascii="Times New Roman" w:hAnsi="Times New Roman"/>
          <w:sz w:val="24"/>
          <w:szCs w:val="24"/>
        </w:rPr>
      </w:pPr>
    </w:p>
    <w:p w14:paraId="4FE56213" w14:textId="77777777" w:rsidR="00CA5518" w:rsidRPr="00FF22DE" w:rsidRDefault="00CA5518" w:rsidP="00915316">
      <w:pPr>
        <w:spacing w:after="0" w:line="240" w:lineRule="auto"/>
        <w:jc w:val="center"/>
        <w:rPr>
          <w:rFonts w:ascii="Times New Roman" w:hAnsi="Times New Roman"/>
          <w:b/>
          <w:iCs/>
          <w:sz w:val="24"/>
          <w:szCs w:val="24"/>
        </w:rPr>
      </w:pPr>
    </w:p>
    <w:p w14:paraId="2DF05A4E" w14:textId="77777777" w:rsidR="00CA5518" w:rsidRPr="00FF22DE" w:rsidRDefault="00724F72" w:rsidP="00915316">
      <w:pPr>
        <w:pStyle w:val="Caption"/>
        <w:jc w:val="center"/>
        <w:rPr>
          <w:rFonts w:ascii="Times New Roman" w:hAnsi="Times New Roman"/>
          <w:b/>
          <w:i w:val="0"/>
          <w:color w:val="auto"/>
          <w:sz w:val="24"/>
          <w:szCs w:val="24"/>
        </w:rPr>
      </w:pPr>
      <w:bookmarkStart w:id="1" w:name="_Toc225968773"/>
      <w:r w:rsidRPr="00FF22DE">
        <w:rPr>
          <w:rFonts w:ascii="Times New Roman" w:hAnsi="Times New Roman"/>
          <w:b/>
          <w:i w:val="0"/>
          <w:color w:val="auto"/>
          <w:sz w:val="24"/>
          <w:szCs w:val="24"/>
        </w:rPr>
        <w:t xml:space="preserve">Fig. </w:t>
      </w:r>
      <w:r w:rsidR="00CA5518" w:rsidRPr="00FF22DE">
        <w:rPr>
          <w:rFonts w:ascii="Times New Roman" w:hAnsi="Times New Roman"/>
          <w:b/>
          <w:i w:val="0"/>
          <w:color w:val="auto"/>
          <w:sz w:val="24"/>
          <w:szCs w:val="24"/>
        </w:rPr>
        <w:fldChar w:fldCharType="begin"/>
      </w:r>
      <w:r w:rsidR="00CA5518" w:rsidRPr="00FF22DE">
        <w:rPr>
          <w:rFonts w:ascii="Times New Roman" w:hAnsi="Times New Roman"/>
          <w:b/>
          <w:i w:val="0"/>
          <w:color w:val="auto"/>
          <w:sz w:val="24"/>
          <w:szCs w:val="24"/>
        </w:rPr>
        <w:instrText xml:space="preserve"> SEQ Figure \* ARABIC </w:instrText>
      </w:r>
      <w:r w:rsidR="00CA5518" w:rsidRPr="00FF22DE">
        <w:rPr>
          <w:rFonts w:ascii="Times New Roman" w:hAnsi="Times New Roman"/>
          <w:b/>
          <w:i w:val="0"/>
          <w:color w:val="auto"/>
          <w:sz w:val="24"/>
          <w:szCs w:val="24"/>
        </w:rPr>
        <w:fldChar w:fldCharType="separate"/>
      </w:r>
      <w:r w:rsidR="00CA5518" w:rsidRPr="00FF22DE">
        <w:rPr>
          <w:rFonts w:ascii="Times New Roman" w:hAnsi="Times New Roman"/>
          <w:b/>
          <w:i w:val="0"/>
          <w:noProof/>
          <w:color w:val="auto"/>
          <w:sz w:val="24"/>
          <w:szCs w:val="24"/>
        </w:rPr>
        <w:t>2</w:t>
      </w:r>
      <w:r w:rsidR="00CA5518" w:rsidRPr="00FF22DE">
        <w:rPr>
          <w:rFonts w:ascii="Times New Roman" w:hAnsi="Times New Roman"/>
          <w:b/>
          <w:i w:val="0"/>
          <w:color w:val="auto"/>
          <w:sz w:val="24"/>
          <w:szCs w:val="24"/>
        </w:rPr>
        <w:fldChar w:fldCharType="end"/>
      </w:r>
      <w:r w:rsidR="00CA5518" w:rsidRPr="00FF22DE">
        <w:rPr>
          <w:rFonts w:ascii="Times New Roman" w:hAnsi="Times New Roman"/>
          <w:b/>
          <w:i w:val="0"/>
          <w:color w:val="auto"/>
          <w:sz w:val="24"/>
          <w:szCs w:val="24"/>
        </w:rPr>
        <w:t>: Black tea Processing</w:t>
      </w:r>
      <w:bookmarkEnd w:id="1"/>
    </w:p>
    <w:p w14:paraId="78C52F49" w14:textId="77777777" w:rsidR="00CA5518" w:rsidRPr="00535721" w:rsidRDefault="00CA5518" w:rsidP="00915316">
      <w:pPr>
        <w:jc w:val="center"/>
        <w:rPr>
          <w:sz w:val="28"/>
          <w:szCs w:val="28"/>
        </w:rPr>
      </w:pPr>
    </w:p>
    <w:p w14:paraId="3FB3F244" w14:textId="77777777" w:rsidR="00803512" w:rsidRPr="00535721" w:rsidRDefault="00803512" w:rsidP="00A37ACD">
      <w:pPr>
        <w:jc w:val="both"/>
        <w:rPr>
          <w:rFonts w:ascii="Times New Roman" w:hAnsi="Times New Roman"/>
          <w:sz w:val="28"/>
          <w:szCs w:val="28"/>
        </w:rPr>
      </w:pPr>
      <w:r w:rsidRPr="00535721">
        <w:rPr>
          <w:noProof/>
          <w:sz w:val="28"/>
          <w:szCs w:val="28"/>
          <w:lang w:eastAsia="en-US"/>
        </w:rPr>
        <mc:AlternateContent>
          <mc:Choice Requires="wps">
            <w:drawing>
              <wp:anchor distT="45720" distB="45720" distL="114300" distR="114300" simplePos="0" relativeHeight="251667456" behindDoc="0" locked="0" layoutInCell="1" allowOverlap="1" wp14:anchorId="769B73EA" wp14:editId="44BAE0FA">
                <wp:simplePos x="0" y="0"/>
                <wp:positionH relativeFrom="margin">
                  <wp:align>center</wp:align>
                </wp:positionH>
                <wp:positionV relativeFrom="paragraph">
                  <wp:posOffset>161925</wp:posOffset>
                </wp:positionV>
                <wp:extent cx="2162175" cy="3619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361950"/>
                        </a:xfrm>
                        <a:prstGeom prst="rect">
                          <a:avLst/>
                        </a:prstGeom>
                        <a:solidFill>
                          <a:srgbClr val="FFFFFF"/>
                        </a:solidFill>
                        <a:ln w="9525">
                          <a:solidFill>
                            <a:srgbClr val="000000"/>
                          </a:solidFill>
                          <a:miter lim="800000"/>
                          <a:headEnd/>
                          <a:tailEnd/>
                        </a:ln>
                      </wps:spPr>
                      <wps:txbx>
                        <w:txbxContent>
                          <w:p w14:paraId="76463F78" w14:textId="77777777" w:rsidR="00C23D7A" w:rsidRPr="00FF22DE" w:rsidRDefault="00C23D7A" w:rsidP="00803512">
                            <w:pP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7FFDCE62" w14:textId="77777777" w:rsidR="00C23D7A" w:rsidRDefault="00C23D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B73EA" id="_x0000_s1028" type="#_x0000_t202" style="position:absolute;left:0;text-align:left;margin-left:0;margin-top:12.75pt;width:170.25pt;height:28.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">
                <v:textbox>
                  <w:txbxContent>
                    <w:p w14:paraId="76463F78" w14:textId="77777777" w:rsidR="00C23D7A" w:rsidRPr="00FF22DE" w:rsidRDefault="00C23D7A" w:rsidP="00803512">
                      <w:pPr>
                        <w:rPr>
                          <w:sz w:val="24"/>
                          <w:szCs w:val="24"/>
                        </w:rPr>
                      </w:pPr>
                      <w:r w:rsidRPr="00FF22DE">
                        <w:rPr>
                          <w:rFonts w:ascii="Times New Roman" w:hAnsi="Times New Roman"/>
                          <w:b/>
                          <w:sz w:val="24"/>
                          <w:szCs w:val="24"/>
                        </w:rPr>
                        <w:t>Fresh</w:t>
                      </w:r>
                      <w:r w:rsidRPr="00FF22DE">
                        <w:rPr>
                          <w:rFonts w:ascii="Times New Roman" w:hAnsi="Times New Roman"/>
                          <w:b/>
                          <w:i/>
                          <w:sz w:val="24"/>
                          <w:szCs w:val="24"/>
                        </w:rPr>
                        <w:t xml:space="preserve"> J</w:t>
                      </w:r>
                      <w:r w:rsidRPr="00FF22DE">
                        <w:rPr>
                          <w:rFonts w:ascii="Times New Roman" w:hAnsi="Times New Roman"/>
                          <w:b/>
                          <w:sz w:val="24"/>
                          <w:szCs w:val="24"/>
                        </w:rPr>
                        <w:t xml:space="preserve">. </w:t>
                      </w:r>
                      <w:proofErr w:type="spellStart"/>
                      <w:r w:rsidRPr="00FF22DE">
                        <w:rPr>
                          <w:rFonts w:ascii="Times New Roman" w:hAnsi="Times New Roman"/>
                          <w:b/>
                          <w:i/>
                          <w:sz w:val="24"/>
                          <w:szCs w:val="24"/>
                        </w:rPr>
                        <w:t>tanjorensis</w:t>
                      </w:r>
                      <w:proofErr w:type="spellEnd"/>
                      <w:r w:rsidRPr="00FF22DE">
                        <w:rPr>
                          <w:rFonts w:ascii="Times New Roman" w:hAnsi="Times New Roman"/>
                          <w:b/>
                          <w:i/>
                          <w:sz w:val="24"/>
                          <w:szCs w:val="24"/>
                        </w:rPr>
                        <w:t xml:space="preserve"> </w:t>
                      </w:r>
                      <w:r w:rsidRPr="00FF22DE">
                        <w:rPr>
                          <w:rFonts w:ascii="Times New Roman" w:hAnsi="Times New Roman"/>
                          <w:b/>
                          <w:sz w:val="24"/>
                          <w:szCs w:val="24"/>
                        </w:rPr>
                        <w:t>leaves</w:t>
                      </w:r>
                    </w:p>
                    <w:p w14:paraId="7FFDCE62" w14:textId="77777777" w:rsidR="00C23D7A" w:rsidRDefault="00C23D7A"/>
                  </w:txbxContent>
                </v:textbox>
                <w10:wrap type="square" anchorx="margin"/>
              </v:shape>
            </w:pict>
          </mc:Fallback>
        </mc:AlternateContent>
      </w:r>
    </w:p>
    <w:p w14:paraId="7561E029" w14:textId="77777777" w:rsidR="00803512" w:rsidRPr="00535721" w:rsidRDefault="00803512" w:rsidP="00A37ACD">
      <w:pPr>
        <w:jc w:val="both"/>
        <w:rPr>
          <w:rFonts w:ascii="Times New Roman" w:hAnsi="Times New Roman"/>
          <w:sz w:val="28"/>
          <w:szCs w:val="28"/>
        </w:rPr>
      </w:pPr>
    </w:p>
    <w:p w14:paraId="46E16D58" w14:textId="77777777" w:rsidR="00803512" w:rsidRPr="00535721" w:rsidRDefault="00803512" w:rsidP="00915316">
      <w:pPr>
        <w:jc w:val="center"/>
        <w:rPr>
          <w:rFonts w:ascii="Times New Roman" w:hAnsi="Times New Roman"/>
          <w:sz w:val="28"/>
          <w:szCs w:val="28"/>
        </w:rPr>
      </w:pPr>
      <w:r w:rsidRPr="00535721">
        <w:rPr>
          <w:rFonts w:ascii="Times New Roman" w:hAnsi="Times New Roman"/>
          <w:sz w:val="28"/>
          <w:szCs w:val="28"/>
        </w:rPr>
        <w:lastRenderedPageBreak/>
        <w:t>↓</w:t>
      </w:r>
    </w:p>
    <w:p w14:paraId="512CAAE6"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Harvesting</w:t>
      </w:r>
    </w:p>
    <w:p w14:paraId="39A522E8"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0F38E099"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Sorting/washing</w:t>
      </w:r>
    </w:p>
    <w:p w14:paraId="140CF78B"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50815E8B"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Steam blanching (3 minutes)</w:t>
      </w:r>
    </w:p>
    <w:p w14:paraId="0E14EC8A"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53C32F24"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Cooling</w:t>
      </w:r>
    </w:p>
    <w:p w14:paraId="01F45D16"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16A3C2C7"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Rolling</w:t>
      </w:r>
    </w:p>
    <w:p w14:paraId="2373FF19"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340E3268"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 xml:space="preserve">Dehydration (70 </w:t>
      </w:r>
      <w:r w:rsidRPr="00FF22DE">
        <w:rPr>
          <w:rFonts w:ascii="Times New Roman" w:hAnsi="Times New Roman"/>
          <w:sz w:val="24"/>
          <w:szCs w:val="24"/>
          <w:vertAlign w:val="superscript"/>
        </w:rPr>
        <w:t>0</w:t>
      </w:r>
      <w:r w:rsidRPr="00FF22DE">
        <w:rPr>
          <w:rFonts w:ascii="Times New Roman" w:hAnsi="Times New Roman"/>
          <w:sz w:val="24"/>
          <w:szCs w:val="24"/>
        </w:rPr>
        <w:t>C for 5 hours)</w:t>
      </w:r>
    </w:p>
    <w:p w14:paraId="1FB08ED5"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53644D0E"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Grinding</w:t>
      </w:r>
    </w:p>
    <w:p w14:paraId="49ECFD75"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w:t>
      </w:r>
    </w:p>
    <w:p w14:paraId="23C45682" w14:textId="77777777" w:rsidR="00803512" w:rsidRPr="00FF22DE" w:rsidRDefault="00803512" w:rsidP="00915316">
      <w:pPr>
        <w:jc w:val="center"/>
        <w:rPr>
          <w:rFonts w:ascii="Times New Roman" w:hAnsi="Times New Roman"/>
          <w:sz w:val="24"/>
          <w:szCs w:val="24"/>
        </w:rPr>
      </w:pPr>
      <w:r w:rsidRPr="00FF22DE">
        <w:rPr>
          <w:rFonts w:ascii="Times New Roman" w:hAnsi="Times New Roman"/>
          <w:sz w:val="24"/>
          <w:szCs w:val="24"/>
        </w:rPr>
        <w:t>Packaging</w:t>
      </w:r>
    </w:p>
    <w:p w14:paraId="3E378D5F" w14:textId="77777777" w:rsidR="00803512" w:rsidRPr="00FF22DE" w:rsidRDefault="00803512" w:rsidP="00915316">
      <w:pPr>
        <w:jc w:val="center"/>
        <w:rPr>
          <w:rFonts w:ascii="Times New Roman" w:hAnsi="Times New Roman"/>
          <w:sz w:val="24"/>
          <w:szCs w:val="24"/>
        </w:rPr>
      </w:pPr>
      <w:r w:rsidRPr="00FF22DE">
        <w:rPr>
          <w:rFonts w:ascii="Times New Roman" w:hAnsi="Times New Roman"/>
          <w:noProof/>
          <w:sz w:val="24"/>
          <w:szCs w:val="24"/>
          <w:lang w:eastAsia="en-US"/>
        </w:rPr>
        <mc:AlternateContent>
          <mc:Choice Requires="wps">
            <w:drawing>
              <wp:anchor distT="0" distB="0" distL="0" distR="0" simplePos="0" relativeHeight="251665408" behindDoc="0" locked="0" layoutInCell="1" allowOverlap="1" wp14:anchorId="38631D3F" wp14:editId="4D65D599">
                <wp:simplePos x="0" y="0"/>
                <wp:positionH relativeFrom="column">
                  <wp:posOffset>2475851</wp:posOffset>
                </wp:positionH>
                <wp:positionV relativeFrom="paragraph">
                  <wp:posOffset>239395</wp:posOffset>
                </wp:positionV>
                <wp:extent cx="1058238" cy="287676"/>
                <wp:effectExtent l="0" t="0" r="27940" b="17145"/>
                <wp:wrapNone/>
                <wp:docPr id="1055"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8238" cy="287676"/>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19C8111" w14:textId="77777777" w:rsidR="00C23D7A" w:rsidRDefault="00C23D7A" w:rsidP="00803512">
                            <w:pPr>
                              <w:jc w:val="center"/>
                              <w:rPr>
                                <w:rFonts w:ascii="Times New Roman" w:hAnsi="Times New Roman"/>
                                <w:b/>
                                <w:sz w:val="28"/>
                                <w:szCs w:val="28"/>
                              </w:rPr>
                            </w:pPr>
                            <w:r>
                              <w:rPr>
                                <w:rFonts w:ascii="Times New Roman" w:hAnsi="Times New Roman"/>
                                <w:b/>
                                <w:sz w:val="28"/>
                                <w:szCs w:val="28"/>
                              </w:rPr>
                              <w:t>Green Tea</w:t>
                            </w:r>
                          </w:p>
                          <w:p w14:paraId="0C10390E" w14:textId="77777777" w:rsidR="00C23D7A" w:rsidRDefault="00C23D7A" w:rsidP="00803512"/>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31D3F" id="Text Box 196" o:spid="_x0000_s1029" style="position:absolute;left:0;text-align:left;margin-left:194.95pt;margin-top:18.85pt;width:83.35pt;height:22.6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" strokeweight=".5pt">
                <v:stroke joinstyle="round"/>
                <v:path arrowok="t"/>
                <v:textbox>
                  <w:txbxContent>
                    <w:p w14:paraId="219C8111" w14:textId="77777777" w:rsidR="00C23D7A" w:rsidRDefault="00C23D7A" w:rsidP="00803512">
                      <w:pPr>
                        <w:jc w:val="center"/>
                        <w:rPr>
                          <w:rFonts w:ascii="Times New Roman" w:hAnsi="Times New Roman"/>
                          <w:b/>
                          <w:sz w:val="28"/>
                          <w:szCs w:val="28"/>
                        </w:rPr>
                      </w:pPr>
                      <w:r>
                        <w:rPr>
                          <w:rFonts w:ascii="Times New Roman" w:hAnsi="Times New Roman"/>
                          <w:b/>
                          <w:sz w:val="28"/>
                          <w:szCs w:val="28"/>
                        </w:rPr>
                        <w:t>Green Tea</w:t>
                      </w:r>
                    </w:p>
                    <w:p w14:paraId="0C10390E" w14:textId="77777777" w:rsidR="00C23D7A" w:rsidRDefault="00C23D7A" w:rsidP="00803512"/>
                  </w:txbxContent>
                </v:textbox>
              </v:rect>
            </w:pict>
          </mc:Fallback>
        </mc:AlternateContent>
      </w:r>
      <w:r w:rsidRPr="00FF22DE">
        <w:rPr>
          <w:rFonts w:ascii="Times New Roman" w:hAnsi="Times New Roman"/>
          <w:sz w:val="24"/>
          <w:szCs w:val="24"/>
        </w:rPr>
        <w:t>↓</w:t>
      </w:r>
    </w:p>
    <w:p w14:paraId="74374EAC" w14:textId="77777777" w:rsidR="00803512" w:rsidRPr="00FF22DE" w:rsidRDefault="00803512" w:rsidP="00915316">
      <w:pPr>
        <w:spacing w:after="0" w:line="240" w:lineRule="auto"/>
        <w:ind w:firstLine="720"/>
        <w:jc w:val="center"/>
        <w:rPr>
          <w:rFonts w:ascii="Times New Roman" w:hAnsi="Times New Roman"/>
          <w:b/>
          <w:iCs/>
          <w:sz w:val="24"/>
          <w:szCs w:val="24"/>
        </w:rPr>
      </w:pPr>
    </w:p>
    <w:p w14:paraId="08D22289" w14:textId="77777777" w:rsidR="00803512" w:rsidRPr="00FF22DE" w:rsidRDefault="00803512" w:rsidP="00915316">
      <w:pPr>
        <w:spacing w:after="0" w:line="240" w:lineRule="auto"/>
        <w:jc w:val="center"/>
        <w:rPr>
          <w:rFonts w:ascii="Times New Roman" w:hAnsi="Times New Roman"/>
          <w:b/>
          <w:iCs/>
          <w:sz w:val="24"/>
          <w:szCs w:val="24"/>
        </w:rPr>
      </w:pPr>
    </w:p>
    <w:p w14:paraId="0083939A" w14:textId="77777777" w:rsidR="00803512" w:rsidRPr="00FF22DE" w:rsidRDefault="00803512" w:rsidP="00915316">
      <w:pPr>
        <w:spacing w:after="0" w:line="240" w:lineRule="auto"/>
        <w:jc w:val="center"/>
        <w:rPr>
          <w:rFonts w:ascii="Times New Roman" w:hAnsi="Times New Roman"/>
          <w:b/>
          <w:iCs/>
          <w:sz w:val="24"/>
          <w:szCs w:val="24"/>
        </w:rPr>
      </w:pPr>
    </w:p>
    <w:p w14:paraId="52C22667" w14:textId="77777777" w:rsidR="008F7872" w:rsidRPr="00FF22DE" w:rsidRDefault="00803512" w:rsidP="00915316">
      <w:pPr>
        <w:pStyle w:val="Caption"/>
        <w:jc w:val="center"/>
        <w:rPr>
          <w:rStyle w:val="Heading2Char"/>
          <w:rFonts w:eastAsia="SimSun" w:cs="Times New Roman"/>
          <w:i w:val="0"/>
          <w:color w:val="auto"/>
          <w:sz w:val="24"/>
          <w:szCs w:val="24"/>
        </w:rPr>
      </w:pPr>
      <w:r w:rsidRPr="00FF22DE">
        <w:rPr>
          <w:rFonts w:ascii="Times New Roman" w:hAnsi="Times New Roman"/>
          <w:b/>
          <w:i w:val="0"/>
          <w:color w:val="auto"/>
          <w:sz w:val="24"/>
          <w:szCs w:val="24"/>
        </w:rPr>
        <w:t xml:space="preserve">Fig. </w:t>
      </w:r>
      <w:r w:rsidRPr="00FF22DE">
        <w:rPr>
          <w:rFonts w:ascii="Times New Roman" w:hAnsi="Times New Roman"/>
          <w:b/>
          <w:i w:val="0"/>
          <w:color w:val="auto"/>
          <w:sz w:val="24"/>
          <w:szCs w:val="24"/>
        </w:rPr>
        <w:fldChar w:fldCharType="begin"/>
      </w:r>
      <w:r w:rsidRPr="00FF22DE">
        <w:rPr>
          <w:rFonts w:ascii="Times New Roman" w:hAnsi="Times New Roman"/>
          <w:b/>
          <w:i w:val="0"/>
          <w:color w:val="auto"/>
          <w:sz w:val="24"/>
          <w:szCs w:val="24"/>
        </w:rPr>
        <w:instrText xml:space="preserve"> SEQ Figure \* ARABIC </w:instrText>
      </w:r>
      <w:r w:rsidRPr="00FF22DE">
        <w:rPr>
          <w:rFonts w:ascii="Times New Roman" w:hAnsi="Times New Roman"/>
          <w:b/>
          <w:i w:val="0"/>
          <w:color w:val="auto"/>
          <w:sz w:val="24"/>
          <w:szCs w:val="24"/>
        </w:rPr>
        <w:fldChar w:fldCharType="separate"/>
      </w:r>
      <w:r w:rsidRPr="00FF22DE">
        <w:rPr>
          <w:rFonts w:ascii="Times New Roman" w:hAnsi="Times New Roman"/>
          <w:b/>
          <w:i w:val="0"/>
          <w:noProof/>
          <w:color w:val="auto"/>
          <w:sz w:val="24"/>
          <w:szCs w:val="24"/>
        </w:rPr>
        <w:t>3</w:t>
      </w:r>
      <w:r w:rsidRPr="00FF22DE">
        <w:rPr>
          <w:rFonts w:ascii="Times New Roman" w:hAnsi="Times New Roman"/>
          <w:b/>
          <w:i w:val="0"/>
          <w:color w:val="auto"/>
          <w:sz w:val="24"/>
          <w:szCs w:val="24"/>
        </w:rPr>
        <w:fldChar w:fldCharType="end"/>
      </w:r>
      <w:r w:rsidRPr="00FF22DE">
        <w:rPr>
          <w:rFonts w:ascii="Times New Roman" w:hAnsi="Times New Roman"/>
          <w:b/>
          <w:i w:val="0"/>
          <w:color w:val="auto"/>
          <w:sz w:val="24"/>
          <w:szCs w:val="24"/>
        </w:rPr>
        <w:t>:  Green Tea Processing</w:t>
      </w:r>
    </w:p>
    <w:p w14:paraId="7D4824BE" w14:textId="77777777" w:rsidR="008F7872" w:rsidRPr="00FF22DE" w:rsidRDefault="008F7872" w:rsidP="00915316">
      <w:pPr>
        <w:spacing w:line="360" w:lineRule="auto"/>
        <w:jc w:val="center"/>
        <w:rPr>
          <w:rStyle w:val="Heading2Char"/>
          <w:b w:val="0"/>
          <w:color w:val="auto"/>
          <w:sz w:val="24"/>
          <w:szCs w:val="24"/>
        </w:rPr>
      </w:pPr>
      <w:bookmarkStart w:id="2" w:name="_Toc237253728"/>
    </w:p>
    <w:p w14:paraId="53B684D5" w14:textId="77777777" w:rsidR="0092677E" w:rsidRDefault="0092677E" w:rsidP="00A37ACD">
      <w:pPr>
        <w:spacing w:line="360" w:lineRule="auto"/>
        <w:jc w:val="both"/>
        <w:rPr>
          <w:rStyle w:val="Heading2Char"/>
          <w:color w:val="auto"/>
          <w:sz w:val="24"/>
          <w:szCs w:val="24"/>
        </w:rPr>
      </w:pPr>
    </w:p>
    <w:p w14:paraId="1C12CA4E" w14:textId="77777777" w:rsidR="0092677E" w:rsidRDefault="0092677E" w:rsidP="00A37ACD">
      <w:pPr>
        <w:spacing w:line="360" w:lineRule="auto"/>
        <w:jc w:val="both"/>
        <w:rPr>
          <w:rStyle w:val="Heading2Char"/>
          <w:color w:val="auto"/>
          <w:sz w:val="24"/>
          <w:szCs w:val="24"/>
        </w:rPr>
      </w:pPr>
    </w:p>
    <w:p w14:paraId="17E7CD88" w14:textId="77777777" w:rsidR="008F7872" w:rsidRPr="00FF22DE" w:rsidRDefault="008F7872" w:rsidP="00A37ACD">
      <w:pPr>
        <w:spacing w:line="360" w:lineRule="auto"/>
        <w:jc w:val="both"/>
        <w:rPr>
          <w:rStyle w:val="Heading2Char"/>
          <w:color w:val="auto"/>
          <w:sz w:val="24"/>
          <w:szCs w:val="24"/>
        </w:rPr>
      </w:pPr>
      <w:r w:rsidRPr="00FF22DE">
        <w:rPr>
          <w:rStyle w:val="Heading2Char"/>
          <w:color w:val="auto"/>
          <w:sz w:val="24"/>
          <w:szCs w:val="24"/>
        </w:rPr>
        <w:t>2.3 Phytochemical Analysis</w:t>
      </w:r>
    </w:p>
    <w:p w14:paraId="32C4A0EA" w14:textId="77777777" w:rsidR="008F7872" w:rsidRPr="00FF22DE" w:rsidRDefault="008F7872" w:rsidP="00A37ACD">
      <w:pPr>
        <w:spacing w:line="360" w:lineRule="auto"/>
        <w:jc w:val="both"/>
        <w:rPr>
          <w:rFonts w:ascii="Times New Roman" w:hAnsi="Times New Roman"/>
          <w:sz w:val="24"/>
          <w:szCs w:val="24"/>
        </w:rPr>
      </w:pPr>
      <w:r w:rsidRPr="00FF22DE">
        <w:rPr>
          <w:rStyle w:val="Heading2Char"/>
          <w:color w:val="auto"/>
          <w:sz w:val="24"/>
          <w:szCs w:val="24"/>
        </w:rPr>
        <w:t>2.3.1 Determination of Alkaloid Content</w:t>
      </w:r>
      <w:bookmarkEnd w:id="2"/>
    </w:p>
    <w:p w14:paraId="3C5E07ED"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The alkaloid content of the tea samples was determined using the gravimet</w:t>
      </w:r>
      <w:r w:rsidR="00C3767B">
        <w:rPr>
          <w:rFonts w:ascii="Times New Roman" w:hAnsi="Times New Roman"/>
          <w:sz w:val="24"/>
          <w:szCs w:val="24"/>
        </w:rPr>
        <w:t xml:space="preserve">ric method </w:t>
      </w:r>
      <w:proofErr w:type="gramStart"/>
      <w:r w:rsidR="00C3767B">
        <w:rPr>
          <w:rFonts w:ascii="Times New Roman" w:hAnsi="Times New Roman"/>
          <w:sz w:val="24"/>
          <w:szCs w:val="24"/>
        </w:rPr>
        <w:t xml:space="preserve">described </w:t>
      </w:r>
      <w:r w:rsidRPr="00FF22DE">
        <w:rPr>
          <w:rFonts w:ascii="Times New Roman" w:hAnsi="Times New Roman"/>
          <w:sz w:val="24"/>
          <w:szCs w:val="24"/>
        </w:rPr>
        <w:t xml:space="preserve"> by</w:t>
      </w:r>
      <w:proofErr w:type="gramEnd"/>
      <w:r w:rsidRPr="00FF22DE">
        <w:rPr>
          <w:rFonts w:ascii="Times New Roman" w:hAnsi="Times New Roman"/>
          <w:sz w:val="24"/>
          <w:szCs w:val="24"/>
        </w:rPr>
        <w:t xml:space="preserve"> Onwuka (2005). Five grams (5 g) of the powdered sample were weighed and dispersed in 50 mL of 10% acetic acid in ethanol. The mixture was thoroughly shaken and allowed to stand at room temperature for 4 H to facilitate extraction</w:t>
      </w:r>
      <w:r w:rsidR="00B73B12" w:rsidRPr="00FF22DE">
        <w:rPr>
          <w:rFonts w:ascii="Times New Roman" w:hAnsi="Times New Roman"/>
          <w:sz w:val="24"/>
          <w:szCs w:val="24"/>
        </w:rPr>
        <w:t xml:space="preserve">. </w:t>
      </w:r>
      <w:r w:rsidRPr="00FF22DE">
        <w:rPr>
          <w:rFonts w:ascii="Times New Roman" w:hAnsi="Times New Roman"/>
          <w:sz w:val="24"/>
          <w:szCs w:val="24"/>
        </w:rPr>
        <w:t>After extraction, the mixture was filtered using Whatman filter paper. The resulting filtrate was concentrated by evaporation to approximately one-quarter of its original volume. Concentrated ammonium hydroxide (NH₄OH) was subsequently added dropwise to the concentrated extract until complete precipitation of the alkaloids was achieved. The precipitate was collected by filtration using a pre-weighed filter paper and washed with 1% NH₄OH solution.</w:t>
      </w:r>
    </w:p>
    <w:p w14:paraId="7E62DD8B" w14:textId="77777777" w:rsidR="008F7872" w:rsidRPr="00FF22DE" w:rsidRDefault="008F7872" w:rsidP="00A37ACD">
      <w:pPr>
        <w:spacing w:after="0" w:line="360" w:lineRule="auto"/>
        <w:jc w:val="both"/>
        <w:rPr>
          <w:rFonts w:ascii="Times New Roman" w:hAnsi="Times New Roman"/>
          <w:sz w:val="24"/>
          <w:szCs w:val="24"/>
        </w:rPr>
      </w:pPr>
      <w:r w:rsidRPr="00FF22DE">
        <w:rPr>
          <w:rFonts w:ascii="Times New Roman" w:hAnsi="Times New Roman"/>
          <w:sz w:val="24"/>
          <w:szCs w:val="24"/>
        </w:rPr>
        <w:t>The filter paper containing the precipitated alkaloids was dried in an oven at approximately 60°C until a constant weight was obtained. It was then cooled in a desiccator and reweighed. The alkaloid content was expressed as a percentage of the original sample weight.</w:t>
      </w:r>
      <w:r w:rsidR="00B73B12" w:rsidRPr="00FF22DE">
        <w:rPr>
          <w:rFonts w:ascii="Times New Roman" w:hAnsi="Times New Roman"/>
          <w:sz w:val="24"/>
          <w:szCs w:val="24"/>
        </w:rPr>
        <w:t xml:space="preserve"> </w:t>
      </w:r>
      <w:r w:rsidRPr="00FF22DE">
        <w:rPr>
          <w:rFonts w:ascii="Times New Roman" w:hAnsi="Times New Roman"/>
          <w:sz w:val="24"/>
          <w:szCs w:val="24"/>
        </w:rPr>
        <w:t>The percentage alkaloid content was calculated as:</w:t>
      </w:r>
    </w:p>
    <w:p w14:paraId="31DA2485"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 Alkaloid = </w:t>
      </w:r>
      <m:oMath>
        <m:f>
          <m:fPr>
            <m:ctrlPr>
              <w:rPr>
                <w:rFonts w:ascii="Cambria Math" w:hAnsi="Cambria Math"/>
                <w:i/>
                <w:sz w:val="24"/>
                <w:szCs w:val="24"/>
              </w:rPr>
            </m:ctrlPr>
          </m:fPr>
          <m:num>
            <m:r>
              <w:rPr>
                <w:rFonts w:ascii="Cambria Math" w:hAnsi="Cambria Math"/>
                <w:sz w:val="24"/>
                <w:szCs w:val="24"/>
              </w:rPr>
              <m:t>W2-W1</m:t>
            </m:r>
          </m:num>
          <m:den>
            <m:r>
              <w:rPr>
                <w:rFonts w:ascii="Cambria Math" w:hAnsi="Cambria Math"/>
                <w:sz w:val="24"/>
                <w:szCs w:val="24"/>
              </w:rPr>
              <m:t>W</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1</m:t>
            </m:r>
          </m:den>
        </m:f>
      </m:oMath>
      <w:r w:rsidRPr="00FF22DE">
        <w:rPr>
          <w:rFonts w:ascii="Times New Roman" w:hAnsi="Times New Roman"/>
          <w:sz w:val="24"/>
          <w:szCs w:val="24"/>
        </w:rPr>
        <w:t xml:space="preserve">                 </w:t>
      </w:r>
      <w:r w:rsidR="00263F9B" w:rsidRPr="00FF22DE">
        <w:rPr>
          <w:rFonts w:ascii="Times New Roman" w:hAnsi="Times New Roman"/>
          <w:sz w:val="24"/>
          <w:szCs w:val="24"/>
        </w:rPr>
        <w:t xml:space="preserve">                               </w:t>
      </w:r>
    </w:p>
    <w:p w14:paraId="18B7C215"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Where: </w:t>
      </w:r>
    </w:p>
    <w:p w14:paraId="5C9D6935"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W₁ = weight of empty filter paper (g)</w:t>
      </w:r>
    </w:p>
    <w:p w14:paraId="1DD9FE55"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W₂ = weight of filter paper + alkaloid precipitate (g)</w:t>
      </w:r>
    </w:p>
    <w:p w14:paraId="4EFEC1D1" w14:textId="77777777" w:rsidR="008F7872" w:rsidRPr="00FF22DE" w:rsidRDefault="008F787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1E5E5EF2" w14:textId="77777777" w:rsidR="00B73B12" w:rsidRPr="00FF22DE" w:rsidRDefault="00B73B12" w:rsidP="00A37ACD">
      <w:pPr>
        <w:spacing w:line="360" w:lineRule="auto"/>
        <w:jc w:val="both"/>
        <w:rPr>
          <w:rStyle w:val="Heading2Char"/>
          <w:color w:val="auto"/>
          <w:sz w:val="24"/>
          <w:szCs w:val="24"/>
        </w:rPr>
      </w:pPr>
    </w:p>
    <w:p w14:paraId="256D3299" w14:textId="77777777" w:rsidR="00B73B12" w:rsidRPr="00FF22DE" w:rsidRDefault="00B73B12" w:rsidP="00A37ACD">
      <w:pPr>
        <w:spacing w:line="360" w:lineRule="auto"/>
        <w:jc w:val="both"/>
        <w:rPr>
          <w:rFonts w:ascii="Times New Roman" w:hAnsi="Times New Roman"/>
          <w:b/>
          <w:bCs/>
          <w:sz w:val="24"/>
          <w:szCs w:val="24"/>
        </w:rPr>
      </w:pPr>
      <w:r w:rsidRPr="00FF22DE">
        <w:rPr>
          <w:rStyle w:val="Heading2Char"/>
          <w:color w:val="auto"/>
          <w:sz w:val="24"/>
          <w:szCs w:val="24"/>
        </w:rPr>
        <w:t xml:space="preserve">2.3.2 </w:t>
      </w:r>
      <w:r w:rsidRPr="00FF22DE">
        <w:rPr>
          <w:rFonts w:ascii="Times New Roman" w:hAnsi="Times New Roman"/>
          <w:b/>
          <w:bCs/>
          <w:sz w:val="24"/>
          <w:szCs w:val="24"/>
        </w:rPr>
        <w:t>Determination of Saponin Content</w:t>
      </w:r>
    </w:p>
    <w:p w14:paraId="693AD266"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Saponin content of the tea samples was determined using the gravimetric method described by </w:t>
      </w:r>
      <w:proofErr w:type="spellStart"/>
      <w:r w:rsidRPr="00FF22DE">
        <w:rPr>
          <w:rFonts w:ascii="Times New Roman" w:hAnsi="Times New Roman"/>
          <w:sz w:val="24"/>
          <w:szCs w:val="24"/>
        </w:rPr>
        <w:t>Obadoni</w:t>
      </w:r>
      <w:proofErr w:type="spellEnd"/>
      <w:r w:rsidRPr="00FF22DE">
        <w:rPr>
          <w:rFonts w:ascii="Times New Roman" w:hAnsi="Times New Roman"/>
          <w:sz w:val="24"/>
          <w:szCs w:val="24"/>
        </w:rPr>
        <w:t xml:space="preserve"> and Ochuko (2001). Twenty grams (20 g) of the sample were weighed into a conical flask, and 100 mL of 20% aqueous ethanol was added. The mixture was heated on a water bath at approximately 55°C for 4 H with continuous stirring. After extraction, the mixture was filtered, and the residue was re-extracted with a further 200 mL of 20% aqueous ethanol. The combined extracts were concentrated on a water bath maintained at 90°C until the volume was reduced to approximately 40 </w:t>
      </w:r>
      <w:proofErr w:type="spellStart"/>
      <w:r w:rsidRPr="00FF22DE">
        <w:rPr>
          <w:rFonts w:ascii="Times New Roman" w:hAnsi="Times New Roman"/>
          <w:sz w:val="24"/>
          <w:szCs w:val="24"/>
        </w:rPr>
        <w:t>mL.</w:t>
      </w:r>
      <w:proofErr w:type="spellEnd"/>
    </w:p>
    <w:p w14:paraId="10A68373"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The concentrated extract was transferred into a separating funnel, after which 20 mL of diethyl ether was added and the mixture was shaken vigorously. The ether layer was discarded, while the aqueous layer was retained. Subsequently, 60 mL of n-butanol was added to the aqueous extract. The resulting n-butanol extract was washed twice with 10 mL portions of 5% aqueous sodium chloride solution. The remaining solution was heated in an oven until the solvent had evaporated completely. The dried residue obtained was weighed, and the saponin content was expressed as a percentage of the original sample weight. The percentage saponin content was calculated using:</w:t>
      </w:r>
    </w:p>
    <w:p w14:paraId="5F0D97EF" w14:textId="77777777" w:rsidR="008F7872" w:rsidRPr="00FF22DE" w:rsidRDefault="00B73B12" w:rsidP="00A37ACD">
      <w:pPr>
        <w:spacing w:after="0" w:line="240" w:lineRule="auto"/>
        <w:jc w:val="both"/>
        <w:rPr>
          <w:rFonts w:ascii="Times New Roman" w:hAnsi="Times New Roman"/>
          <w:b/>
          <w:sz w:val="24"/>
          <w:szCs w:val="24"/>
        </w:rPr>
      </w:pPr>
      <w:r w:rsidRPr="00FF22DE">
        <w:rPr>
          <w:rFonts w:ascii="Times New Roman" w:hAnsi="Times New Roman"/>
          <w:sz w:val="24"/>
          <w:szCs w:val="24"/>
        </w:rPr>
        <w:t xml:space="preserve">% Saponin = </w:t>
      </w:r>
      <m:oMath>
        <m:f>
          <m:fPr>
            <m:ctrlPr>
              <w:rPr>
                <w:rFonts w:ascii="Cambria Math" w:hAnsi="Cambria Math"/>
                <w:i/>
                <w:sz w:val="24"/>
                <w:szCs w:val="24"/>
              </w:rPr>
            </m:ctrlPr>
          </m:fPr>
          <m:num>
            <m:r>
              <w:rPr>
                <w:rFonts w:ascii="Cambria Math" w:hAnsi="Cambria Math"/>
                <w:sz w:val="24"/>
                <w:szCs w:val="24"/>
              </w:rPr>
              <m:t>Weight of saponin residue</m:t>
            </m:r>
          </m:num>
          <m:den>
            <m:r>
              <w:rPr>
                <w:rFonts w:ascii="Cambria Math" w:hAnsi="Cambria Math"/>
                <w:sz w:val="24"/>
                <w:szCs w:val="24"/>
              </w:rPr>
              <m:t>Weight of sample</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1</m:t>
            </m:r>
          </m:den>
        </m:f>
      </m:oMath>
      <w:r w:rsidRPr="00FF22DE">
        <w:rPr>
          <w:rFonts w:ascii="Times New Roman" w:hAnsi="Times New Roman"/>
          <w:sz w:val="24"/>
          <w:szCs w:val="24"/>
        </w:rPr>
        <w:t xml:space="preserve">                             </w:t>
      </w:r>
    </w:p>
    <w:p w14:paraId="278A9EC4" w14:textId="77777777" w:rsidR="00B73B12" w:rsidRPr="00FF22DE" w:rsidRDefault="00B73B12" w:rsidP="00A37ACD">
      <w:pPr>
        <w:jc w:val="both"/>
        <w:rPr>
          <w:rStyle w:val="Heading2Char"/>
          <w:color w:val="auto"/>
          <w:sz w:val="24"/>
          <w:szCs w:val="24"/>
        </w:rPr>
      </w:pPr>
    </w:p>
    <w:p w14:paraId="0BF9911C" w14:textId="77777777" w:rsidR="00B73B12" w:rsidRPr="00FF22DE" w:rsidRDefault="00B73B12" w:rsidP="00A37ACD">
      <w:pPr>
        <w:jc w:val="both"/>
        <w:rPr>
          <w:rStyle w:val="Heading2Char"/>
          <w:color w:val="auto"/>
          <w:sz w:val="24"/>
          <w:szCs w:val="24"/>
        </w:rPr>
      </w:pPr>
    </w:p>
    <w:p w14:paraId="004092BA" w14:textId="77777777" w:rsidR="00B73B12" w:rsidRPr="00FF22DE" w:rsidRDefault="00B73B12" w:rsidP="00A37ACD">
      <w:pPr>
        <w:pStyle w:val="Heading2"/>
        <w:spacing w:before="0"/>
        <w:jc w:val="both"/>
        <w:rPr>
          <w:color w:val="auto"/>
          <w:sz w:val="24"/>
          <w:szCs w:val="24"/>
        </w:rPr>
      </w:pPr>
      <w:r w:rsidRPr="00FF22DE">
        <w:rPr>
          <w:color w:val="auto"/>
          <w:sz w:val="24"/>
          <w:szCs w:val="24"/>
        </w:rPr>
        <w:t>2.3.3 Determination of Tannin Content</w:t>
      </w:r>
    </w:p>
    <w:p w14:paraId="48499BD9"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The tannin content of the tea sam</w:t>
      </w:r>
      <w:r w:rsidR="0066074C">
        <w:rPr>
          <w:rFonts w:ascii="Times New Roman" w:hAnsi="Times New Roman"/>
          <w:sz w:val="24"/>
          <w:szCs w:val="24"/>
        </w:rPr>
        <w:t>ples was determined using the Folin-Denis spectrophotometric method, a procedure that was employed in a recent study (</w:t>
      </w:r>
      <w:proofErr w:type="spellStart"/>
      <w:r w:rsidR="0066074C">
        <w:rPr>
          <w:rFonts w:ascii="Times New Roman" w:hAnsi="Times New Roman"/>
          <w:sz w:val="24"/>
          <w:szCs w:val="24"/>
        </w:rPr>
        <w:t>Sobowole</w:t>
      </w:r>
      <w:proofErr w:type="spellEnd"/>
      <w:r w:rsidR="0066074C">
        <w:rPr>
          <w:rFonts w:ascii="Times New Roman" w:hAnsi="Times New Roman"/>
          <w:sz w:val="24"/>
          <w:szCs w:val="24"/>
        </w:rPr>
        <w:t xml:space="preserve"> et al., 2025)</w:t>
      </w:r>
      <w:r w:rsidRPr="00FF22DE">
        <w:rPr>
          <w:rFonts w:ascii="Times New Roman" w:hAnsi="Times New Roman"/>
          <w:sz w:val="24"/>
          <w:szCs w:val="24"/>
        </w:rPr>
        <w:t xml:space="preserve">. One gram (1.0 g) of the test sample was weighed, and 10.0 mL of distilled water was added. The mixture was shaken at 5-minute intervals for 30 minutes and subsequently centrifuged or filtered to obtain the extract. A 2.5 mL aliquot of the resulting supernatant was transferred into a test tube. Similarly, 2.5 mL of the standard tannic acid solution was transferred into a 50 mL volumetric flask. One </w:t>
      </w:r>
      <w:proofErr w:type="spellStart"/>
      <w:r w:rsidRPr="00FF22DE">
        <w:rPr>
          <w:rFonts w:ascii="Times New Roman" w:hAnsi="Times New Roman"/>
          <w:sz w:val="24"/>
          <w:szCs w:val="24"/>
        </w:rPr>
        <w:t>millilitre</w:t>
      </w:r>
      <w:proofErr w:type="spellEnd"/>
      <w:r w:rsidRPr="00FF22DE">
        <w:rPr>
          <w:rFonts w:ascii="Times New Roman" w:hAnsi="Times New Roman"/>
          <w:sz w:val="24"/>
          <w:szCs w:val="24"/>
        </w:rPr>
        <w:t xml:space="preserve"> (1.0 mL) of Folin–</w:t>
      </w:r>
      <w:proofErr w:type="gramStart"/>
      <w:r w:rsidRPr="00FF22DE">
        <w:rPr>
          <w:rFonts w:ascii="Times New Roman" w:hAnsi="Times New Roman"/>
          <w:sz w:val="24"/>
          <w:szCs w:val="24"/>
        </w:rPr>
        <w:t>Denis</w:t>
      </w:r>
      <w:proofErr w:type="gramEnd"/>
      <w:r w:rsidRPr="00FF22DE">
        <w:rPr>
          <w:rFonts w:ascii="Times New Roman" w:hAnsi="Times New Roman"/>
          <w:sz w:val="24"/>
          <w:szCs w:val="24"/>
        </w:rPr>
        <w:t xml:space="preserve"> reagent was added, followed by 2.5 mL of saturated sodium carbonate (</w:t>
      </w:r>
      <w:proofErr w:type="spellStart"/>
      <w:r w:rsidRPr="00FF22DE">
        <w:rPr>
          <w:rFonts w:ascii="Times New Roman" w:hAnsi="Times New Roman"/>
          <w:sz w:val="24"/>
          <w:szCs w:val="24"/>
        </w:rPr>
        <w:t>Na₂CO</w:t>
      </w:r>
      <w:proofErr w:type="spellEnd"/>
      <w:r w:rsidRPr="00FF22DE">
        <w:rPr>
          <w:rFonts w:ascii="Times New Roman" w:hAnsi="Times New Roman"/>
          <w:sz w:val="24"/>
          <w:szCs w:val="24"/>
        </w:rPr>
        <w:t>₃) solution. The mixture was then diluted to the mark with distilled water and allowed to stand at room temperature for 90 minutes. The absorbance was subsequently measured against a reagent blank. The tannin content was calculated using the following expression:</w:t>
      </w:r>
    </w:p>
    <w:p w14:paraId="4AECA91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Tannin = </w:t>
      </w:r>
      <m:oMath>
        <m:f>
          <m:fPr>
            <m:ctrlPr>
              <w:rPr>
                <w:rFonts w:ascii="Cambria Math" w:hAnsi="Cambria Math"/>
                <w:i/>
                <w:sz w:val="24"/>
                <w:szCs w:val="24"/>
              </w:rPr>
            </m:ctrlPr>
          </m:fPr>
          <m:num>
            <m:r>
              <w:rPr>
                <w:rFonts w:ascii="Cambria Math" w:hAnsi="Cambria Math"/>
                <w:sz w:val="24"/>
                <w:szCs w:val="24"/>
              </w:rPr>
              <m:t>An</m:t>
            </m:r>
          </m:num>
          <m:den>
            <m:r>
              <w:rPr>
                <w:rFonts w:ascii="Cambria Math" w:hAnsi="Cambria Math"/>
                <w:sz w:val="24"/>
                <w:szCs w:val="24"/>
              </w:rPr>
              <m:t>As</m:t>
            </m:r>
          </m:den>
        </m:f>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W</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vf</m:t>
            </m:r>
          </m:num>
          <m:den>
            <m:r>
              <w:rPr>
                <w:rFonts w:ascii="Cambria Math" w:hAnsi="Cambria Math"/>
                <w:sz w:val="24"/>
                <w:szCs w:val="24"/>
              </w:rPr>
              <m:t>va</m:t>
            </m:r>
          </m:den>
        </m:f>
      </m:oMath>
      <w:r w:rsidRPr="00FF22DE">
        <w:rPr>
          <w:rFonts w:ascii="Times New Roman" w:hAnsi="Times New Roman"/>
          <w:sz w:val="24"/>
          <w:szCs w:val="24"/>
        </w:rPr>
        <w:t xml:space="preserve">                  </w:t>
      </w:r>
      <w:r w:rsidR="00263F9B" w:rsidRPr="00FF22DE">
        <w:rPr>
          <w:rFonts w:ascii="Times New Roman" w:hAnsi="Times New Roman"/>
          <w:sz w:val="24"/>
          <w:szCs w:val="24"/>
        </w:rPr>
        <w:t xml:space="preserve">                               </w:t>
      </w:r>
    </w:p>
    <w:p w14:paraId="7420276E" w14:textId="77777777" w:rsidR="00B73B12" w:rsidRPr="00FF22DE" w:rsidRDefault="00B73B12" w:rsidP="00A37ACD">
      <w:pPr>
        <w:spacing w:after="0" w:line="240" w:lineRule="auto"/>
        <w:jc w:val="both"/>
        <w:rPr>
          <w:rFonts w:ascii="Times New Roman" w:hAnsi="Times New Roman"/>
          <w:sz w:val="24"/>
          <w:szCs w:val="24"/>
        </w:rPr>
      </w:pPr>
      <w:r w:rsidRPr="00FF22DE">
        <w:rPr>
          <w:rFonts w:ascii="Times New Roman" w:hAnsi="Times New Roman"/>
          <w:sz w:val="24"/>
          <w:szCs w:val="24"/>
        </w:rPr>
        <w:t>Where:</w:t>
      </w:r>
    </w:p>
    <w:p w14:paraId="109590C3" w14:textId="77777777" w:rsidR="00B73B12" w:rsidRPr="00FF22DE" w:rsidRDefault="00B73B12" w:rsidP="00A37ACD">
      <w:pPr>
        <w:spacing w:after="0" w:line="240" w:lineRule="auto"/>
        <w:jc w:val="both"/>
        <w:rPr>
          <w:rFonts w:ascii="Times New Roman" w:hAnsi="Times New Roman"/>
          <w:sz w:val="24"/>
          <w:szCs w:val="24"/>
        </w:rPr>
      </w:pPr>
    </w:p>
    <w:p w14:paraId="54DF4E99"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Aₙ = absorbance of the test sample</w:t>
      </w:r>
    </w:p>
    <w:p w14:paraId="15D7218C"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Aₛ = absorbance of the standard solution</w:t>
      </w:r>
    </w:p>
    <w:p w14:paraId="792EA2CA"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C = concentration of the standard solution</w:t>
      </w:r>
    </w:p>
    <w:p w14:paraId="0D2822A9" w14:textId="77777777" w:rsidR="00B73B12" w:rsidRPr="00FF22DE" w:rsidRDefault="00B73B12" w:rsidP="00A37ACD">
      <w:pPr>
        <w:spacing w:line="360" w:lineRule="auto"/>
        <w:jc w:val="both"/>
        <w:rPr>
          <w:rFonts w:ascii="Times New Roman" w:hAnsi="Times New Roman"/>
          <w:sz w:val="24"/>
          <w:szCs w:val="24"/>
        </w:rPr>
      </w:pPr>
      <w:proofErr w:type="spellStart"/>
      <w:r w:rsidRPr="00FF22DE">
        <w:rPr>
          <w:rFonts w:ascii="Times New Roman" w:hAnsi="Times New Roman"/>
          <w:sz w:val="24"/>
          <w:szCs w:val="24"/>
        </w:rPr>
        <w:t>Vf</w:t>
      </w:r>
      <w:proofErr w:type="spellEnd"/>
      <w:r w:rsidRPr="00FF22DE">
        <w:rPr>
          <w:rFonts w:ascii="Times New Roman" w:hAnsi="Times New Roman"/>
          <w:sz w:val="24"/>
          <w:szCs w:val="24"/>
        </w:rPr>
        <w:t xml:space="preserve"> = total volume of the extract</w:t>
      </w:r>
    </w:p>
    <w:p w14:paraId="57C669DC"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Va = volume of the extract analyzed</w:t>
      </w:r>
    </w:p>
    <w:p w14:paraId="71D80D29" w14:textId="77777777" w:rsidR="00B73B12" w:rsidRPr="00FF22DE" w:rsidRDefault="00B73B12" w:rsidP="00A37ACD">
      <w:pPr>
        <w:spacing w:after="0" w:line="360" w:lineRule="auto"/>
        <w:jc w:val="both"/>
        <w:rPr>
          <w:rFonts w:ascii="Times New Roman" w:hAnsi="Times New Roman"/>
          <w:sz w:val="24"/>
          <w:szCs w:val="24"/>
        </w:rPr>
      </w:pPr>
      <w:r w:rsidRPr="00FF22DE">
        <w:rPr>
          <w:rFonts w:ascii="Times New Roman" w:hAnsi="Times New Roman"/>
          <w:sz w:val="24"/>
          <w:szCs w:val="24"/>
        </w:rPr>
        <w:t>W = weight of the sample used</w:t>
      </w:r>
    </w:p>
    <w:p w14:paraId="087DE1D9" w14:textId="77777777" w:rsidR="00B73B12" w:rsidRPr="00FF22DE" w:rsidRDefault="00B73B12" w:rsidP="00A37ACD">
      <w:pPr>
        <w:spacing w:after="0" w:line="360" w:lineRule="auto"/>
        <w:jc w:val="both"/>
        <w:rPr>
          <w:rFonts w:ascii="Times New Roman" w:hAnsi="Times New Roman"/>
          <w:sz w:val="24"/>
          <w:szCs w:val="24"/>
        </w:rPr>
      </w:pPr>
    </w:p>
    <w:p w14:paraId="604DF05C" w14:textId="77777777" w:rsidR="00B73B12" w:rsidRPr="00FF22DE" w:rsidRDefault="00B73B12" w:rsidP="00A37ACD">
      <w:pPr>
        <w:pStyle w:val="Heading2"/>
        <w:spacing w:before="0"/>
        <w:jc w:val="both"/>
        <w:rPr>
          <w:color w:val="auto"/>
          <w:sz w:val="24"/>
          <w:szCs w:val="24"/>
        </w:rPr>
      </w:pPr>
      <w:bookmarkStart w:id="3" w:name="_Toc237253731"/>
      <w:r w:rsidRPr="00FF22DE">
        <w:rPr>
          <w:color w:val="auto"/>
          <w:sz w:val="24"/>
          <w:szCs w:val="24"/>
        </w:rPr>
        <w:t>2.3.4 Determination of Oxalate Content</w:t>
      </w:r>
      <w:bookmarkEnd w:id="3"/>
    </w:p>
    <w:p w14:paraId="290AF1E9"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Oxalate content was determined using the method described by AOAC (2019), with minor modifications to suit the laboratory conditions. Two grams (2.0 g) of the ground tea sample were weighed into a 300 mL conical flask, and 20 mL of 3.0 M hydrochloric acid (HCl) were added. The mixture was allowed to stand for 20 minutes, with occasional swirling, after which 4.0 g of ammonium sulphate were added. The mixture was then allowed to stand for a further 30 minutes. Following extraction, the mixture was filtered, and the filtrate was made up to 50 mL with 3.0 M HCl. A 10 mL aliquot of the resulting filtrate was transferred into a 100 mL conical flask, and 30 mL of diethyl ether were added. The pH of the solution was adjusted to 7.0 using either ammonium </w:t>
      </w:r>
    </w:p>
    <w:p w14:paraId="23EF2E1F"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The prepared solution was titrated with 0.1 M potassium permanganate (</w:t>
      </w:r>
      <w:proofErr w:type="spellStart"/>
      <w:r w:rsidRPr="00FF22DE">
        <w:rPr>
          <w:rFonts w:ascii="Times New Roman" w:hAnsi="Times New Roman"/>
          <w:sz w:val="24"/>
          <w:szCs w:val="24"/>
        </w:rPr>
        <w:t>KMnO</w:t>
      </w:r>
      <w:proofErr w:type="spellEnd"/>
      <w:r w:rsidRPr="00FF22DE">
        <w:rPr>
          <w:rFonts w:ascii="Times New Roman" w:hAnsi="Times New Roman"/>
          <w:sz w:val="24"/>
          <w:szCs w:val="24"/>
        </w:rPr>
        <w:t xml:space="preserve">₄) until a faint pink </w:t>
      </w:r>
      <w:proofErr w:type="spellStart"/>
      <w:r w:rsidRPr="00FF22DE">
        <w:rPr>
          <w:rFonts w:ascii="Times New Roman" w:hAnsi="Times New Roman"/>
          <w:sz w:val="24"/>
          <w:szCs w:val="24"/>
        </w:rPr>
        <w:t>colour</w:t>
      </w:r>
      <w:proofErr w:type="spellEnd"/>
      <w:r w:rsidRPr="00FF22DE">
        <w:rPr>
          <w:rFonts w:ascii="Times New Roman" w:hAnsi="Times New Roman"/>
          <w:sz w:val="24"/>
          <w:szCs w:val="24"/>
        </w:rPr>
        <w:t xml:space="preserve"> persisted for 30 seconds. The oxalate content was calculated from the volume of potassium permanganate used and expressed as a percentage of the sample weight. The percentage oxalate was calculated using the following expression:</w:t>
      </w:r>
    </w:p>
    <w:p w14:paraId="29C910C3" w14:textId="77777777" w:rsidR="00B73B12" w:rsidRPr="00FF22DE" w:rsidRDefault="00B73B12" w:rsidP="00A37ACD">
      <w:pPr>
        <w:spacing w:after="0" w:line="360" w:lineRule="auto"/>
        <w:jc w:val="both"/>
        <w:rPr>
          <w:rFonts w:ascii="Times New Roman" w:hAnsi="Times New Roman"/>
          <w:sz w:val="24"/>
          <w:szCs w:val="24"/>
        </w:rPr>
      </w:pPr>
      <w:r w:rsidRPr="00FF22DE">
        <w:rPr>
          <w:rFonts w:ascii="Times New Roman" w:hAnsi="Times New Roman"/>
          <w:sz w:val="24"/>
          <w:szCs w:val="24"/>
        </w:rPr>
        <w:t xml:space="preserve">% Oxalate = </w:t>
      </w:r>
      <m:oMath>
        <m:f>
          <m:fPr>
            <m:ctrlPr>
              <w:rPr>
                <w:rFonts w:ascii="Cambria Math" w:hAnsi="Cambria Math"/>
                <w:i/>
                <w:sz w:val="24"/>
                <w:szCs w:val="24"/>
              </w:rPr>
            </m:ctrlPr>
          </m:fPr>
          <m:num>
            <m:r>
              <w:rPr>
                <w:rFonts w:ascii="Cambria Math" w:hAnsi="Cambria Math"/>
                <w:sz w:val="24"/>
                <w:szCs w:val="24"/>
              </w:rPr>
              <m:t>Titre ×Equivalent weight of oxalate</m:t>
            </m:r>
          </m:num>
          <m:den>
            <m:r>
              <w:rPr>
                <w:rFonts w:ascii="Cambria Math" w:hAnsi="Cambria Math"/>
                <w:sz w:val="24"/>
                <w:szCs w:val="24"/>
              </w:rPr>
              <m:t>Weight of sample (g)</m:t>
            </m:r>
          </m:den>
        </m:f>
        <m:r>
          <w:rPr>
            <w:rFonts w:ascii="Cambria Math" w:hAnsi="Cambria Math"/>
            <w:sz w:val="24"/>
            <w:szCs w:val="24"/>
          </w:rPr>
          <m:t xml:space="preserve"> ×100</m:t>
        </m:r>
      </m:oMath>
      <w:r w:rsidRPr="00FF22DE">
        <w:rPr>
          <w:rFonts w:ascii="Times New Roman" w:hAnsi="Times New Roman"/>
          <w:sz w:val="24"/>
          <w:szCs w:val="24"/>
        </w:rPr>
        <w:t xml:space="preserve">       </w:t>
      </w:r>
    </w:p>
    <w:p w14:paraId="2194D6D8" w14:textId="77777777" w:rsidR="00B73B12" w:rsidRPr="00FF22DE" w:rsidRDefault="00B73B12" w:rsidP="00A37ACD">
      <w:pPr>
        <w:spacing w:after="0" w:line="360" w:lineRule="auto"/>
        <w:jc w:val="both"/>
        <w:rPr>
          <w:rFonts w:ascii="Times New Roman" w:hAnsi="Times New Roman"/>
          <w:sz w:val="24"/>
          <w:szCs w:val="24"/>
        </w:rPr>
      </w:pPr>
    </w:p>
    <w:p w14:paraId="6602D350" w14:textId="77777777" w:rsidR="00B73B12" w:rsidRPr="00FF22DE" w:rsidRDefault="00B73B12" w:rsidP="00A37ACD">
      <w:pPr>
        <w:pStyle w:val="Heading2"/>
        <w:spacing w:before="0"/>
        <w:jc w:val="both"/>
        <w:rPr>
          <w:color w:val="auto"/>
          <w:sz w:val="24"/>
          <w:szCs w:val="24"/>
        </w:rPr>
      </w:pPr>
      <w:r w:rsidRPr="00FF22DE">
        <w:rPr>
          <w:color w:val="auto"/>
          <w:sz w:val="24"/>
          <w:szCs w:val="24"/>
        </w:rPr>
        <w:t>2.3.5 Determination of Flavonoid Content</w:t>
      </w:r>
    </w:p>
    <w:p w14:paraId="1571A2C5"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The flavonoid content of the tea samples was determined by a gravimetric solvent-extraction method following the procedure described by Li, Zhang, Wang, Gao and Zhang (2024). Ten grams (10 g) of the powdered sample were extracted with 80% aqueous methanol at room temperature under continuous agitation. The resulting mixture was filtered using Whatman filter paper.</w:t>
      </w:r>
    </w:p>
    <w:p w14:paraId="437E18F6" w14:textId="77777777" w:rsidR="00B73B12" w:rsidRPr="00FF22DE" w:rsidRDefault="00B73B12" w:rsidP="00A37ACD">
      <w:pPr>
        <w:spacing w:line="360" w:lineRule="auto"/>
        <w:jc w:val="both"/>
        <w:rPr>
          <w:rStyle w:val="Heading2Char"/>
          <w:rFonts w:eastAsia="SimSun" w:cs="Times New Roman"/>
          <w:b w:val="0"/>
          <w:color w:val="auto"/>
          <w:sz w:val="24"/>
          <w:szCs w:val="24"/>
        </w:rPr>
      </w:pPr>
      <w:r w:rsidRPr="00FF22DE">
        <w:rPr>
          <w:rFonts w:ascii="Times New Roman" w:hAnsi="Times New Roman"/>
          <w:sz w:val="24"/>
          <w:szCs w:val="24"/>
        </w:rPr>
        <w:t xml:space="preserve">The filtrate was subsequently subjected to solvent partitioning with ethyl acetate to separate the flavonoid-containing fraction. The ethyl acetate fraction was collected in a previously weighed crucible and evaporated to dryness. The resulting residue was further dried in an oven to constant weight, cooled in a desiccator and weighed. The flavonoid content was expressed as a percentage </w:t>
      </w:r>
      <w:r w:rsidRPr="00FF22DE">
        <w:rPr>
          <w:rFonts w:ascii="Times New Roman" w:hAnsi="Times New Roman"/>
          <w:sz w:val="24"/>
          <w:szCs w:val="24"/>
        </w:rPr>
        <w:lastRenderedPageBreak/>
        <w:t>of the initial sample weight. The percentage flavonoid content was calculated using the following equation:</w:t>
      </w:r>
    </w:p>
    <w:p w14:paraId="57907473"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 Flavonoid = </w:t>
      </w:r>
      <m:oMath>
        <m:f>
          <m:fPr>
            <m:ctrlPr>
              <w:rPr>
                <w:rFonts w:ascii="Cambria Math" w:hAnsi="Cambria Math"/>
                <w:i/>
                <w:sz w:val="24"/>
                <w:szCs w:val="24"/>
              </w:rPr>
            </m:ctrlPr>
          </m:fPr>
          <m:num>
            <m:r>
              <w:rPr>
                <w:rFonts w:ascii="Cambria Math" w:hAnsi="Cambria Math"/>
                <w:sz w:val="24"/>
                <w:szCs w:val="24"/>
              </w:rPr>
              <m:t>W2-W1</m:t>
            </m:r>
          </m:num>
          <m:den>
            <m:r>
              <w:rPr>
                <w:rFonts w:ascii="Cambria Math" w:hAnsi="Cambria Math"/>
                <w:sz w:val="24"/>
                <w:szCs w:val="24"/>
              </w:rPr>
              <m:t>W</m:t>
            </m:r>
          </m:den>
        </m:f>
        <m:r>
          <w:rPr>
            <w:rFonts w:ascii="Cambria Math" w:hAnsi="Cambria Math"/>
            <w:sz w:val="24"/>
            <w:szCs w:val="24"/>
          </w:rPr>
          <m:t xml:space="preserve"> ×100</m:t>
        </m:r>
      </m:oMath>
      <w:r w:rsidRPr="00FF22DE">
        <w:rPr>
          <w:rFonts w:ascii="Times New Roman" w:hAnsi="Times New Roman"/>
          <w:sz w:val="24"/>
          <w:szCs w:val="24"/>
        </w:rPr>
        <w:t xml:space="preserve">                                                   </w:t>
      </w:r>
    </w:p>
    <w:p w14:paraId="5BD04CDF"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Where:</w:t>
      </w:r>
    </w:p>
    <w:p w14:paraId="6121F2D5"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W₁ = weight of empty crucible (g)</w:t>
      </w:r>
    </w:p>
    <w:p w14:paraId="6E6DBDD4"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W₂ = weight of crucible + flavonoid extract (g)</w:t>
      </w:r>
    </w:p>
    <w:p w14:paraId="03184FCD"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56BA2099" w14:textId="77777777" w:rsidR="00B73B12" w:rsidRPr="00FF22DE" w:rsidRDefault="00B73B12" w:rsidP="00A37ACD">
      <w:pPr>
        <w:spacing w:line="360" w:lineRule="auto"/>
        <w:jc w:val="both"/>
        <w:rPr>
          <w:rFonts w:ascii="Times New Roman" w:hAnsi="Times New Roman"/>
          <w:sz w:val="24"/>
          <w:szCs w:val="24"/>
        </w:rPr>
      </w:pPr>
    </w:p>
    <w:p w14:paraId="3D815F1B" w14:textId="77777777" w:rsidR="00B73B12" w:rsidRPr="00FF22DE" w:rsidRDefault="00B73B12" w:rsidP="00A37ACD">
      <w:pPr>
        <w:spacing w:line="360" w:lineRule="auto"/>
        <w:jc w:val="both"/>
        <w:rPr>
          <w:rFonts w:ascii="Times New Roman" w:hAnsi="Times New Roman"/>
          <w:b/>
          <w:sz w:val="24"/>
          <w:szCs w:val="24"/>
        </w:rPr>
      </w:pPr>
      <w:r w:rsidRPr="00FF22DE">
        <w:rPr>
          <w:rFonts w:ascii="Times New Roman" w:hAnsi="Times New Roman"/>
          <w:b/>
          <w:sz w:val="24"/>
          <w:szCs w:val="24"/>
        </w:rPr>
        <w:t>2.4 Selected Micronutrients</w:t>
      </w:r>
    </w:p>
    <w:p w14:paraId="272A7144" w14:textId="77777777" w:rsidR="00B73B12" w:rsidRPr="00FF22DE" w:rsidRDefault="00B73B12" w:rsidP="00A37ACD">
      <w:pPr>
        <w:pStyle w:val="Heading2"/>
        <w:spacing w:before="0"/>
        <w:jc w:val="both"/>
        <w:rPr>
          <w:color w:val="auto"/>
          <w:sz w:val="24"/>
          <w:szCs w:val="24"/>
        </w:rPr>
      </w:pPr>
      <w:r w:rsidRPr="00FF22DE">
        <w:rPr>
          <w:color w:val="auto"/>
          <w:sz w:val="24"/>
          <w:szCs w:val="24"/>
        </w:rPr>
        <w:t>2.4.1 Vitamin C</w:t>
      </w:r>
    </w:p>
    <w:p w14:paraId="22480B1B"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Vitamin C content was determined using the 2,6-dichlorophenolindophenol (DCPIP) titrimetric method as described by AOAC (2019), with slight modifications to suit laboratory conditions.</w:t>
      </w:r>
      <w:r w:rsidR="00263F9B" w:rsidRPr="00FF22DE">
        <w:rPr>
          <w:rFonts w:ascii="Times New Roman" w:hAnsi="Times New Roman"/>
          <w:sz w:val="24"/>
          <w:szCs w:val="24"/>
        </w:rPr>
        <w:t xml:space="preserve"> </w:t>
      </w:r>
      <w:r w:rsidR="00263F9B" w:rsidRPr="00FF22DE">
        <w:rPr>
          <w:rFonts w:ascii="Times New Roman" w:hAnsi="Times New Roman"/>
          <w:b/>
          <w:bCs/>
          <w:sz w:val="24"/>
          <w:szCs w:val="24"/>
        </w:rPr>
        <w:t>S</w:t>
      </w:r>
      <w:r w:rsidRPr="00FF22DE">
        <w:rPr>
          <w:rFonts w:ascii="Times New Roman" w:hAnsi="Times New Roman"/>
          <w:sz w:val="24"/>
          <w:szCs w:val="24"/>
        </w:rPr>
        <w:t>tandardization of the indophenol solution</w:t>
      </w:r>
      <w:r w:rsidR="00263F9B" w:rsidRPr="00FF22DE">
        <w:rPr>
          <w:rFonts w:ascii="Times New Roman" w:hAnsi="Times New Roman"/>
          <w:sz w:val="24"/>
          <w:szCs w:val="24"/>
        </w:rPr>
        <w:t xml:space="preserve"> was first carried </w:t>
      </w:r>
      <w:proofErr w:type="gramStart"/>
      <w:r w:rsidR="00263F9B" w:rsidRPr="00FF22DE">
        <w:rPr>
          <w:rFonts w:ascii="Times New Roman" w:hAnsi="Times New Roman"/>
          <w:sz w:val="24"/>
          <w:szCs w:val="24"/>
        </w:rPr>
        <w:t>out</w:t>
      </w:r>
      <w:r w:rsidRPr="00FF22DE">
        <w:rPr>
          <w:rFonts w:ascii="Times New Roman" w:hAnsi="Times New Roman"/>
          <w:sz w:val="24"/>
          <w:szCs w:val="24"/>
        </w:rPr>
        <w:t>,</w:t>
      </w:r>
      <w:proofErr w:type="gramEnd"/>
      <w:r w:rsidRPr="00FF22DE">
        <w:rPr>
          <w:rFonts w:ascii="Times New Roman" w:hAnsi="Times New Roman"/>
          <w:sz w:val="24"/>
          <w:szCs w:val="24"/>
        </w:rPr>
        <w:t xml:space="preserve"> 10 mL of standard ascorbic acid solution were pipetted into a conical flask and titrated against the indophenol solution until a faint pink </w:t>
      </w:r>
      <w:proofErr w:type="spellStart"/>
      <w:r w:rsidRPr="00FF22DE">
        <w:rPr>
          <w:rFonts w:ascii="Times New Roman" w:hAnsi="Times New Roman"/>
          <w:sz w:val="24"/>
          <w:szCs w:val="24"/>
        </w:rPr>
        <w:t>colour</w:t>
      </w:r>
      <w:proofErr w:type="spellEnd"/>
      <w:r w:rsidRPr="00FF22DE">
        <w:rPr>
          <w:rFonts w:ascii="Times New Roman" w:hAnsi="Times New Roman"/>
          <w:sz w:val="24"/>
          <w:szCs w:val="24"/>
        </w:rPr>
        <w:t xml:space="preserve"> persisted for 15 seconds. The dye factor was subsequently determined and expressed as the milligrams of ascorbic acid equivalent to 1 mL of the indophenol dye solution.</w:t>
      </w:r>
    </w:p>
    <w:p w14:paraId="40DED6A3" w14:textId="77777777" w:rsidR="00B73B12" w:rsidRPr="00FF22DE" w:rsidRDefault="00263F9B" w:rsidP="00A37ACD">
      <w:pPr>
        <w:spacing w:line="360" w:lineRule="auto"/>
        <w:jc w:val="both"/>
        <w:rPr>
          <w:rFonts w:ascii="Times New Roman" w:hAnsi="Times New Roman"/>
          <w:sz w:val="24"/>
          <w:szCs w:val="24"/>
        </w:rPr>
      </w:pPr>
      <w:r w:rsidRPr="00FF22DE">
        <w:rPr>
          <w:rFonts w:ascii="Times New Roman" w:hAnsi="Times New Roman"/>
          <w:sz w:val="24"/>
          <w:szCs w:val="24"/>
        </w:rPr>
        <w:t>After the standardization, f</w:t>
      </w:r>
      <w:r w:rsidR="00B73B12" w:rsidRPr="00FF22DE">
        <w:rPr>
          <w:rFonts w:ascii="Times New Roman" w:hAnsi="Times New Roman"/>
          <w:sz w:val="24"/>
          <w:szCs w:val="24"/>
        </w:rPr>
        <w:t xml:space="preserve">ive grams (5 g) of the tea sample were weighed into a 100 mL volumetric flask. Then, 2.5 mL of 20% metaphosphoric acid were added to </w:t>
      </w:r>
      <w:proofErr w:type="spellStart"/>
      <w:r w:rsidR="00B73B12" w:rsidRPr="00FF22DE">
        <w:rPr>
          <w:rFonts w:ascii="Times New Roman" w:hAnsi="Times New Roman"/>
          <w:sz w:val="24"/>
          <w:szCs w:val="24"/>
        </w:rPr>
        <w:t>stabilise</w:t>
      </w:r>
      <w:proofErr w:type="spellEnd"/>
      <w:r w:rsidR="00B73B12" w:rsidRPr="00FF22DE">
        <w:rPr>
          <w:rFonts w:ascii="Times New Roman" w:hAnsi="Times New Roman"/>
          <w:sz w:val="24"/>
          <w:szCs w:val="24"/>
        </w:rPr>
        <w:t xml:space="preserve"> the ascorbic acid, and distilled water was used to make the solution up to the required volume. The mixture was filtered to obtain a clear extract.</w:t>
      </w:r>
      <w:r w:rsidRPr="00FF22DE">
        <w:rPr>
          <w:rFonts w:ascii="Times New Roman" w:hAnsi="Times New Roman"/>
          <w:sz w:val="24"/>
          <w:szCs w:val="24"/>
        </w:rPr>
        <w:t xml:space="preserve"> </w:t>
      </w:r>
      <w:r w:rsidR="00B73B12" w:rsidRPr="00FF22DE">
        <w:rPr>
          <w:rFonts w:ascii="Times New Roman" w:hAnsi="Times New Roman"/>
          <w:sz w:val="24"/>
          <w:szCs w:val="24"/>
        </w:rPr>
        <w:t xml:space="preserve">A 10 mL portion of the filtrate was transferred into a conical flask, followed by the addition of 2.5 mL of acetone. The resulting solution was titrated with the </w:t>
      </w:r>
      <w:proofErr w:type="spellStart"/>
      <w:r w:rsidR="00B73B12" w:rsidRPr="00FF22DE">
        <w:rPr>
          <w:rFonts w:ascii="Times New Roman" w:hAnsi="Times New Roman"/>
          <w:sz w:val="24"/>
          <w:szCs w:val="24"/>
        </w:rPr>
        <w:t>standardised</w:t>
      </w:r>
      <w:proofErr w:type="spellEnd"/>
      <w:r w:rsidR="00B73B12" w:rsidRPr="00FF22DE">
        <w:rPr>
          <w:rFonts w:ascii="Times New Roman" w:hAnsi="Times New Roman"/>
          <w:sz w:val="24"/>
          <w:szCs w:val="24"/>
        </w:rPr>
        <w:t xml:space="preserve"> indophenol solution until a faint pink </w:t>
      </w:r>
      <w:proofErr w:type="spellStart"/>
      <w:r w:rsidR="00B73B12" w:rsidRPr="00FF22DE">
        <w:rPr>
          <w:rFonts w:ascii="Times New Roman" w:hAnsi="Times New Roman"/>
          <w:sz w:val="24"/>
          <w:szCs w:val="24"/>
        </w:rPr>
        <w:t>colour</w:t>
      </w:r>
      <w:proofErr w:type="spellEnd"/>
      <w:r w:rsidR="00B73B12" w:rsidRPr="00FF22DE">
        <w:rPr>
          <w:rFonts w:ascii="Times New Roman" w:hAnsi="Times New Roman"/>
          <w:sz w:val="24"/>
          <w:szCs w:val="24"/>
        </w:rPr>
        <w:t xml:space="preserve"> persisted for 15 seconds.</w:t>
      </w:r>
    </w:p>
    <w:p w14:paraId="3FDCFE29" w14:textId="77777777" w:rsidR="00B73B12" w:rsidRPr="0082064E" w:rsidRDefault="00B73B12" w:rsidP="00A37ACD">
      <w:pPr>
        <w:spacing w:line="360" w:lineRule="auto"/>
        <w:jc w:val="both"/>
        <w:rPr>
          <w:rFonts w:ascii="Times New Roman" w:hAnsi="Times New Roman"/>
          <w:b/>
          <w:sz w:val="24"/>
          <w:szCs w:val="24"/>
        </w:rPr>
      </w:pPr>
      <w:r w:rsidRPr="0082064E">
        <w:rPr>
          <w:rFonts w:ascii="Times New Roman" w:hAnsi="Times New Roman"/>
          <w:b/>
          <w:sz w:val="24"/>
          <w:szCs w:val="24"/>
        </w:rPr>
        <w:t>Calculation</w:t>
      </w:r>
    </w:p>
    <w:p w14:paraId="1C0F47A9"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Vitamin C (mg/100g) = </w:t>
      </w:r>
      <m:oMath>
        <m:f>
          <m:fPr>
            <m:ctrlPr>
              <w:rPr>
                <w:rFonts w:ascii="Cambria Math" w:hAnsi="Cambria Math"/>
                <w:i/>
                <w:sz w:val="24"/>
                <w:szCs w:val="24"/>
              </w:rPr>
            </m:ctrlPr>
          </m:fPr>
          <m:num>
            <m:r>
              <w:rPr>
                <w:rFonts w:ascii="Cambria Math" w:hAnsi="Cambria Math"/>
                <w:sz w:val="24"/>
                <w:szCs w:val="24"/>
              </w:rPr>
              <m:t>T×F×Vf×100</m:t>
            </m:r>
          </m:num>
          <m:den>
            <m:r>
              <w:rPr>
                <w:rFonts w:ascii="Cambria Math" w:hAnsi="Cambria Math"/>
                <w:sz w:val="24"/>
                <w:szCs w:val="24"/>
              </w:rPr>
              <m:t>Va×W</m:t>
            </m:r>
          </m:den>
        </m:f>
      </m:oMath>
      <w:r w:rsidRPr="00FF22DE">
        <w:rPr>
          <w:rFonts w:ascii="Times New Roman" w:hAnsi="Times New Roman"/>
          <w:sz w:val="24"/>
          <w:szCs w:val="24"/>
        </w:rPr>
        <w:t xml:space="preserve">                                          </w:t>
      </w:r>
    </w:p>
    <w:p w14:paraId="113CCCEE"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lastRenderedPageBreak/>
        <w:t>Where:</w:t>
      </w:r>
    </w:p>
    <w:p w14:paraId="648E7238"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T = </w:t>
      </w:r>
      <w:proofErr w:type="spellStart"/>
      <w:r w:rsidRPr="00FF22DE">
        <w:rPr>
          <w:rFonts w:ascii="Times New Roman" w:hAnsi="Times New Roman"/>
          <w:sz w:val="24"/>
          <w:szCs w:val="24"/>
        </w:rPr>
        <w:t>titre</w:t>
      </w:r>
      <w:proofErr w:type="spellEnd"/>
      <w:r w:rsidRPr="00FF22DE">
        <w:rPr>
          <w:rFonts w:ascii="Times New Roman" w:hAnsi="Times New Roman"/>
          <w:sz w:val="24"/>
          <w:szCs w:val="24"/>
        </w:rPr>
        <w:t xml:space="preserve"> value (ml of dye used)</w:t>
      </w:r>
    </w:p>
    <w:p w14:paraId="47C0AB2E"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F = dye factor (mg ascorbic acid per ml of dye)</w:t>
      </w:r>
    </w:p>
    <w:p w14:paraId="4573DF93" w14:textId="77777777" w:rsidR="00B73B12" w:rsidRPr="00FF22DE" w:rsidRDefault="00B73B12" w:rsidP="00A37ACD">
      <w:pPr>
        <w:spacing w:line="360" w:lineRule="auto"/>
        <w:jc w:val="both"/>
        <w:rPr>
          <w:rFonts w:ascii="Times New Roman" w:hAnsi="Times New Roman"/>
          <w:sz w:val="24"/>
          <w:szCs w:val="24"/>
        </w:rPr>
      </w:pPr>
      <w:proofErr w:type="spellStart"/>
      <w:r w:rsidRPr="00FF22DE">
        <w:rPr>
          <w:rFonts w:ascii="Times New Roman" w:hAnsi="Times New Roman"/>
          <w:sz w:val="24"/>
          <w:szCs w:val="24"/>
        </w:rPr>
        <w:t>Vf</w:t>
      </w:r>
      <w:proofErr w:type="spellEnd"/>
      <w:r w:rsidRPr="00FF22DE">
        <w:rPr>
          <w:rFonts w:ascii="Times New Roman" w:hAnsi="Times New Roman"/>
          <w:sz w:val="24"/>
          <w:szCs w:val="24"/>
        </w:rPr>
        <w:t xml:space="preserve"> = total volume of extract (ml)</w:t>
      </w:r>
    </w:p>
    <w:p w14:paraId="0954D868"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Va = volume of extract titrated (ml)</w:t>
      </w:r>
    </w:p>
    <w:p w14:paraId="16FEC4A2" w14:textId="77777777" w:rsidR="00B73B12" w:rsidRPr="00FF22DE" w:rsidRDefault="00B73B12" w:rsidP="00A37ACD">
      <w:pPr>
        <w:spacing w:line="360" w:lineRule="auto"/>
        <w:jc w:val="both"/>
        <w:rPr>
          <w:rFonts w:ascii="Times New Roman" w:hAnsi="Times New Roman"/>
          <w:sz w:val="24"/>
          <w:szCs w:val="24"/>
        </w:rPr>
      </w:pPr>
      <w:r w:rsidRPr="00FF22DE">
        <w:rPr>
          <w:rFonts w:ascii="Times New Roman" w:hAnsi="Times New Roman"/>
          <w:sz w:val="24"/>
          <w:szCs w:val="24"/>
        </w:rPr>
        <w:t>W = weight of sample (g)</w:t>
      </w:r>
    </w:p>
    <w:p w14:paraId="46CA2CD4" w14:textId="77777777" w:rsidR="00263F9B" w:rsidRPr="00FF22DE" w:rsidRDefault="00263F9B" w:rsidP="00A37ACD">
      <w:pPr>
        <w:pStyle w:val="Heading2"/>
        <w:jc w:val="both"/>
        <w:rPr>
          <w:color w:val="auto"/>
          <w:sz w:val="24"/>
          <w:szCs w:val="24"/>
        </w:rPr>
      </w:pPr>
      <w:r w:rsidRPr="00FF22DE">
        <w:rPr>
          <w:color w:val="auto"/>
          <w:sz w:val="24"/>
          <w:szCs w:val="24"/>
        </w:rPr>
        <w:t>2.4.2 Iron and Zinc</w:t>
      </w:r>
    </w:p>
    <w:p w14:paraId="5526A0C6" w14:textId="77777777" w:rsidR="008F7872" w:rsidRPr="00FF22DE" w:rsidRDefault="008F2C2B" w:rsidP="00A37ACD">
      <w:pPr>
        <w:spacing w:line="480" w:lineRule="auto"/>
        <w:jc w:val="both"/>
        <w:rPr>
          <w:sz w:val="24"/>
          <w:szCs w:val="24"/>
        </w:rPr>
      </w:pPr>
      <w:r w:rsidRPr="00FF22DE">
        <w:rPr>
          <w:rFonts w:ascii="Times New Roman" w:hAnsi="Times New Roman"/>
          <w:sz w:val="24"/>
          <w:szCs w:val="24"/>
        </w:rPr>
        <w:t xml:space="preserve">Iron and zinc were determined using an Atomic Absorption Spectrophotometer (AA-7000, Shimadzu, Japan). Glassware was soaked overnight in 3 M nitric acid and rinsed with </w:t>
      </w:r>
      <w:proofErr w:type="spellStart"/>
      <w:r w:rsidRPr="00FF22DE">
        <w:rPr>
          <w:rFonts w:ascii="Times New Roman" w:hAnsi="Times New Roman"/>
          <w:sz w:val="24"/>
          <w:szCs w:val="24"/>
        </w:rPr>
        <w:t>deionised</w:t>
      </w:r>
      <w:proofErr w:type="spellEnd"/>
      <w:r w:rsidRPr="00FF22DE">
        <w:rPr>
          <w:rFonts w:ascii="Times New Roman" w:hAnsi="Times New Roman"/>
          <w:sz w:val="24"/>
          <w:szCs w:val="24"/>
        </w:rPr>
        <w:t xml:space="preserve"> water. Approximately 1 g of each sample was digested with 30 cm³ aqua regia, cooled and filtered, and the filtrate was made up to 50 mL with </w:t>
      </w:r>
      <w:proofErr w:type="spellStart"/>
      <w:r w:rsidRPr="00FF22DE">
        <w:rPr>
          <w:rFonts w:ascii="Times New Roman" w:hAnsi="Times New Roman"/>
          <w:sz w:val="24"/>
          <w:szCs w:val="24"/>
        </w:rPr>
        <w:t>deionised</w:t>
      </w:r>
      <w:proofErr w:type="spellEnd"/>
      <w:r w:rsidRPr="00FF22DE">
        <w:rPr>
          <w:rFonts w:ascii="Times New Roman" w:hAnsi="Times New Roman"/>
          <w:sz w:val="24"/>
          <w:szCs w:val="24"/>
        </w:rPr>
        <w:t xml:space="preserve"> water. Standard solutions of iron and zinc at 2, 4 and 6 ppm were prepared from 1000 ppm stock solutions. A reagent blank was used to calibrate the instrument, followed by aspiration of the standards and samples. Concentrations were obtained from the respective calibration curves.</w:t>
      </w:r>
    </w:p>
    <w:p w14:paraId="45F2AB03" w14:textId="77777777" w:rsidR="00E15BAA" w:rsidRPr="00FF22DE" w:rsidRDefault="00167D4D" w:rsidP="00A37ACD">
      <w:pPr>
        <w:pStyle w:val="NoSpacing"/>
        <w:spacing w:line="360" w:lineRule="auto"/>
        <w:jc w:val="both"/>
        <w:rPr>
          <w:rFonts w:ascii="Times New Roman" w:hAnsi="Times New Roman"/>
          <w:b/>
          <w:sz w:val="24"/>
          <w:szCs w:val="24"/>
        </w:rPr>
      </w:pPr>
      <w:r w:rsidRPr="00FF22DE">
        <w:rPr>
          <w:rFonts w:ascii="Times New Roman" w:hAnsi="Times New Roman"/>
          <w:b/>
          <w:sz w:val="24"/>
          <w:szCs w:val="24"/>
        </w:rPr>
        <w:t xml:space="preserve">2.5 </w:t>
      </w:r>
      <w:r w:rsidR="00E15BAA" w:rsidRPr="00FF22DE">
        <w:rPr>
          <w:rFonts w:ascii="Times New Roman" w:hAnsi="Times New Roman"/>
          <w:b/>
          <w:sz w:val="24"/>
          <w:szCs w:val="24"/>
        </w:rPr>
        <w:t>Sensory Evaluation.</w:t>
      </w:r>
    </w:p>
    <w:p w14:paraId="09977F30" w14:textId="77777777" w:rsidR="00E15BAA" w:rsidRPr="00FF22DE" w:rsidRDefault="00E15BAA" w:rsidP="00A37ACD">
      <w:pPr>
        <w:spacing w:line="480" w:lineRule="auto"/>
        <w:jc w:val="both"/>
        <w:rPr>
          <w:sz w:val="24"/>
          <w:szCs w:val="24"/>
        </w:rPr>
      </w:pPr>
      <w:r w:rsidRPr="00FF22DE">
        <w:rPr>
          <w:rFonts w:ascii="Times New Roman" w:hAnsi="Times New Roman"/>
          <w:sz w:val="24"/>
          <w:szCs w:val="24"/>
        </w:rPr>
        <w:t xml:space="preserve">Sensory evaluation was conducted using 20 semi-trained panelists comprising males and females from different age groups. The panelists were selected from the World Bank settlement in Owerri Municipal Local Government Area of Imo State. Green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(GJT), black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(BJT), commercial green tea (CGT) and commercial black tea (CBT) were evaluated for appearance, aroma, taste and overall acceptability. The panelists were instructed to rinse their mouth with water after testing each sample to ensure unbiased assessment. A 9-point hedonic scale was used, where 1 represented dislike extremely and 9 represented like extremely. </w:t>
      </w:r>
    </w:p>
    <w:p w14:paraId="13F719E6" w14:textId="77777777" w:rsidR="00803512" w:rsidRPr="00FF22DE" w:rsidRDefault="00167D4D" w:rsidP="00A37ACD">
      <w:pPr>
        <w:pStyle w:val="NoSpacing"/>
        <w:spacing w:line="360" w:lineRule="auto"/>
        <w:jc w:val="both"/>
        <w:rPr>
          <w:rFonts w:ascii="Times New Roman" w:hAnsi="Times New Roman"/>
          <w:b/>
          <w:sz w:val="24"/>
          <w:szCs w:val="24"/>
        </w:rPr>
      </w:pPr>
      <w:r w:rsidRPr="00FF22DE">
        <w:rPr>
          <w:rFonts w:ascii="Times New Roman" w:hAnsi="Times New Roman"/>
          <w:b/>
          <w:sz w:val="24"/>
          <w:szCs w:val="24"/>
        </w:rPr>
        <w:lastRenderedPageBreak/>
        <w:t>2.6 Statistical Analysis</w:t>
      </w:r>
    </w:p>
    <w:p w14:paraId="09A94EA5" w14:textId="77777777" w:rsidR="00167D4D" w:rsidRPr="00FF22DE" w:rsidRDefault="00167D4D" w:rsidP="00A37ACD">
      <w:pPr>
        <w:spacing w:line="480" w:lineRule="auto"/>
        <w:jc w:val="both"/>
        <w:rPr>
          <w:sz w:val="24"/>
          <w:szCs w:val="24"/>
        </w:rPr>
      </w:pPr>
      <w:r w:rsidRPr="00FF22DE">
        <w:rPr>
          <w:rFonts w:ascii="Times New Roman" w:hAnsi="Times New Roman"/>
          <w:sz w:val="24"/>
          <w:szCs w:val="24"/>
        </w:rPr>
        <w:t xml:space="preserve">Results were expressed as mean ± standard deviation. Differences between green and black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teas for the phytochemical and micronutrient measurements were evaluated using the t-test. Sensory data were </w:t>
      </w:r>
      <w:proofErr w:type="spellStart"/>
      <w:r w:rsidRPr="00FF22DE">
        <w:rPr>
          <w:rFonts w:ascii="Times New Roman" w:hAnsi="Times New Roman"/>
          <w:sz w:val="24"/>
          <w:szCs w:val="24"/>
        </w:rPr>
        <w:t>analysed</w:t>
      </w:r>
      <w:proofErr w:type="spellEnd"/>
      <w:r w:rsidRPr="00FF22DE">
        <w:rPr>
          <w:rFonts w:ascii="Times New Roman" w:hAnsi="Times New Roman"/>
          <w:sz w:val="24"/>
          <w:szCs w:val="24"/>
        </w:rPr>
        <w:t xml:space="preserve"> using one-way analysis of variance, and means were separated using Fisher's least significant difference test. Differences were considered significant at p &lt; 0.05.</w:t>
      </w:r>
    </w:p>
    <w:p w14:paraId="3F3ACB5C" w14:textId="77777777" w:rsidR="00CA5518" w:rsidRPr="00FF22DE" w:rsidRDefault="00235946" w:rsidP="00A37ACD">
      <w:pPr>
        <w:pStyle w:val="ListParagraph"/>
        <w:numPr>
          <w:ilvl w:val="0"/>
          <w:numId w:val="1"/>
        </w:numPr>
        <w:jc w:val="both"/>
        <w:rPr>
          <w:rFonts w:ascii="Times New Roman" w:hAnsi="Times New Roman"/>
          <w:b/>
          <w:sz w:val="24"/>
          <w:szCs w:val="24"/>
        </w:rPr>
      </w:pPr>
      <w:r w:rsidRPr="00FF22DE">
        <w:rPr>
          <w:rFonts w:ascii="Times New Roman" w:hAnsi="Times New Roman"/>
          <w:b/>
          <w:sz w:val="24"/>
          <w:szCs w:val="24"/>
        </w:rPr>
        <w:t>Results and Discussion</w:t>
      </w:r>
    </w:p>
    <w:p w14:paraId="4D9863D5" w14:textId="77777777" w:rsidR="00FF22DE" w:rsidRPr="00541747" w:rsidRDefault="00235946"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t xml:space="preserve">3.1 Phytochemical composition (%)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w:t>
      </w:r>
      <w:r w:rsidR="00143DEF" w:rsidRPr="00FF22DE">
        <w:rPr>
          <w:rFonts w:ascii="Times New Roman" w:hAnsi="Times New Roman" w:cs="Times New Roman"/>
          <w:b/>
          <w:color w:val="000000" w:themeColor="text1"/>
        </w:rPr>
        <w:t>.</w:t>
      </w:r>
    </w:p>
    <w:p w14:paraId="6A3AD34B" w14:textId="77777777" w:rsidR="00A55CB9" w:rsidRPr="00FF22DE" w:rsidRDefault="00143DEF" w:rsidP="00A37ACD">
      <w:pPr>
        <w:spacing w:after="83"/>
        <w:jc w:val="both"/>
        <w:rPr>
          <w:rFonts w:ascii="Times New Roman" w:hAnsi="Times New Roman"/>
          <w:sz w:val="24"/>
          <w:szCs w:val="24"/>
        </w:rPr>
      </w:pPr>
      <w:r w:rsidRPr="00FF22DE">
        <w:rPr>
          <w:rFonts w:ascii="Times New Roman" w:hAnsi="Times New Roman"/>
          <w:sz w:val="24"/>
          <w:szCs w:val="24"/>
        </w:rPr>
        <w:t xml:space="preserve">The phytochemical composition of the green and black </w:t>
      </w:r>
      <w:r w:rsidRPr="00FF22DE">
        <w:rPr>
          <w:rFonts w:ascii="Times New Roman" w:eastAsia="Arial" w:hAnsi="Times New Roman"/>
          <w:i/>
          <w:sz w:val="24"/>
          <w:szCs w:val="24"/>
        </w:rPr>
        <w:t xml:space="preserve">Jatropha </w:t>
      </w:r>
      <w:proofErr w:type="spellStart"/>
      <w:r w:rsidRPr="00FF22DE">
        <w:rPr>
          <w:rFonts w:ascii="Times New Roman" w:eastAsia="Arial" w:hAnsi="Times New Roman"/>
          <w:i/>
          <w:sz w:val="24"/>
          <w:szCs w:val="24"/>
        </w:rPr>
        <w:t>tanjorensis</w:t>
      </w:r>
      <w:proofErr w:type="spellEnd"/>
      <w:r w:rsidRPr="00FF22DE">
        <w:rPr>
          <w:rFonts w:ascii="Times New Roman" w:hAnsi="Times New Roman"/>
          <w:sz w:val="24"/>
          <w:szCs w:val="24"/>
        </w:rPr>
        <w:t xml:space="preserve"> herbal teas is presented in Table 1. </w:t>
      </w:r>
    </w:p>
    <w:p w14:paraId="6DC8DA2E" w14:textId="77777777" w:rsidR="006659E4" w:rsidRPr="00FF22DE" w:rsidRDefault="006659E4" w:rsidP="00A37ACD">
      <w:pPr>
        <w:spacing w:after="83"/>
        <w:jc w:val="both"/>
        <w:rPr>
          <w:rFonts w:ascii="Times New Roman" w:hAnsi="Times New Roman"/>
          <w:sz w:val="24"/>
          <w:szCs w:val="24"/>
        </w:rPr>
      </w:pPr>
    </w:p>
    <w:p w14:paraId="4D67132B" w14:textId="77777777" w:rsidR="00143DEF" w:rsidRPr="00FF22DE" w:rsidRDefault="00143DEF" w:rsidP="00541747">
      <w:pPr>
        <w:spacing w:after="83"/>
        <w:jc w:val="both"/>
        <w:rPr>
          <w:rFonts w:ascii="Times New Roman" w:hAnsi="Times New Roman"/>
          <w:sz w:val="24"/>
          <w:szCs w:val="24"/>
        </w:rPr>
      </w:pPr>
      <w:r w:rsidRPr="00FF22DE">
        <w:rPr>
          <w:rFonts w:ascii="Times New Roman" w:hAnsi="Times New Roman"/>
          <w:b/>
          <w:color w:val="000000" w:themeColor="text1"/>
          <w:sz w:val="24"/>
          <w:szCs w:val="24"/>
        </w:rPr>
        <w:t xml:space="preserve">Table 1. Phytochemical composition (%) of green and black </w:t>
      </w:r>
      <w:r w:rsidRPr="00FF22DE">
        <w:rPr>
          <w:rFonts w:ascii="Times New Roman" w:eastAsia="Arial" w:hAnsi="Times New Roman"/>
          <w:b/>
          <w:i/>
          <w:color w:val="000000" w:themeColor="text1"/>
          <w:sz w:val="24"/>
          <w:szCs w:val="24"/>
        </w:rPr>
        <w:t xml:space="preserve">Jatropha </w:t>
      </w:r>
      <w:proofErr w:type="spellStart"/>
      <w:r w:rsidRPr="00FF22DE">
        <w:rPr>
          <w:rFonts w:ascii="Times New Roman" w:eastAsia="Arial" w:hAnsi="Times New Roman"/>
          <w:b/>
          <w:i/>
          <w:color w:val="000000" w:themeColor="text1"/>
          <w:sz w:val="24"/>
          <w:szCs w:val="24"/>
        </w:rPr>
        <w:t>tanjorensis</w:t>
      </w:r>
      <w:proofErr w:type="spellEnd"/>
      <w:r w:rsidRPr="00FF22DE">
        <w:rPr>
          <w:rFonts w:ascii="Times New Roman" w:hAnsi="Times New Roman"/>
          <w:b/>
          <w:color w:val="000000" w:themeColor="text1"/>
          <w:sz w:val="24"/>
          <w:szCs w:val="24"/>
        </w:rPr>
        <w:t xml:space="preserve"> herbal teas</w:t>
      </w:r>
    </w:p>
    <w:tbl>
      <w:tblPr>
        <w:tblW w:w="9016" w:type="dxa"/>
        <w:tblBorders>
          <w:top w:val="single" w:sz="4" w:space="0" w:color="auto"/>
          <w:bottom w:val="single" w:sz="4" w:space="0" w:color="auto"/>
        </w:tblBorders>
        <w:tblLook w:val="04A0" w:firstRow="1" w:lastRow="0" w:firstColumn="1" w:lastColumn="0" w:noHBand="0" w:noVBand="1"/>
      </w:tblPr>
      <w:tblGrid>
        <w:gridCol w:w="1129"/>
        <w:gridCol w:w="1418"/>
        <w:gridCol w:w="1417"/>
        <w:gridCol w:w="1843"/>
        <w:gridCol w:w="1701"/>
        <w:gridCol w:w="1508"/>
      </w:tblGrid>
      <w:tr w:rsidR="00143DEF" w:rsidRPr="00FF22DE" w14:paraId="447C3E9A" w14:textId="77777777" w:rsidTr="00C23D7A">
        <w:trPr>
          <w:trHeight w:val="530"/>
        </w:trPr>
        <w:tc>
          <w:tcPr>
            <w:tcW w:w="1129" w:type="dxa"/>
            <w:tcBorders>
              <w:top w:val="single" w:sz="4" w:space="0" w:color="auto"/>
              <w:bottom w:val="single" w:sz="4" w:space="0" w:color="auto"/>
            </w:tcBorders>
            <w:noWrap/>
            <w:vAlign w:val="center"/>
            <w:hideMark/>
          </w:tcPr>
          <w:p w14:paraId="0657273A"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Sample</w:t>
            </w:r>
          </w:p>
        </w:tc>
        <w:tc>
          <w:tcPr>
            <w:tcW w:w="1418" w:type="dxa"/>
            <w:tcBorders>
              <w:top w:val="single" w:sz="4" w:space="0" w:color="auto"/>
              <w:bottom w:val="single" w:sz="4" w:space="0" w:color="auto"/>
            </w:tcBorders>
            <w:noWrap/>
            <w:vAlign w:val="center"/>
            <w:hideMark/>
          </w:tcPr>
          <w:p w14:paraId="58887DF0"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Saponin</w:t>
            </w:r>
          </w:p>
        </w:tc>
        <w:tc>
          <w:tcPr>
            <w:tcW w:w="1417" w:type="dxa"/>
            <w:tcBorders>
              <w:top w:val="single" w:sz="4" w:space="0" w:color="auto"/>
              <w:bottom w:val="single" w:sz="4" w:space="0" w:color="auto"/>
            </w:tcBorders>
            <w:noWrap/>
            <w:vAlign w:val="center"/>
            <w:hideMark/>
          </w:tcPr>
          <w:p w14:paraId="07543DED"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Alkaloids</w:t>
            </w:r>
          </w:p>
        </w:tc>
        <w:tc>
          <w:tcPr>
            <w:tcW w:w="1843" w:type="dxa"/>
            <w:tcBorders>
              <w:top w:val="single" w:sz="4" w:space="0" w:color="auto"/>
              <w:bottom w:val="single" w:sz="4" w:space="0" w:color="auto"/>
            </w:tcBorders>
            <w:noWrap/>
            <w:vAlign w:val="center"/>
            <w:hideMark/>
          </w:tcPr>
          <w:p w14:paraId="45D8697D"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Flavonoids</w:t>
            </w:r>
          </w:p>
        </w:tc>
        <w:tc>
          <w:tcPr>
            <w:tcW w:w="1701" w:type="dxa"/>
            <w:tcBorders>
              <w:top w:val="single" w:sz="4" w:space="0" w:color="auto"/>
              <w:bottom w:val="single" w:sz="4" w:space="0" w:color="auto"/>
            </w:tcBorders>
            <w:noWrap/>
            <w:vAlign w:val="center"/>
            <w:hideMark/>
          </w:tcPr>
          <w:p w14:paraId="1A53C9B0"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Tannins</w:t>
            </w:r>
          </w:p>
        </w:tc>
        <w:tc>
          <w:tcPr>
            <w:tcW w:w="1508" w:type="dxa"/>
            <w:tcBorders>
              <w:top w:val="single" w:sz="4" w:space="0" w:color="auto"/>
              <w:bottom w:val="single" w:sz="4" w:space="0" w:color="auto"/>
            </w:tcBorders>
          </w:tcPr>
          <w:p w14:paraId="1B6D2049" w14:textId="77777777" w:rsidR="00143DEF" w:rsidRPr="00FF22DE" w:rsidRDefault="00143DEF" w:rsidP="00A37ACD">
            <w:pPr>
              <w:spacing w:line="360" w:lineRule="auto"/>
              <w:jc w:val="both"/>
              <w:rPr>
                <w:rFonts w:ascii="Times New Roman" w:hAnsi="Times New Roman"/>
                <w:b/>
                <w:sz w:val="24"/>
                <w:szCs w:val="24"/>
              </w:rPr>
            </w:pPr>
            <w:r w:rsidRPr="00FF22DE">
              <w:rPr>
                <w:rFonts w:ascii="Times New Roman" w:hAnsi="Times New Roman"/>
                <w:b/>
                <w:sz w:val="24"/>
                <w:szCs w:val="24"/>
              </w:rPr>
              <w:t>Oxalates</w:t>
            </w:r>
          </w:p>
        </w:tc>
      </w:tr>
      <w:tr w:rsidR="00143DEF" w:rsidRPr="00FF22DE" w14:paraId="04963259" w14:textId="77777777" w:rsidTr="00C23D7A">
        <w:trPr>
          <w:trHeight w:val="300"/>
        </w:trPr>
        <w:tc>
          <w:tcPr>
            <w:tcW w:w="1129" w:type="dxa"/>
            <w:tcBorders>
              <w:top w:val="single" w:sz="4" w:space="0" w:color="auto"/>
            </w:tcBorders>
            <w:noWrap/>
            <w:vAlign w:val="center"/>
            <w:hideMark/>
          </w:tcPr>
          <w:p w14:paraId="6D7A689E" w14:textId="77777777" w:rsidR="00143DEF" w:rsidRPr="00FF22DE" w:rsidRDefault="00143DEF" w:rsidP="00A37ACD">
            <w:pPr>
              <w:spacing w:line="360" w:lineRule="auto"/>
              <w:jc w:val="both"/>
              <w:rPr>
                <w:rFonts w:ascii="Times New Roman" w:hAnsi="Times New Roman"/>
                <w:sz w:val="24"/>
                <w:szCs w:val="24"/>
              </w:rPr>
            </w:pPr>
          </w:p>
          <w:p w14:paraId="0C0C6AF7"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BJT</w:t>
            </w:r>
          </w:p>
        </w:tc>
        <w:tc>
          <w:tcPr>
            <w:tcW w:w="1418" w:type="dxa"/>
            <w:tcBorders>
              <w:top w:val="single" w:sz="4" w:space="0" w:color="auto"/>
            </w:tcBorders>
            <w:noWrap/>
            <w:hideMark/>
          </w:tcPr>
          <w:p w14:paraId="5370390E" w14:textId="77777777" w:rsidR="00143DEF" w:rsidRPr="00FF22DE" w:rsidRDefault="00143DEF" w:rsidP="00A37ACD">
            <w:pPr>
              <w:spacing w:line="360" w:lineRule="auto"/>
              <w:jc w:val="both"/>
              <w:rPr>
                <w:rFonts w:ascii="Times New Roman" w:hAnsi="Times New Roman"/>
                <w:sz w:val="24"/>
                <w:szCs w:val="24"/>
              </w:rPr>
            </w:pPr>
          </w:p>
          <w:p w14:paraId="1349B830"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1.85 ±0.07</w:t>
            </w:r>
            <w:r w:rsidRPr="00FF22DE">
              <w:rPr>
                <w:rFonts w:ascii="Times New Roman" w:hAnsi="Times New Roman"/>
                <w:sz w:val="24"/>
                <w:szCs w:val="24"/>
                <w:vertAlign w:val="superscript"/>
              </w:rPr>
              <w:t xml:space="preserve"> a</w:t>
            </w:r>
          </w:p>
        </w:tc>
        <w:tc>
          <w:tcPr>
            <w:tcW w:w="1417" w:type="dxa"/>
            <w:tcBorders>
              <w:top w:val="single" w:sz="4" w:space="0" w:color="auto"/>
            </w:tcBorders>
            <w:noWrap/>
            <w:hideMark/>
          </w:tcPr>
          <w:p w14:paraId="0E2BC4B6" w14:textId="77777777" w:rsidR="00143DEF" w:rsidRPr="00FF22DE" w:rsidRDefault="00143DEF" w:rsidP="00A37ACD">
            <w:pPr>
              <w:spacing w:line="360" w:lineRule="auto"/>
              <w:jc w:val="both"/>
              <w:rPr>
                <w:rFonts w:ascii="Times New Roman" w:hAnsi="Times New Roman"/>
                <w:sz w:val="24"/>
                <w:szCs w:val="24"/>
              </w:rPr>
            </w:pPr>
          </w:p>
          <w:p w14:paraId="4026213B"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2.40±0.0</w:t>
            </w:r>
            <w:r w:rsidRPr="00FF22DE">
              <w:rPr>
                <w:rFonts w:ascii="Times New Roman" w:hAnsi="Times New Roman"/>
                <w:sz w:val="24"/>
                <w:szCs w:val="24"/>
                <w:vertAlign w:val="superscript"/>
              </w:rPr>
              <w:t xml:space="preserve"> b</w:t>
            </w:r>
          </w:p>
        </w:tc>
        <w:tc>
          <w:tcPr>
            <w:tcW w:w="1843" w:type="dxa"/>
            <w:tcBorders>
              <w:top w:val="single" w:sz="4" w:space="0" w:color="auto"/>
            </w:tcBorders>
            <w:noWrap/>
            <w:hideMark/>
          </w:tcPr>
          <w:p w14:paraId="11D5A73C" w14:textId="77777777" w:rsidR="00143DEF" w:rsidRPr="00FF22DE" w:rsidRDefault="00143DEF" w:rsidP="00A37ACD">
            <w:pPr>
              <w:spacing w:line="360" w:lineRule="auto"/>
              <w:jc w:val="both"/>
              <w:rPr>
                <w:rFonts w:ascii="Times New Roman" w:hAnsi="Times New Roman"/>
                <w:sz w:val="24"/>
                <w:szCs w:val="24"/>
              </w:rPr>
            </w:pPr>
          </w:p>
          <w:p w14:paraId="4C7D5142"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12.15 ± 0.21</w:t>
            </w:r>
            <w:r w:rsidRPr="00FF22DE">
              <w:rPr>
                <w:rFonts w:ascii="Times New Roman" w:hAnsi="Times New Roman"/>
                <w:sz w:val="24"/>
                <w:szCs w:val="24"/>
                <w:vertAlign w:val="superscript"/>
              </w:rPr>
              <w:t xml:space="preserve"> a</w:t>
            </w:r>
          </w:p>
        </w:tc>
        <w:tc>
          <w:tcPr>
            <w:tcW w:w="1701" w:type="dxa"/>
            <w:tcBorders>
              <w:top w:val="single" w:sz="4" w:space="0" w:color="auto"/>
            </w:tcBorders>
            <w:noWrap/>
            <w:hideMark/>
          </w:tcPr>
          <w:p w14:paraId="7EA32E1C" w14:textId="77777777" w:rsidR="00143DEF" w:rsidRPr="00FF22DE" w:rsidRDefault="00143DEF" w:rsidP="00A37ACD">
            <w:pPr>
              <w:spacing w:line="360" w:lineRule="auto"/>
              <w:jc w:val="both"/>
              <w:rPr>
                <w:rFonts w:ascii="Times New Roman" w:hAnsi="Times New Roman"/>
                <w:sz w:val="24"/>
                <w:szCs w:val="24"/>
              </w:rPr>
            </w:pPr>
          </w:p>
          <w:p w14:paraId="552CDFE8"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11.53 ± 0.21</w:t>
            </w:r>
            <w:r w:rsidRPr="00FF22DE">
              <w:rPr>
                <w:rFonts w:ascii="Times New Roman" w:hAnsi="Times New Roman"/>
                <w:sz w:val="24"/>
                <w:szCs w:val="24"/>
                <w:vertAlign w:val="superscript"/>
              </w:rPr>
              <w:t xml:space="preserve"> a</w:t>
            </w:r>
          </w:p>
        </w:tc>
        <w:tc>
          <w:tcPr>
            <w:tcW w:w="1508" w:type="dxa"/>
            <w:tcBorders>
              <w:top w:val="single" w:sz="4" w:space="0" w:color="auto"/>
            </w:tcBorders>
          </w:tcPr>
          <w:p w14:paraId="3596AB50" w14:textId="77777777" w:rsidR="00143DEF" w:rsidRPr="00FF22DE" w:rsidRDefault="00143DEF" w:rsidP="00A37ACD">
            <w:pPr>
              <w:spacing w:line="360" w:lineRule="auto"/>
              <w:jc w:val="both"/>
              <w:rPr>
                <w:rFonts w:ascii="Times New Roman" w:hAnsi="Times New Roman"/>
                <w:sz w:val="24"/>
                <w:szCs w:val="24"/>
              </w:rPr>
            </w:pPr>
          </w:p>
          <w:p w14:paraId="7036E258"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3.05 ± 0.07</w:t>
            </w:r>
            <w:r w:rsidRPr="00FF22DE">
              <w:rPr>
                <w:rFonts w:ascii="Times New Roman" w:hAnsi="Times New Roman"/>
                <w:sz w:val="24"/>
                <w:szCs w:val="24"/>
                <w:vertAlign w:val="superscript"/>
              </w:rPr>
              <w:t xml:space="preserve"> a</w:t>
            </w:r>
          </w:p>
        </w:tc>
      </w:tr>
      <w:tr w:rsidR="00143DEF" w:rsidRPr="00FF22DE" w14:paraId="223E5C74" w14:textId="77777777" w:rsidTr="00C23D7A">
        <w:trPr>
          <w:trHeight w:val="300"/>
        </w:trPr>
        <w:tc>
          <w:tcPr>
            <w:tcW w:w="1129" w:type="dxa"/>
            <w:noWrap/>
            <w:vAlign w:val="center"/>
            <w:hideMark/>
          </w:tcPr>
          <w:p w14:paraId="111634DC" w14:textId="77777777" w:rsidR="00143DEF" w:rsidRPr="00FF22DE" w:rsidRDefault="00143DEF" w:rsidP="00A37ACD">
            <w:pPr>
              <w:spacing w:line="360" w:lineRule="auto"/>
              <w:jc w:val="both"/>
              <w:rPr>
                <w:rFonts w:ascii="Times New Roman" w:hAnsi="Times New Roman"/>
                <w:sz w:val="24"/>
                <w:szCs w:val="24"/>
              </w:rPr>
            </w:pPr>
          </w:p>
          <w:p w14:paraId="1BF69C10"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GJT</w:t>
            </w:r>
          </w:p>
        </w:tc>
        <w:tc>
          <w:tcPr>
            <w:tcW w:w="1418" w:type="dxa"/>
            <w:noWrap/>
            <w:hideMark/>
          </w:tcPr>
          <w:p w14:paraId="5ECDD7DE" w14:textId="77777777" w:rsidR="00143DEF" w:rsidRPr="00FF22DE" w:rsidRDefault="00143DEF" w:rsidP="00A37ACD">
            <w:pPr>
              <w:spacing w:line="360" w:lineRule="auto"/>
              <w:jc w:val="both"/>
              <w:rPr>
                <w:rFonts w:ascii="Times New Roman" w:hAnsi="Times New Roman"/>
                <w:sz w:val="24"/>
                <w:szCs w:val="24"/>
              </w:rPr>
            </w:pPr>
          </w:p>
          <w:p w14:paraId="19DF597C"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0.80± 0.14</w:t>
            </w:r>
            <w:r w:rsidRPr="00FF22DE">
              <w:rPr>
                <w:rFonts w:ascii="Times New Roman" w:hAnsi="Times New Roman"/>
                <w:sz w:val="24"/>
                <w:szCs w:val="24"/>
                <w:vertAlign w:val="superscript"/>
              </w:rPr>
              <w:t xml:space="preserve"> b</w:t>
            </w:r>
          </w:p>
        </w:tc>
        <w:tc>
          <w:tcPr>
            <w:tcW w:w="1417" w:type="dxa"/>
            <w:noWrap/>
            <w:hideMark/>
          </w:tcPr>
          <w:p w14:paraId="2878AADD" w14:textId="77777777" w:rsidR="00143DEF" w:rsidRPr="00FF22DE" w:rsidRDefault="00143DEF" w:rsidP="00A37ACD">
            <w:pPr>
              <w:spacing w:line="360" w:lineRule="auto"/>
              <w:jc w:val="both"/>
              <w:rPr>
                <w:rFonts w:ascii="Times New Roman" w:hAnsi="Times New Roman"/>
                <w:sz w:val="24"/>
                <w:szCs w:val="24"/>
              </w:rPr>
            </w:pPr>
          </w:p>
          <w:p w14:paraId="383F9855"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3.85±0.07</w:t>
            </w:r>
            <w:r w:rsidRPr="00FF22DE">
              <w:rPr>
                <w:rFonts w:ascii="Times New Roman" w:hAnsi="Times New Roman"/>
                <w:sz w:val="24"/>
                <w:szCs w:val="24"/>
                <w:vertAlign w:val="superscript"/>
              </w:rPr>
              <w:t xml:space="preserve"> a</w:t>
            </w:r>
          </w:p>
        </w:tc>
        <w:tc>
          <w:tcPr>
            <w:tcW w:w="1843" w:type="dxa"/>
            <w:noWrap/>
            <w:hideMark/>
          </w:tcPr>
          <w:p w14:paraId="7AC3C99F" w14:textId="77777777" w:rsidR="00143DEF" w:rsidRPr="00FF22DE" w:rsidRDefault="00143DEF" w:rsidP="00A37ACD">
            <w:pPr>
              <w:spacing w:line="360" w:lineRule="auto"/>
              <w:jc w:val="both"/>
              <w:rPr>
                <w:rFonts w:ascii="Times New Roman" w:hAnsi="Times New Roman"/>
                <w:sz w:val="24"/>
                <w:szCs w:val="24"/>
              </w:rPr>
            </w:pPr>
          </w:p>
          <w:p w14:paraId="441AC34F"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9.55 ±0.07</w:t>
            </w:r>
            <w:r w:rsidRPr="00FF22DE">
              <w:rPr>
                <w:rFonts w:ascii="Times New Roman" w:hAnsi="Times New Roman"/>
                <w:sz w:val="24"/>
                <w:szCs w:val="24"/>
                <w:vertAlign w:val="superscript"/>
              </w:rPr>
              <w:t xml:space="preserve"> b</w:t>
            </w:r>
          </w:p>
        </w:tc>
        <w:tc>
          <w:tcPr>
            <w:tcW w:w="1701" w:type="dxa"/>
            <w:noWrap/>
            <w:hideMark/>
          </w:tcPr>
          <w:p w14:paraId="51C392ED" w14:textId="77777777" w:rsidR="00143DEF" w:rsidRPr="00FF22DE" w:rsidRDefault="00143DEF" w:rsidP="00A37ACD">
            <w:pPr>
              <w:spacing w:line="360" w:lineRule="auto"/>
              <w:jc w:val="both"/>
              <w:rPr>
                <w:rFonts w:ascii="Times New Roman" w:hAnsi="Times New Roman"/>
                <w:sz w:val="24"/>
                <w:szCs w:val="24"/>
              </w:rPr>
            </w:pPr>
          </w:p>
          <w:p w14:paraId="56E87725"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8.35 ± 0.21</w:t>
            </w:r>
            <w:r w:rsidRPr="00FF22DE">
              <w:rPr>
                <w:rFonts w:ascii="Times New Roman" w:hAnsi="Times New Roman"/>
                <w:sz w:val="24"/>
                <w:szCs w:val="24"/>
                <w:vertAlign w:val="superscript"/>
              </w:rPr>
              <w:t xml:space="preserve"> b</w:t>
            </w:r>
          </w:p>
        </w:tc>
        <w:tc>
          <w:tcPr>
            <w:tcW w:w="1508" w:type="dxa"/>
          </w:tcPr>
          <w:p w14:paraId="2F2FB99C" w14:textId="77777777" w:rsidR="00143DEF" w:rsidRPr="00FF22DE" w:rsidRDefault="00143DEF" w:rsidP="00A37ACD">
            <w:pPr>
              <w:spacing w:line="360" w:lineRule="auto"/>
              <w:jc w:val="both"/>
              <w:rPr>
                <w:rFonts w:ascii="Times New Roman" w:hAnsi="Times New Roman"/>
                <w:sz w:val="24"/>
                <w:szCs w:val="24"/>
              </w:rPr>
            </w:pPr>
          </w:p>
          <w:p w14:paraId="54F0501D" w14:textId="77777777" w:rsidR="00143DEF" w:rsidRPr="00FF22DE" w:rsidRDefault="00143DEF" w:rsidP="00A37ACD">
            <w:pPr>
              <w:spacing w:line="360" w:lineRule="auto"/>
              <w:jc w:val="both"/>
              <w:rPr>
                <w:rFonts w:ascii="Times New Roman" w:hAnsi="Times New Roman"/>
                <w:sz w:val="24"/>
                <w:szCs w:val="24"/>
              </w:rPr>
            </w:pPr>
            <w:r w:rsidRPr="00FF22DE">
              <w:rPr>
                <w:rFonts w:ascii="Times New Roman" w:hAnsi="Times New Roman"/>
                <w:sz w:val="24"/>
                <w:szCs w:val="24"/>
              </w:rPr>
              <w:t>0.50 ± 00</w:t>
            </w:r>
            <w:r w:rsidRPr="00FF22DE">
              <w:rPr>
                <w:rFonts w:ascii="Times New Roman" w:hAnsi="Times New Roman"/>
                <w:sz w:val="24"/>
                <w:szCs w:val="24"/>
                <w:vertAlign w:val="superscript"/>
              </w:rPr>
              <w:t xml:space="preserve"> b</w:t>
            </w:r>
          </w:p>
        </w:tc>
      </w:tr>
    </w:tbl>
    <w:p w14:paraId="4D6D818A" w14:textId="77777777" w:rsidR="00143DEF" w:rsidRPr="00FF22DE" w:rsidRDefault="00143DEF" w:rsidP="00A37ACD">
      <w:pPr>
        <w:spacing w:after="170" w:line="252" w:lineRule="auto"/>
        <w:jc w:val="both"/>
        <w:rPr>
          <w:rFonts w:ascii="Times New Roman" w:hAnsi="Times New Roman"/>
          <w:sz w:val="24"/>
          <w:szCs w:val="24"/>
        </w:rPr>
      </w:pPr>
      <w:r w:rsidRPr="00FF22DE">
        <w:rPr>
          <w:rFonts w:ascii="Times New Roman" w:hAnsi="Times New Roman"/>
          <w:sz w:val="24"/>
          <w:szCs w:val="24"/>
        </w:rPr>
        <w:t xml:space="preserve">Values are mean ± SD from duplicate readings.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w:t>
      </w:r>
      <w:r w:rsidR="00FE5836" w:rsidRPr="00FF22DE">
        <w:rPr>
          <w:rFonts w:ascii="Times New Roman" w:hAnsi="Times New Roman"/>
          <w:sz w:val="24"/>
          <w:szCs w:val="24"/>
        </w:rPr>
        <w:t>0</w:t>
      </w:r>
      <w:r w:rsidRPr="00FF22DE">
        <w:rPr>
          <w:rFonts w:ascii="Times New Roman" w:hAnsi="Times New Roman"/>
          <w:sz w:val="24"/>
          <w:szCs w:val="24"/>
        </w:rPr>
        <w:t>.05). BJT = black Jatropha tea; GJT = green Jatropha tea.</w:t>
      </w:r>
    </w:p>
    <w:p w14:paraId="7D0F7C32" w14:textId="77777777" w:rsidR="00143DEF" w:rsidRPr="00FF22DE" w:rsidRDefault="00143DEF" w:rsidP="00FF22DE">
      <w:pPr>
        <w:ind w:firstLine="720"/>
        <w:jc w:val="both"/>
        <w:rPr>
          <w:rFonts w:ascii="Times New Roman" w:hAnsi="Times New Roman"/>
          <w:b/>
          <w:sz w:val="24"/>
          <w:szCs w:val="24"/>
        </w:rPr>
      </w:pPr>
    </w:p>
    <w:p w14:paraId="561C8E09" w14:textId="77777777" w:rsidR="00235946" w:rsidRPr="00FF22DE" w:rsidRDefault="00A55CB9" w:rsidP="00A37ACD">
      <w:pPr>
        <w:jc w:val="both"/>
        <w:rPr>
          <w:rFonts w:ascii="Times New Roman" w:hAnsi="Times New Roman"/>
          <w:sz w:val="24"/>
          <w:szCs w:val="24"/>
        </w:rPr>
      </w:pPr>
      <w:r w:rsidRPr="00FF22DE">
        <w:rPr>
          <w:rFonts w:ascii="Times New Roman" w:hAnsi="Times New Roman"/>
          <w:sz w:val="24"/>
          <w:szCs w:val="24"/>
        </w:rPr>
        <w:t xml:space="preserve">Saponins, alkaloids, flavonoids, tannins and oxalates were detected in both samples.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0.05) occurred for all five measured groups. BJT had higher saponins, flavonoids, tannins and oxalates, whereas GJT had higher alkaloids.</w:t>
      </w:r>
    </w:p>
    <w:p w14:paraId="2081E37C" w14:textId="77777777" w:rsidR="00A77A18" w:rsidRPr="00FF22DE" w:rsidRDefault="00A55CB9" w:rsidP="00A37ACD">
      <w:pPr>
        <w:jc w:val="both"/>
        <w:rPr>
          <w:rFonts w:ascii="Times New Roman" w:hAnsi="Times New Roman"/>
          <w:sz w:val="24"/>
          <w:szCs w:val="24"/>
        </w:rPr>
      </w:pPr>
      <w:r w:rsidRPr="00FF22DE">
        <w:rPr>
          <w:rFonts w:ascii="Times New Roman" w:hAnsi="Times New Roman"/>
          <w:sz w:val="24"/>
          <w:szCs w:val="24"/>
        </w:rPr>
        <w:t xml:space="preserve">The saponin content ranged from 0.80 ± 0.14% in GJT to 1.85 ± 0.07% in BJT, with BJT showing significantly higher values (p ≤ 0.05). These values are comparable to those reported for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leaves by Nwachukwu (2018), who reported a saponin content of 1.62%, and </w:t>
      </w:r>
      <w:proofErr w:type="spellStart"/>
      <w:r w:rsidRPr="00FF22DE">
        <w:rPr>
          <w:rFonts w:ascii="Times New Roman" w:hAnsi="Times New Roman"/>
          <w:sz w:val="24"/>
          <w:szCs w:val="24"/>
        </w:rPr>
        <w:t>Ogunka-Nnoka</w:t>
      </w:r>
      <w:proofErr w:type="spellEnd"/>
      <w:r w:rsidRPr="00FF22DE">
        <w:rPr>
          <w:rFonts w:ascii="Times New Roman" w:hAnsi="Times New Roman"/>
          <w:sz w:val="24"/>
          <w:szCs w:val="24"/>
        </w:rPr>
        <w:t xml:space="preserve"> and Nwabueze (2019), who reported 1.74% in the leaf stalk of the plant. Saponins are naturally occurring glycosides widely distributed in leafy vegetables and medicinal plants and their stability and measured concentration can be affected</w:t>
      </w:r>
      <w:r w:rsidR="00455602" w:rsidRPr="00FF22DE">
        <w:rPr>
          <w:rFonts w:ascii="Times New Roman" w:hAnsi="Times New Roman"/>
          <w:sz w:val="24"/>
          <w:szCs w:val="24"/>
        </w:rPr>
        <w:t xml:space="preserve"> by processing (</w:t>
      </w:r>
      <w:proofErr w:type="spellStart"/>
      <w:r w:rsidR="00455602" w:rsidRPr="00FF22DE">
        <w:rPr>
          <w:rFonts w:ascii="Times New Roman" w:hAnsi="Times New Roman"/>
          <w:sz w:val="24"/>
          <w:szCs w:val="24"/>
        </w:rPr>
        <w:t>Timilsena</w:t>
      </w:r>
      <w:proofErr w:type="spellEnd"/>
      <w:r w:rsidR="00455602" w:rsidRPr="00FF22DE">
        <w:rPr>
          <w:rFonts w:ascii="Times New Roman" w:hAnsi="Times New Roman"/>
          <w:sz w:val="24"/>
          <w:szCs w:val="24"/>
        </w:rPr>
        <w:t xml:space="preserve"> et al., </w:t>
      </w:r>
      <w:r w:rsidRPr="00FF22DE">
        <w:rPr>
          <w:rFonts w:ascii="Times New Roman" w:hAnsi="Times New Roman"/>
          <w:sz w:val="24"/>
          <w:szCs w:val="24"/>
        </w:rPr>
        <w:t>2023).</w:t>
      </w:r>
      <w:r w:rsidR="00A77A18" w:rsidRPr="00FF22DE">
        <w:rPr>
          <w:rFonts w:ascii="Times New Roman" w:hAnsi="Times New Roman"/>
          <w:sz w:val="24"/>
          <w:szCs w:val="24"/>
        </w:rPr>
        <w:t xml:space="preserve"> The higher final value in BJT therefore indicates a different saponin profile after processing. Because </w:t>
      </w:r>
      <w:r w:rsidR="00A77A18" w:rsidRPr="00FF22DE">
        <w:rPr>
          <w:rFonts w:ascii="Times New Roman" w:hAnsi="Times New Roman"/>
          <w:sz w:val="24"/>
          <w:szCs w:val="24"/>
        </w:rPr>
        <w:lastRenderedPageBreak/>
        <w:t xml:space="preserve">intermediate stages were not </w:t>
      </w:r>
      <w:proofErr w:type="spellStart"/>
      <w:r w:rsidR="00A77A18" w:rsidRPr="00FF22DE">
        <w:rPr>
          <w:rFonts w:ascii="Times New Roman" w:hAnsi="Times New Roman"/>
          <w:sz w:val="24"/>
          <w:szCs w:val="24"/>
        </w:rPr>
        <w:t>analysed</w:t>
      </w:r>
      <w:proofErr w:type="spellEnd"/>
      <w:r w:rsidR="00A77A18" w:rsidRPr="00FF22DE">
        <w:rPr>
          <w:rFonts w:ascii="Times New Roman" w:hAnsi="Times New Roman"/>
          <w:sz w:val="24"/>
          <w:szCs w:val="24"/>
        </w:rPr>
        <w:t>, the result cannot establish whether oxidation caused formation, degradation, concentration or altered extractability of saponins.</w:t>
      </w:r>
    </w:p>
    <w:p w14:paraId="3200DB52" w14:textId="77777777" w:rsidR="00CF0028" w:rsidRPr="00FF22DE" w:rsidRDefault="00A77A18" w:rsidP="00A37ACD">
      <w:pPr>
        <w:jc w:val="both"/>
        <w:rPr>
          <w:rFonts w:ascii="Times New Roman" w:hAnsi="Times New Roman"/>
          <w:sz w:val="24"/>
          <w:szCs w:val="24"/>
        </w:rPr>
      </w:pPr>
      <w:r w:rsidRPr="00FF22DE">
        <w:rPr>
          <w:rFonts w:ascii="Times New Roman" w:hAnsi="Times New Roman"/>
          <w:sz w:val="24"/>
          <w:szCs w:val="24"/>
        </w:rPr>
        <w:t>Alkaloids differed in the opposite direction: GJT contained 3.85 ± 0.07%, compared with 2.40 ± 0.00% in BJT. Alkaloids are chemically diverse nitrogen-containing secondary metabolites, and their food significance depends on the individual compound present (</w:t>
      </w:r>
      <w:proofErr w:type="spellStart"/>
      <w:r w:rsidRPr="00FF22DE">
        <w:rPr>
          <w:rFonts w:ascii="Times New Roman" w:hAnsi="Times New Roman"/>
          <w:sz w:val="24"/>
          <w:szCs w:val="24"/>
        </w:rPr>
        <w:t>Akinboye</w:t>
      </w:r>
      <w:proofErr w:type="spellEnd"/>
      <w:r w:rsidRPr="00FF22DE">
        <w:rPr>
          <w:rFonts w:ascii="Times New Roman" w:hAnsi="Times New Roman"/>
          <w:sz w:val="24"/>
          <w:szCs w:val="24"/>
        </w:rPr>
        <w:t xml:space="preserve"> et al., 2023).</w:t>
      </w:r>
      <w:r w:rsidR="00CF0028" w:rsidRPr="00FF22DE">
        <w:rPr>
          <w:rFonts w:ascii="Times New Roman" w:hAnsi="Times New Roman"/>
          <w:sz w:val="24"/>
          <w:szCs w:val="24"/>
        </w:rPr>
        <w:t xml:space="preserve"> They are also known for their pharmacological activities including antimicrobial, analgesic, and anti-inflammatory effects. The higher GJT value shows that the processing treatments did not affect all phytochemical groups in the same direction. Since individual alkaloids were not identified, no conclusion can be made about the identity of the measured fraction.</w:t>
      </w:r>
    </w:p>
    <w:p w14:paraId="65EAB95F" w14:textId="77777777" w:rsidR="00CF0028" w:rsidRPr="00FF22DE" w:rsidRDefault="00CF0028" w:rsidP="00A37ACD">
      <w:pPr>
        <w:jc w:val="both"/>
        <w:rPr>
          <w:rFonts w:ascii="Times New Roman" w:hAnsi="Times New Roman"/>
          <w:sz w:val="24"/>
          <w:szCs w:val="24"/>
        </w:rPr>
      </w:pPr>
      <w:r w:rsidRPr="00FF22DE">
        <w:rPr>
          <w:rFonts w:ascii="Times New Roman" w:hAnsi="Times New Roman"/>
          <w:sz w:val="24"/>
          <w:szCs w:val="24"/>
        </w:rPr>
        <w:t>BJT had significantly higher flavonoids (12.15 ± 0.21%) than GJT (9.55 ± 0.07%). Flavonoids comprise a broad family of polyphenolic compounds that occur in different chemical forms, including glycosides and aglycones and are widely recognized for their strong antioxidant capacity and their ability to neutralize free radicals in biological systems (Li et al., 2024).</w:t>
      </w:r>
      <w:r w:rsidR="00EC56D5" w:rsidRPr="00FF22DE">
        <w:rPr>
          <w:rFonts w:ascii="Times New Roman" w:hAnsi="Times New Roman"/>
          <w:sz w:val="24"/>
          <w:szCs w:val="24"/>
        </w:rPr>
        <w:t xml:space="preserve"> These compounds are commonly associated with the health-promoting effects of tea beverages, including anti-inflammatory, cardioprotective, and anticancer properties (</w:t>
      </w:r>
      <w:proofErr w:type="spellStart"/>
      <w:r w:rsidR="00EC56D5" w:rsidRPr="00FF22DE">
        <w:rPr>
          <w:rFonts w:ascii="Times New Roman" w:hAnsi="Times New Roman"/>
          <w:sz w:val="24"/>
          <w:szCs w:val="24"/>
        </w:rPr>
        <w:t>Panche</w:t>
      </w:r>
      <w:proofErr w:type="spellEnd"/>
      <w:r w:rsidR="00EC56D5" w:rsidRPr="00FF22DE">
        <w:rPr>
          <w:rFonts w:ascii="Times New Roman" w:hAnsi="Times New Roman"/>
          <w:sz w:val="24"/>
          <w:szCs w:val="24"/>
        </w:rPr>
        <w:t xml:space="preserve">, Diwan, &amp; Chandra, 2016). The relatively high flavonoid content observed in both tea samples suggests that Jatropha </w:t>
      </w:r>
      <w:proofErr w:type="spellStart"/>
      <w:r w:rsidR="00EC56D5" w:rsidRPr="00FF22DE">
        <w:rPr>
          <w:rFonts w:ascii="Times New Roman" w:hAnsi="Times New Roman"/>
          <w:sz w:val="24"/>
          <w:szCs w:val="24"/>
        </w:rPr>
        <w:t>tanjorensis</w:t>
      </w:r>
      <w:proofErr w:type="spellEnd"/>
      <w:r w:rsidR="00EC56D5" w:rsidRPr="00FF22DE">
        <w:rPr>
          <w:rFonts w:ascii="Times New Roman" w:hAnsi="Times New Roman"/>
          <w:sz w:val="24"/>
          <w:szCs w:val="24"/>
        </w:rPr>
        <w:t xml:space="preserve"> leaf tea may serve as a good source of dietary antioxidants. Tea processing can alter phytochemical profiles in compound-specific ways (Wong et al., 2022; Aaqil et al., 2023); therefore, the higher BJT value indicates a difference in final composition but does not prove that oxidation generated a particular flavonoid.</w:t>
      </w:r>
    </w:p>
    <w:p w14:paraId="78D65085" w14:textId="77777777" w:rsidR="00EC56D5" w:rsidRPr="00FF22DE" w:rsidRDefault="00EC56D5" w:rsidP="00A37ACD">
      <w:pPr>
        <w:jc w:val="both"/>
        <w:rPr>
          <w:rFonts w:ascii="Times New Roman" w:hAnsi="Times New Roman"/>
          <w:sz w:val="24"/>
          <w:szCs w:val="24"/>
        </w:rPr>
      </w:pPr>
      <w:r w:rsidRPr="00FF22DE">
        <w:rPr>
          <w:rFonts w:ascii="Times New Roman" w:hAnsi="Times New Roman"/>
          <w:sz w:val="24"/>
          <w:szCs w:val="24"/>
        </w:rPr>
        <w:t xml:space="preserve">Tannin content was significantly higher in BJT (11.53 ± 0.21%) than in GJT (8.35 ± 0.21%). </w:t>
      </w:r>
      <w:r w:rsidR="00FA032C" w:rsidRPr="00FF22DE">
        <w:rPr>
          <w:rFonts w:ascii="Times New Roman" w:hAnsi="Times New Roman"/>
          <w:sz w:val="24"/>
          <w:szCs w:val="24"/>
        </w:rPr>
        <w:t xml:space="preserve">The higher tannin content recorded in the black tea sample may be associated with enzymatic oxidation of polyphenolic compounds during processing, leading to the formation of more complex tannin structures (Deka &amp; Vita, 2011). </w:t>
      </w:r>
      <w:r w:rsidRPr="00FF22DE">
        <w:rPr>
          <w:rFonts w:ascii="Times New Roman" w:hAnsi="Times New Roman"/>
          <w:sz w:val="24"/>
          <w:szCs w:val="24"/>
        </w:rPr>
        <w:t>Tannins are plant polyphenols that can interact with proteins and other food constituents and are relevant to beverage astringency (Chung et al., 1998). The higher tannin value in BJT is therefore nutritionally and sensorially relevant, but the present study cannot attribute the sensory response directly to tannins because taste and astringency were not chemically partitioned. The finding simply establishes that the two processing treatments produced different final tannin concentrations.</w:t>
      </w:r>
    </w:p>
    <w:p w14:paraId="50DBE471" w14:textId="77777777" w:rsidR="00CF0028" w:rsidRPr="00FF22DE" w:rsidRDefault="00EC56D5" w:rsidP="00A37ACD">
      <w:pPr>
        <w:spacing w:line="360" w:lineRule="auto"/>
        <w:jc w:val="both"/>
        <w:rPr>
          <w:rFonts w:ascii="Times New Roman" w:hAnsi="Times New Roman"/>
          <w:sz w:val="24"/>
          <w:szCs w:val="24"/>
        </w:rPr>
      </w:pPr>
      <w:r w:rsidRPr="00FF22DE">
        <w:rPr>
          <w:rFonts w:ascii="Times New Roman" w:hAnsi="Times New Roman"/>
          <w:sz w:val="24"/>
          <w:szCs w:val="24"/>
        </w:rPr>
        <w:t>Oxalate content showed the largest relative difference among the phytochemicals, increasing from 0.50 ± 0.00 % in GJT to 3.05 ± 0.07% in BJT.</w:t>
      </w:r>
      <w:r w:rsidR="00FA032C" w:rsidRPr="00FF22DE">
        <w:rPr>
          <w:rFonts w:ascii="Times New Roman" w:hAnsi="Times New Roman"/>
          <w:sz w:val="24"/>
          <w:szCs w:val="24"/>
        </w:rPr>
        <w:t xml:space="preserve"> These values are comparable to those reported by Nwachukwu (2018), who reported an oxalate content of 2.80% in </w:t>
      </w:r>
      <w:r w:rsidR="00FA032C" w:rsidRPr="00FF22DE">
        <w:rPr>
          <w:rFonts w:ascii="Times New Roman" w:hAnsi="Times New Roman"/>
          <w:i/>
          <w:sz w:val="24"/>
          <w:szCs w:val="24"/>
        </w:rPr>
        <w:t xml:space="preserve">Jatropha </w:t>
      </w:r>
      <w:proofErr w:type="spellStart"/>
      <w:r w:rsidR="00FA032C" w:rsidRPr="00FF22DE">
        <w:rPr>
          <w:rFonts w:ascii="Times New Roman" w:hAnsi="Times New Roman"/>
          <w:i/>
          <w:sz w:val="24"/>
          <w:szCs w:val="24"/>
        </w:rPr>
        <w:t>tanjorensis</w:t>
      </w:r>
      <w:proofErr w:type="spellEnd"/>
      <w:r w:rsidR="00FA032C" w:rsidRPr="00FF22DE">
        <w:rPr>
          <w:rFonts w:ascii="Times New Roman" w:hAnsi="Times New Roman"/>
          <w:sz w:val="24"/>
          <w:szCs w:val="24"/>
        </w:rPr>
        <w:t xml:space="preserve"> leaves. Oxalate is an antinutrient occurring particularly in leafy plant foods and can interact with minera</w:t>
      </w:r>
      <w:r w:rsidR="00110754" w:rsidRPr="00FF22DE">
        <w:rPr>
          <w:rFonts w:ascii="Times New Roman" w:hAnsi="Times New Roman"/>
          <w:sz w:val="24"/>
          <w:szCs w:val="24"/>
        </w:rPr>
        <w:t>ls under some conditions (Salgado</w:t>
      </w:r>
      <w:r w:rsidR="00FA032C" w:rsidRPr="00FF22DE">
        <w:rPr>
          <w:rFonts w:ascii="Times New Roman" w:hAnsi="Times New Roman"/>
          <w:sz w:val="24"/>
          <w:szCs w:val="24"/>
        </w:rPr>
        <w:t xml:space="preserve"> et al., 2023). The higher BJT value is therefore an important compositional distinction.</w:t>
      </w:r>
    </w:p>
    <w:p w14:paraId="1ED7B312" w14:textId="77777777" w:rsidR="00A0671E" w:rsidRPr="00FF22DE" w:rsidRDefault="00FA032C" w:rsidP="00A37ACD">
      <w:pPr>
        <w:spacing w:after="0" w:line="360" w:lineRule="auto"/>
        <w:jc w:val="both"/>
        <w:rPr>
          <w:rFonts w:ascii="Times New Roman" w:hAnsi="Times New Roman"/>
          <w:sz w:val="24"/>
          <w:szCs w:val="24"/>
        </w:rPr>
      </w:pPr>
      <w:r w:rsidRPr="00FF22DE">
        <w:rPr>
          <w:rFonts w:ascii="Times New Roman" w:hAnsi="Times New Roman"/>
          <w:sz w:val="24"/>
          <w:szCs w:val="24"/>
        </w:rPr>
        <w:lastRenderedPageBreak/>
        <w:t xml:space="preserve">Overall, the phytochemical profile of both green and black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teas demonstrates the presence of beneficial bioactive compounds with potential health-promoting properties.</w:t>
      </w:r>
      <w:r w:rsidR="00A0671E" w:rsidRPr="00FF22DE">
        <w:rPr>
          <w:rFonts w:ascii="Times New Roman" w:hAnsi="Times New Roman"/>
          <w:sz w:val="24"/>
          <w:szCs w:val="24"/>
        </w:rPr>
        <w:t xml:space="preserve"> Reviews of tea processing similarly show that processing can produce different responses among phytochemical classes (Wong et al., 2022; Aaqil et al., 2023). The present results therefore establish distinct final phytochemical profiles between the two </w:t>
      </w:r>
      <w:r w:rsidR="00A0671E" w:rsidRPr="00FF22DE">
        <w:rPr>
          <w:rFonts w:ascii="Times New Roman" w:eastAsia="Arial" w:hAnsi="Times New Roman"/>
          <w:i/>
          <w:sz w:val="24"/>
          <w:szCs w:val="24"/>
        </w:rPr>
        <w:t xml:space="preserve">J. </w:t>
      </w:r>
      <w:proofErr w:type="spellStart"/>
      <w:r w:rsidR="00A0671E" w:rsidRPr="00FF22DE">
        <w:rPr>
          <w:rFonts w:ascii="Times New Roman" w:eastAsia="Arial" w:hAnsi="Times New Roman"/>
          <w:i/>
          <w:sz w:val="24"/>
          <w:szCs w:val="24"/>
        </w:rPr>
        <w:t>tanjorensis</w:t>
      </w:r>
      <w:proofErr w:type="spellEnd"/>
      <w:r w:rsidR="00A0671E" w:rsidRPr="00FF22DE">
        <w:rPr>
          <w:rFonts w:ascii="Times New Roman" w:hAnsi="Times New Roman"/>
          <w:sz w:val="24"/>
          <w:szCs w:val="24"/>
        </w:rPr>
        <w:t xml:space="preserve"> teas, without identifying the precise biochemical changes at each processing stage. These findings further support the potential of Jatropha </w:t>
      </w:r>
      <w:proofErr w:type="spellStart"/>
      <w:r w:rsidR="00A0671E" w:rsidRPr="00FF22DE">
        <w:rPr>
          <w:rFonts w:ascii="Times New Roman" w:hAnsi="Times New Roman"/>
          <w:sz w:val="24"/>
          <w:szCs w:val="24"/>
        </w:rPr>
        <w:t>tanjorensis</w:t>
      </w:r>
      <w:proofErr w:type="spellEnd"/>
      <w:r w:rsidR="00A0671E" w:rsidRPr="00FF22DE">
        <w:rPr>
          <w:rFonts w:ascii="Times New Roman" w:hAnsi="Times New Roman"/>
          <w:sz w:val="24"/>
          <w:szCs w:val="24"/>
        </w:rPr>
        <w:t xml:space="preserve"> leaves as a valuable raw material for the production of functional herbal teas.</w:t>
      </w:r>
    </w:p>
    <w:p w14:paraId="53FD8238" w14:textId="77777777" w:rsidR="0011154B" w:rsidRPr="00FF22DE" w:rsidRDefault="0011154B" w:rsidP="00A37ACD">
      <w:pPr>
        <w:spacing w:after="0" w:line="360" w:lineRule="auto"/>
        <w:jc w:val="both"/>
        <w:rPr>
          <w:rFonts w:ascii="Times New Roman" w:hAnsi="Times New Roman"/>
          <w:sz w:val="24"/>
          <w:szCs w:val="24"/>
        </w:rPr>
      </w:pPr>
    </w:p>
    <w:p w14:paraId="3F797F87" w14:textId="77777777" w:rsidR="0011154B" w:rsidRPr="00541747" w:rsidRDefault="0011154B"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t xml:space="preserve">3.2 Selected micronutrient composition (%)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w:t>
      </w:r>
    </w:p>
    <w:p w14:paraId="331E2813" w14:textId="77777777" w:rsidR="00541747" w:rsidRDefault="0011154B" w:rsidP="00A37ACD">
      <w:pPr>
        <w:jc w:val="both"/>
        <w:rPr>
          <w:rFonts w:ascii="Times New Roman" w:hAnsi="Times New Roman"/>
          <w:sz w:val="24"/>
          <w:szCs w:val="24"/>
        </w:rPr>
      </w:pPr>
      <w:r w:rsidRPr="00541747">
        <w:rPr>
          <w:rFonts w:ascii="Times New Roman" w:hAnsi="Times New Roman"/>
          <w:sz w:val="24"/>
          <w:szCs w:val="24"/>
        </w:rPr>
        <w:t xml:space="preserve">The vitamin C, iron and zinc contents are presented in Table 2. GJT recorded significantly higher values of all three micronutrients than BJT (P </w:t>
      </w:r>
      <w:r w:rsidRPr="00541747">
        <w:rPr>
          <w:rFonts w:ascii="Times New Roman" w:eastAsia="Segoe UI Symbol" w:hAnsi="Times New Roman"/>
          <w:sz w:val="24"/>
          <w:szCs w:val="24"/>
        </w:rPr>
        <w:t>≤</w:t>
      </w:r>
      <w:r w:rsidRPr="00541747">
        <w:rPr>
          <w:rFonts w:ascii="Times New Roman" w:hAnsi="Times New Roman"/>
          <w:sz w:val="24"/>
          <w:szCs w:val="24"/>
        </w:rPr>
        <w:t xml:space="preserve"> </w:t>
      </w:r>
      <w:r w:rsidR="00B6008C" w:rsidRPr="00541747">
        <w:rPr>
          <w:rFonts w:ascii="Times New Roman" w:hAnsi="Times New Roman"/>
          <w:sz w:val="24"/>
          <w:szCs w:val="24"/>
        </w:rPr>
        <w:t>0</w:t>
      </w:r>
      <w:r w:rsidRPr="00541747">
        <w:rPr>
          <w:rFonts w:ascii="Times New Roman" w:hAnsi="Times New Roman"/>
          <w:sz w:val="24"/>
          <w:szCs w:val="24"/>
        </w:rPr>
        <w:t>.05).</w:t>
      </w:r>
    </w:p>
    <w:p w14:paraId="26F42610" w14:textId="77777777" w:rsidR="00541747" w:rsidRPr="00541747" w:rsidRDefault="00541747" w:rsidP="00A37ACD">
      <w:pPr>
        <w:jc w:val="both"/>
        <w:rPr>
          <w:rFonts w:ascii="Times New Roman" w:hAnsi="Times New Roman"/>
          <w:sz w:val="24"/>
          <w:szCs w:val="24"/>
        </w:rPr>
      </w:pPr>
    </w:p>
    <w:p w14:paraId="7F650063" w14:textId="77777777" w:rsidR="0011154B" w:rsidRPr="00541747" w:rsidRDefault="0011154B"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t xml:space="preserve">Table 2. Selected micronutrient composition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w:t>
      </w:r>
    </w:p>
    <w:tbl>
      <w:tblPr>
        <w:tblW w:w="6375" w:type="dxa"/>
        <w:tblBorders>
          <w:top w:val="single" w:sz="4" w:space="0" w:color="auto"/>
          <w:bottom w:val="single" w:sz="4" w:space="0" w:color="auto"/>
        </w:tblBorders>
        <w:tblLook w:val="04A0" w:firstRow="1" w:lastRow="0" w:firstColumn="1" w:lastColumn="0" w:noHBand="0" w:noVBand="1"/>
      </w:tblPr>
      <w:tblGrid>
        <w:gridCol w:w="1129"/>
        <w:gridCol w:w="1418"/>
        <w:gridCol w:w="1843"/>
        <w:gridCol w:w="1985"/>
      </w:tblGrid>
      <w:tr w:rsidR="0011154B" w:rsidRPr="00FF22DE" w14:paraId="270A4A60" w14:textId="77777777" w:rsidTr="0011154B">
        <w:trPr>
          <w:trHeight w:val="300"/>
        </w:trPr>
        <w:tc>
          <w:tcPr>
            <w:tcW w:w="1129" w:type="dxa"/>
            <w:tcBorders>
              <w:top w:val="single" w:sz="4" w:space="0" w:color="auto"/>
              <w:bottom w:val="single" w:sz="4" w:space="0" w:color="auto"/>
            </w:tcBorders>
            <w:noWrap/>
            <w:vAlign w:val="center"/>
            <w:hideMark/>
          </w:tcPr>
          <w:p w14:paraId="60CCC83B" w14:textId="77777777" w:rsidR="0011154B" w:rsidRPr="00FF22DE" w:rsidRDefault="0011154B" w:rsidP="00A37ACD">
            <w:pPr>
              <w:spacing w:line="360" w:lineRule="auto"/>
              <w:jc w:val="both"/>
              <w:rPr>
                <w:rFonts w:ascii="Times New Roman" w:hAnsi="Times New Roman"/>
                <w:b/>
                <w:sz w:val="24"/>
                <w:szCs w:val="24"/>
              </w:rPr>
            </w:pPr>
            <w:bookmarkStart w:id="4" w:name="_Hlk223427819"/>
            <w:r w:rsidRPr="00FF22DE">
              <w:rPr>
                <w:rFonts w:ascii="Times New Roman" w:hAnsi="Times New Roman"/>
                <w:b/>
                <w:sz w:val="24"/>
                <w:szCs w:val="24"/>
              </w:rPr>
              <w:t>Sample</w:t>
            </w:r>
          </w:p>
        </w:tc>
        <w:tc>
          <w:tcPr>
            <w:tcW w:w="1418" w:type="dxa"/>
            <w:tcBorders>
              <w:top w:val="single" w:sz="4" w:space="0" w:color="auto"/>
              <w:bottom w:val="single" w:sz="4" w:space="0" w:color="auto"/>
            </w:tcBorders>
            <w:noWrap/>
            <w:vAlign w:val="center"/>
            <w:hideMark/>
          </w:tcPr>
          <w:p w14:paraId="2B2A596D"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Vit C (mg/100 g)</w:t>
            </w:r>
          </w:p>
        </w:tc>
        <w:tc>
          <w:tcPr>
            <w:tcW w:w="1843" w:type="dxa"/>
            <w:tcBorders>
              <w:top w:val="single" w:sz="4" w:space="0" w:color="auto"/>
              <w:bottom w:val="single" w:sz="4" w:space="0" w:color="auto"/>
            </w:tcBorders>
            <w:noWrap/>
            <w:vAlign w:val="center"/>
            <w:hideMark/>
          </w:tcPr>
          <w:p w14:paraId="12B563D9"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Zinc (mg/100 g)</w:t>
            </w:r>
          </w:p>
        </w:tc>
        <w:tc>
          <w:tcPr>
            <w:tcW w:w="1985" w:type="dxa"/>
            <w:tcBorders>
              <w:top w:val="single" w:sz="4" w:space="0" w:color="auto"/>
              <w:bottom w:val="single" w:sz="4" w:space="0" w:color="auto"/>
            </w:tcBorders>
            <w:noWrap/>
            <w:vAlign w:val="center"/>
            <w:hideMark/>
          </w:tcPr>
          <w:p w14:paraId="53C4269D" w14:textId="77777777" w:rsidR="0011154B" w:rsidRPr="00FF22DE" w:rsidRDefault="0011154B" w:rsidP="00A37ACD">
            <w:pPr>
              <w:spacing w:line="360" w:lineRule="auto"/>
              <w:jc w:val="both"/>
              <w:rPr>
                <w:rFonts w:ascii="Times New Roman" w:hAnsi="Times New Roman"/>
                <w:b/>
                <w:sz w:val="24"/>
                <w:szCs w:val="24"/>
              </w:rPr>
            </w:pPr>
            <w:r w:rsidRPr="00FF22DE">
              <w:rPr>
                <w:rFonts w:ascii="Times New Roman" w:hAnsi="Times New Roman"/>
                <w:b/>
                <w:sz w:val="24"/>
                <w:szCs w:val="24"/>
              </w:rPr>
              <w:t>Iron (mg/100 g)</w:t>
            </w:r>
          </w:p>
        </w:tc>
      </w:tr>
      <w:tr w:rsidR="0011154B" w:rsidRPr="00FF22DE" w14:paraId="101FED1A" w14:textId="77777777" w:rsidTr="0011154B">
        <w:trPr>
          <w:trHeight w:val="300"/>
        </w:trPr>
        <w:tc>
          <w:tcPr>
            <w:tcW w:w="1129" w:type="dxa"/>
            <w:tcBorders>
              <w:top w:val="single" w:sz="4" w:space="0" w:color="auto"/>
            </w:tcBorders>
            <w:noWrap/>
            <w:vAlign w:val="center"/>
            <w:hideMark/>
          </w:tcPr>
          <w:p w14:paraId="50D40995" w14:textId="77777777" w:rsidR="0011154B" w:rsidRPr="00FF22DE" w:rsidRDefault="0011154B" w:rsidP="00A37ACD">
            <w:pPr>
              <w:spacing w:line="360" w:lineRule="auto"/>
              <w:jc w:val="both"/>
              <w:rPr>
                <w:rFonts w:ascii="Times New Roman" w:hAnsi="Times New Roman"/>
                <w:sz w:val="24"/>
                <w:szCs w:val="24"/>
              </w:rPr>
            </w:pPr>
          </w:p>
          <w:p w14:paraId="7180889F"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BJT</w:t>
            </w:r>
          </w:p>
        </w:tc>
        <w:tc>
          <w:tcPr>
            <w:tcW w:w="1418" w:type="dxa"/>
            <w:tcBorders>
              <w:top w:val="single" w:sz="4" w:space="0" w:color="auto"/>
            </w:tcBorders>
            <w:noWrap/>
            <w:hideMark/>
          </w:tcPr>
          <w:p w14:paraId="6B062063" w14:textId="77777777" w:rsidR="0011154B" w:rsidRPr="00FF22DE" w:rsidRDefault="0011154B" w:rsidP="00A37ACD">
            <w:pPr>
              <w:spacing w:line="360" w:lineRule="auto"/>
              <w:jc w:val="both"/>
              <w:rPr>
                <w:rFonts w:ascii="Times New Roman" w:hAnsi="Times New Roman"/>
                <w:sz w:val="24"/>
                <w:szCs w:val="24"/>
              </w:rPr>
            </w:pPr>
          </w:p>
          <w:p w14:paraId="65157411"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12.54 ±0.04</w:t>
            </w:r>
            <w:r w:rsidRPr="00FF22DE">
              <w:rPr>
                <w:rFonts w:ascii="Times New Roman" w:hAnsi="Times New Roman"/>
                <w:sz w:val="24"/>
                <w:szCs w:val="24"/>
                <w:vertAlign w:val="superscript"/>
              </w:rPr>
              <w:t xml:space="preserve"> b</w:t>
            </w:r>
          </w:p>
        </w:tc>
        <w:tc>
          <w:tcPr>
            <w:tcW w:w="1843" w:type="dxa"/>
            <w:tcBorders>
              <w:top w:val="single" w:sz="4" w:space="0" w:color="auto"/>
            </w:tcBorders>
            <w:noWrap/>
            <w:hideMark/>
          </w:tcPr>
          <w:p w14:paraId="0312A4FE" w14:textId="77777777" w:rsidR="0011154B" w:rsidRPr="00FF22DE" w:rsidRDefault="0011154B" w:rsidP="00A37ACD">
            <w:pPr>
              <w:spacing w:line="360" w:lineRule="auto"/>
              <w:jc w:val="both"/>
              <w:rPr>
                <w:rFonts w:ascii="Times New Roman" w:hAnsi="Times New Roman"/>
                <w:sz w:val="24"/>
                <w:szCs w:val="24"/>
              </w:rPr>
            </w:pPr>
          </w:p>
          <w:p w14:paraId="7D505E90"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0.1169 ± 0.01</w:t>
            </w:r>
            <w:r w:rsidRPr="00FF22DE">
              <w:rPr>
                <w:rFonts w:ascii="Times New Roman" w:hAnsi="Times New Roman"/>
                <w:sz w:val="24"/>
                <w:szCs w:val="24"/>
                <w:vertAlign w:val="superscript"/>
              </w:rPr>
              <w:t xml:space="preserve"> b</w:t>
            </w:r>
          </w:p>
        </w:tc>
        <w:tc>
          <w:tcPr>
            <w:tcW w:w="1985" w:type="dxa"/>
            <w:tcBorders>
              <w:top w:val="single" w:sz="4" w:space="0" w:color="auto"/>
            </w:tcBorders>
            <w:noWrap/>
            <w:hideMark/>
          </w:tcPr>
          <w:p w14:paraId="0F48C6A9" w14:textId="77777777" w:rsidR="0011154B" w:rsidRPr="00FF22DE" w:rsidRDefault="0011154B" w:rsidP="00A37ACD">
            <w:pPr>
              <w:spacing w:line="360" w:lineRule="auto"/>
              <w:jc w:val="both"/>
              <w:rPr>
                <w:rFonts w:ascii="Times New Roman" w:hAnsi="Times New Roman"/>
                <w:sz w:val="24"/>
                <w:szCs w:val="24"/>
              </w:rPr>
            </w:pPr>
          </w:p>
          <w:p w14:paraId="75F9EDAD"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1.2226 ± 0.01</w:t>
            </w:r>
            <w:r w:rsidRPr="00FF22DE">
              <w:rPr>
                <w:rFonts w:ascii="Times New Roman" w:hAnsi="Times New Roman"/>
                <w:sz w:val="24"/>
                <w:szCs w:val="24"/>
                <w:vertAlign w:val="superscript"/>
              </w:rPr>
              <w:t xml:space="preserve"> b</w:t>
            </w:r>
          </w:p>
        </w:tc>
      </w:tr>
      <w:tr w:rsidR="0011154B" w:rsidRPr="00FF22DE" w14:paraId="16DF1538" w14:textId="77777777" w:rsidTr="0011154B">
        <w:trPr>
          <w:trHeight w:val="300"/>
        </w:trPr>
        <w:tc>
          <w:tcPr>
            <w:tcW w:w="1129" w:type="dxa"/>
            <w:noWrap/>
            <w:vAlign w:val="center"/>
            <w:hideMark/>
          </w:tcPr>
          <w:p w14:paraId="33D7BD9C" w14:textId="77777777" w:rsidR="0011154B" w:rsidRPr="00FF22DE" w:rsidRDefault="0011154B" w:rsidP="00A37ACD">
            <w:pPr>
              <w:spacing w:line="360" w:lineRule="auto"/>
              <w:jc w:val="both"/>
              <w:rPr>
                <w:rFonts w:ascii="Times New Roman" w:hAnsi="Times New Roman"/>
                <w:sz w:val="24"/>
                <w:szCs w:val="24"/>
              </w:rPr>
            </w:pPr>
          </w:p>
          <w:p w14:paraId="7691E83A"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GJT</w:t>
            </w:r>
          </w:p>
        </w:tc>
        <w:tc>
          <w:tcPr>
            <w:tcW w:w="1418" w:type="dxa"/>
            <w:noWrap/>
            <w:hideMark/>
          </w:tcPr>
          <w:p w14:paraId="5687021D" w14:textId="77777777" w:rsidR="0011154B" w:rsidRPr="00FF22DE" w:rsidRDefault="0011154B" w:rsidP="00A37ACD">
            <w:pPr>
              <w:spacing w:line="360" w:lineRule="auto"/>
              <w:jc w:val="both"/>
              <w:rPr>
                <w:rFonts w:ascii="Times New Roman" w:hAnsi="Times New Roman"/>
                <w:sz w:val="24"/>
                <w:szCs w:val="24"/>
              </w:rPr>
            </w:pPr>
          </w:p>
          <w:p w14:paraId="1468F4EB"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19.07± 0.14</w:t>
            </w:r>
            <w:r w:rsidRPr="00FF22DE">
              <w:rPr>
                <w:rFonts w:ascii="Times New Roman" w:hAnsi="Times New Roman"/>
                <w:sz w:val="24"/>
                <w:szCs w:val="24"/>
                <w:vertAlign w:val="superscript"/>
              </w:rPr>
              <w:t>a</w:t>
            </w:r>
          </w:p>
        </w:tc>
        <w:tc>
          <w:tcPr>
            <w:tcW w:w="1843" w:type="dxa"/>
            <w:noWrap/>
            <w:hideMark/>
          </w:tcPr>
          <w:p w14:paraId="1988A1CE" w14:textId="77777777" w:rsidR="0011154B" w:rsidRPr="00FF22DE" w:rsidRDefault="0011154B" w:rsidP="00A37ACD">
            <w:pPr>
              <w:spacing w:line="360" w:lineRule="auto"/>
              <w:jc w:val="both"/>
              <w:rPr>
                <w:rFonts w:ascii="Times New Roman" w:hAnsi="Times New Roman"/>
                <w:sz w:val="24"/>
                <w:szCs w:val="24"/>
              </w:rPr>
            </w:pPr>
          </w:p>
          <w:p w14:paraId="29B42BC9"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0.1689 ±0.01</w:t>
            </w:r>
            <w:r w:rsidRPr="00FF22DE">
              <w:rPr>
                <w:rFonts w:ascii="Times New Roman" w:hAnsi="Times New Roman"/>
                <w:sz w:val="24"/>
                <w:szCs w:val="24"/>
                <w:vertAlign w:val="superscript"/>
              </w:rPr>
              <w:t xml:space="preserve"> a</w:t>
            </w:r>
          </w:p>
        </w:tc>
        <w:tc>
          <w:tcPr>
            <w:tcW w:w="1985" w:type="dxa"/>
            <w:noWrap/>
            <w:hideMark/>
          </w:tcPr>
          <w:p w14:paraId="00009098" w14:textId="77777777" w:rsidR="0011154B" w:rsidRPr="00FF22DE" w:rsidRDefault="0011154B" w:rsidP="00A37ACD">
            <w:pPr>
              <w:spacing w:line="360" w:lineRule="auto"/>
              <w:jc w:val="both"/>
              <w:rPr>
                <w:rFonts w:ascii="Times New Roman" w:hAnsi="Times New Roman"/>
                <w:sz w:val="24"/>
                <w:szCs w:val="24"/>
              </w:rPr>
            </w:pPr>
          </w:p>
          <w:p w14:paraId="30B7D124" w14:textId="77777777" w:rsidR="0011154B" w:rsidRPr="00FF22DE" w:rsidRDefault="0011154B" w:rsidP="00A37ACD">
            <w:pPr>
              <w:spacing w:line="360" w:lineRule="auto"/>
              <w:jc w:val="both"/>
              <w:rPr>
                <w:rFonts w:ascii="Times New Roman" w:hAnsi="Times New Roman"/>
                <w:sz w:val="24"/>
                <w:szCs w:val="24"/>
              </w:rPr>
            </w:pPr>
            <w:r w:rsidRPr="00FF22DE">
              <w:rPr>
                <w:rFonts w:ascii="Times New Roman" w:hAnsi="Times New Roman"/>
                <w:sz w:val="24"/>
                <w:szCs w:val="24"/>
              </w:rPr>
              <w:t>1.723 ± 0.02</w:t>
            </w:r>
            <w:r w:rsidRPr="00FF22DE">
              <w:rPr>
                <w:rFonts w:ascii="Times New Roman" w:hAnsi="Times New Roman"/>
                <w:sz w:val="24"/>
                <w:szCs w:val="24"/>
                <w:vertAlign w:val="superscript"/>
              </w:rPr>
              <w:t xml:space="preserve"> a</w:t>
            </w:r>
          </w:p>
        </w:tc>
      </w:tr>
    </w:tbl>
    <w:bookmarkEnd w:id="4"/>
    <w:p w14:paraId="073DBD05" w14:textId="77777777" w:rsidR="00B6008C" w:rsidRPr="00FF22DE" w:rsidRDefault="00B6008C" w:rsidP="00A37ACD">
      <w:pPr>
        <w:spacing w:after="170" w:line="252" w:lineRule="auto"/>
        <w:jc w:val="both"/>
        <w:rPr>
          <w:rFonts w:ascii="Times New Roman" w:hAnsi="Times New Roman"/>
          <w:sz w:val="24"/>
          <w:szCs w:val="24"/>
        </w:rPr>
      </w:pPr>
      <w:r w:rsidRPr="00FF22DE">
        <w:rPr>
          <w:rFonts w:ascii="Times New Roman" w:hAnsi="Times New Roman"/>
          <w:sz w:val="24"/>
          <w:szCs w:val="24"/>
        </w:rPr>
        <w:t xml:space="preserve">Values are mean ± SD.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0.05). BJT = black </w:t>
      </w:r>
      <w:r w:rsidRPr="00FF22DE">
        <w:rPr>
          <w:rFonts w:ascii="Times New Roman" w:hAnsi="Times New Roman"/>
          <w:i/>
          <w:sz w:val="24"/>
          <w:szCs w:val="24"/>
        </w:rPr>
        <w:t>Jatropha</w:t>
      </w:r>
      <w:r w:rsidRPr="00FF22DE">
        <w:rPr>
          <w:rFonts w:ascii="Times New Roman" w:hAnsi="Times New Roman"/>
          <w:sz w:val="24"/>
          <w:szCs w:val="24"/>
        </w:rPr>
        <w:t xml:space="preserve"> tea; GJT = green </w:t>
      </w:r>
      <w:r w:rsidRPr="00FF22DE">
        <w:rPr>
          <w:rFonts w:ascii="Times New Roman" w:hAnsi="Times New Roman"/>
          <w:i/>
          <w:sz w:val="24"/>
          <w:szCs w:val="24"/>
        </w:rPr>
        <w:t>Jatropha</w:t>
      </w:r>
      <w:r w:rsidRPr="00FF22DE">
        <w:rPr>
          <w:rFonts w:ascii="Times New Roman" w:hAnsi="Times New Roman"/>
          <w:sz w:val="24"/>
          <w:szCs w:val="24"/>
        </w:rPr>
        <w:t xml:space="preserve"> tea.</w:t>
      </w:r>
    </w:p>
    <w:p w14:paraId="66891AB7" w14:textId="77777777" w:rsidR="00FB1DE2" w:rsidRPr="00FF22DE" w:rsidRDefault="00FB1DE2" w:rsidP="00A37ACD">
      <w:pPr>
        <w:spacing w:after="170" w:line="252" w:lineRule="auto"/>
        <w:jc w:val="both"/>
        <w:rPr>
          <w:rFonts w:ascii="Times New Roman" w:hAnsi="Times New Roman"/>
          <w:sz w:val="24"/>
          <w:szCs w:val="24"/>
        </w:rPr>
      </w:pPr>
    </w:p>
    <w:p w14:paraId="34D2DDA3" w14:textId="77777777" w:rsidR="00FB1DE2" w:rsidRPr="00FF22DE" w:rsidRDefault="00FB1DE2" w:rsidP="00A37ACD">
      <w:pPr>
        <w:spacing w:after="0" w:line="360" w:lineRule="auto"/>
        <w:jc w:val="both"/>
        <w:rPr>
          <w:rFonts w:ascii="Times New Roman" w:hAnsi="Times New Roman"/>
          <w:sz w:val="24"/>
          <w:szCs w:val="24"/>
        </w:rPr>
      </w:pPr>
      <w:r w:rsidRPr="00FF22DE">
        <w:rPr>
          <w:rFonts w:ascii="Times New Roman" w:hAnsi="Times New Roman"/>
          <w:sz w:val="24"/>
          <w:szCs w:val="24"/>
        </w:rPr>
        <w:t xml:space="preserve">Vitamin C content was significantly higher in GJT (19.07 ± 0.14 mg/100 g) compared to BJT (12.54 ± 0.04 mg/100 g). The markedly higher vitamin C level in the green tea sample may be </w:t>
      </w:r>
      <w:r w:rsidRPr="00FF22DE">
        <w:rPr>
          <w:rFonts w:ascii="Times New Roman" w:hAnsi="Times New Roman"/>
          <w:sz w:val="24"/>
          <w:szCs w:val="24"/>
        </w:rPr>
        <w:lastRenderedPageBreak/>
        <w:t>attributed to minimal processing, which helps preserve heat-labile nutrients such as ascorbic acid. Processing steps involved in black tea production often include oxidation, rolling, and drying, which can accelerate degradation of heat‑ and oxidation‑sensitive nutrients such as vitamin C and certain polyphenols, resulting in measurable losses compared with less processed teas (Aaqil et al., 2023).  Vitamin C is an important antioxidant that plays a crucial role in immune function and also enhances the absorption of non-heme iron in the human body (Carr &amp; Maggini, 2017). The high vitamin C content observed in GJT therefore suggests that the tea may contribute significantly to dietary antioxidant intake and improved mineral bioavailability.</w:t>
      </w:r>
    </w:p>
    <w:p w14:paraId="188D730F" w14:textId="77777777" w:rsidR="00FB1DE2" w:rsidRPr="00FF22DE" w:rsidRDefault="00FB1DE2" w:rsidP="00A37ACD">
      <w:pPr>
        <w:spacing w:after="0" w:line="360" w:lineRule="auto"/>
        <w:jc w:val="both"/>
        <w:rPr>
          <w:rFonts w:ascii="Times New Roman" w:hAnsi="Times New Roman"/>
          <w:sz w:val="24"/>
          <w:szCs w:val="24"/>
        </w:rPr>
      </w:pPr>
    </w:p>
    <w:p w14:paraId="0583CCD0" w14:textId="77777777" w:rsidR="00FB1DE2" w:rsidRPr="00FF22DE" w:rsidRDefault="00FB1DE2"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Iron was significantly higher in GJT (1.72 ± 0.02 mg/100 g) than BJT (1.22 ± 0.01 mg/100 g). Because iron is a mineral element, the difference should not simply be described as thermal destruction. It may instead reflect differences in processed material composition, concentration or analytical extractability. The detection of iron is consistent with previous mineral characterization of </w:t>
      </w:r>
      <w:r w:rsidRPr="00FF22DE">
        <w:rPr>
          <w:rFonts w:ascii="Times New Roman" w:eastAsia="Arial" w:hAnsi="Times New Roman"/>
          <w:i/>
          <w:sz w:val="24"/>
          <w:szCs w:val="24"/>
        </w:rPr>
        <w:t xml:space="preserve">J. </w:t>
      </w:r>
      <w:proofErr w:type="spellStart"/>
      <w:r w:rsidRPr="00FF22DE">
        <w:rPr>
          <w:rFonts w:ascii="Times New Roman" w:eastAsia="Arial" w:hAnsi="Times New Roman"/>
          <w:i/>
          <w:sz w:val="24"/>
          <w:szCs w:val="24"/>
        </w:rPr>
        <w:t>tanjorensis</w:t>
      </w:r>
      <w:proofErr w:type="spellEnd"/>
      <w:r w:rsidRPr="00FF22DE">
        <w:rPr>
          <w:rFonts w:ascii="Times New Roman" w:hAnsi="Times New Roman"/>
          <w:sz w:val="24"/>
          <w:szCs w:val="24"/>
        </w:rPr>
        <w:t xml:space="preserve"> leaves (</w:t>
      </w:r>
      <w:proofErr w:type="spellStart"/>
      <w:r w:rsidRPr="00FF22DE">
        <w:rPr>
          <w:rFonts w:ascii="Times New Roman" w:hAnsi="Times New Roman"/>
          <w:sz w:val="24"/>
          <w:szCs w:val="24"/>
        </w:rPr>
        <w:t>Anhwange</w:t>
      </w:r>
      <w:proofErr w:type="spellEnd"/>
      <w:r w:rsidRPr="00FF22DE">
        <w:rPr>
          <w:rFonts w:ascii="Times New Roman" w:hAnsi="Times New Roman"/>
          <w:sz w:val="24"/>
          <w:szCs w:val="24"/>
        </w:rPr>
        <w:t xml:space="preserve"> et al., 2019), although raw-leaf values cannot be directly equated with the present processed-tea values. Iron plays an essential role in </w:t>
      </w:r>
      <w:proofErr w:type="spellStart"/>
      <w:r w:rsidRPr="00FF22DE">
        <w:rPr>
          <w:rFonts w:ascii="Times New Roman" w:hAnsi="Times New Roman"/>
          <w:sz w:val="24"/>
          <w:szCs w:val="24"/>
        </w:rPr>
        <w:t>haemoglobin</w:t>
      </w:r>
      <w:proofErr w:type="spellEnd"/>
      <w:r w:rsidRPr="00FF22DE">
        <w:rPr>
          <w:rFonts w:ascii="Times New Roman" w:hAnsi="Times New Roman"/>
          <w:sz w:val="24"/>
          <w:szCs w:val="24"/>
        </w:rPr>
        <w:t xml:space="preserve"> formation and oxygen transport in the body (Abbaspour et al., 2014). The higher iron content observed in GJT therefore suggests that consumption of green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may contribute more effectively to dietary iron intake.</w:t>
      </w:r>
    </w:p>
    <w:p w14:paraId="2C54EA2E" w14:textId="77777777" w:rsidR="001820BE" w:rsidRPr="00FF22DE" w:rsidRDefault="001820BE" w:rsidP="00A37ACD">
      <w:pPr>
        <w:jc w:val="both"/>
        <w:rPr>
          <w:rFonts w:ascii="Times New Roman" w:hAnsi="Times New Roman"/>
          <w:sz w:val="24"/>
          <w:szCs w:val="24"/>
        </w:rPr>
      </w:pPr>
      <w:r w:rsidRPr="00FF22DE">
        <w:rPr>
          <w:rFonts w:ascii="Times New Roman" w:hAnsi="Times New Roman"/>
          <w:sz w:val="24"/>
          <w:szCs w:val="24"/>
        </w:rPr>
        <w:t>Zinc followed the same pattern, with GJT (0.1689 ± 0.01 mg/100 g) exceeding BJT (0.1169 ± 0.01 mg/100 g). Zinc is an essential trace element involved in numerous biological processes including enzyme activity, immune function and cellular growth (</w:t>
      </w:r>
      <w:proofErr w:type="spellStart"/>
      <w:r w:rsidRPr="00FF22DE">
        <w:rPr>
          <w:rFonts w:ascii="Times New Roman" w:hAnsi="Times New Roman"/>
          <w:sz w:val="24"/>
          <w:szCs w:val="24"/>
        </w:rPr>
        <w:t>Roohani</w:t>
      </w:r>
      <w:proofErr w:type="spellEnd"/>
      <w:r w:rsidRPr="00FF22DE">
        <w:rPr>
          <w:rFonts w:ascii="Times New Roman" w:hAnsi="Times New Roman"/>
          <w:sz w:val="24"/>
          <w:szCs w:val="24"/>
        </w:rPr>
        <w:t xml:space="preserve"> et al., 2013). The parallel iron and zinc results indicate a consistent difference in final mineral composition between the two processing treatments. However, mineral losses at individual stages and mineral bioavailability were not measured; consequently, the mechanism responsible cannot be isolated. The higher zinc concentration observed in GJT suggests that the green tea sample may offer greater nutritional benefits in terms of micronutrient supply.</w:t>
      </w:r>
    </w:p>
    <w:p w14:paraId="50A8BD67" w14:textId="77777777" w:rsidR="002D528D" w:rsidRPr="00FF22DE" w:rsidRDefault="002D528D" w:rsidP="00A37ACD">
      <w:pPr>
        <w:jc w:val="both"/>
        <w:rPr>
          <w:rFonts w:ascii="Times New Roman" w:hAnsi="Times New Roman"/>
          <w:sz w:val="24"/>
          <w:szCs w:val="24"/>
        </w:rPr>
      </w:pPr>
      <w:r w:rsidRPr="00FF22DE">
        <w:rPr>
          <w:rFonts w:ascii="Times New Roman" w:hAnsi="Times New Roman"/>
          <w:sz w:val="24"/>
          <w:szCs w:val="24"/>
        </w:rPr>
        <w:t xml:space="preserve">Overall, the results indicate that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leaf tea contains appreciable quantities of vitamin C, iron and zinc. However, the green tea sample exhibited significantly higher micronutrient levels compared to the black tea sample. This suggests that minimal processing may help preserve the nutritional quality of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and enhance their potential as a functional beverage with nutritional and health benefits.</w:t>
      </w:r>
    </w:p>
    <w:p w14:paraId="7476F853" w14:textId="77777777" w:rsidR="001820BE" w:rsidRPr="00FF22DE" w:rsidRDefault="001820BE" w:rsidP="00A37ACD">
      <w:pPr>
        <w:jc w:val="both"/>
        <w:rPr>
          <w:rFonts w:ascii="Times New Roman" w:hAnsi="Times New Roman"/>
          <w:sz w:val="24"/>
          <w:szCs w:val="24"/>
        </w:rPr>
      </w:pPr>
    </w:p>
    <w:p w14:paraId="1321752D" w14:textId="77777777" w:rsidR="008C7DF6" w:rsidRPr="00FF22DE" w:rsidRDefault="00885CD3" w:rsidP="00A37ACD">
      <w:pPr>
        <w:jc w:val="both"/>
        <w:rPr>
          <w:rFonts w:ascii="Times New Roman" w:hAnsi="Times New Roman"/>
          <w:sz w:val="24"/>
          <w:szCs w:val="24"/>
        </w:rPr>
      </w:pPr>
      <w:r w:rsidRPr="00FF22DE">
        <w:rPr>
          <w:rFonts w:ascii="Times New Roman" w:hAnsi="Times New Roman"/>
          <w:b/>
          <w:sz w:val="24"/>
          <w:szCs w:val="24"/>
        </w:rPr>
        <w:lastRenderedPageBreak/>
        <w:t>3.3 Sensory Evaluation</w:t>
      </w:r>
      <w:r w:rsidRPr="00FF22DE">
        <w:rPr>
          <w:rFonts w:ascii="Times New Roman" w:hAnsi="Times New Roman"/>
          <w:sz w:val="24"/>
          <w:szCs w:val="24"/>
        </w:rPr>
        <w:t>.</w:t>
      </w:r>
    </w:p>
    <w:p w14:paraId="0598FDEB" w14:textId="77777777" w:rsidR="002F719D" w:rsidRPr="00FF22DE" w:rsidRDefault="00885CD3" w:rsidP="00A37ACD">
      <w:pPr>
        <w:jc w:val="both"/>
        <w:rPr>
          <w:rFonts w:ascii="Times New Roman" w:hAnsi="Times New Roman"/>
          <w:sz w:val="24"/>
          <w:szCs w:val="24"/>
        </w:rPr>
      </w:pPr>
      <w:r w:rsidRPr="00FF22DE">
        <w:rPr>
          <w:rFonts w:ascii="Times New Roman" w:hAnsi="Times New Roman"/>
          <w:sz w:val="24"/>
          <w:szCs w:val="24"/>
        </w:rPr>
        <w:t xml:space="preserve">The sensory characteristics of the two </w:t>
      </w:r>
      <w:r w:rsidRPr="00FF22DE">
        <w:rPr>
          <w:rFonts w:ascii="Times New Roman" w:eastAsia="Arial" w:hAnsi="Times New Roman"/>
          <w:i/>
          <w:sz w:val="24"/>
          <w:szCs w:val="24"/>
        </w:rPr>
        <w:t>Jatropha</w:t>
      </w:r>
      <w:r w:rsidRPr="00FF22DE">
        <w:rPr>
          <w:rFonts w:ascii="Times New Roman" w:hAnsi="Times New Roman"/>
          <w:sz w:val="24"/>
          <w:szCs w:val="24"/>
        </w:rPr>
        <w:t xml:space="preserve"> teas and commercial reference teas are presented in Table 3.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0.05) occurred in aroma and overall acceptability, whereas appearance and tas</w:t>
      </w:r>
      <w:r w:rsidR="00541747">
        <w:rPr>
          <w:rFonts w:ascii="Times New Roman" w:hAnsi="Times New Roman"/>
          <w:sz w:val="24"/>
          <w:szCs w:val="24"/>
        </w:rPr>
        <w:t>te did not differ significantly.</w:t>
      </w:r>
    </w:p>
    <w:p w14:paraId="5951C72F" w14:textId="77777777" w:rsidR="002F719D" w:rsidRPr="00541747" w:rsidRDefault="002F719D" w:rsidP="00541747">
      <w:pPr>
        <w:pStyle w:val="Heading3"/>
        <w:jc w:val="both"/>
        <w:rPr>
          <w:rFonts w:ascii="Times New Roman" w:hAnsi="Times New Roman" w:cs="Times New Roman"/>
          <w:b/>
          <w:color w:val="000000" w:themeColor="text1"/>
        </w:rPr>
      </w:pPr>
      <w:r w:rsidRPr="00FF22DE">
        <w:rPr>
          <w:rFonts w:ascii="Times New Roman" w:hAnsi="Times New Roman" w:cs="Times New Roman"/>
          <w:b/>
          <w:color w:val="000000" w:themeColor="text1"/>
        </w:rPr>
        <w:t xml:space="preserve">Table 3. Sensory characteristics of green and black </w:t>
      </w:r>
      <w:r w:rsidRPr="00FF22DE">
        <w:rPr>
          <w:rFonts w:ascii="Times New Roman" w:eastAsia="Arial" w:hAnsi="Times New Roman" w:cs="Times New Roman"/>
          <w:b/>
          <w:i/>
          <w:color w:val="000000" w:themeColor="text1"/>
        </w:rPr>
        <w:t xml:space="preserve">Jatropha </w:t>
      </w:r>
      <w:proofErr w:type="spellStart"/>
      <w:r w:rsidRPr="00FF22DE">
        <w:rPr>
          <w:rFonts w:ascii="Times New Roman" w:eastAsia="Arial" w:hAnsi="Times New Roman" w:cs="Times New Roman"/>
          <w:b/>
          <w:i/>
          <w:color w:val="000000" w:themeColor="text1"/>
        </w:rPr>
        <w:t>tanjorensis</w:t>
      </w:r>
      <w:proofErr w:type="spellEnd"/>
      <w:r w:rsidRPr="00FF22DE">
        <w:rPr>
          <w:rFonts w:ascii="Times New Roman" w:hAnsi="Times New Roman" w:cs="Times New Roman"/>
          <w:b/>
          <w:color w:val="000000" w:themeColor="text1"/>
        </w:rPr>
        <w:t xml:space="preserve"> herbal teas and commercial teas.</w:t>
      </w:r>
    </w:p>
    <w:tbl>
      <w:tblPr>
        <w:tblW w:w="0" w:type="auto"/>
        <w:jc w:val="center"/>
        <w:tblBorders>
          <w:bottom w:val="single" w:sz="4" w:space="0" w:color="auto"/>
        </w:tblBorders>
        <w:tblLook w:val="04A0" w:firstRow="1" w:lastRow="0" w:firstColumn="1" w:lastColumn="0" w:noHBand="0" w:noVBand="1"/>
      </w:tblPr>
      <w:tblGrid>
        <w:gridCol w:w="1779"/>
        <w:gridCol w:w="1830"/>
        <w:gridCol w:w="1778"/>
        <w:gridCol w:w="1803"/>
        <w:gridCol w:w="1836"/>
      </w:tblGrid>
      <w:tr w:rsidR="002F719D" w:rsidRPr="00FF22DE" w14:paraId="1BFB2E56" w14:textId="77777777" w:rsidTr="00C23D7A">
        <w:trPr>
          <w:jc w:val="center"/>
        </w:trPr>
        <w:tc>
          <w:tcPr>
            <w:tcW w:w="1779" w:type="dxa"/>
            <w:tcBorders>
              <w:top w:val="single" w:sz="4" w:space="0" w:color="auto"/>
              <w:bottom w:val="single" w:sz="4" w:space="0" w:color="auto"/>
            </w:tcBorders>
          </w:tcPr>
          <w:p w14:paraId="3153335C"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Samples</w:t>
            </w:r>
          </w:p>
        </w:tc>
        <w:tc>
          <w:tcPr>
            <w:tcW w:w="1830" w:type="dxa"/>
            <w:tcBorders>
              <w:top w:val="single" w:sz="4" w:space="0" w:color="auto"/>
              <w:bottom w:val="single" w:sz="4" w:space="0" w:color="auto"/>
            </w:tcBorders>
          </w:tcPr>
          <w:p w14:paraId="5FE62FBB"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 xml:space="preserve">Appearance </w:t>
            </w:r>
          </w:p>
        </w:tc>
        <w:tc>
          <w:tcPr>
            <w:tcW w:w="1778" w:type="dxa"/>
            <w:tcBorders>
              <w:top w:val="single" w:sz="4" w:space="0" w:color="auto"/>
              <w:bottom w:val="single" w:sz="4" w:space="0" w:color="auto"/>
            </w:tcBorders>
          </w:tcPr>
          <w:p w14:paraId="1CC1F493"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Aroma</w:t>
            </w:r>
          </w:p>
        </w:tc>
        <w:tc>
          <w:tcPr>
            <w:tcW w:w="1803" w:type="dxa"/>
            <w:tcBorders>
              <w:top w:val="single" w:sz="4" w:space="0" w:color="auto"/>
              <w:bottom w:val="single" w:sz="4" w:space="0" w:color="auto"/>
            </w:tcBorders>
          </w:tcPr>
          <w:p w14:paraId="57D0647F"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Taste</w:t>
            </w:r>
          </w:p>
        </w:tc>
        <w:tc>
          <w:tcPr>
            <w:tcW w:w="1836" w:type="dxa"/>
            <w:tcBorders>
              <w:top w:val="single" w:sz="4" w:space="0" w:color="auto"/>
              <w:bottom w:val="single" w:sz="4" w:space="0" w:color="auto"/>
            </w:tcBorders>
          </w:tcPr>
          <w:p w14:paraId="70AC45B5" w14:textId="77777777" w:rsidR="002F719D" w:rsidRPr="00FF22DE" w:rsidRDefault="002F719D" w:rsidP="00A37ACD">
            <w:pPr>
              <w:jc w:val="both"/>
              <w:rPr>
                <w:rFonts w:ascii="Times New Roman" w:hAnsi="Times New Roman"/>
                <w:b/>
                <w:sz w:val="24"/>
                <w:szCs w:val="24"/>
              </w:rPr>
            </w:pPr>
            <w:r w:rsidRPr="00FF22DE">
              <w:rPr>
                <w:rFonts w:ascii="Times New Roman" w:hAnsi="Times New Roman"/>
                <w:b/>
                <w:sz w:val="24"/>
                <w:szCs w:val="24"/>
              </w:rPr>
              <w:t>Overall acceptability</w:t>
            </w:r>
          </w:p>
        </w:tc>
      </w:tr>
      <w:tr w:rsidR="002F719D" w:rsidRPr="00FF22DE" w14:paraId="44DB1BA9" w14:textId="77777777" w:rsidTr="00C23D7A">
        <w:trPr>
          <w:jc w:val="center"/>
        </w:trPr>
        <w:tc>
          <w:tcPr>
            <w:tcW w:w="1779" w:type="dxa"/>
            <w:tcBorders>
              <w:top w:val="single" w:sz="4" w:space="0" w:color="auto"/>
            </w:tcBorders>
          </w:tcPr>
          <w:p w14:paraId="0E2D5D35"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BJT</w:t>
            </w:r>
          </w:p>
        </w:tc>
        <w:tc>
          <w:tcPr>
            <w:tcW w:w="1830" w:type="dxa"/>
            <w:tcBorders>
              <w:top w:val="single" w:sz="4" w:space="0" w:color="auto"/>
            </w:tcBorders>
          </w:tcPr>
          <w:p w14:paraId="7D5D640F"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7.14 ±1.45</w:t>
            </w:r>
            <w:r w:rsidRPr="00FF22DE">
              <w:rPr>
                <w:rFonts w:ascii="Times New Roman" w:hAnsi="Times New Roman"/>
                <w:sz w:val="24"/>
                <w:szCs w:val="24"/>
                <w:vertAlign w:val="superscript"/>
              </w:rPr>
              <w:t>a</w:t>
            </w:r>
          </w:p>
        </w:tc>
        <w:tc>
          <w:tcPr>
            <w:tcW w:w="1778" w:type="dxa"/>
            <w:tcBorders>
              <w:top w:val="single" w:sz="4" w:space="0" w:color="auto"/>
            </w:tcBorders>
          </w:tcPr>
          <w:p w14:paraId="02D4A14B"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6.62 ±2.01</w:t>
            </w:r>
            <w:r w:rsidRPr="00FF22DE">
              <w:rPr>
                <w:rFonts w:ascii="Times New Roman" w:hAnsi="Times New Roman"/>
                <w:sz w:val="24"/>
                <w:szCs w:val="24"/>
                <w:vertAlign w:val="superscript"/>
              </w:rPr>
              <w:t xml:space="preserve"> ab</w:t>
            </w:r>
          </w:p>
        </w:tc>
        <w:tc>
          <w:tcPr>
            <w:tcW w:w="1803" w:type="dxa"/>
            <w:tcBorders>
              <w:top w:val="single" w:sz="4" w:space="0" w:color="auto"/>
            </w:tcBorders>
          </w:tcPr>
          <w:p w14:paraId="323C67E1"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6.48± 2.04</w:t>
            </w:r>
            <w:r w:rsidRPr="00FF22DE">
              <w:rPr>
                <w:rFonts w:ascii="Times New Roman" w:hAnsi="Times New Roman"/>
                <w:sz w:val="24"/>
                <w:szCs w:val="24"/>
                <w:vertAlign w:val="superscript"/>
              </w:rPr>
              <w:t xml:space="preserve"> a</w:t>
            </w:r>
          </w:p>
        </w:tc>
        <w:tc>
          <w:tcPr>
            <w:tcW w:w="1836" w:type="dxa"/>
            <w:tcBorders>
              <w:top w:val="single" w:sz="4" w:space="0" w:color="auto"/>
            </w:tcBorders>
          </w:tcPr>
          <w:p w14:paraId="5269EDF8"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6.62± 1.88</w:t>
            </w:r>
            <w:r w:rsidRPr="00FF22DE">
              <w:rPr>
                <w:rFonts w:ascii="Times New Roman" w:hAnsi="Times New Roman"/>
                <w:sz w:val="24"/>
                <w:szCs w:val="24"/>
                <w:vertAlign w:val="superscript"/>
              </w:rPr>
              <w:t xml:space="preserve"> ab</w:t>
            </w:r>
          </w:p>
        </w:tc>
      </w:tr>
      <w:tr w:rsidR="002F719D" w:rsidRPr="00FF22DE" w14:paraId="3C8548F6" w14:textId="77777777" w:rsidTr="00C23D7A">
        <w:trPr>
          <w:jc w:val="center"/>
        </w:trPr>
        <w:tc>
          <w:tcPr>
            <w:tcW w:w="1779" w:type="dxa"/>
          </w:tcPr>
          <w:p w14:paraId="24C0F0B2"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GJT</w:t>
            </w:r>
          </w:p>
        </w:tc>
        <w:tc>
          <w:tcPr>
            <w:tcW w:w="1830" w:type="dxa"/>
          </w:tcPr>
          <w:p w14:paraId="18DEAF63"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6.85 ±1.57</w:t>
            </w:r>
            <w:r w:rsidRPr="00FF22DE">
              <w:rPr>
                <w:rFonts w:ascii="Times New Roman" w:hAnsi="Times New Roman"/>
                <w:sz w:val="24"/>
                <w:szCs w:val="24"/>
                <w:vertAlign w:val="superscript"/>
              </w:rPr>
              <w:t xml:space="preserve"> a</w:t>
            </w:r>
          </w:p>
        </w:tc>
        <w:tc>
          <w:tcPr>
            <w:tcW w:w="1778" w:type="dxa"/>
          </w:tcPr>
          <w:p w14:paraId="31FB30D2"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6.25 ±1.55</w:t>
            </w:r>
            <w:r w:rsidRPr="00FF22DE">
              <w:rPr>
                <w:rFonts w:ascii="Times New Roman" w:hAnsi="Times New Roman"/>
                <w:sz w:val="24"/>
                <w:szCs w:val="24"/>
                <w:vertAlign w:val="superscript"/>
              </w:rPr>
              <w:t xml:space="preserve"> b</w:t>
            </w:r>
          </w:p>
        </w:tc>
        <w:tc>
          <w:tcPr>
            <w:tcW w:w="1803" w:type="dxa"/>
          </w:tcPr>
          <w:p w14:paraId="0C8CC98D"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5.60±1.67</w:t>
            </w:r>
            <w:r w:rsidRPr="00FF22DE">
              <w:rPr>
                <w:rFonts w:ascii="Times New Roman" w:hAnsi="Times New Roman"/>
                <w:sz w:val="24"/>
                <w:szCs w:val="24"/>
                <w:vertAlign w:val="superscript"/>
              </w:rPr>
              <w:t xml:space="preserve"> a</w:t>
            </w:r>
          </w:p>
        </w:tc>
        <w:tc>
          <w:tcPr>
            <w:tcW w:w="1836" w:type="dxa"/>
          </w:tcPr>
          <w:p w14:paraId="101CD0DC"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6.10± 1.74</w:t>
            </w:r>
            <w:r w:rsidRPr="00FF22DE">
              <w:rPr>
                <w:rFonts w:ascii="Times New Roman" w:hAnsi="Times New Roman"/>
                <w:sz w:val="24"/>
                <w:szCs w:val="24"/>
                <w:vertAlign w:val="superscript"/>
              </w:rPr>
              <w:t xml:space="preserve"> b</w:t>
            </w:r>
          </w:p>
        </w:tc>
      </w:tr>
      <w:tr w:rsidR="002F719D" w:rsidRPr="00FF22DE" w14:paraId="6D08FB0D" w14:textId="77777777" w:rsidTr="00C23D7A">
        <w:trPr>
          <w:jc w:val="center"/>
        </w:trPr>
        <w:tc>
          <w:tcPr>
            <w:tcW w:w="1779" w:type="dxa"/>
          </w:tcPr>
          <w:p w14:paraId="604CD251"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CBT</w:t>
            </w:r>
          </w:p>
        </w:tc>
        <w:tc>
          <w:tcPr>
            <w:tcW w:w="1830" w:type="dxa"/>
          </w:tcPr>
          <w:p w14:paraId="7E2D5C2B"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7.75 ±1.12</w:t>
            </w:r>
            <w:r w:rsidRPr="00FF22DE">
              <w:rPr>
                <w:rFonts w:ascii="Times New Roman" w:hAnsi="Times New Roman"/>
                <w:sz w:val="24"/>
                <w:szCs w:val="24"/>
                <w:vertAlign w:val="superscript"/>
              </w:rPr>
              <w:t xml:space="preserve"> a</w:t>
            </w:r>
          </w:p>
        </w:tc>
        <w:tc>
          <w:tcPr>
            <w:tcW w:w="1778" w:type="dxa"/>
          </w:tcPr>
          <w:p w14:paraId="2D35C94B"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7.60 ±0.94</w:t>
            </w:r>
            <w:r w:rsidRPr="00FF22DE">
              <w:rPr>
                <w:rFonts w:ascii="Times New Roman" w:hAnsi="Times New Roman"/>
                <w:sz w:val="24"/>
                <w:szCs w:val="24"/>
                <w:vertAlign w:val="superscript"/>
              </w:rPr>
              <w:t xml:space="preserve"> a</w:t>
            </w:r>
          </w:p>
        </w:tc>
        <w:tc>
          <w:tcPr>
            <w:tcW w:w="1803" w:type="dxa"/>
          </w:tcPr>
          <w:p w14:paraId="03781CD7"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6.05±1.93</w:t>
            </w:r>
            <w:r w:rsidRPr="00FF22DE">
              <w:rPr>
                <w:rFonts w:ascii="Times New Roman" w:hAnsi="Times New Roman"/>
                <w:sz w:val="24"/>
                <w:szCs w:val="24"/>
                <w:vertAlign w:val="superscript"/>
              </w:rPr>
              <w:t xml:space="preserve"> a</w:t>
            </w:r>
          </w:p>
        </w:tc>
        <w:tc>
          <w:tcPr>
            <w:tcW w:w="1836" w:type="dxa"/>
          </w:tcPr>
          <w:p w14:paraId="31F7085F"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7.40± 1.14</w:t>
            </w:r>
            <w:r w:rsidRPr="00FF22DE">
              <w:rPr>
                <w:rFonts w:ascii="Times New Roman" w:hAnsi="Times New Roman"/>
                <w:sz w:val="24"/>
                <w:szCs w:val="24"/>
                <w:vertAlign w:val="superscript"/>
              </w:rPr>
              <w:t xml:space="preserve"> a</w:t>
            </w:r>
          </w:p>
        </w:tc>
      </w:tr>
      <w:tr w:rsidR="002F719D" w:rsidRPr="00FF22DE" w14:paraId="62CFA6FA" w14:textId="77777777" w:rsidTr="00C23D7A">
        <w:trPr>
          <w:jc w:val="center"/>
        </w:trPr>
        <w:tc>
          <w:tcPr>
            <w:tcW w:w="1779" w:type="dxa"/>
          </w:tcPr>
          <w:p w14:paraId="0C941A10"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CGT</w:t>
            </w:r>
          </w:p>
        </w:tc>
        <w:tc>
          <w:tcPr>
            <w:tcW w:w="1830" w:type="dxa"/>
          </w:tcPr>
          <w:p w14:paraId="28B88080"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7.32 ±1.69</w:t>
            </w:r>
            <w:r w:rsidRPr="00FF22DE">
              <w:rPr>
                <w:rFonts w:ascii="Times New Roman" w:hAnsi="Times New Roman"/>
                <w:sz w:val="24"/>
                <w:szCs w:val="24"/>
                <w:vertAlign w:val="superscript"/>
              </w:rPr>
              <w:t xml:space="preserve"> a</w:t>
            </w:r>
          </w:p>
        </w:tc>
        <w:tc>
          <w:tcPr>
            <w:tcW w:w="1778" w:type="dxa"/>
          </w:tcPr>
          <w:p w14:paraId="49267A2D"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6.68 ± 1.73</w:t>
            </w:r>
            <w:r w:rsidRPr="00FF22DE">
              <w:rPr>
                <w:rFonts w:ascii="Times New Roman" w:hAnsi="Times New Roman"/>
                <w:sz w:val="24"/>
                <w:szCs w:val="24"/>
                <w:vertAlign w:val="superscript"/>
              </w:rPr>
              <w:t xml:space="preserve"> ab</w:t>
            </w:r>
          </w:p>
        </w:tc>
        <w:tc>
          <w:tcPr>
            <w:tcW w:w="1803" w:type="dxa"/>
          </w:tcPr>
          <w:p w14:paraId="6429FBB8"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6.11±2.31</w:t>
            </w:r>
            <w:r w:rsidRPr="00FF22DE">
              <w:rPr>
                <w:rFonts w:ascii="Times New Roman" w:hAnsi="Times New Roman"/>
                <w:sz w:val="24"/>
                <w:szCs w:val="24"/>
                <w:vertAlign w:val="superscript"/>
              </w:rPr>
              <w:t xml:space="preserve"> a</w:t>
            </w:r>
          </w:p>
        </w:tc>
        <w:tc>
          <w:tcPr>
            <w:tcW w:w="1836" w:type="dxa"/>
          </w:tcPr>
          <w:p w14:paraId="39AAA6D9" w14:textId="77777777" w:rsidR="002F719D" w:rsidRPr="00FF22DE" w:rsidRDefault="002F719D" w:rsidP="00A37ACD">
            <w:pPr>
              <w:jc w:val="both"/>
              <w:rPr>
                <w:rFonts w:ascii="Times New Roman" w:hAnsi="Times New Roman"/>
                <w:sz w:val="24"/>
                <w:szCs w:val="24"/>
              </w:rPr>
            </w:pPr>
            <w:r w:rsidRPr="00FF22DE">
              <w:rPr>
                <w:rFonts w:ascii="Times New Roman" w:hAnsi="Times New Roman"/>
                <w:sz w:val="24"/>
                <w:szCs w:val="24"/>
              </w:rPr>
              <w:t>6.53±1.80</w:t>
            </w:r>
            <w:r w:rsidRPr="00FF22DE">
              <w:rPr>
                <w:rFonts w:ascii="Times New Roman" w:hAnsi="Times New Roman"/>
                <w:sz w:val="24"/>
                <w:szCs w:val="24"/>
                <w:vertAlign w:val="superscript"/>
              </w:rPr>
              <w:t xml:space="preserve"> ab</w:t>
            </w:r>
          </w:p>
        </w:tc>
      </w:tr>
    </w:tbl>
    <w:p w14:paraId="53459DFC" w14:textId="77777777" w:rsidR="002F719D" w:rsidRPr="00FF22DE" w:rsidRDefault="002F719D" w:rsidP="00A37ACD">
      <w:pPr>
        <w:spacing w:after="170" w:line="252" w:lineRule="auto"/>
        <w:jc w:val="both"/>
        <w:rPr>
          <w:rFonts w:ascii="Times New Roman" w:hAnsi="Times New Roman"/>
          <w:sz w:val="24"/>
          <w:szCs w:val="24"/>
        </w:rPr>
      </w:pPr>
      <w:r w:rsidRPr="00FF22DE">
        <w:rPr>
          <w:rFonts w:ascii="Times New Roman" w:hAnsi="Times New Roman"/>
          <w:sz w:val="24"/>
          <w:szCs w:val="24"/>
        </w:rPr>
        <w:t xml:space="preserve">Values are mean ± SD from 20 panelists. Different superscripts within a column indicate significant differences (P </w:t>
      </w:r>
      <w:r w:rsidRPr="00FF22DE">
        <w:rPr>
          <w:rFonts w:ascii="Times New Roman" w:eastAsia="Segoe UI Symbol" w:hAnsi="Times New Roman"/>
          <w:sz w:val="24"/>
          <w:szCs w:val="24"/>
        </w:rPr>
        <w:t>≤</w:t>
      </w:r>
      <w:r w:rsidRPr="00FF22DE">
        <w:rPr>
          <w:rFonts w:ascii="Times New Roman" w:hAnsi="Times New Roman"/>
          <w:sz w:val="24"/>
          <w:szCs w:val="24"/>
        </w:rPr>
        <w:t xml:space="preserve"> .05). BJT = black </w:t>
      </w:r>
      <w:r w:rsidRPr="00FF22DE">
        <w:rPr>
          <w:rFonts w:ascii="Times New Roman" w:hAnsi="Times New Roman"/>
          <w:i/>
          <w:sz w:val="24"/>
          <w:szCs w:val="24"/>
        </w:rPr>
        <w:t>Jatropha</w:t>
      </w:r>
      <w:r w:rsidRPr="00FF22DE">
        <w:rPr>
          <w:rFonts w:ascii="Times New Roman" w:hAnsi="Times New Roman"/>
          <w:sz w:val="24"/>
          <w:szCs w:val="24"/>
        </w:rPr>
        <w:t xml:space="preserve"> tea; GJT = green </w:t>
      </w:r>
      <w:r w:rsidRPr="00FF22DE">
        <w:rPr>
          <w:rFonts w:ascii="Times New Roman" w:hAnsi="Times New Roman"/>
          <w:i/>
          <w:sz w:val="24"/>
          <w:szCs w:val="24"/>
        </w:rPr>
        <w:t>Jatropha</w:t>
      </w:r>
      <w:r w:rsidRPr="00FF22DE">
        <w:rPr>
          <w:rFonts w:ascii="Times New Roman" w:hAnsi="Times New Roman"/>
          <w:sz w:val="24"/>
          <w:szCs w:val="24"/>
        </w:rPr>
        <w:t xml:space="preserve"> tea; CBT = commercial black tea; CGT = commercial green tea.</w:t>
      </w:r>
    </w:p>
    <w:p w14:paraId="30CAAC3B" w14:textId="77777777" w:rsidR="00EB261D" w:rsidRPr="00535721" w:rsidRDefault="00EB261D" w:rsidP="00A37ACD">
      <w:pPr>
        <w:spacing w:after="170" w:line="252" w:lineRule="auto"/>
        <w:jc w:val="both"/>
        <w:rPr>
          <w:rFonts w:ascii="Times New Roman" w:hAnsi="Times New Roman"/>
          <w:sz w:val="28"/>
          <w:szCs w:val="28"/>
        </w:rPr>
      </w:pPr>
    </w:p>
    <w:p w14:paraId="6A3E2B8C" w14:textId="77777777" w:rsidR="00EB261D" w:rsidRPr="00FF22DE" w:rsidRDefault="00EB261D" w:rsidP="00A37ACD">
      <w:pPr>
        <w:spacing w:after="0" w:line="360" w:lineRule="auto"/>
        <w:jc w:val="both"/>
        <w:rPr>
          <w:rFonts w:ascii="Times New Roman" w:hAnsi="Times New Roman"/>
          <w:sz w:val="24"/>
          <w:szCs w:val="24"/>
        </w:rPr>
      </w:pPr>
      <w:r w:rsidRPr="00FF22DE">
        <w:rPr>
          <w:rFonts w:ascii="Times New Roman" w:hAnsi="Times New Roman"/>
          <w:sz w:val="24"/>
          <w:szCs w:val="24"/>
        </w:rPr>
        <w:t xml:space="preserve">The results showed no significant difference (p ≥ 0.05) among the samples in terms of appearance, indicating that the visual characteristics of the formulated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teas were comparable to those of the commercial tea products. Among the samples, CBT recorded the highest mean appearance score (7.75 ± 1.12), followed by CGT (7.32 ± 1.69), BJT (7.14 ± 1.45), and GJT (6.85 ± 1.57). The relatively high appearance scores observed across all samples suggest that the tea infusions possessed acceptable </w:t>
      </w:r>
      <w:proofErr w:type="spellStart"/>
      <w:r w:rsidRPr="00FF22DE">
        <w:rPr>
          <w:rFonts w:ascii="Times New Roman" w:hAnsi="Times New Roman"/>
          <w:sz w:val="24"/>
          <w:szCs w:val="24"/>
        </w:rPr>
        <w:t>colour</w:t>
      </w:r>
      <w:proofErr w:type="spellEnd"/>
      <w:r w:rsidRPr="00FF22DE">
        <w:rPr>
          <w:rFonts w:ascii="Times New Roman" w:hAnsi="Times New Roman"/>
          <w:sz w:val="24"/>
          <w:szCs w:val="24"/>
        </w:rPr>
        <w:t xml:space="preserve"> and visual appeal to the panelists.</w:t>
      </w:r>
    </w:p>
    <w:p w14:paraId="6E198B13" w14:textId="77777777" w:rsidR="00EB261D" w:rsidRPr="00FF22DE" w:rsidRDefault="00FF22DE" w:rsidP="00FF22DE">
      <w:pPr>
        <w:tabs>
          <w:tab w:val="left" w:pos="1909"/>
        </w:tabs>
        <w:spacing w:after="0" w:line="360" w:lineRule="auto"/>
        <w:jc w:val="both"/>
        <w:rPr>
          <w:rFonts w:ascii="Times New Roman" w:hAnsi="Times New Roman"/>
          <w:sz w:val="24"/>
          <w:szCs w:val="24"/>
        </w:rPr>
      </w:pPr>
      <w:r w:rsidRPr="00FF22DE">
        <w:rPr>
          <w:rFonts w:ascii="Times New Roman" w:hAnsi="Times New Roman"/>
          <w:sz w:val="24"/>
          <w:szCs w:val="24"/>
        </w:rPr>
        <w:tab/>
      </w:r>
    </w:p>
    <w:p w14:paraId="64F94359" w14:textId="77777777" w:rsidR="00EB261D" w:rsidRPr="00FF22DE" w:rsidRDefault="00EB261D" w:rsidP="00A37ACD">
      <w:pPr>
        <w:spacing w:after="0" w:line="360" w:lineRule="auto"/>
        <w:jc w:val="both"/>
        <w:rPr>
          <w:rFonts w:ascii="Times New Roman" w:hAnsi="Times New Roman"/>
          <w:sz w:val="24"/>
          <w:szCs w:val="24"/>
        </w:rPr>
      </w:pPr>
      <w:r w:rsidRPr="00FF22DE">
        <w:rPr>
          <w:rFonts w:ascii="Times New Roman" w:hAnsi="Times New Roman"/>
          <w:sz w:val="24"/>
          <w:szCs w:val="24"/>
        </w:rPr>
        <w:t xml:space="preserve">For aroma, significant differences (p ≤ 0.05) were observed among the samples. CBT recorded the highest aroma score (7.60 ± 0.94), while GJT had the lowest score (6.25 ± 1.55). The comparatively lower aroma score for GJT may be attributed to differences in processing methods, as fermentation and oxidation processes involved in black tea production are known to enhance the development of aromatic compounds in tea beverages (Zhang et al., 2019). Nonetheless, the aroma scores of the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teas were still within acceptable sensory ranges.</w:t>
      </w:r>
    </w:p>
    <w:p w14:paraId="49999974" w14:textId="77777777" w:rsidR="00EB261D" w:rsidRPr="00FF22DE" w:rsidRDefault="00EB261D" w:rsidP="00A37ACD">
      <w:pPr>
        <w:spacing w:after="0" w:line="360" w:lineRule="auto"/>
        <w:jc w:val="both"/>
        <w:rPr>
          <w:rFonts w:ascii="Times New Roman" w:hAnsi="Times New Roman"/>
          <w:sz w:val="24"/>
          <w:szCs w:val="24"/>
        </w:rPr>
      </w:pPr>
    </w:p>
    <w:p w14:paraId="24A0D51A" w14:textId="77777777" w:rsidR="00EB261D" w:rsidRPr="00FF22DE" w:rsidRDefault="00EB261D" w:rsidP="00A37ACD">
      <w:pPr>
        <w:spacing w:after="0" w:line="360" w:lineRule="auto"/>
        <w:jc w:val="both"/>
        <w:rPr>
          <w:rFonts w:ascii="Times New Roman" w:hAnsi="Times New Roman"/>
          <w:sz w:val="24"/>
          <w:szCs w:val="24"/>
        </w:rPr>
      </w:pPr>
      <w:r w:rsidRPr="00FF22DE">
        <w:rPr>
          <w:rFonts w:ascii="Times New Roman" w:hAnsi="Times New Roman"/>
          <w:sz w:val="24"/>
          <w:szCs w:val="24"/>
        </w:rPr>
        <w:lastRenderedPageBreak/>
        <w:t xml:space="preserve">The taste scores of the tea samples showed no significant difference (p ≥ 0.05) among the treatments. BJT recorded the highest taste score (6.48 ± 2.04), while GJT recorded the lowest score (5.60 ± 1.67). The slight variation in taste may be linked to the phytochemical composition of the teas. Compounds such as tannins and flavonoids contribute to the characteristic bitterness and astringency of tea beverages (Bhat et al., 2020). As observed in the phytochemical analysis, the black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 contained higher levels of tannins compared to the green tea sample, which may have influenced the perceived taste profile.</w:t>
      </w:r>
    </w:p>
    <w:p w14:paraId="491C17BE" w14:textId="77777777" w:rsidR="00C30E5E" w:rsidRPr="00FF22DE" w:rsidRDefault="00C30E5E" w:rsidP="00A37ACD">
      <w:pPr>
        <w:spacing w:after="0" w:line="360" w:lineRule="auto"/>
        <w:jc w:val="both"/>
        <w:rPr>
          <w:rFonts w:ascii="Times New Roman" w:hAnsi="Times New Roman"/>
          <w:sz w:val="24"/>
          <w:szCs w:val="24"/>
        </w:rPr>
      </w:pPr>
    </w:p>
    <w:p w14:paraId="55C7B0EF" w14:textId="77777777" w:rsidR="00C30E5E" w:rsidRPr="00FF22DE" w:rsidRDefault="00C30E5E"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In terms of overall acceptability, significant differences (p ≤ 0.05) were observed among the samples. The commercial black tea (CBT) recorded the highest acceptability score (7.40 ± 1.14), while GJT recorded the lowest score (6.10 ± 1.74). However, the overall acceptability scores of BJT (6.62 ± 1.88) and CGT (6.53 ± 1.80) indicate that the formulated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teas were moderately acceptable to the panelists and comparable to some commercial products.</w:t>
      </w:r>
    </w:p>
    <w:p w14:paraId="68DBA3A7" w14:textId="77777777" w:rsidR="00C30E5E" w:rsidRPr="00FF22DE" w:rsidRDefault="00C30E5E" w:rsidP="00A37ACD">
      <w:pPr>
        <w:spacing w:line="360" w:lineRule="auto"/>
        <w:jc w:val="both"/>
        <w:rPr>
          <w:rFonts w:ascii="Times New Roman" w:hAnsi="Times New Roman"/>
          <w:sz w:val="24"/>
          <w:szCs w:val="24"/>
        </w:rPr>
      </w:pPr>
      <w:r w:rsidRPr="00FF22DE">
        <w:rPr>
          <w:rFonts w:ascii="Times New Roman" w:hAnsi="Times New Roman"/>
          <w:sz w:val="24"/>
          <w:szCs w:val="24"/>
        </w:rPr>
        <w:t xml:space="preserve">The sensory results show that the processing treatments were associated with differences in selected sensory attributes rather than all attributes and that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leaf tea possesses acceptable sensory characteristics, although the commercial tea samples recorded higher ratings. Nevertheless, the relatively good acceptability scores obtained for the </w:t>
      </w:r>
      <w:r w:rsidRPr="00FF22DE">
        <w:rPr>
          <w:rFonts w:ascii="Times New Roman" w:hAnsi="Times New Roman"/>
          <w:i/>
          <w:sz w:val="24"/>
          <w:szCs w:val="24"/>
        </w:rPr>
        <w:t xml:space="preserve">Jatropha </w:t>
      </w:r>
      <w:proofErr w:type="spellStart"/>
      <w:r w:rsidRPr="00FF22DE">
        <w:rPr>
          <w:rFonts w:ascii="Times New Roman" w:hAnsi="Times New Roman"/>
          <w:i/>
          <w:sz w:val="24"/>
          <w:szCs w:val="24"/>
        </w:rPr>
        <w:t>tanjorensis</w:t>
      </w:r>
      <w:proofErr w:type="spellEnd"/>
      <w:r w:rsidRPr="00FF22DE">
        <w:rPr>
          <w:rFonts w:ascii="Times New Roman" w:hAnsi="Times New Roman"/>
          <w:sz w:val="24"/>
          <w:szCs w:val="24"/>
        </w:rPr>
        <w:t xml:space="preserve"> teas indicate that the product has potential for development as a functional herbal beverage.</w:t>
      </w:r>
    </w:p>
    <w:p w14:paraId="4D222DE9" w14:textId="77777777" w:rsidR="0054386C" w:rsidRPr="00FF22DE" w:rsidRDefault="0054386C" w:rsidP="00A37ACD">
      <w:pPr>
        <w:spacing w:line="360" w:lineRule="auto"/>
        <w:jc w:val="both"/>
        <w:rPr>
          <w:rFonts w:ascii="Times New Roman" w:hAnsi="Times New Roman"/>
          <w:sz w:val="24"/>
          <w:szCs w:val="24"/>
        </w:rPr>
      </w:pPr>
    </w:p>
    <w:p w14:paraId="3348213B" w14:textId="77777777" w:rsidR="0054386C" w:rsidRPr="00FF22DE" w:rsidRDefault="0054386C" w:rsidP="00A37ACD">
      <w:pPr>
        <w:pStyle w:val="ListParagraph"/>
        <w:numPr>
          <w:ilvl w:val="0"/>
          <w:numId w:val="1"/>
        </w:numPr>
        <w:spacing w:line="360" w:lineRule="auto"/>
        <w:jc w:val="both"/>
        <w:rPr>
          <w:rFonts w:ascii="Times New Roman" w:hAnsi="Times New Roman"/>
          <w:b/>
          <w:sz w:val="24"/>
          <w:szCs w:val="24"/>
        </w:rPr>
      </w:pPr>
      <w:r w:rsidRPr="00FF22DE">
        <w:rPr>
          <w:rFonts w:ascii="Times New Roman" w:hAnsi="Times New Roman"/>
          <w:b/>
          <w:sz w:val="24"/>
          <w:szCs w:val="24"/>
        </w:rPr>
        <w:t>Conclusion</w:t>
      </w:r>
    </w:p>
    <w:p w14:paraId="712FA940" w14:textId="77777777" w:rsidR="0054386C" w:rsidRPr="00FF22DE" w:rsidRDefault="0054386C" w:rsidP="00A37ACD">
      <w:pPr>
        <w:spacing w:line="480" w:lineRule="auto"/>
        <w:jc w:val="both"/>
        <w:rPr>
          <w:sz w:val="24"/>
          <w:szCs w:val="24"/>
        </w:rPr>
      </w:pPr>
      <w:r w:rsidRPr="00FF22DE">
        <w:rPr>
          <w:rFonts w:ascii="Times New Roman" w:hAnsi="Times New Roman"/>
          <w:sz w:val="24"/>
          <w:szCs w:val="24"/>
        </w:rPr>
        <w:t xml:space="preserve">This study demonstrated that processing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into green and black herbal teas resulted in differences in phytochemical composition, selected micronutrient content and sensory characteristics. Black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contained higher levels of saponins, flavonoids, tannins and oxalates, whereas green tea had a higher alkaloid content. Under the processing conditions used in this study, green tea had higher measured concentrations of vitamin C, iron and zinc than black tea.</w:t>
      </w:r>
    </w:p>
    <w:p w14:paraId="4C7CEDC4" w14:textId="77777777" w:rsidR="0054386C" w:rsidRPr="00FF22DE" w:rsidRDefault="0054386C" w:rsidP="00A37ACD">
      <w:pPr>
        <w:spacing w:line="480" w:lineRule="auto"/>
        <w:jc w:val="both"/>
        <w:rPr>
          <w:rFonts w:ascii="Times New Roman" w:hAnsi="Times New Roman"/>
          <w:sz w:val="24"/>
          <w:szCs w:val="24"/>
        </w:rPr>
      </w:pPr>
      <w:r w:rsidRPr="00FF22DE">
        <w:rPr>
          <w:rFonts w:ascii="Times New Roman" w:hAnsi="Times New Roman"/>
          <w:sz w:val="24"/>
          <w:szCs w:val="24"/>
        </w:rPr>
        <w:lastRenderedPageBreak/>
        <w:t xml:space="preserve">Sensory evaluation showed that appearance and taste did not differ significantly among the four samples, whereas aroma and overall acceptability differed significantly. Black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generally received higher sensory ratings than green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tea, while commercial black tea recorded the highest aroma and overall acceptability scores. The findings support further development of J.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as </w:t>
      </w:r>
      <w:proofErr w:type="gramStart"/>
      <w:r w:rsidRPr="00FF22DE">
        <w:rPr>
          <w:rFonts w:ascii="Times New Roman" w:hAnsi="Times New Roman"/>
          <w:sz w:val="24"/>
          <w:szCs w:val="24"/>
        </w:rPr>
        <w:t>a</w:t>
      </w:r>
      <w:proofErr w:type="gramEnd"/>
      <w:r w:rsidRPr="00FF22DE">
        <w:rPr>
          <w:rFonts w:ascii="Times New Roman" w:hAnsi="Times New Roman"/>
          <w:sz w:val="24"/>
          <w:szCs w:val="24"/>
        </w:rPr>
        <w:t xml:space="preserve"> herbal tea ingredient, with processing conditions requiring consideration because they influence the resulting compositional and sensory characteristics.</w:t>
      </w:r>
    </w:p>
    <w:p w14:paraId="6FBA593C" w14:textId="77777777" w:rsidR="000503E7" w:rsidRPr="00FF22DE"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Limitations.</w:t>
      </w:r>
    </w:p>
    <w:p w14:paraId="5AFE3540" w14:textId="77777777" w:rsidR="00CA095E" w:rsidRPr="00FF22DE" w:rsidRDefault="00CA095E" w:rsidP="00A37ACD">
      <w:pPr>
        <w:spacing w:line="480" w:lineRule="auto"/>
        <w:jc w:val="both"/>
        <w:rPr>
          <w:rFonts w:ascii="Times New Roman" w:hAnsi="Times New Roman"/>
          <w:sz w:val="24"/>
          <w:szCs w:val="24"/>
        </w:rPr>
      </w:pPr>
      <w:r w:rsidRPr="00FF22DE">
        <w:rPr>
          <w:rFonts w:ascii="Times New Roman" w:hAnsi="Times New Roman"/>
          <w:sz w:val="24"/>
          <w:szCs w:val="24"/>
        </w:rPr>
        <w:t>This study was limited to select</w:t>
      </w:r>
      <w:r w:rsidR="00964760" w:rsidRPr="00FF22DE">
        <w:rPr>
          <w:rFonts w:ascii="Times New Roman" w:hAnsi="Times New Roman"/>
          <w:sz w:val="24"/>
          <w:szCs w:val="24"/>
        </w:rPr>
        <w:t xml:space="preserve">ed phytochemicals and micronutrients; </w:t>
      </w:r>
      <w:proofErr w:type="gramStart"/>
      <w:r w:rsidR="00964760" w:rsidRPr="00FF22DE">
        <w:rPr>
          <w:rFonts w:ascii="Times New Roman" w:hAnsi="Times New Roman"/>
          <w:sz w:val="24"/>
          <w:szCs w:val="24"/>
        </w:rPr>
        <w:t>therefore</w:t>
      </w:r>
      <w:proofErr w:type="gramEnd"/>
      <w:r w:rsidR="00964760" w:rsidRPr="00FF22DE">
        <w:rPr>
          <w:rFonts w:ascii="Times New Roman" w:hAnsi="Times New Roman"/>
          <w:sz w:val="24"/>
          <w:szCs w:val="24"/>
        </w:rPr>
        <w:t xml:space="preserve"> changes in other bioactive and nutritional constituents</w:t>
      </w:r>
      <w:r w:rsidR="006301AD" w:rsidRPr="00FF22DE">
        <w:rPr>
          <w:rFonts w:ascii="Times New Roman" w:hAnsi="Times New Roman"/>
          <w:sz w:val="24"/>
          <w:szCs w:val="24"/>
        </w:rPr>
        <w:t xml:space="preserve"> of J. </w:t>
      </w:r>
      <w:proofErr w:type="spellStart"/>
      <w:r w:rsidR="006301AD" w:rsidRPr="00FF22DE">
        <w:rPr>
          <w:rFonts w:ascii="Times New Roman" w:hAnsi="Times New Roman"/>
          <w:sz w:val="24"/>
          <w:szCs w:val="24"/>
        </w:rPr>
        <w:t>tanjorensis</w:t>
      </w:r>
      <w:proofErr w:type="spellEnd"/>
      <w:r w:rsidR="006301AD" w:rsidRPr="00FF22DE">
        <w:rPr>
          <w:rFonts w:ascii="Times New Roman" w:hAnsi="Times New Roman"/>
          <w:sz w:val="24"/>
          <w:szCs w:val="24"/>
        </w:rPr>
        <w:t>, including bioavailability of minerals</w:t>
      </w:r>
      <w:r w:rsidR="00964760" w:rsidRPr="00FF22DE">
        <w:rPr>
          <w:rFonts w:ascii="Times New Roman" w:hAnsi="Times New Roman"/>
          <w:sz w:val="24"/>
          <w:szCs w:val="24"/>
        </w:rPr>
        <w:t xml:space="preserve"> teas were not assessed. Also, sensory evaluation involved 20 panelists, and the responses may not fully represent the preferences of the wider consumer population. Furthermore, because the green and black teas differed in more than one processing condition, the individual contribution of specific processing steps to the observed differences in phytochemical and micronutrient composition could not be isolated.</w:t>
      </w:r>
      <w:r w:rsidR="006301AD" w:rsidRPr="00FF22DE">
        <w:rPr>
          <w:rFonts w:ascii="Times New Roman" w:hAnsi="Times New Roman"/>
          <w:sz w:val="24"/>
          <w:szCs w:val="24"/>
        </w:rPr>
        <w:t xml:space="preserve"> Further studies should therefore evaluate individual processing variables to determine their specific effects on the chemical composition of the teas. Future research should also include bioavailability studies and large-scale consumer acceptability studies to further validate the potential of </w:t>
      </w:r>
      <w:r w:rsidR="006301AD" w:rsidRPr="00FF22DE">
        <w:rPr>
          <w:rFonts w:ascii="Times New Roman" w:hAnsi="Times New Roman"/>
          <w:i/>
          <w:sz w:val="24"/>
          <w:szCs w:val="24"/>
        </w:rPr>
        <w:t xml:space="preserve">J. </w:t>
      </w:r>
      <w:proofErr w:type="spellStart"/>
      <w:r w:rsidR="006301AD" w:rsidRPr="00FF22DE">
        <w:rPr>
          <w:rFonts w:ascii="Times New Roman" w:hAnsi="Times New Roman"/>
          <w:i/>
          <w:sz w:val="24"/>
          <w:szCs w:val="24"/>
        </w:rPr>
        <w:t>tanjorensis</w:t>
      </w:r>
      <w:proofErr w:type="spellEnd"/>
      <w:r w:rsidR="006301AD" w:rsidRPr="00FF22DE">
        <w:rPr>
          <w:rFonts w:ascii="Times New Roman" w:hAnsi="Times New Roman"/>
          <w:sz w:val="24"/>
          <w:szCs w:val="24"/>
        </w:rPr>
        <w:t xml:space="preserve"> leaves as a functional tea.</w:t>
      </w:r>
    </w:p>
    <w:p w14:paraId="3BB101B1" w14:textId="77777777" w:rsidR="00014B5C" w:rsidRDefault="00014B5C" w:rsidP="00014B5C">
      <w:pPr>
        <w:spacing w:after="0" w:line="240" w:lineRule="auto"/>
        <w:rPr>
          <w:rFonts w:ascii="Times New Roman" w:hAnsi="Times New Roman"/>
          <w:b/>
        </w:rPr>
      </w:pPr>
      <w:r w:rsidRPr="000839CE">
        <w:rPr>
          <w:rFonts w:ascii="Times New Roman" w:hAnsi="Times New Roman"/>
          <w:b/>
        </w:rPr>
        <w:t>Declaration of AI Use</w:t>
      </w:r>
    </w:p>
    <w:p w14:paraId="109AAE3B" w14:textId="77777777" w:rsidR="00014B5C" w:rsidRDefault="00014B5C" w:rsidP="00014B5C">
      <w:pPr>
        <w:spacing w:after="0" w:line="240" w:lineRule="auto"/>
        <w:rPr>
          <w:rFonts w:ascii="Times New Roman" w:hAnsi="Times New Roman"/>
          <w:b/>
        </w:rPr>
      </w:pPr>
    </w:p>
    <w:p w14:paraId="191AD97D" w14:textId="77777777" w:rsidR="00014B5C" w:rsidRDefault="00014B5C" w:rsidP="00014B5C">
      <w:pPr>
        <w:spacing w:after="0" w:line="240" w:lineRule="auto"/>
        <w:rPr>
          <w:rFonts w:ascii="Times New Roman" w:hAnsi="Times New Roman"/>
          <w:b/>
        </w:rPr>
      </w:pPr>
    </w:p>
    <w:p w14:paraId="361651E6" w14:textId="77777777" w:rsidR="00014B5C" w:rsidRDefault="00014B5C" w:rsidP="00014B5C">
      <w:pPr>
        <w:spacing w:after="0" w:line="240" w:lineRule="auto"/>
        <w:rPr>
          <w:rFonts w:ascii="Times New Roman" w:hAnsi="Times New Roman"/>
          <w:b/>
        </w:rPr>
      </w:pPr>
    </w:p>
    <w:p w14:paraId="1150B4F5" w14:textId="77777777" w:rsidR="00014B5C" w:rsidRPr="002D08AC" w:rsidRDefault="00014B5C" w:rsidP="00014B5C">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314DE1" w14:textId="77777777" w:rsidR="000503E7" w:rsidRPr="00FF22DE"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Competing interests</w:t>
      </w:r>
    </w:p>
    <w:p w14:paraId="5C85B4B0" w14:textId="77777777" w:rsidR="000503E7" w:rsidRPr="00FF22DE" w:rsidRDefault="000503E7" w:rsidP="00A37ACD">
      <w:pPr>
        <w:spacing w:line="480" w:lineRule="auto"/>
        <w:jc w:val="both"/>
        <w:rPr>
          <w:rFonts w:ascii="Times New Roman" w:hAnsi="Times New Roman"/>
          <w:sz w:val="24"/>
          <w:szCs w:val="24"/>
        </w:rPr>
      </w:pPr>
      <w:r w:rsidRPr="00FF22DE">
        <w:rPr>
          <w:rFonts w:ascii="Times New Roman" w:hAnsi="Times New Roman"/>
          <w:sz w:val="24"/>
          <w:szCs w:val="24"/>
        </w:rPr>
        <w:lastRenderedPageBreak/>
        <w:t>Authors have declared that no competing interests exist.</w:t>
      </w:r>
    </w:p>
    <w:p w14:paraId="4CD70C56" w14:textId="77777777" w:rsidR="000503E7" w:rsidRPr="00FF22DE" w:rsidRDefault="000503E7" w:rsidP="00A37ACD">
      <w:pPr>
        <w:spacing w:line="480" w:lineRule="auto"/>
        <w:jc w:val="both"/>
        <w:rPr>
          <w:rFonts w:ascii="Times New Roman" w:hAnsi="Times New Roman"/>
          <w:b/>
          <w:sz w:val="24"/>
          <w:szCs w:val="24"/>
        </w:rPr>
      </w:pPr>
      <w:r w:rsidRPr="00FF22DE">
        <w:rPr>
          <w:rFonts w:ascii="Times New Roman" w:hAnsi="Times New Roman"/>
          <w:b/>
          <w:sz w:val="24"/>
          <w:szCs w:val="24"/>
        </w:rPr>
        <w:t xml:space="preserve">References </w:t>
      </w:r>
    </w:p>
    <w:p w14:paraId="71011B2D"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 xml:space="preserve">Aaqil, M., Peng, C., Kamal, A., Nawaz, T., Zhang, F., &amp; Gong, J. (2023). Tea harvesting and processing techniques and its effect on phytochemical profile and final quality of black tea: A review. Foods, 12(24), 4467. </w:t>
      </w:r>
      <w:hyperlink r:id="rId8" w:history="1">
        <w:r w:rsidR="001809C7" w:rsidRPr="00FF22DE">
          <w:rPr>
            <w:rStyle w:val="Hyperlink"/>
            <w:rFonts w:ascii="Times New Roman" w:hAnsi="Times New Roman"/>
            <w:sz w:val="24"/>
            <w:szCs w:val="24"/>
          </w:rPr>
          <w:t>https://doi.org/10.3390/foods12244467</w:t>
        </w:r>
      </w:hyperlink>
    </w:p>
    <w:p w14:paraId="527C88AE" w14:textId="77777777" w:rsidR="001809C7" w:rsidRPr="00FF22DE" w:rsidRDefault="001809C7" w:rsidP="00A37ACD">
      <w:pPr>
        <w:spacing w:line="360" w:lineRule="auto"/>
        <w:ind w:left="720" w:hanging="720"/>
        <w:jc w:val="both"/>
        <w:rPr>
          <w:rFonts w:ascii="Times New Roman" w:hAnsi="Times New Roman"/>
          <w:sz w:val="24"/>
          <w:szCs w:val="24"/>
        </w:rPr>
      </w:pPr>
      <w:r w:rsidRPr="00FF22DE">
        <w:rPr>
          <w:rFonts w:ascii="Times New Roman" w:hAnsi="Times New Roman"/>
          <w:sz w:val="24"/>
          <w:szCs w:val="24"/>
        </w:rPr>
        <w:t xml:space="preserve">Abbaspour, N., Hurrell, R., &amp; </w:t>
      </w:r>
      <w:proofErr w:type="spellStart"/>
      <w:r w:rsidRPr="00FF22DE">
        <w:rPr>
          <w:rFonts w:ascii="Times New Roman" w:hAnsi="Times New Roman"/>
          <w:sz w:val="24"/>
          <w:szCs w:val="24"/>
        </w:rPr>
        <w:t>Kelishadi</w:t>
      </w:r>
      <w:proofErr w:type="spellEnd"/>
      <w:r w:rsidRPr="00FF22DE">
        <w:rPr>
          <w:rFonts w:ascii="Times New Roman" w:hAnsi="Times New Roman"/>
          <w:sz w:val="24"/>
          <w:szCs w:val="24"/>
        </w:rPr>
        <w:t xml:space="preserve">, R. (2014). Review on iron and its importance for human health. </w:t>
      </w:r>
      <w:r w:rsidRPr="00FF22DE">
        <w:rPr>
          <w:rFonts w:ascii="Times New Roman" w:hAnsi="Times New Roman"/>
          <w:i/>
          <w:sz w:val="24"/>
          <w:szCs w:val="24"/>
        </w:rPr>
        <w:t>Journal of Research in Medical Sciences</w:t>
      </w:r>
      <w:r w:rsidRPr="00FF22DE">
        <w:rPr>
          <w:rFonts w:ascii="Times New Roman" w:hAnsi="Times New Roman"/>
          <w:sz w:val="24"/>
          <w:szCs w:val="24"/>
        </w:rPr>
        <w:t xml:space="preserve">, </w:t>
      </w:r>
      <w:r w:rsidRPr="00FF22DE">
        <w:rPr>
          <w:rFonts w:ascii="Times New Roman" w:hAnsi="Times New Roman"/>
          <w:i/>
          <w:sz w:val="24"/>
          <w:szCs w:val="24"/>
        </w:rPr>
        <w:t>19</w:t>
      </w:r>
      <w:r w:rsidRPr="00FF22DE">
        <w:rPr>
          <w:rFonts w:ascii="Times New Roman" w:hAnsi="Times New Roman"/>
          <w:sz w:val="24"/>
          <w:szCs w:val="24"/>
        </w:rPr>
        <w:t>(2), 164–174.</w:t>
      </w:r>
    </w:p>
    <w:p w14:paraId="0E945474" w14:textId="77777777" w:rsidR="00597542" w:rsidRPr="00FF22DE" w:rsidRDefault="00597542" w:rsidP="00A37ACD">
      <w:pPr>
        <w:shd w:val="clear" w:color="auto" w:fill="FFFFFF"/>
        <w:spacing w:after="0" w:line="360" w:lineRule="auto"/>
        <w:ind w:left="709" w:hanging="709"/>
        <w:jc w:val="both"/>
        <w:rPr>
          <w:rFonts w:ascii="Times New Roman" w:hAnsi="Times New Roman"/>
          <w:sz w:val="24"/>
          <w:szCs w:val="24"/>
        </w:rPr>
      </w:pPr>
      <w:r w:rsidRPr="00FF22DE">
        <w:rPr>
          <w:rFonts w:ascii="Times New Roman" w:hAnsi="Times New Roman"/>
          <w:sz w:val="24"/>
          <w:szCs w:val="24"/>
        </w:rPr>
        <w:t xml:space="preserve">Akhigbe, A. O., </w:t>
      </w:r>
      <w:proofErr w:type="spellStart"/>
      <w:r w:rsidRPr="00FF22DE">
        <w:rPr>
          <w:rFonts w:ascii="Times New Roman" w:hAnsi="Times New Roman"/>
          <w:sz w:val="24"/>
          <w:szCs w:val="24"/>
        </w:rPr>
        <w:t>Idu</w:t>
      </w:r>
      <w:proofErr w:type="spellEnd"/>
      <w:r w:rsidRPr="00FF22DE">
        <w:rPr>
          <w:rFonts w:ascii="Times New Roman" w:hAnsi="Times New Roman"/>
          <w:sz w:val="24"/>
          <w:szCs w:val="24"/>
        </w:rPr>
        <w:t xml:space="preserve">, M., </w:t>
      </w:r>
      <w:proofErr w:type="spellStart"/>
      <w:r w:rsidRPr="00FF22DE">
        <w:rPr>
          <w:rFonts w:ascii="Times New Roman" w:hAnsi="Times New Roman"/>
          <w:sz w:val="24"/>
          <w:szCs w:val="24"/>
        </w:rPr>
        <w:t>Orhue</w:t>
      </w:r>
      <w:proofErr w:type="spellEnd"/>
      <w:r w:rsidRPr="00FF22DE">
        <w:rPr>
          <w:rFonts w:ascii="Times New Roman" w:hAnsi="Times New Roman"/>
          <w:sz w:val="24"/>
          <w:szCs w:val="24"/>
        </w:rPr>
        <w:t xml:space="preserve">, E. S., Ataman, J. E., &amp; </w:t>
      </w:r>
      <w:proofErr w:type="spellStart"/>
      <w:r w:rsidRPr="00FF22DE">
        <w:rPr>
          <w:rFonts w:ascii="Times New Roman" w:hAnsi="Times New Roman"/>
          <w:sz w:val="24"/>
          <w:szCs w:val="24"/>
        </w:rPr>
        <w:t>Ehimwenman</w:t>
      </w:r>
      <w:proofErr w:type="spellEnd"/>
      <w:r w:rsidRPr="00FF22DE">
        <w:rPr>
          <w:rFonts w:ascii="Times New Roman" w:hAnsi="Times New Roman"/>
          <w:sz w:val="24"/>
          <w:szCs w:val="24"/>
        </w:rPr>
        <w:t xml:space="preserve">, S. O. (2009). Effect of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J.L. Ellis and </w:t>
      </w:r>
      <w:proofErr w:type="spellStart"/>
      <w:r w:rsidRPr="00FF22DE">
        <w:rPr>
          <w:rFonts w:ascii="Times New Roman" w:hAnsi="Times New Roman"/>
          <w:sz w:val="24"/>
          <w:szCs w:val="24"/>
        </w:rPr>
        <w:t>Soroja</w:t>
      </w:r>
      <w:proofErr w:type="spellEnd"/>
      <w:r w:rsidRPr="00FF22DE">
        <w:rPr>
          <w:rFonts w:ascii="Times New Roman" w:hAnsi="Times New Roman"/>
          <w:sz w:val="24"/>
          <w:szCs w:val="24"/>
        </w:rPr>
        <w:t xml:space="preserve"> leaves in rabbits: Biochemistry and ultrasonography. </w:t>
      </w:r>
      <w:r w:rsidRPr="00FF22DE">
        <w:rPr>
          <w:rFonts w:ascii="Times New Roman" w:hAnsi="Times New Roman"/>
          <w:i/>
          <w:sz w:val="24"/>
          <w:szCs w:val="24"/>
        </w:rPr>
        <w:t>Research Journal of Medicinal Plants</w:t>
      </w:r>
      <w:r w:rsidRPr="00FF22DE">
        <w:rPr>
          <w:rFonts w:ascii="Times New Roman" w:hAnsi="Times New Roman"/>
          <w:sz w:val="24"/>
          <w:szCs w:val="24"/>
        </w:rPr>
        <w:t xml:space="preserve">, </w:t>
      </w:r>
      <w:r w:rsidRPr="00FF22DE">
        <w:rPr>
          <w:rFonts w:ascii="Times New Roman" w:hAnsi="Times New Roman"/>
          <w:i/>
          <w:sz w:val="24"/>
          <w:szCs w:val="24"/>
        </w:rPr>
        <w:t>3</w:t>
      </w:r>
      <w:r w:rsidRPr="00FF22DE">
        <w:rPr>
          <w:rFonts w:ascii="Times New Roman" w:hAnsi="Times New Roman"/>
          <w:sz w:val="24"/>
          <w:szCs w:val="24"/>
        </w:rPr>
        <w:t>, 29–33.</w:t>
      </w:r>
    </w:p>
    <w:p w14:paraId="6B78A66D" w14:textId="77777777" w:rsidR="005200D4" w:rsidRPr="00FF22DE" w:rsidRDefault="005200D4" w:rsidP="00A37ACD">
      <w:pPr>
        <w:spacing w:after="50" w:line="360" w:lineRule="auto"/>
        <w:ind w:left="720" w:hanging="720"/>
        <w:jc w:val="both"/>
        <w:rPr>
          <w:rFonts w:ascii="Times New Roman" w:hAnsi="Times New Roman"/>
          <w:sz w:val="24"/>
          <w:szCs w:val="24"/>
        </w:rPr>
      </w:pPr>
      <w:proofErr w:type="spellStart"/>
      <w:r w:rsidRPr="00FF22DE">
        <w:rPr>
          <w:rFonts w:ascii="Times New Roman" w:hAnsi="Times New Roman"/>
          <w:sz w:val="24"/>
          <w:szCs w:val="24"/>
        </w:rPr>
        <w:t>Akinboye</w:t>
      </w:r>
      <w:proofErr w:type="spellEnd"/>
      <w:r w:rsidRPr="00FF22DE">
        <w:rPr>
          <w:rFonts w:ascii="Times New Roman" w:hAnsi="Times New Roman"/>
          <w:sz w:val="24"/>
          <w:szCs w:val="24"/>
        </w:rPr>
        <w:t xml:space="preserve">, A. J., Kim, K., Choi, S., Yang, I., &amp; Lee, J.-G. (2023). Alkaloids in food: A review of toxicity, analytical methods, occurrence and risk assessments. </w:t>
      </w:r>
      <w:r w:rsidRPr="00FF22DE">
        <w:rPr>
          <w:rFonts w:ascii="Times New Roman" w:eastAsia="Arial" w:hAnsi="Times New Roman"/>
          <w:i/>
          <w:sz w:val="24"/>
          <w:szCs w:val="24"/>
        </w:rPr>
        <w:t>Food Science and Biotechnology, 32</w:t>
      </w:r>
      <w:r w:rsidRPr="00FF22DE">
        <w:rPr>
          <w:rFonts w:ascii="Times New Roman" w:hAnsi="Times New Roman"/>
          <w:sz w:val="24"/>
          <w:szCs w:val="24"/>
        </w:rPr>
        <w:t>(9), 1133–1158.</w:t>
      </w:r>
    </w:p>
    <w:p w14:paraId="0E959DF5" w14:textId="77777777" w:rsidR="001809C7" w:rsidRPr="00FF22DE" w:rsidRDefault="001809C7" w:rsidP="00A37ACD">
      <w:pPr>
        <w:spacing w:line="360" w:lineRule="auto"/>
        <w:ind w:left="360" w:hanging="360"/>
        <w:jc w:val="both"/>
        <w:rPr>
          <w:rFonts w:ascii="Times New Roman" w:hAnsi="Times New Roman"/>
          <w:sz w:val="24"/>
          <w:szCs w:val="24"/>
        </w:rPr>
      </w:pPr>
      <w:proofErr w:type="spellStart"/>
      <w:r w:rsidRPr="00FF22DE">
        <w:rPr>
          <w:rFonts w:ascii="Times New Roman" w:hAnsi="Times New Roman"/>
          <w:sz w:val="24"/>
          <w:szCs w:val="24"/>
        </w:rPr>
        <w:t>Anhwange</w:t>
      </w:r>
      <w:proofErr w:type="spellEnd"/>
      <w:r w:rsidRPr="00FF22DE">
        <w:rPr>
          <w:rFonts w:ascii="Times New Roman" w:hAnsi="Times New Roman"/>
          <w:sz w:val="24"/>
          <w:szCs w:val="24"/>
        </w:rPr>
        <w:t xml:space="preserve">, B. A., </w:t>
      </w:r>
      <w:proofErr w:type="spellStart"/>
      <w:r w:rsidRPr="00FF22DE">
        <w:rPr>
          <w:rFonts w:ascii="Times New Roman" w:hAnsi="Times New Roman"/>
          <w:sz w:val="24"/>
          <w:szCs w:val="24"/>
        </w:rPr>
        <w:t>Agbidye</w:t>
      </w:r>
      <w:proofErr w:type="spellEnd"/>
      <w:r w:rsidRPr="00FF22DE">
        <w:rPr>
          <w:rFonts w:ascii="Times New Roman" w:hAnsi="Times New Roman"/>
          <w:sz w:val="24"/>
          <w:szCs w:val="24"/>
        </w:rPr>
        <w:t xml:space="preserve">, I. G., </w:t>
      </w:r>
      <w:proofErr w:type="spellStart"/>
      <w:r w:rsidRPr="00FF22DE">
        <w:rPr>
          <w:rFonts w:ascii="Times New Roman" w:hAnsi="Times New Roman"/>
          <w:sz w:val="24"/>
          <w:szCs w:val="24"/>
        </w:rPr>
        <w:t>Kyenge</w:t>
      </w:r>
      <w:proofErr w:type="spellEnd"/>
      <w:r w:rsidRPr="00FF22DE">
        <w:rPr>
          <w:rFonts w:ascii="Times New Roman" w:hAnsi="Times New Roman"/>
          <w:sz w:val="24"/>
          <w:szCs w:val="24"/>
        </w:rPr>
        <w:t xml:space="preserve">, B. A., &amp; </w:t>
      </w:r>
      <w:proofErr w:type="spellStart"/>
      <w:r w:rsidRPr="00FF22DE">
        <w:rPr>
          <w:rFonts w:ascii="Times New Roman" w:hAnsi="Times New Roman"/>
          <w:sz w:val="24"/>
          <w:szCs w:val="24"/>
        </w:rPr>
        <w:t>Ngbede</w:t>
      </w:r>
      <w:proofErr w:type="spellEnd"/>
      <w:r w:rsidRPr="00FF22DE">
        <w:rPr>
          <w:rFonts w:ascii="Times New Roman" w:hAnsi="Times New Roman"/>
          <w:sz w:val="24"/>
          <w:szCs w:val="24"/>
        </w:rPr>
        <w:t xml:space="preserve">, P. O. (2019). Phytochemical screening, antimicrobial activities and nutritional content of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Nigerian Annals of Pure and Applied Sciences, 2, 108–113. </w:t>
      </w:r>
      <w:hyperlink r:id="rId9" w:history="1">
        <w:r w:rsidRPr="00FF22DE">
          <w:rPr>
            <w:rStyle w:val="Hyperlink"/>
            <w:rFonts w:ascii="Times New Roman" w:hAnsi="Times New Roman"/>
            <w:sz w:val="24"/>
            <w:szCs w:val="24"/>
          </w:rPr>
          <w:t>https://doi.org/10.46912/napas.114</w:t>
        </w:r>
      </w:hyperlink>
    </w:p>
    <w:p w14:paraId="1CD98B4F" w14:textId="77777777" w:rsidR="005200D4" w:rsidRPr="00FF22DE" w:rsidRDefault="005200D4" w:rsidP="00A37ACD">
      <w:pPr>
        <w:spacing w:line="360" w:lineRule="auto"/>
        <w:ind w:left="360" w:hanging="360"/>
        <w:jc w:val="both"/>
        <w:rPr>
          <w:sz w:val="24"/>
          <w:szCs w:val="24"/>
        </w:rPr>
      </w:pPr>
    </w:p>
    <w:p w14:paraId="60C21E3A"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Association of Official Analytical Chemists International. (2019). Official methods of analysis of AOAC International (21st ed.). AOAC International.</w:t>
      </w:r>
    </w:p>
    <w:p w14:paraId="120E90AF" w14:textId="77777777" w:rsidR="001809C7" w:rsidRPr="00FF22DE" w:rsidRDefault="001809C7"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 xml:space="preserve">Bhat, B., Kumar, V., &amp; Sharma, S. (2020). Bioactive compounds and sensory properties of tea: A review. </w:t>
      </w:r>
      <w:r w:rsidRPr="00FF22DE">
        <w:rPr>
          <w:rFonts w:ascii="Times New Roman" w:hAnsi="Times New Roman"/>
          <w:i/>
          <w:sz w:val="24"/>
          <w:szCs w:val="24"/>
        </w:rPr>
        <w:t>Journal of Food Science and Technology, 57</w:t>
      </w:r>
      <w:r w:rsidRPr="00FF22DE">
        <w:rPr>
          <w:rFonts w:ascii="Times New Roman" w:hAnsi="Times New Roman"/>
          <w:sz w:val="24"/>
          <w:szCs w:val="24"/>
        </w:rPr>
        <w:t>(10), 3673–3684</w:t>
      </w:r>
    </w:p>
    <w:p w14:paraId="53D1357B" w14:textId="77777777" w:rsidR="001809C7" w:rsidRPr="00FF22DE" w:rsidRDefault="001809C7" w:rsidP="00A37ACD">
      <w:pPr>
        <w:spacing w:line="360" w:lineRule="auto"/>
        <w:ind w:left="720" w:hanging="720"/>
        <w:jc w:val="both"/>
        <w:rPr>
          <w:rFonts w:ascii="Times New Roman" w:hAnsi="Times New Roman"/>
          <w:sz w:val="24"/>
          <w:szCs w:val="24"/>
        </w:rPr>
      </w:pPr>
      <w:r w:rsidRPr="00FF22DE">
        <w:rPr>
          <w:rFonts w:ascii="Times New Roman" w:hAnsi="Times New Roman"/>
          <w:sz w:val="24"/>
          <w:szCs w:val="24"/>
        </w:rPr>
        <w:t xml:space="preserve">Carr, A. C., &amp; Maggini, S. (2017). Vitamin C and immune function. </w:t>
      </w:r>
      <w:r w:rsidRPr="00FF22DE">
        <w:rPr>
          <w:rFonts w:ascii="Times New Roman" w:hAnsi="Times New Roman"/>
          <w:i/>
          <w:sz w:val="24"/>
          <w:szCs w:val="24"/>
        </w:rPr>
        <w:t>Nutrients, 9</w:t>
      </w:r>
      <w:r w:rsidRPr="00FF22DE">
        <w:rPr>
          <w:rFonts w:ascii="Times New Roman" w:hAnsi="Times New Roman"/>
          <w:sz w:val="24"/>
          <w:szCs w:val="24"/>
        </w:rPr>
        <w:t>(11), 1211.</w:t>
      </w:r>
    </w:p>
    <w:p w14:paraId="1BFD9A75" w14:textId="77777777" w:rsidR="005200D4" w:rsidRPr="00FF22DE" w:rsidRDefault="005200D4" w:rsidP="00A37ACD">
      <w:pPr>
        <w:spacing w:after="170" w:line="360" w:lineRule="auto"/>
        <w:ind w:left="720" w:right="263" w:hanging="720"/>
        <w:jc w:val="both"/>
        <w:rPr>
          <w:rFonts w:ascii="Times New Roman" w:hAnsi="Times New Roman"/>
          <w:sz w:val="24"/>
          <w:szCs w:val="24"/>
        </w:rPr>
      </w:pPr>
      <w:r w:rsidRPr="00FF22DE">
        <w:rPr>
          <w:rFonts w:ascii="Times New Roman" w:hAnsi="Times New Roman"/>
          <w:sz w:val="24"/>
          <w:szCs w:val="24"/>
        </w:rPr>
        <w:t xml:space="preserve">Chung, K. T., Wong, T. Y., Wei, C. I., Huang, Y. W., &amp; Lin, Y. (1998). Tannins and human health: A review. </w:t>
      </w:r>
      <w:r w:rsidRPr="00FF22DE">
        <w:rPr>
          <w:rFonts w:ascii="Times New Roman" w:eastAsia="Arial" w:hAnsi="Times New Roman"/>
          <w:i/>
          <w:sz w:val="24"/>
          <w:szCs w:val="24"/>
        </w:rPr>
        <w:t>Critical Reviews in Food Science and Nutrition, 38</w:t>
      </w:r>
      <w:r w:rsidRPr="00FF22DE">
        <w:rPr>
          <w:rFonts w:ascii="Times New Roman" w:hAnsi="Times New Roman"/>
          <w:sz w:val="24"/>
          <w:szCs w:val="24"/>
        </w:rPr>
        <w:t>(6), 421–464. https://doi.org/ 10.1080/10408699891274273</w:t>
      </w:r>
    </w:p>
    <w:p w14:paraId="6B1B4E1F" w14:textId="77777777" w:rsidR="005200D4" w:rsidRPr="00FF22DE" w:rsidRDefault="003C4C09" w:rsidP="00A37ACD">
      <w:pPr>
        <w:spacing w:line="360" w:lineRule="auto"/>
        <w:ind w:left="720" w:hanging="720"/>
        <w:jc w:val="both"/>
        <w:rPr>
          <w:rFonts w:ascii="Times New Roman" w:hAnsi="Times New Roman"/>
          <w:sz w:val="24"/>
          <w:szCs w:val="24"/>
        </w:rPr>
      </w:pPr>
      <w:r w:rsidRPr="00FF22DE">
        <w:rPr>
          <w:rFonts w:ascii="Times New Roman" w:hAnsi="Times New Roman"/>
          <w:sz w:val="24"/>
          <w:szCs w:val="24"/>
        </w:rPr>
        <w:lastRenderedPageBreak/>
        <w:t xml:space="preserve">Deka, A., &amp; Vita, J. A. (2011). Tea and cardiovascular disease. </w:t>
      </w:r>
      <w:r w:rsidRPr="00FF22DE">
        <w:rPr>
          <w:rFonts w:ascii="Times New Roman" w:hAnsi="Times New Roman"/>
          <w:i/>
          <w:sz w:val="24"/>
          <w:szCs w:val="24"/>
        </w:rPr>
        <w:t>Pharmacological Research, 64</w:t>
      </w:r>
      <w:r w:rsidRPr="00FF22DE">
        <w:rPr>
          <w:rFonts w:ascii="Times New Roman" w:hAnsi="Times New Roman"/>
          <w:sz w:val="24"/>
          <w:szCs w:val="24"/>
        </w:rPr>
        <w:t xml:space="preserve">(2), 136–145. </w:t>
      </w:r>
      <w:hyperlink r:id="rId10" w:history="1">
        <w:r w:rsidRPr="00FF22DE">
          <w:rPr>
            <w:rStyle w:val="Hyperlink"/>
            <w:rFonts w:ascii="Times New Roman" w:hAnsi="Times New Roman"/>
            <w:sz w:val="24"/>
            <w:szCs w:val="24"/>
          </w:rPr>
          <w:t>https://doi.org/10.1016/j.phrs.2011.03.009</w:t>
        </w:r>
      </w:hyperlink>
    </w:p>
    <w:p w14:paraId="1190F061" w14:textId="77777777" w:rsidR="005200D4" w:rsidRPr="00FF22DE" w:rsidRDefault="005200D4" w:rsidP="00A37ACD">
      <w:pPr>
        <w:spacing w:line="360" w:lineRule="auto"/>
        <w:ind w:left="360" w:hanging="360"/>
        <w:jc w:val="both"/>
        <w:rPr>
          <w:sz w:val="24"/>
          <w:szCs w:val="24"/>
        </w:rPr>
      </w:pPr>
      <w:proofErr w:type="spellStart"/>
      <w:r w:rsidRPr="00FF22DE">
        <w:rPr>
          <w:rFonts w:ascii="Times New Roman" w:hAnsi="Times New Roman"/>
          <w:sz w:val="24"/>
          <w:szCs w:val="24"/>
        </w:rPr>
        <w:t>Ityo</w:t>
      </w:r>
      <w:proofErr w:type="spellEnd"/>
      <w:r w:rsidRPr="00FF22DE">
        <w:rPr>
          <w:rFonts w:ascii="Times New Roman" w:hAnsi="Times New Roman"/>
          <w:sz w:val="24"/>
          <w:szCs w:val="24"/>
        </w:rPr>
        <w:t xml:space="preserve">, S. D., </w:t>
      </w:r>
      <w:proofErr w:type="spellStart"/>
      <w:r w:rsidRPr="00FF22DE">
        <w:rPr>
          <w:rFonts w:ascii="Times New Roman" w:hAnsi="Times New Roman"/>
          <w:sz w:val="24"/>
          <w:szCs w:val="24"/>
        </w:rPr>
        <w:t>Anhwange</w:t>
      </w:r>
      <w:proofErr w:type="spellEnd"/>
      <w:r w:rsidRPr="00FF22DE">
        <w:rPr>
          <w:rFonts w:ascii="Times New Roman" w:hAnsi="Times New Roman"/>
          <w:sz w:val="24"/>
          <w:szCs w:val="24"/>
        </w:rPr>
        <w:t xml:space="preserve">, B. A., Adie, P. A., &amp; </w:t>
      </w:r>
      <w:proofErr w:type="spellStart"/>
      <w:r w:rsidRPr="00FF22DE">
        <w:rPr>
          <w:rFonts w:ascii="Times New Roman" w:hAnsi="Times New Roman"/>
          <w:sz w:val="24"/>
          <w:szCs w:val="24"/>
        </w:rPr>
        <w:t>Yande</w:t>
      </w:r>
      <w:proofErr w:type="spellEnd"/>
      <w:r w:rsidRPr="00FF22DE">
        <w:rPr>
          <w:rFonts w:ascii="Times New Roman" w:hAnsi="Times New Roman"/>
          <w:sz w:val="24"/>
          <w:szCs w:val="24"/>
        </w:rPr>
        <w:t xml:space="preserve">, J. T. (2023). Nutritional evaluation and microbial enumeration of herbal teas made from Vernonia amygdalina, Hibiscus sabdariffa, and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blended with lemon zest and ginger rhizomes. </w:t>
      </w:r>
      <w:r w:rsidRPr="00FF22DE">
        <w:rPr>
          <w:rFonts w:ascii="Times New Roman" w:hAnsi="Times New Roman"/>
          <w:i/>
          <w:sz w:val="24"/>
          <w:szCs w:val="24"/>
        </w:rPr>
        <w:t>International Journal of Research and Innovation in Applied Science</w:t>
      </w:r>
      <w:r w:rsidRPr="00FF22DE">
        <w:rPr>
          <w:rFonts w:ascii="Times New Roman" w:hAnsi="Times New Roman"/>
          <w:sz w:val="24"/>
          <w:szCs w:val="24"/>
        </w:rPr>
        <w:t>, 8(9), 59–68. https://doi.org/10.51584/IJRIAS.2023.8908</w:t>
      </w:r>
    </w:p>
    <w:p w14:paraId="0062691F"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 xml:space="preserve">Li, W., Zhang, X., Wang, S., Gao, X., &amp; Zhang, X. (2024). Research progress on extraction and detection technologies of flavonoid compounds in foods. Foods, 13(4), 628. </w:t>
      </w:r>
      <w:hyperlink r:id="rId11" w:history="1">
        <w:r w:rsidR="00597542" w:rsidRPr="00FF22DE">
          <w:rPr>
            <w:rStyle w:val="Hyperlink"/>
            <w:rFonts w:ascii="Times New Roman" w:hAnsi="Times New Roman"/>
            <w:sz w:val="24"/>
            <w:szCs w:val="24"/>
          </w:rPr>
          <w:t>https://doi.org/10.3390/foods13040628</w:t>
        </w:r>
      </w:hyperlink>
    </w:p>
    <w:p w14:paraId="5A67805C" w14:textId="77777777" w:rsidR="00597542" w:rsidRPr="00FF22DE" w:rsidRDefault="00597542" w:rsidP="00A37ACD">
      <w:pPr>
        <w:spacing w:line="360" w:lineRule="auto"/>
        <w:ind w:left="360" w:hanging="360"/>
        <w:jc w:val="both"/>
        <w:rPr>
          <w:rStyle w:val="Hyperlink"/>
          <w:rFonts w:ascii="Times New Roman" w:hAnsi="Times New Roman"/>
          <w:color w:val="auto"/>
          <w:sz w:val="24"/>
          <w:szCs w:val="24"/>
        </w:rPr>
      </w:pPr>
      <w:proofErr w:type="spellStart"/>
      <w:r w:rsidRPr="00FF22DE">
        <w:rPr>
          <w:rFonts w:ascii="Times New Roman" w:hAnsi="Times New Roman"/>
          <w:sz w:val="24"/>
          <w:szCs w:val="24"/>
        </w:rPr>
        <w:t>Ndife</w:t>
      </w:r>
      <w:proofErr w:type="spellEnd"/>
      <w:r w:rsidRPr="00FF22DE">
        <w:rPr>
          <w:rFonts w:ascii="Times New Roman" w:hAnsi="Times New Roman"/>
          <w:sz w:val="24"/>
          <w:szCs w:val="24"/>
        </w:rPr>
        <w:t xml:space="preserve">, J., Uka N.C. &amp; </w:t>
      </w:r>
      <w:proofErr w:type="spellStart"/>
      <w:r w:rsidRPr="00FF22DE">
        <w:rPr>
          <w:rFonts w:ascii="Times New Roman" w:hAnsi="Times New Roman"/>
          <w:sz w:val="24"/>
          <w:szCs w:val="24"/>
        </w:rPr>
        <w:t>Ukom</w:t>
      </w:r>
      <w:proofErr w:type="spellEnd"/>
      <w:r w:rsidRPr="00FF22DE">
        <w:rPr>
          <w:rFonts w:ascii="Times New Roman" w:hAnsi="Times New Roman"/>
          <w:sz w:val="24"/>
          <w:szCs w:val="24"/>
        </w:rPr>
        <w:t xml:space="preserve"> N.A. (2019). Development and Comparative Evaluation of Green and Black Tisanes using Scent leaves (</w:t>
      </w:r>
      <w:proofErr w:type="spellStart"/>
      <w:r w:rsidRPr="00FF22DE">
        <w:rPr>
          <w:rFonts w:ascii="Times New Roman" w:hAnsi="Times New Roman"/>
          <w:sz w:val="24"/>
          <w:szCs w:val="24"/>
        </w:rPr>
        <w:t>Chromolaena</w:t>
      </w:r>
      <w:proofErr w:type="spellEnd"/>
      <w:r w:rsidRPr="00FF22DE">
        <w:rPr>
          <w:rFonts w:ascii="Times New Roman" w:hAnsi="Times New Roman"/>
          <w:sz w:val="24"/>
          <w:szCs w:val="24"/>
        </w:rPr>
        <w:t xml:space="preserve"> Soraya). </w:t>
      </w:r>
      <w:r w:rsidRPr="00FF22DE">
        <w:rPr>
          <w:rFonts w:ascii="Times New Roman" w:hAnsi="Times New Roman"/>
          <w:i/>
          <w:sz w:val="24"/>
          <w:szCs w:val="24"/>
        </w:rPr>
        <w:t>Food Research</w:t>
      </w:r>
      <w:r w:rsidRPr="00FF22DE">
        <w:rPr>
          <w:rFonts w:ascii="Times New Roman" w:hAnsi="Times New Roman"/>
          <w:sz w:val="24"/>
          <w:szCs w:val="24"/>
        </w:rPr>
        <w:t xml:space="preserve">, 3(5), 448-455. </w:t>
      </w:r>
      <w:hyperlink r:id="rId12" w:history="1">
        <w:r w:rsidRPr="00FF22DE">
          <w:rPr>
            <w:rStyle w:val="Hyperlink"/>
            <w:rFonts w:ascii="Times New Roman" w:hAnsi="Times New Roman"/>
            <w:sz w:val="24"/>
            <w:szCs w:val="24"/>
          </w:rPr>
          <w:t>http://www.myfoodresearch.com</w:t>
        </w:r>
      </w:hyperlink>
    </w:p>
    <w:p w14:paraId="4FB428CE" w14:textId="77777777" w:rsidR="00597542" w:rsidRPr="00FF22DE" w:rsidRDefault="00597542" w:rsidP="00A37ACD">
      <w:pPr>
        <w:spacing w:line="360" w:lineRule="auto"/>
        <w:ind w:left="360" w:hanging="360"/>
        <w:jc w:val="both"/>
        <w:rPr>
          <w:sz w:val="24"/>
          <w:szCs w:val="24"/>
        </w:rPr>
      </w:pPr>
      <w:r w:rsidRPr="00FF22DE">
        <w:rPr>
          <w:rFonts w:ascii="Times New Roman" w:hAnsi="Times New Roman"/>
          <w:sz w:val="24"/>
          <w:szCs w:val="24"/>
        </w:rPr>
        <w:t xml:space="preserve">Nwachukwu C.N. (2018). Nutrient, Phytochemical and Anti-nutrient Evaluation of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Leaf (Hospital Too Far). </w:t>
      </w:r>
      <w:r w:rsidRPr="00FF22DE">
        <w:rPr>
          <w:rFonts w:ascii="Times New Roman" w:hAnsi="Times New Roman"/>
          <w:i/>
          <w:sz w:val="24"/>
          <w:szCs w:val="24"/>
        </w:rPr>
        <w:t>Journal of Agriculture and Food Sciences</w:t>
      </w:r>
      <w:r w:rsidRPr="00FF22DE">
        <w:rPr>
          <w:rFonts w:ascii="Times New Roman" w:hAnsi="Times New Roman"/>
          <w:sz w:val="24"/>
          <w:szCs w:val="24"/>
        </w:rPr>
        <w:t xml:space="preserve">, </w:t>
      </w:r>
      <w:r w:rsidRPr="00FF22DE">
        <w:rPr>
          <w:rFonts w:ascii="Times New Roman" w:hAnsi="Times New Roman"/>
          <w:i/>
          <w:sz w:val="24"/>
          <w:szCs w:val="24"/>
        </w:rPr>
        <w:t>16</w:t>
      </w:r>
      <w:r w:rsidRPr="00FF22DE">
        <w:rPr>
          <w:rFonts w:ascii="Times New Roman" w:hAnsi="Times New Roman"/>
          <w:sz w:val="24"/>
          <w:szCs w:val="24"/>
        </w:rPr>
        <w:t xml:space="preserve">(2), 36-46. </w:t>
      </w:r>
      <w:hyperlink r:id="rId13" w:history="1">
        <w:r w:rsidRPr="00FF22DE">
          <w:rPr>
            <w:rStyle w:val="Hyperlink"/>
            <w:rFonts w:ascii="Times New Roman" w:hAnsi="Times New Roman"/>
            <w:sz w:val="24"/>
            <w:szCs w:val="24"/>
          </w:rPr>
          <w:t>https://dx.doi.org110.4314/jafs.vi6i2.4</w:t>
        </w:r>
      </w:hyperlink>
    </w:p>
    <w:p w14:paraId="4D8E57D4"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 xml:space="preserve">Obadoni, B. O., &amp; Ochuko, P. O. (2002). Phytochemical studies and comparative efficacy of the crude extracts of some </w:t>
      </w:r>
      <w:proofErr w:type="spellStart"/>
      <w:r w:rsidRPr="00FF22DE">
        <w:rPr>
          <w:rFonts w:ascii="Times New Roman" w:hAnsi="Times New Roman"/>
          <w:sz w:val="24"/>
          <w:szCs w:val="24"/>
        </w:rPr>
        <w:t>haemostatic</w:t>
      </w:r>
      <w:proofErr w:type="spellEnd"/>
      <w:r w:rsidRPr="00FF22DE">
        <w:rPr>
          <w:rFonts w:ascii="Times New Roman" w:hAnsi="Times New Roman"/>
          <w:sz w:val="24"/>
          <w:szCs w:val="24"/>
        </w:rPr>
        <w:t xml:space="preserve"> plants in Edo and Delta States of Nigeria. </w:t>
      </w:r>
      <w:r w:rsidRPr="00FF22DE">
        <w:rPr>
          <w:rFonts w:ascii="Times New Roman" w:hAnsi="Times New Roman"/>
          <w:i/>
          <w:sz w:val="24"/>
          <w:szCs w:val="24"/>
        </w:rPr>
        <w:t>Global Journal of Pure and Applied Sciences</w:t>
      </w:r>
      <w:r w:rsidRPr="00FF22DE">
        <w:rPr>
          <w:rFonts w:ascii="Times New Roman" w:hAnsi="Times New Roman"/>
          <w:sz w:val="24"/>
          <w:szCs w:val="24"/>
        </w:rPr>
        <w:t xml:space="preserve">, 8(2), 203–208. </w:t>
      </w:r>
      <w:hyperlink r:id="rId14" w:history="1">
        <w:r w:rsidR="00597542" w:rsidRPr="00FF22DE">
          <w:rPr>
            <w:rStyle w:val="Hyperlink"/>
            <w:rFonts w:ascii="Times New Roman" w:hAnsi="Times New Roman"/>
            <w:sz w:val="24"/>
            <w:szCs w:val="24"/>
          </w:rPr>
          <w:t>https://doi.org/10.4314/gjpas.v8i2.16033</w:t>
        </w:r>
      </w:hyperlink>
    </w:p>
    <w:p w14:paraId="68CC368E" w14:textId="77777777" w:rsidR="00597542" w:rsidRPr="00FF22DE" w:rsidRDefault="00597542" w:rsidP="00E45257">
      <w:pPr>
        <w:shd w:val="clear" w:color="auto" w:fill="FFFFFF"/>
        <w:spacing w:after="0" w:line="360" w:lineRule="auto"/>
        <w:ind w:left="709" w:hanging="709"/>
        <w:jc w:val="both"/>
        <w:rPr>
          <w:rFonts w:ascii="Times New Roman" w:hAnsi="Times New Roman"/>
          <w:sz w:val="24"/>
          <w:szCs w:val="24"/>
        </w:rPr>
      </w:pPr>
      <w:proofErr w:type="spellStart"/>
      <w:r w:rsidRPr="00FF22DE">
        <w:rPr>
          <w:rFonts w:ascii="Times New Roman" w:hAnsi="Times New Roman"/>
          <w:sz w:val="24"/>
          <w:szCs w:val="24"/>
        </w:rPr>
        <w:t>Ochulor</w:t>
      </w:r>
      <w:proofErr w:type="spellEnd"/>
      <w:r w:rsidRPr="00FF22DE">
        <w:rPr>
          <w:rFonts w:ascii="Times New Roman" w:hAnsi="Times New Roman"/>
          <w:sz w:val="24"/>
          <w:szCs w:val="24"/>
        </w:rPr>
        <w:t xml:space="preserve">, O.C., Njoku, O.U., </w:t>
      </w:r>
      <w:proofErr w:type="spellStart"/>
      <w:r w:rsidRPr="00FF22DE">
        <w:rPr>
          <w:rFonts w:ascii="Times New Roman" w:hAnsi="Times New Roman"/>
          <w:sz w:val="24"/>
          <w:szCs w:val="24"/>
        </w:rPr>
        <w:t>Uroko</w:t>
      </w:r>
      <w:proofErr w:type="spellEnd"/>
      <w:r w:rsidRPr="00FF22DE">
        <w:rPr>
          <w:rFonts w:ascii="Times New Roman" w:hAnsi="Times New Roman"/>
          <w:sz w:val="24"/>
          <w:szCs w:val="24"/>
        </w:rPr>
        <w:t xml:space="preserve"> R.I. &amp; Egba, S.I. (2018). Nutritional Composition of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Leaves </w:t>
      </w:r>
      <w:proofErr w:type="gramStart"/>
      <w:r w:rsidRPr="00FF22DE">
        <w:rPr>
          <w:rFonts w:ascii="Times New Roman" w:hAnsi="Times New Roman"/>
          <w:sz w:val="24"/>
          <w:szCs w:val="24"/>
        </w:rPr>
        <w:t>and  Effects</w:t>
      </w:r>
      <w:proofErr w:type="gramEnd"/>
      <w:r w:rsidRPr="00FF22DE">
        <w:rPr>
          <w:rFonts w:ascii="Times New Roman" w:hAnsi="Times New Roman"/>
          <w:sz w:val="24"/>
          <w:szCs w:val="24"/>
        </w:rPr>
        <w:t xml:space="preserve"> of its Aqueous Extract on Carbon Tetrachloride induced Oxidative Stress in Male </w:t>
      </w:r>
      <w:proofErr w:type="spellStart"/>
      <w:r w:rsidRPr="00FF22DE">
        <w:rPr>
          <w:rFonts w:ascii="Times New Roman" w:hAnsi="Times New Roman"/>
          <w:sz w:val="24"/>
          <w:szCs w:val="24"/>
        </w:rPr>
        <w:t>wister</w:t>
      </w:r>
      <w:proofErr w:type="spellEnd"/>
      <w:r w:rsidRPr="00FF22DE">
        <w:rPr>
          <w:rFonts w:ascii="Times New Roman" w:hAnsi="Times New Roman"/>
          <w:sz w:val="24"/>
          <w:szCs w:val="24"/>
        </w:rPr>
        <w:t xml:space="preserve"> Albino Rats. </w:t>
      </w:r>
      <w:r w:rsidRPr="00FF22DE">
        <w:rPr>
          <w:rFonts w:ascii="Times New Roman" w:hAnsi="Times New Roman"/>
          <w:i/>
          <w:sz w:val="24"/>
          <w:szCs w:val="24"/>
        </w:rPr>
        <w:t>Biomedical Research</w:t>
      </w:r>
      <w:r w:rsidRPr="00FF22DE">
        <w:rPr>
          <w:rFonts w:ascii="Times New Roman" w:hAnsi="Times New Roman"/>
          <w:sz w:val="24"/>
          <w:szCs w:val="24"/>
        </w:rPr>
        <w:t xml:space="preserve">. </w:t>
      </w:r>
      <w:r w:rsidRPr="00FF22DE">
        <w:rPr>
          <w:rFonts w:ascii="Times New Roman" w:hAnsi="Times New Roman"/>
          <w:i/>
          <w:sz w:val="24"/>
          <w:szCs w:val="24"/>
        </w:rPr>
        <w:t>29</w:t>
      </w:r>
      <w:r w:rsidRPr="00FF22DE">
        <w:rPr>
          <w:rFonts w:ascii="Times New Roman" w:hAnsi="Times New Roman"/>
          <w:sz w:val="24"/>
          <w:szCs w:val="24"/>
        </w:rPr>
        <w:t>(19). Doi:10.4066/biomedicalresearch.29-18-665.</w:t>
      </w:r>
    </w:p>
    <w:p w14:paraId="7D55DDEB" w14:textId="77777777" w:rsidR="00597542" w:rsidRPr="00FF22DE" w:rsidRDefault="00597542" w:rsidP="00A37ACD">
      <w:pPr>
        <w:spacing w:line="360" w:lineRule="auto"/>
        <w:ind w:left="720" w:hanging="720"/>
        <w:jc w:val="both"/>
        <w:rPr>
          <w:rFonts w:ascii="Times New Roman" w:hAnsi="Times New Roman"/>
          <w:sz w:val="24"/>
          <w:szCs w:val="24"/>
        </w:rPr>
      </w:pPr>
      <w:proofErr w:type="spellStart"/>
      <w:r w:rsidRPr="00FF22DE">
        <w:rPr>
          <w:rFonts w:ascii="Times New Roman" w:hAnsi="Times New Roman"/>
          <w:sz w:val="24"/>
          <w:szCs w:val="24"/>
        </w:rPr>
        <w:t>Ogunka-Nnoka</w:t>
      </w:r>
      <w:proofErr w:type="spellEnd"/>
      <w:r w:rsidRPr="00FF22DE">
        <w:rPr>
          <w:rFonts w:ascii="Times New Roman" w:hAnsi="Times New Roman"/>
          <w:sz w:val="24"/>
          <w:szCs w:val="24"/>
        </w:rPr>
        <w:t xml:space="preserve">, C., &amp; Nwabueze, A. (2019). An assessment of nutrients and phytoconstituents in Jatropha </w:t>
      </w:r>
      <w:proofErr w:type="spellStart"/>
      <w:r w:rsidRPr="00FF22DE">
        <w:rPr>
          <w:rFonts w:ascii="Times New Roman" w:hAnsi="Times New Roman"/>
          <w:sz w:val="24"/>
          <w:szCs w:val="24"/>
        </w:rPr>
        <w:t>tanjorensis</w:t>
      </w:r>
      <w:proofErr w:type="spellEnd"/>
      <w:r w:rsidRPr="00FF22DE">
        <w:rPr>
          <w:rFonts w:ascii="Times New Roman" w:hAnsi="Times New Roman"/>
          <w:sz w:val="24"/>
          <w:szCs w:val="24"/>
        </w:rPr>
        <w:t xml:space="preserve"> leaf stalk. </w:t>
      </w:r>
      <w:r w:rsidRPr="00FF22DE">
        <w:rPr>
          <w:rFonts w:ascii="Times New Roman" w:hAnsi="Times New Roman"/>
          <w:i/>
          <w:sz w:val="24"/>
          <w:szCs w:val="24"/>
        </w:rPr>
        <w:t>Polish Journal of Applied Sciences, 5</w:t>
      </w:r>
      <w:r w:rsidRPr="00FF22DE">
        <w:rPr>
          <w:rFonts w:ascii="Times New Roman" w:hAnsi="Times New Roman"/>
          <w:sz w:val="24"/>
          <w:szCs w:val="24"/>
        </w:rPr>
        <w:t>(1), 37–43.</w:t>
      </w:r>
    </w:p>
    <w:p w14:paraId="622F75A2"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Onwuka, G. I. (2005). Food analysis and instrumentation: Theory and practice. Napthali Prints.</w:t>
      </w:r>
    </w:p>
    <w:p w14:paraId="51C0AC08" w14:textId="77777777" w:rsidR="005200D4" w:rsidRPr="00FF22DE" w:rsidRDefault="00597542" w:rsidP="0066074C">
      <w:pPr>
        <w:spacing w:line="360" w:lineRule="auto"/>
        <w:ind w:left="720" w:hanging="720"/>
        <w:jc w:val="both"/>
        <w:rPr>
          <w:rFonts w:ascii="Times New Roman" w:hAnsi="Times New Roman"/>
          <w:sz w:val="24"/>
          <w:szCs w:val="24"/>
        </w:rPr>
      </w:pPr>
      <w:proofErr w:type="spellStart"/>
      <w:r w:rsidRPr="00FF22DE">
        <w:rPr>
          <w:rFonts w:ascii="Times New Roman" w:hAnsi="Times New Roman"/>
          <w:sz w:val="24"/>
          <w:szCs w:val="24"/>
        </w:rPr>
        <w:lastRenderedPageBreak/>
        <w:t>Panche</w:t>
      </w:r>
      <w:proofErr w:type="spellEnd"/>
      <w:r w:rsidRPr="00FF22DE">
        <w:rPr>
          <w:rFonts w:ascii="Times New Roman" w:hAnsi="Times New Roman"/>
          <w:sz w:val="24"/>
          <w:szCs w:val="24"/>
        </w:rPr>
        <w:t xml:space="preserve">, A. N., Diwan, A. D., &amp; Chandra, S. R. (2016). Flavonoids: An overview. </w:t>
      </w:r>
      <w:r w:rsidRPr="00FF22DE">
        <w:rPr>
          <w:rFonts w:ascii="Times New Roman" w:hAnsi="Times New Roman"/>
          <w:i/>
          <w:sz w:val="24"/>
          <w:szCs w:val="24"/>
        </w:rPr>
        <w:t>Journal of Nutritional Science, 5</w:t>
      </w:r>
      <w:r w:rsidRPr="00FF22DE">
        <w:rPr>
          <w:rFonts w:ascii="Times New Roman" w:hAnsi="Times New Roman"/>
          <w:sz w:val="24"/>
          <w:szCs w:val="24"/>
        </w:rPr>
        <w:t>, e47. https://doi.org/10.1017/jns.2016.41</w:t>
      </w:r>
      <w:r w:rsidR="005200D4" w:rsidRPr="00FF22DE">
        <w:rPr>
          <w:rFonts w:ascii="Times New Roman" w:hAnsi="Times New Roman"/>
          <w:sz w:val="24"/>
          <w:szCs w:val="24"/>
        </w:rPr>
        <w:t>.</w:t>
      </w:r>
    </w:p>
    <w:p w14:paraId="67948320" w14:textId="77777777" w:rsidR="001809C7" w:rsidRPr="00FF22DE" w:rsidRDefault="001809C7" w:rsidP="00A37ACD">
      <w:pPr>
        <w:spacing w:line="360" w:lineRule="auto"/>
        <w:ind w:left="720" w:hanging="720"/>
        <w:jc w:val="both"/>
        <w:rPr>
          <w:rFonts w:ascii="Times New Roman" w:hAnsi="Times New Roman"/>
          <w:sz w:val="24"/>
          <w:szCs w:val="24"/>
        </w:rPr>
      </w:pPr>
      <w:proofErr w:type="spellStart"/>
      <w:r w:rsidRPr="00FF22DE">
        <w:rPr>
          <w:rFonts w:ascii="Times New Roman" w:hAnsi="Times New Roman"/>
          <w:sz w:val="24"/>
          <w:szCs w:val="24"/>
        </w:rPr>
        <w:t>Roohani</w:t>
      </w:r>
      <w:proofErr w:type="spellEnd"/>
      <w:r w:rsidRPr="00FF22DE">
        <w:rPr>
          <w:rFonts w:ascii="Times New Roman" w:hAnsi="Times New Roman"/>
          <w:sz w:val="24"/>
          <w:szCs w:val="24"/>
        </w:rPr>
        <w:t xml:space="preserve">, N., Hurrell, R., </w:t>
      </w:r>
      <w:proofErr w:type="spellStart"/>
      <w:r w:rsidRPr="00FF22DE">
        <w:rPr>
          <w:rFonts w:ascii="Times New Roman" w:hAnsi="Times New Roman"/>
          <w:sz w:val="24"/>
          <w:szCs w:val="24"/>
        </w:rPr>
        <w:t>Kelishadi</w:t>
      </w:r>
      <w:proofErr w:type="spellEnd"/>
      <w:r w:rsidRPr="00FF22DE">
        <w:rPr>
          <w:rFonts w:ascii="Times New Roman" w:hAnsi="Times New Roman"/>
          <w:sz w:val="24"/>
          <w:szCs w:val="24"/>
        </w:rPr>
        <w:t xml:space="preserve">, R., &amp; Schulin, R. (2013). Zinc and its importance for human health: An integrative review. </w:t>
      </w:r>
      <w:r w:rsidRPr="00FF22DE">
        <w:rPr>
          <w:rFonts w:ascii="Times New Roman" w:hAnsi="Times New Roman"/>
          <w:i/>
          <w:sz w:val="24"/>
          <w:szCs w:val="24"/>
        </w:rPr>
        <w:t>Journal of Research in Medical Sciences, 18</w:t>
      </w:r>
      <w:r w:rsidRPr="00FF22DE">
        <w:rPr>
          <w:rFonts w:ascii="Times New Roman" w:hAnsi="Times New Roman"/>
          <w:sz w:val="24"/>
          <w:szCs w:val="24"/>
        </w:rPr>
        <w:t>(2), 144–157.</w:t>
      </w:r>
    </w:p>
    <w:p w14:paraId="477742C2" w14:textId="77777777" w:rsidR="0066074C" w:rsidRPr="0066074C" w:rsidRDefault="00110754" w:rsidP="0066074C">
      <w:pPr>
        <w:spacing w:after="170" w:line="360" w:lineRule="auto"/>
        <w:ind w:left="720" w:hanging="720"/>
        <w:jc w:val="both"/>
        <w:rPr>
          <w:rFonts w:ascii="Times New Roman" w:hAnsi="Times New Roman"/>
          <w:color w:val="0563C1" w:themeColor="hyperlink"/>
          <w:sz w:val="24"/>
          <w:szCs w:val="24"/>
          <w:u w:val="single"/>
        </w:rPr>
      </w:pPr>
      <w:r w:rsidRPr="00FF22DE">
        <w:rPr>
          <w:rFonts w:ascii="Times New Roman" w:hAnsi="Times New Roman"/>
          <w:sz w:val="24"/>
          <w:szCs w:val="24"/>
        </w:rPr>
        <w:t>Salgado, N., Silva, M.A., Figuera, M.E., Costa, H.S., &amp; Albuquerque, T.G. (2023). Oxalate in</w:t>
      </w:r>
      <w:r w:rsidR="00590E9E" w:rsidRPr="00FF22DE">
        <w:rPr>
          <w:rFonts w:ascii="Times New Roman" w:hAnsi="Times New Roman"/>
          <w:sz w:val="24"/>
          <w:szCs w:val="24"/>
        </w:rPr>
        <w:t xml:space="preserve"> foods: Extraction conditions, analytical methods, occurrence, and health i</w:t>
      </w:r>
      <w:r w:rsidRPr="00FF22DE">
        <w:rPr>
          <w:rFonts w:ascii="Times New Roman" w:hAnsi="Times New Roman"/>
          <w:sz w:val="24"/>
          <w:szCs w:val="24"/>
        </w:rPr>
        <w:t xml:space="preserve">mplications. Foods, 12(17), 3201. </w:t>
      </w:r>
      <w:hyperlink r:id="rId15" w:history="1">
        <w:r w:rsidRPr="00FF22DE">
          <w:rPr>
            <w:rStyle w:val="Hyperlink"/>
            <w:rFonts w:ascii="Times New Roman" w:hAnsi="Times New Roman"/>
            <w:sz w:val="24"/>
            <w:szCs w:val="24"/>
          </w:rPr>
          <w:t>https://doi.org/10.3390/foods12173201</w:t>
        </w:r>
      </w:hyperlink>
    </w:p>
    <w:p w14:paraId="4548E80A" w14:textId="77777777" w:rsidR="0066074C" w:rsidRPr="0066074C" w:rsidRDefault="0066074C" w:rsidP="00A37ACD">
      <w:pPr>
        <w:spacing w:after="170" w:line="360" w:lineRule="auto"/>
        <w:ind w:left="720" w:hanging="720"/>
        <w:jc w:val="both"/>
        <w:rPr>
          <w:rFonts w:ascii="Times New Roman" w:hAnsi="Times New Roman"/>
          <w:sz w:val="24"/>
          <w:szCs w:val="24"/>
        </w:rPr>
      </w:pPr>
      <w:proofErr w:type="spellStart"/>
      <w:r>
        <w:rPr>
          <w:rFonts w:ascii="Times New Roman" w:hAnsi="Times New Roman"/>
          <w:sz w:val="24"/>
          <w:szCs w:val="24"/>
        </w:rPr>
        <w:t>Sobowole</w:t>
      </w:r>
      <w:proofErr w:type="spellEnd"/>
      <w:r>
        <w:rPr>
          <w:rFonts w:ascii="Times New Roman" w:hAnsi="Times New Roman"/>
          <w:sz w:val="24"/>
          <w:szCs w:val="24"/>
        </w:rPr>
        <w:t>, S.S., Olatunji, B.F., &amp; Fayemi, O.E. (2025). Effect of germination and subsequent fermentation period on the functional, color and antinutrients of pigeon pea (</w:t>
      </w:r>
      <w:r w:rsidRPr="0066074C">
        <w:rPr>
          <w:rFonts w:ascii="Times New Roman" w:hAnsi="Times New Roman"/>
          <w:i/>
          <w:sz w:val="24"/>
          <w:szCs w:val="24"/>
        </w:rPr>
        <w:t xml:space="preserve">Cajanus </w:t>
      </w:r>
      <w:proofErr w:type="spellStart"/>
      <w:r w:rsidRPr="0066074C">
        <w:rPr>
          <w:rFonts w:ascii="Times New Roman" w:hAnsi="Times New Roman"/>
          <w:i/>
          <w:sz w:val="24"/>
          <w:szCs w:val="24"/>
        </w:rPr>
        <w:t>cajan</w:t>
      </w:r>
      <w:proofErr w:type="spellEnd"/>
      <w:r>
        <w:rPr>
          <w:rFonts w:ascii="Times New Roman" w:hAnsi="Times New Roman"/>
          <w:sz w:val="24"/>
          <w:szCs w:val="24"/>
        </w:rPr>
        <w:t xml:space="preserve">) flour and its structural parts. </w:t>
      </w:r>
      <w:r w:rsidRPr="004B0A62">
        <w:rPr>
          <w:rFonts w:ascii="Times New Roman" w:hAnsi="Times New Roman"/>
          <w:i/>
          <w:sz w:val="24"/>
          <w:szCs w:val="24"/>
        </w:rPr>
        <w:t xml:space="preserve">Food Science </w:t>
      </w:r>
      <w:r w:rsidR="004B0A62" w:rsidRPr="004B0A62">
        <w:rPr>
          <w:rFonts w:ascii="Times New Roman" w:hAnsi="Times New Roman"/>
          <w:i/>
          <w:sz w:val="24"/>
          <w:szCs w:val="24"/>
        </w:rPr>
        <w:t>&amp; Nutrition</w:t>
      </w:r>
      <w:r w:rsidR="004B0A62">
        <w:rPr>
          <w:rFonts w:ascii="Times New Roman" w:hAnsi="Times New Roman"/>
          <w:sz w:val="24"/>
          <w:szCs w:val="24"/>
        </w:rPr>
        <w:t xml:space="preserve">, 13(8), e70750. </w:t>
      </w:r>
      <w:hyperlink r:id="rId16" w:history="1">
        <w:r w:rsidR="004B0A62" w:rsidRPr="00284AF7">
          <w:rPr>
            <w:rStyle w:val="Hyperlink"/>
            <w:rFonts w:ascii="Times New Roman" w:hAnsi="Times New Roman"/>
            <w:sz w:val="24"/>
            <w:szCs w:val="24"/>
          </w:rPr>
          <w:t>https://doi.org/10.1002/fsn3.70750</w:t>
        </w:r>
      </w:hyperlink>
      <w:r w:rsidR="004B0A62">
        <w:rPr>
          <w:rFonts w:ascii="Times New Roman" w:hAnsi="Times New Roman"/>
          <w:sz w:val="24"/>
          <w:szCs w:val="24"/>
        </w:rPr>
        <w:t xml:space="preserve"> </w:t>
      </w:r>
    </w:p>
    <w:p w14:paraId="18FAA020" w14:textId="77777777" w:rsidR="005200D4" w:rsidRPr="00FF22DE" w:rsidRDefault="00110754" w:rsidP="00A37ACD">
      <w:pPr>
        <w:spacing w:after="170" w:line="360" w:lineRule="auto"/>
        <w:ind w:left="720" w:hanging="720"/>
        <w:jc w:val="both"/>
        <w:rPr>
          <w:rFonts w:ascii="Times New Roman" w:hAnsi="Times New Roman"/>
          <w:sz w:val="24"/>
          <w:szCs w:val="24"/>
        </w:rPr>
      </w:pPr>
      <w:proofErr w:type="spellStart"/>
      <w:r w:rsidRPr="00FF22DE">
        <w:rPr>
          <w:rFonts w:ascii="Times New Roman" w:hAnsi="Times New Roman"/>
          <w:sz w:val="24"/>
          <w:szCs w:val="24"/>
        </w:rPr>
        <w:t>Timilsena</w:t>
      </w:r>
      <w:proofErr w:type="spellEnd"/>
      <w:r w:rsidRPr="00FF22DE">
        <w:rPr>
          <w:rFonts w:ascii="Times New Roman" w:hAnsi="Times New Roman"/>
          <w:sz w:val="24"/>
          <w:szCs w:val="24"/>
        </w:rPr>
        <w:t xml:space="preserve">, Y.P., </w:t>
      </w:r>
      <w:proofErr w:type="spellStart"/>
      <w:r w:rsidRPr="00FF22DE">
        <w:rPr>
          <w:rFonts w:ascii="Times New Roman" w:hAnsi="Times New Roman"/>
          <w:sz w:val="24"/>
          <w:szCs w:val="24"/>
        </w:rPr>
        <w:t>Phosanam</w:t>
      </w:r>
      <w:proofErr w:type="spellEnd"/>
      <w:r w:rsidRPr="00FF22DE">
        <w:rPr>
          <w:rFonts w:ascii="Times New Roman" w:hAnsi="Times New Roman"/>
          <w:sz w:val="24"/>
          <w:szCs w:val="24"/>
        </w:rPr>
        <w:t>, A., &amp; Stockman, R. (2023). Perspectives on saponins: Food functionality and applications</w:t>
      </w:r>
      <w:r w:rsidR="00590E9E" w:rsidRPr="00FF22DE">
        <w:rPr>
          <w:rFonts w:ascii="Times New Roman" w:hAnsi="Times New Roman"/>
          <w:sz w:val="24"/>
          <w:szCs w:val="24"/>
        </w:rPr>
        <w:t>. International Journal of Molecular Sciences, 24(17), 13538.</w:t>
      </w:r>
    </w:p>
    <w:p w14:paraId="61DDB2F4" w14:textId="77777777" w:rsidR="005200D4" w:rsidRPr="00FF22DE" w:rsidRDefault="005200D4" w:rsidP="00A37ACD">
      <w:pPr>
        <w:spacing w:line="360" w:lineRule="auto"/>
        <w:ind w:left="360" w:hanging="360"/>
        <w:jc w:val="both"/>
        <w:rPr>
          <w:rFonts w:ascii="Times New Roman" w:hAnsi="Times New Roman"/>
          <w:sz w:val="24"/>
          <w:szCs w:val="24"/>
        </w:rPr>
      </w:pPr>
      <w:r w:rsidRPr="00FF22DE">
        <w:rPr>
          <w:rFonts w:ascii="Times New Roman" w:hAnsi="Times New Roman"/>
          <w:sz w:val="24"/>
          <w:szCs w:val="24"/>
        </w:rPr>
        <w:t xml:space="preserve">Wong, M., Sirisena, S., &amp; Ng, K. (2022). Phytochemical profile of differently processed tea: A review. Journal of Food Science, 87(5), 1925–1942. </w:t>
      </w:r>
      <w:hyperlink r:id="rId17" w:history="1">
        <w:r w:rsidR="001809C7" w:rsidRPr="00FF22DE">
          <w:rPr>
            <w:rStyle w:val="Hyperlink"/>
            <w:rFonts w:ascii="Times New Roman" w:hAnsi="Times New Roman"/>
            <w:sz w:val="24"/>
            <w:szCs w:val="24"/>
          </w:rPr>
          <w:t>https://doi.org/10.1111/1750-3841.16137</w:t>
        </w:r>
      </w:hyperlink>
    </w:p>
    <w:p w14:paraId="112737D9" w14:textId="77777777" w:rsidR="001809C7" w:rsidRPr="00FF22DE" w:rsidRDefault="001809C7" w:rsidP="00A37ACD">
      <w:pPr>
        <w:spacing w:line="360" w:lineRule="auto"/>
        <w:ind w:left="720" w:hanging="720"/>
        <w:jc w:val="both"/>
        <w:rPr>
          <w:rFonts w:ascii="Times New Roman" w:hAnsi="Times New Roman"/>
          <w:sz w:val="24"/>
          <w:szCs w:val="24"/>
        </w:rPr>
      </w:pPr>
      <w:r w:rsidRPr="00FF22DE">
        <w:rPr>
          <w:rFonts w:ascii="Times New Roman" w:hAnsi="Times New Roman"/>
          <w:sz w:val="24"/>
          <w:szCs w:val="24"/>
        </w:rPr>
        <w:t xml:space="preserve">Zhang, L., Ho, C. T., Zhou, J., Santos, J. S., Armstrong, L., &amp; Granato, D. (2019). Chemistry and biological activities of processed tea beverages. </w:t>
      </w:r>
      <w:r w:rsidRPr="00FF22DE">
        <w:rPr>
          <w:rFonts w:ascii="Times New Roman" w:hAnsi="Times New Roman"/>
          <w:i/>
          <w:sz w:val="24"/>
          <w:szCs w:val="24"/>
        </w:rPr>
        <w:t>Food Research International, 126</w:t>
      </w:r>
      <w:r w:rsidRPr="00FF22DE">
        <w:rPr>
          <w:rFonts w:ascii="Times New Roman" w:hAnsi="Times New Roman"/>
          <w:sz w:val="24"/>
          <w:szCs w:val="24"/>
        </w:rPr>
        <w:t>, 108614.</w:t>
      </w:r>
    </w:p>
    <w:p w14:paraId="28964751" w14:textId="77777777" w:rsidR="001809C7" w:rsidRPr="00FF22DE" w:rsidRDefault="001809C7" w:rsidP="00A37ACD">
      <w:pPr>
        <w:spacing w:line="360" w:lineRule="auto"/>
        <w:ind w:left="360" w:hanging="360"/>
        <w:jc w:val="both"/>
        <w:rPr>
          <w:sz w:val="24"/>
          <w:szCs w:val="24"/>
        </w:rPr>
      </w:pPr>
    </w:p>
    <w:p w14:paraId="283AACD8" w14:textId="77777777" w:rsidR="005200D4" w:rsidRPr="00FF22DE" w:rsidRDefault="005200D4" w:rsidP="00A37ACD">
      <w:pPr>
        <w:spacing w:line="360" w:lineRule="auto"/>
        <w:jc w:val="both"/>
        <w:rPr>
          <w:rFonts w:ascii="Times New Roman" w:hAnsi="Times New Roman"/>
          <w:sz w:val="24"/>
          <w:szCs w:val="24"/>
        </w:rPr>
      </w:pPr>
    </w:p>
    <w:p w14:paraId="6E0599B5" w14:textId="77777777" w:rsidR="000503E7" w:rsidRPr="00FF22DE" w:rsidRDefault="000503E7" w:rsidP="00A37ACD">
      <w:pPr>
        <w:spacing w:line="360" w:lineRule="auto"/>
        <w:jc w:val="both"/>
        <w:rPr>
          <w:sz w:val="24"/>
          <w:szCs w:val="24"/>
        </w:rPr>
      </w:pPr>
    </w:p>
    <w:p w14:paraId="67E69A48" w14:textId="77777777" w:rsidR="0054386C" w:rsidRPr="00FF22DE" w:rsidRDefault="0054386C" w:rsidP="00A37ACD">
      <w:pPr>
        <w:spacing w:line="360" w:lineRule="auto"/>
        <w:jc w:val="both"/>
        <w:rPr>
          <w:rFonts w:ascii="Times New Roman" w:hAnsi="Times New Roman"/>
          <w:sz w:val="24"/>
          <w:szCs w:val="24"/>
        </w:rPr>
      </w:pPr>
    </w:p>
    <w:p w14:paraId="14B99ACB" w14:textId="77777777" w:rsidR="00C30E5E" w:rsidRPr="00FF22DE" w:rsidRDefault="00C30E5E" w:rsidP="00A37ACD">
      <w:pPr>
        <w:spacing w:after="0" w:line="360" w:lineRule="auto"/>
        <w:jc w:val="both"/>
        <w:rPr>
          <w:rStyle w:val="Heading2Char"/>
          <w:rFonts w:cs="Times New Roman"/>
          <w:b w:val="0"/>
          <w:color w:val="auto"/>
          <w:sz w:val="24"/>
          <w:szCs w:val="24"/>
        </w:rPr>
      </w:pPr>
    </w:p>
    <w:p w14:paraId="2F742108" w14:textId="77777777" w:rsidR="00EB261D" w:rsidRPr="00FF22DE" w:rsidRDefault="00EB261D" w:rsidP="00A37ACD">
      <w:pPr>
        <w:spacing w:line="360" w:lineRule="auto"/>
        <w:jc w:val="both"/>
        <w:rPr>
          <w:rStyle w:val="Heading2Char"/>
          <w:color w:val="auto"/>
          <w:sz w:val="24"/>
          <w:szCs w:val="24"/>
        </w:rPr>
      </w:pPr>
    </w:p>
    <w:p w14:paraId="15240E18" w14:textId="77777777" w:rsidR="00EB261D" w:rsidRPr="00FF22DE" w:rsidRDefault="00EB261D" w:rsidP="00A37ACD">
      <w:pPr>
        <w:spacing w:after="0" w:line="360" w:lineRule="auto"/>
        <w:jc w:val="both"/>
        <w:rPr>
          <w:rFonts w:ascii="Times New Roman" w:hAnsi="Times New Roman"/>
          <w:sz w:val="24"/>
          <w:szCs w:val="24"/>
        </w:rPr>
      </w:pPr>
    </w:p>
    <w:p w14:paraId="233D6E8F" w14:textId="77777777" w:rsidR="00EB261D" w:rsidRPr="00FF22DE" w:rsidRDefault="00EB261D" w:rsidP="00A37ACD">
      <w:pPr>
        <w:spacing w:after="170" w:line="360" w:lineRule="auto"/>
        <w:jc w:val="both"/>
        <w:rPr>
          <w:rFonts w:ascii="Times New Roman" w:hAnsi="Times New Roman"/>
          <w:sz w:val="24"/>
          <w:szCs w:val="24"/>
        </w:rPr>
      </w:pPr>
    </w:p>
    <w:p w14:paraId="06C73480" w14:textId="77777777" w:rsidR="002F719D" w:rsidRPr="00FF22DE" w:rsidRDefault="002F719D" w:rsidP="00A37ACD">
      <w:pPr>
        <w:jc w:val="both"/>
        <w:rPr>
          <w:sz w:val="24"/>
          <w:szCs w:val="24"/>
        </w:rPr>
      </w:pPr>
    </w:p>
    <w:p w14:paraId="2335D018" w14:textId="77777777" w:rsidR="002F719D" w:rsidRPr="00FF22DE" w:rsidRDefault="002F719D" w:rsidP="00A37ACD">
      <w:pPr>
        <w:jc w:val="both"/>
        <w:rPr>
          <w:rFonts w:ascii="Times New Roman" w:hAnsi="Times New Roman"/>
          <w:b/>
          <w:color w:val="000000" w:themeColor="text1"/>
          <w:sz w:val="24"/>
          <w:szCs w:val="24"/>
        </w:rPr>
      </w:pPr>
    </w:p>
    <w:p w14:paraId="627CE808" w14:textId="77777777" w:rsidR="00885CD3" w:rsidRPr="00FF22DE" w:rsidRDefault="00885CD3" w:rsidP="00A37ACD">
      <w:pPr>
        <w:jc w:val="both"/>
        <w:rPr>
          <w:rFonts w:ascii="Times New Roman" w:hAnsi="Times New Roman"/>
          <w:sz w:val="24"/>
          <w:szCs w:val="24"/>
        </w:rPr>
      </w:pPr>
    </w:p>
    <w:p w14:paraId="6CDE6766" w14:textId="77777777" w:rsidR="00FB1DE2" w:rsidRPr="00FF22DE" w:rsidRDefault="00FB1DE2" w:rsidP="00A37ACD">
      <w:pPr>
        <w:jc w:val="both"/>
        <w:rPr>
          <w:rFonts w:ascii="Times New Roman" w:hAnsi="Times New Roman"/>
          <w:sz w:val="24"/>
          <w:szCs w:val="24"/>
        </w:rPr>
      </w:pPr>
    </w:p>
    <w:p w14:paraId="2B31B4DC" w14:textId="77777777" w:rsidR="00FB1DE2" w:rsidRPr="00FF22DE" w:rsidRDefault="00FB1DE2" w:rsidP="00A37ACD">
      <w:pPr>
        <w:spacing w:after="0" w:line="360" w:lineRule="auto"/>
        <w:jc w:val="both"/>
        <w:rPr>
          <w:rFonts w:ascii="Times New Roman" w:hAnsi="Times New Roman"/>
          <w:sz w:val="24"/>
          <w:szCs w:val="24"/>
        </w:rPr>
      </w:pPr>
    </w:p>
    <w:p w14:paraId="2CF418B1" w14:textId="77777777" w:rsidR="00FB1DE2" w:rsidRPr="00FF22DE" w:rsidRDefault="00FB1DE2" w:rsidP="00A37ACD">
      <w:pPr>
        <w:spacing w:after="170" w:line="252" w:lineRule="auto"/>
        <w:jc w:val="both"/>
        <w:rPr>
          <w:rFonts w:ascii="Times New Roman" w:hAnsi="Times New Roman"/>
          <w:sz w:val="24"/>
          <w:szCs w:val="24"/>
        </w:rPr>
      </w:pPr>
    </w:p>
    <w:p w14:paraId="2B63FDB1" w14:textId="77777777" w:rsidR="0011154B" w:rsidRPr="00FF22DE" w:rsidRDefault="0011154B" w:rsidP="00A37ACD">
      <w:pPr>
        <w:jc w:val="both"/>
        <w:rPr>
          <w:sz w:val="24"/>
          <w:szCs w:val="24"/>
        </w:rPr>
      </w:pPr>
    </w:p>
    <w:p w14:paraId="36083C67" w14:textId="77777777" w:rsidR="00A0671E" w:rsidRPr="00FF22DE" w:rsidRDefault="00A0671E" w:rsidP="00A37ACD">
      <w:pPr>
        <w:jc w:val="both"/>
        <w:rPr>
          <w:rFonts w:ascii="Times New Roman" w:hAnsi="Times New Roman"/>
          <w:b/>
          <w:color w:val="000000" w:themeColor="text1"/>
          <w:sz w:val="24"/>
          <w:szCs w:val="24"/>
        </w:rPr>
      </w:pPr>
    </w:p>
    <w:p w14:paraId="750211BC" w14:textId="77777777" w:rsidR="00A55CB9" w:rsidRPr="00535721" w:rsidRDefault="00A55CB9" w:rsidP="00A37ACD">
      <w:pPr>
        <w:jc w:val="both"/>
        <w:rPr>
          <w:rFonts w:ascii="Times New Roman" w:hAnsi="Times New Roman"/>
          <w:b/>
          <w:sz w:val="28"/>
          <w:szCs w:val="28"/>
        </w:rPr>
      </w:pPr>
    </w:p>
    <w:p w14:paraId="6B6F3CB9" w14:textId="77777777" w:rsidR="00CA5518" w:rsidRPr="00535721" w:rsidRDefault="00CA5518" w:rsidP="00A37ACD">
      <w:pPr>
        <w:jc w:val="both"/>
        <w:rPr>
          <w:rFonts w:ascii="Times New Roman" w:hAnsi="Times New Roman"/>
          <w:sz w:val="28"/>
          <w:szCs w:val="28"/>
        </w:rPr>
      </w:pPr>
    </w:p>
    <w:p w14:paraId="257986E9" w14:textId="77777777" w:rsidR="0021117B" w:rsidRPr="00535721" w:rsidRDefault="0021117B" w:rsidP="00A37ACD">
      <w:pPr>
        <w:spacing w:line="480" w:lineRule="auto"/>
        <w:jc w:val="both"/>
        <w:rPr>
          <w:sz w:val="28"/>
          <w:szCs w:val="28"/>
        </w:rPr>
      </w:pPr>
    </w:p>
    <w:p w14:paraId="42395C4E" w14:textId="77777777" w:rsidR="005D2609" w:rsidRPr="00535721" w:rsidRDefault="005D2609" w:rsidP="00A37ACD">
      <w:pPr>
        <w:spacing w:line="480" w:lineRule="auto"/>
        <w:jc w:val="both"/>
        <w:rPr>
          <w:sz w:val="28"/>
          <w:szCs w:val="28"/>
        </w:rPr>
      </w:pPr>
    </w:p>
    <w:p w14:paraId="2D96F700" w14:textId="77777777" w:rsidR="00087F30" w:rsidRPr="00535721" w:rsidRDefault="00087F30" w:rsidP="00A37ACD">
      <w:pPr>
        <w:spacing w:line="480" w:lineRule="auto"/>
        <w:jc w:val="both"/>
        <w:rPr>
          <w:rFonts w:ascii="Times New Roman" w:hAnsi="Times New Roman"/>
          <w:b/>
          <w:sz w:val="28"/>
          <w:szCs w:val="28"/>
        </w:rPr>
      </w:pPr>
    </w:p>
    <w:p w14:paraId="138E8C9A" w14:textId="77777777" w:rsidR="00E129BC" w:rsidRPr="00535721" w:rsidRDefault="00E129BC" w:rsidP="00A37ACD">
      <w:pPr>
        <w:spacing w:line="480" w:lineRule="auto"/>
        <w:ind w:left="360"/>
        <w:jc w:val="both"/>
        <w:rPr>
          <w:rFonts w:ascii="Times New Roman" w:hAnsi="Times New Roman"/>
          <w:sz w:val="28"/>
          <w:szCs w:val="28"/>
        </w:rPr>
      </w:pPr>
    </w:p>
    <w:p w14:paraId="5EB49C00" w14:textId="77777777" w:rsidR="003577DB" w:rsidRPr="00535721" w:rsidRDefault="00087F30" w:rsidP="00A37ACD">
      <w:pPr>
        <w:pStyle w:val="Heading1"/>
        <w:spacing w:line="360" w:lineRule="auto"/>
        <w:jc w:val="both"/>
        <w:rPr>
          <w:color w:val="auto"/>
          <w:szCs w:val="28"/>
        </w:rPr>
      </w:pPr>
      <w:r w:rsidRPr="00535721">
        <w:rPr>
          <w:rFonts w:eastAsia="SimSun" w:cs="Times New Roman"/>
          <w:b w:val="0"/>
          <w:bCs/>
          <w:color w:val="auto"/>
          <w:szCs w:val="28"/>
        </w:rPr>
        <w:t xml:space="preserve"> </w:t>
      </w:r>
    </w:p>
    <w:sectPr w:rsidR="003577DB" w:rsidRPr="0053572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DC191" w14:textId="77777777" w:rsidR="00490E8D" w:rsidRDefault="00490E8D" w:rsidP="00E45257">
      <w:pPr>
        <w:spacing w:after="0" w:line="240" w:lineRule="auto"/>
      </w:pPr>
      <w:r>
        <w:separator/>
      </w:r>
    </w:p>
  </w:endnote>
  <w:endnote w:type="continuationSeparator" w:id="0">
    <w:p w14:paraId="4DFF009A" w14:textId="77777777" w:rsidR="00490E8D" w:rsidRDefault="00490E8D" w:rsidP="00E45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6E74" w14:textId="77777777" w:rsidR="00BA7948" w:rsidRDefault="00BA7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926855"/>
      <w:docPartObj>
        <w:docPartGallery w:val="Page Numbers (Bottom of Page)"/>
        <w:docPartUnique/>
      </w:docPartObj>
    </w:sdtPr>
    <w:sdtEndPr>
      <w:rPr>
        <w:noProof/>
      </w:rPr>
    </w:sdtEndPr>
    <w:sdtContent>
      <w:p w14:paraId="16BFFE77" w14:textId="77777777" w:rsidR="00E45257" w:rsidRDefault="00E45257">
        <w:pPr>
          <w:pStyle w:val="Footer"/>
          <w:jc w:val="center"/>
        </w:pPr>
        <w:r>
          <w:fldChar w:fldCharType="begin"/>
        </w:r>
        <w:r>
          <w:instrText xml:space="preserve"> PAGE   \* MERGEFORMAT </w:instrText>
        </w:r>
        <w:r>
          <w:fldChar w:fldCharType="separate"/>
        </w:r>
        <w:r w:rsidR="00A74B90">
          <w:rPr>
            <w:noProof/>
          </w:rPr>
          <w:t>21</w:t>
        </w:r>
        <w:r>
          <w:rPr>
            <w:noProof/>
          </w:rPr>
          <w:fldChar w:fldCharType="end"/>
        </w:r>
      </w:p>
    </w:sdtContent>
  </w:sdt>
  <w:p w14:paraId="5E91D0E1" w14:textId="77777777" w:rsidR="00E45257" w:rsidRDefault="00E45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8095" w14:textId="77777777" w:rsidR="00BA7948" w:rsidRDefault="00BA7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D4F3" w14:textId="77777777" w:rsidR="00490E8D" w:rsidRDefault="00490E8D" w:rsidP="00E45257">
      <w:pPr>
        <w:spacing w:after="0" w:line="240" w:lineRule="auto"/>
      </w:pPr>
      <w:r>
        <w:separator/>
      </w:r>
    </w:p>
  </w:footnote>
  <w:footnote w:type="continuationSeparator" w:id="0">
    <w:p w14:paraId="4DF23009" w14:textId="77777777" w:rsidR="00490E8D" w:rsidRDefault="00490E8D" w:rsidP="00E45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76B6" w14:textId="59681E1E" w:rsidR="00BA7948" w:rsidRDefault="00BA7948">
    <w:pPr>
      <w:pStyle w:val="Header"/>
    </w:pPr>
    <w:r>
      <w:rPr>
        <w:noProof/>
      </w:rPr>
      <w:pict w14:anchorId="3109A0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4E71" w14:textId="77AF8371" w:rsidR="00BA7948" w:rsidRDefault="00BA7948">
    <w:pPr>
      <w:pStyle w:val="Header"/>
    </w:pPr>
    <w:r>
      <w:rPr>
        <w:noProof/>
      </w:rPr>
      <w:pict w14:anchorId="449A8A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857B" w14:textId="46D4EE6F" w:rsidR="00BA7948" w:rsidRDefault="00BA7948">
    <w:pPr>
      <w:pStyle w:val="Header"/>
    </w:pPr>
    <w:r>
      <w:rPr>
        <w:noProof/>
      </w:rPr>
      <w:pict w14:anchorId="7EB026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87880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54E9A"/>
    <w:multiLevelType w:val="multilevel"/>
    <w:tmpl w:val="41887D76"/>
    <w:lvl w:ilvl="0">
      <w:start w:val="1"/>
      <w:numFmt w:val="decimal"/>
      <w:lvlText w:val="%1."/>
      <w:lvlJc w:val="left"/>
      <w:pPr>
        <w:ind w:left="360" w:hanging="360"/>
      </w:pPr>
      <w:rPr>
        <w:rFonts w:ascii="Times New Roman" w:hAnsi="Times New Roman" w:hint="default"/>
      </w:rPr>
    </w:lvl>
    <w:lvl w:ilvl="1">
      <w:start w:val="3"/>
      <w:numFmt w:val="decimal"/>
      <w:isLgl/>
      <w:lvlText w:val="%1.%2"/>
      <w:lvlJc w:val="left"/>
      <w:pPr>
        <w:ind w:left="450" w:hanging="450"/>
      </w:pPr>
      <w:rPr>
        <w:rFonts w:eastAsia="SimSun" w:cs="Times New Roman" w:hint="default"/>
      </w:rPr>
    </w:lvl>
    <w:lvl w:ilvl="2">
      <w:start w:val="1"/>
      <w:numFmt w:val="decimal"/>
      <w:isLgl/>
      <w:lvlText w:val="%1.%2.%3"/>
      <w:lvlJc w:val="left"/>
      <w:pPr>
        <w:ind w:left="720" w:hanging="720"/>
      </w:pPr>
      <w:rPr>
        <w:rFonts w:eastAsia="SimSun" w:cs="Times New Roman" w:hint="default"/>
      </w:rPr>
    </w:lvl>
    <w:lvl w:ilvl="3">
      <w:start w:val="1"/>
      <w:numFmt w:val="decimal"/>
      <w:isLgl/>
      <w:lvlText w:val="%1.%2.%3.%4"/>
      <w:lvlJc w:val="left"/>
      <w:pPr>
        <w:ind w:left="1080" w:hanging="1080"/>
      </w:pPr>
      <w:rPr>
        <w:rFonts w:eastAsia="SimSun" w:cs="Times New Roman" w:hint="default"/>
      </w:rPr>
    </w:lvl>
    <w:lvl w:ilvl="4">
      <w:start w:val="1"/>
      <w:numFmt w:val="decimal"/>
      <w:isLgl/>
      <w:lvlText w:val="%1.%2.%3.%4.%5"/>
      <w:lvlJc w:val="left"/>
      <w:pPr>
        <w:ind w:left="1080" w:hanging="1080"/>
      </w:pPr>
      <w:rPr>
        <w:rFonts w:eastAsia="SimSun" w:cs="Times New Roman" w:hint="default"/>
      </w:rPr>
    </w:lvl>
    <w:lvl w:ilvl="5">
      <w:start w:val="1"/>
      <w:numFmt w:val="decimal"/>
      <w:isLgl/>
      <w:lvlText w:val="%1.%2.%3.%4.%5.%6"/>
      <w:lvlJc w:val="left"/>
      <w:pPr>
        <w:ind w:left="1440" w:hanging="1440"/>
      </w:pPr>
      <w:rPr>
        <w:rFonts w:eastAsia="SimSun" w:cs="Times New Roman" w:hint="default"/>
      </w:rPr>
    </w:lvl>
    <w:lvl w:ilvl="6">
      <w:start w:val="1"/>
      <w:numFmt w:val="decimal"/>
      <w:isLgl/>
      <w:lvlText w:val="%1.%2.%3.%4.%5.%6.%7"/>
      <w:lvlJc w:val="left"/>
      <w:pPr>
        <w:ind w:left="1440" w:hanging="1440"/>
      </w:pPr>
      <w:rPr>
        <w:rFonts w:eastAsia="SimSun" w:cs="Times New Roman" w:hint="default"/>
      </w:rPr>
    </w:lvl>
    <w:lvl w:ilvl="7">
      <w:start w:val="1"/>
      <w:numFmt w:val="decimal"/>
      <w:isLgl/>
      <w:lvlText w:val="%1.%2.%3.%4.%5.%6.%7.%8"/>
      <w:lvlJc w:val="left"/>
      <w:pPr>
        <w:ind w:left="1800" w:hanging="1800"/>
      </w:pPr>
      <w:rPr>
        <w:rFonts w:eastAsia="SimSun" w:cs="Times New Roman" w:hint="default"/>
      </w:rPr>
    </w:lvl>
    <w:lvl w:ilvl="8">
      <w:start w:val="1"/>
      <w:numFmt w:val="decimal"/>
      <w:isLgl/>
      <w:lvlText w:val="%1.%2.%3.%4.%5.%6.%7.%8.%9"/>
      <w:lvlJc w:val="left"/>
      <w:pPr>
        <w:ind w:left="2160" w:hanging="2160"/>
      </w:pPr>
      <w:rPr>
        <w:rFonts w:eastAsia="SimSun" w:cs="Times New Roman" w:hint="default"/>
      </w:rPr>
    </w:lvl>
  </w:abstractNum>
  <w:num w:numId="1" w16cid:durableId="15466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7DB"/>
    <w:rsid w:val="00014B5C"/>
    <w:rsid w:val="000379C1"/>
    <w:rsid w:val="000503E7"/>
    <w:rsid w:val="0006225C"/>
    <w:rsid w:val="00087F30"/>
    <w:rsid w:val="000F688F"/>
    <w:rsid w:val="000F754F"/>
    <w:rsid w:val="00110754"/>
    <w:rsid w:val="0011154B"/>
    <w:rsid w:val="001132A4"/>
    <w:rsid w:val="00143DEF"/>
    <w:rsid w:val="00163E23"/>
    <w:rsid w:val="00167D4D"/>
    <w:rsid w:val="001809C7"/>
    <w:rsid w:val="001820BE"/>
    <w:rsid w:val="001A4FC7"/>
    <w:rsid w:val="001F46C2"/>
    <w:rsid w:val="0021117B"/>
    <w:rsid w:val="00235946"/>
    <w:rsid w:val="00242316"/>
    <w:rsid w:val="00263F9B"/>
    <w:rsid w:val="00293752"/>
    <w:rsid w:val="00297E92"/>
    <w:rsid w:val="002D0474"/>
    <w:rsid w:val="002D528D"/>
    <w:rsid w:val="002F719D"/>
    <w:rsid w:val="00317769"/>
    <w:rsid w:val="00335473"/>
    <w:rsid w:val="00351418"/>
    <w:rsid w:val="003577DB"/>
    <w:rsid w:val="00394037"/>
    <w:rsid w:val="003B1FBD"/>
    <w:rsid w:val="003C4C09"/>
    <w:rsid w:val="003D077A"/>
    <w:rsid w:val="0041754E"/>
    <w:rsid w:val="00434F5F"/>
    <w:rsid w:val="00455602"/>
    <w:rsid w:val="00490E8D"/>
    <w:rsid w:val="004B0A62"/>
    <w:rsid w:val="004C2609"/>
    <w:rsid w:val="005200D4"/>
    <w:rsid w:val="00535721"/>
    <w:rsid w:val="00541747"/>
    <w:rsid w:val="0054386C"/>
    <w:rsid w:val="00590E9E"/>
    <w:rsid w:val="00597542"/>
    <w:rsid w:val="005D2609"/>
    <w:rsid w:val="006301AD"/>
    <w:rsid w:val="0066074C"/>
    <w:rsid w:val="006651A8"/>
    <w:rsid w:val="006659E4"/>
    <w:rsid w:val="00673F38"/>
    <w:rsid w:val="00712CE0"/>
    <w:rsid w:val="00717461"/>
    <w:rsid w:val="00724F72"/>
    <w:rsid w:val="00730047"/>
    <w:rsid w:val="007C68EA"/>
    <w:rsid w:val="007F1D69"/>
    <w:rsid w:val="00803512"/>
    <w:rsid w:val="0081522C"/>
    <w:rsid w:val="0082064E"/>
    <w:rsid w:val="00885CD3"/>
    <w:rsid w:val="008966FE"/>
    <w:rsid w:val="008C6DCE"/>
    <w:rsid w:val="008C7DF6"/>
    <w:rsid w:val="008F2C2B"/>
    <w:rsid w:val="008F7872"/>
    <w:rsid w:val="00915316"/>
    <w:rsid w:val="0092677E"/>
    <w:rsid w:val="00964760"/>
    <w:rsid w:val="00A0671E"/>
    <w:rsid w:val="00A251D7"/>
    <w:rsid w:val="00A37ACD"/>
    <w:rsid w:val="00A55CB9"/>
    <w:rsid w:val="00A74B90"/>
    <w:rsid w:val="00A77A18"/>
    <w:rsid w:val="00AD7200"/>
    <w:rsid w:val="00B43776"/>
    <w:rsid w:val="00B6008C"/>
    <w:rsid w:val="00B73B12"/>
    <w:rsid w:val="00B97396"/>
    <w:rsid w:val="00BA7948"/>
    <w:rsid w:val="00BF4758"/>
    <w:rsid w:val="00C23D7A"/>
    <w:rsid w:val="00C23E05"/>
    <w:rsid w:val="00C30E5E"/>
    <w:rsid w:val="00C31266"/>
    <w:rsid w:val="00C3767B"/>
    <w:rsid w:val="00CA095E"/>
    <w:rsid w:val="00CA5518"/>
    <w:rsid w:val="00CB2798"/>
    <w:rsid w:val="00CD3C2C"/>
    <w:rsid w:val="00CF0028"/>
    <w:rsid w:val="00D71021"/>
    <w:rsid w:val="00DD6EFB"/>
    <w:rsid w:val="00DE61A3"/>
    <w:rsid w:val="00E129BC"/>
    <w:rsid w:val="00E15BAA"/>
    <w:rsid w:val="00E45257"/>
    <w:rsid w:val="00E61068"/>
    <w:rsid w:val="00E72564"/>
    <w:rsid w:val="00EA3292"/>
    <w:rsid w:val="00EB1833"/>
    <w:rsid w:val="00EB261D"/>
    <w:rsid w:val="00EC56D5"/>
    <w:rsid w:val="00F325CC"/>
    <w:rsid w:val="00F57FE0"/>
    <w:rsid w:val="00F80860"/>
    <w:rsid w:val="00FA032C"/>
    <w:rsid w:val="00FB1DE2"/>
    <w:rsid w:val="00FE5836"/>
    <w:rsid w:val="00FF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1BCE3"/>
  <w15:chartTrackingRefBased/>
  <w15:docId w15:val="{9443BA75-8035-4567-BBE3-BB60444CE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7DB"/>
    <w:pPr>
      <w:spacing w:after="200" w:line="276" w:lineRule="auto"/>
    </w:pPr>
    <w:rPr>
      <w:rFonts w:ascii="Calibri" w:eastAsia="SimSun" w:hAnsi="Calibri" w:cs="Times New Roman"/>
      <w:lang w:eastAsia="zh-CN"/>
    </w:rPr>
  </w:style>
  <w:style w:type="paragraph" w:styleId="Heading1">
    <w:name w:val="heading 1"/>
    <w:basedOn w:val="Normal"/>
    <w:next w:val="Normal"/>
    <w:link w:val="Heading1Char"/>
    <w:uiPriority w:val="9"/>
    <w:qFormat/>
    <w:rsid w:val="001132A4"/>
    <w:pPr>
      <w:keepNext/>
      <w:keepLines/>
      <w:spacing w:before="240" w:after="0"/>
      <w:outlineLvl w:val="0"/>
    </w:pPr>
    <w:rPr>
      <w:rFonts w:ascii="Times New Roman" w:eastAsiaTheme="majorEastAsia" w:hAnsi="Times New Roman"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1132A4"/>
    <w:pPr>
      <w:keepNext/>
      <w:keepLines/>
      <w:spacing w:before="160" w:after="120" w:line="360" w:lineRule="auto"/>
      <w:outlineLvl w:val="1"/>
    </w:pPr>
    <w:rPr>
      <w:rFonts w:ascii="Times New Roman" w:eastAsiaTheme="majorEastAsia" w:hAnsi="Times New Roman" w:cstheme="majorBidi"/>
      <w:b/>
      <w:color w:val="2E74B5" w:themeColor="accent1" w:themeShade="BF"/>
      <w:sz w:val="28"/>
      <w:szCs w:val="26"/>
    </w:rPr>
  </w:style>
  <w:style w:type="paragraph" w:styleId="Heading3">
    <w:name w:val="heading 3"/>
    <w:basedOn w:val="Normal"/>
    <w:next w:val="Normal"/>
    <w:link w:val="Heading3Char"/>
    <w:uiPriority w:val="9"/>
    <w:unhideWhenUsed/>
    <w:qFormat/>
    <w:rsid w:val="002359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2A4"/>
    <w:rPr>
      <w:rFonts w:ascii="Times New Roman" w:eastAsiaTheme="majorEastAsia" w:hAnsi="Times New Roman" w:cstheme="majorBidi"/>
      <w:b/>
      <w:color w:val="2E74B5" w:themeColor="accent1" w:themeShade="BF"/>
      <w:sz w:val="28"/>
      <w:szCs w:val="32"/>
      <w:lang w:eastAsia="zh-CN"/>
    </w:rPr>
  </w:style>
  <w:style w:type="character" w:customStyle="1" w:styleId="Heading2Char">
    <w:name w:val="Heading 2 Char"/>
    <w:basedOn w:val="DefaultParagraphFont"/>
    <w:link w:val="Heading2"/>
    <w:uiPriority w:val="9"/>
    <w:rsid w:val="001132A4"/>
    <w:rPr>
      <w:rFonts w:ascii="Times New Roman" w:eastAsiaTheme="majorEastAsia" w:hAnsi="Times New Roman" w:cstheme="majorBidi"/>
      <w:b/>
      <w:color w:val="2E74B5" w:themeColor="accent1" w:themeShade="BF"/>
      <w:sz w:val="28"/>
      <w:szCs w:val="26"/>
      <w:lang w:eastAsia="zh-CN"/>
    </w:rPr>
  </w:style>
  <w:style w:type="paragraph" w:styleId="ListParagraph">
    <w:name w:val="List Paragraph"/>
    <w:basedOn w:val="Normal"/>
    <w:uiPriority w:val="34"/>
    <w:qFormat/>
    <w:rsid w:val="00E129BC"/>
    <w:pPr>
      <w:ind w:left="720"/>
      <w:contextualSpacing/>
    </w:pPr>
  </w:style>
  <w:style w:type="paragraph" w:styleId="Caption">
    <w:name w:val="caption"/>
    <w:basedOn w:val="Normal"/>
    <w:next w:val="Normal"/>
    <w:uiPriority w:val="35"/>
    <w:unhideWhenUsed/>
    <w:qFormat/>
    <w:rsid w:val="0021117B"/>
    <w:pPr>
      <w:spacing w:line="240" w:lineRule="auto"/>
    </w:pPr>
    <w:rPr>
      <w:i/>
      <w:iCs/>
      <w:color w:val="44546A" w:themeColor="text2"/>
      <w:sz w:val="18"/>
      <w:szCs w:val="18"/>
    </w:rPr>
  </w:style>
  <w:style w:type="paragraph" w:styleId="NoSpacing">
    <w:name w:val="No Spacing"/>
    <w:uiPriority w:val="1"/>
    <w:qFormat/>
    <w:rsid w:val="00803512"/>
    <w:pPr>
      <w:spacing w:after="0" w:line="240" w:lineRule="auto"/>
    </w:pPr>
    <w:rPr>
      <w:rFonts w:ascii="Calibri" w:eastAsia="SimSun" w:hAnsi="Calibri" w:cs="Times New Roman"/>
      <w:lang w:eastAsia="zh-CN"/>
    </w:rPr>
  </w:style>
  <w:style w:type="character" w:customStyle="1" w:styleId="Heading3Char">
    <w:name w:val="Heading 3 Char"/>
    <w:basedOn w:val="DefaultParagraphFont"/>
    <w:link w:val="Heading3"/>
    <w:uiPriority w:val="9"/>
    <w:rsid w:val="00235946"/>
    <w:rPr>
      <w:rFonts w:asciiTheme="majorHAnsi" w:eastAsiaTheme="majorEastAsia" w:hAnsiTheme="majorHAnsi" w:cstheme="majorBidi"/>
      <w:color w:val="1F4D78" w:themeColor="accent1" w:themeShade="7F"/>
      <w:sz w:val="24"/>
      <w:szCs w:val="24"/>
      <w:lang w:eastAsia="zh-CN"/>
    </w:rPr>
  </w:style>
  <w:style w:type="character" w:styleId="Hyperlink">
    <w:name w:val="Hyperlink"/>
    <w:basedOn w:val="DefaultParagraphFont"/>
    <w:uiPriority w:val="99"/>
    <w:unhideWhenUsed/>
    <w:rsid w:val="005200D4"/>
    <w:rPr>
      <w:color w:val="0563C1" w:themeColor="hyperlink"/>
      <w:u w:val="single"/>
    </w:rPr>
  </w:style>
  <w:style w:type="paragraph" w:styleId="Header">
    <w:name w:val="header"/>
    <w:basedOn w:val="Normal"/>
    <w:link w:val="HeaderChar"/>
    <w:uiPriority w:val="99"/>
    <w:unhideWhenUsed/>
    <w:rsid w:val="00E45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57"/>
    <w:rPr>
      <w:rFonts w:ascii="Calibri" w:eastAsia="SimSun" w:hAnsi="Calibri" w:cs="Times New Roman"/>
      <w:lang w:eastAsia="zh-CN"/>
    </w:rPr>
  </w:style>
  <w:style w:type="paragraph" w:styleId="Footer">
    <w:name w:val="footer"/>
    <w:basedOn w:val="Normal"/>
    <w:link w:val="FooterChar"/>
    <w:uiPriority w:val="99"/>
    <w:unhideWhenUsed/>
    <w:rsid w:val="00E45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57"/>
    <w:rPr>
      <w:rFonts w:ascii="Calibri" w:eastAsia="SimSun" w:hAnsi="Calibri" w:cs="Times New Roman"/>
      <w:lang w:eastAsia="zh-CN"/>
    </w:rPr>
  </w:style>
  <w:style w:type="character" w:styleId="UnresolvedMention">
    <w:name w:val="Unresolved Mention"/>
    <w:basedOn w:val="DefaultParagraphFont"/>
    <w:uiPriority w:val="99"/>
    <w:semiHidden/>
    <w:unhideWhenUsed/>
    <w:rsid w:val="00E72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oods12244467" TargetMode="External"/><Relationship Id="rId13" Type="http://schemas.openxmlformats.org/officeDocument/2006/relationships/hyperlink" Target="https://dx.doi.org110.4314/jafs.vi6i2.4"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www.myfoodresearch.com" TargetMode="External"/><Relationship Id="rId17" Type="http://schemas.openxmlformats.org/officeDocument/2006/relationships/hyperlink" Target="https://doi.org/10.1111/1750-3841.1613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02/fsn3.7075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foods13040628"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390/foods12173201" TargetMode="External"/><Relationship Id="rId23" Type="http://schemas.openxmlformats.org/officeDocument/2006/relationships/footer" Target="footer3.xml"/><Relationship Id="rId10" Type="http://schemas.openxmlformats.org/officeDocument/2006/relationships/hyperlink" Target="https://doi.org/10.1016/j.phrs.2011.03.009"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46912/napas.114" TargetMode="External"/><Relationship Id="rId14" Type="http://schemas.openxmlformats.org/officeDocument/2006/relationships/hyperlink" Target="https://doi.org/10.4314/gjpas.v8i2.16033"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22</Pages>
  <Words>5584</Words>
  <Characters>31831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54</cp:revision>
  <dcterms:created xsi:type="dcterms:W3CDTF">2026-09-08T22:35:00Z</dcterms:created>
  <dcterms:modified xsi:type="dcterms:W3CDTF">2026-10-01T12:51:00Z</dcterms:modified>
</cp:coreProperties>
</file>