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1AB3" w14:textId="34250D59" w:rsidR="008E216E" w:rsidRDefault="00000000" w:rsidP="00AB2403">
      <w:pPr>
        <w:spacing w:after="0"/>
        <w:jc w:val="center"/>
        <w:rPr>
          <w:rFonts w:ascii="Times New Roman" w:hAnsi="Times New Roman"/>
          <w:b/>
          <w:bCs/>
          <w:sz w:val="24"/>
          <w:szCs w:val="24"/>
        </w:rPr>
      </w:pPr>
      <w:r w:rsidRPr="00AB2403">
        <w:rPr>
          <w:rFonts w:ascii="Times New Roman" w:hAnsi="Times New Roman"/>
          <w:b/>
          <w:bCs/>
          <w:sz w:val="24"/>
          <w:szCs w:val="24"/>
        </w:rPr>
        <w:t xml:space="preserve">Effect of Nutritional Supplementation and Nutrition Education on Micronutrient Status and Dietary </w:t>
      </w:r>
      <w:proofErr w:type="spellStart"/>
      <w:r w:rsidRPr="00AB2403">
        <w:rPr>
          <w:rFonts w:ascii="Times New Roman" w:hAnsi="Times New Roman"/>
          <w:b/>
          <w:bCs/>
          <w:sz w:val="24"/>
          <w:szCs w:val="24"/>
        </w:rPr>
        <w:t>Behaviour</w:t>
      </w:r>
      <w:proofErr w:type="spellEnd"/>
      <w:r w:rsidRPr="00AB2403">
        <w:rPr>
          <w:rFonts w:ascii="Times New Roman" w:hAnsi="Times New Roman"/>
          <w:b/>
          <w:bCs/>
          <w:sz w:val="24"/>
          <w:szCs w:val="24"/>
        </w:rPr>
        <w:t xml:space="preserve"> among Staff and Students of Federal Polytechnic Kabo, Kano State, Nigeria.</w:t>
      </w:r>
    </w:p>
    <w:p w14:paraId="0C7DEAF9" w14:textId="77777777" w:rsidR="00FD7581" w:rsidRPr="00AB2403" w:rsidRDefault="00FD7581" w:rsidP="00AB2403">
      <w:pPr>
        <w:spacing w:after="0"/>
        <w:jc w:val="center"/>
        <w:rPr>
          <w:rFonts w:ascii="Times New Roman" w:hAnsi="Times New Roman"/>
          <w:b/>
          <w:bCs/>
          <w:sz w:val="24"/>
          <w:szCs w:val="24"/>
        </w:rPr>
      </w:pPr>
    </w:p>
    <w:p w14:paraId="0C3E5537" w14:textId="77777777" w:rsidR="00FD7581" w:rsidRDefault="00FD7581" w:rsidP="00AB2403">
      <w:pPr>
        <w:spacing w:after="0"/>
        <w:jc w:val="both"/>
        <w:rPr>
          <w:rFonts w:ascii="Times New Roman" w:hAnsi="Times New Roman"/>
          <w:sz w:val="24"/>
          <w:szCs w:val="24"/>
        </w:rPr>
      </w:pPr>
    </w:p>
    <w:p w14:paraId="170DAD00" w14:textId="77777777" w:rsidR="00632735" w:rsidRPr="00FD7581" w:rsidRDefault="00632735" w:rsidP="00AB2403">
      <w:pPr>
        <w:spacing w:after="0"/>
        <w:jc w:val="both"/>
        <w:rPr>
          <w:rFonts w:ascii="Times New Roman" w:hAnsi="Times New Roman"/>
          <w:sz w:val="24"/>
          <w:szCs w:val="24"/>
        </w:rPr>
      </w:pPr>
    </w:p>
    <w:p w14:paraId="1D8332CD" w14:textId="5E923F73"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Abstract</w:t>
      </w:r>
    </w:p>
    <w:p w14:paraId="0834E526" w14:textId="1C06850C" w:rsidR="008E216E" w:rsidRPr="00CC4996" w:rsidRDefault="00000000" w:rsidP="00AB2403">
      <w:pPr>
        <w:spacing w:after="0"/>
        <w:jc w:val="both"/>
        <w:rPr>
          <w:rFonts w:ascii="Times New Roman" w:hAnsi="Times New Roman"/>
          <w:b/>
          <w:bCs/>
          <w:sz w:val="24"/>
          <w:szCs w:val="24"/>
        </w:rPr>
      </w:pPr>
      <w:r w:rsidRPr="00AB2403">
        <w:rPr>
          <w:rFonts w:ascii="Times New Roman" w:hAnsi="Times New Roman"/>
          <w:sz w:val="24"/>
          <w:szCs w:val="24"/>
        </w:rPr>
        <w:t xml:space="preserve">Micronutrient deficiencies remain a significant public health concern in low- and middle-income countries, including Nigeria, where inadequate dietary intake and poor nutritional knowledge contribute to adverse health outcomes. This study evaluated the effect of nutritional supplementation combined with nutrition education on micronutrient status and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among staff and students of Federal Polytechnic Kabo, Kano State, Nigeria.</w:t>
      </w:r>
      <w:r w:rsidR="008D1618">
        <w:rPr>
          <w:rFonts w:ascii="Times New Roman" w:hAnsi="Times New Roman"/>
          <w:sz w:val="24"/>
          <w:szCs w:val="24"/>
        </w:rPr>
        <w:t xml:space="preserve"> </w:t>
      </w:r>
      <w:r w:rsidRPr="00AB2403">
        <w:rPr>
          <w:rFonts w:ascii="Times New Roman" w:hAnsi="Times New Roman"/>
          <w:sz w:val="24"/>
          <w:szCs w:val="24"/>
        </w:rPr>
        <w:t xml:space="preserve">A quasi-experimental study involving 200 participants was conducted over a 12-week intervention period. Participants were selected through stratified random sampling and assigned to intervention (n = 100) and control (n = 100) groups. Data were collected using a structured questionnaire, multiple-pass 24-hour dietary recall, Food Frequency Questionnaire (FFQ), anthropometric measurements, and biochemical assessments of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serum vitamin A, serum iron, and serum zinc. Nutrition education sessions and daily micronutrient supplementation were administered to the intervention group, while the control group continued their routine dietary practices. Data were </w:t>
      </w:r>
      <w:proofErr w:type="spellStart"/>
      <w:r w:rsidRPr="00AB2403">
        <w:rPr>
          <w:rFonts w:ascii="Times New Roman" w:hAnsi="Times New Roman"/>
          <w:sz w:val="24"/>
          <w:szCs w:val="24"/>
        </w:rPr>
        <w:t>analysed</w:t>
      </w:r>
      <w:proofErr w:type="spellEnd"/>
      <w:r w:rsidRPr="00AB2403">
        <w:rPr>
          <w:rFonts w:ascii="Times New Roman" w:hAnsi="Times New Roman"/>
          <w:sz w:val="24"/>
          <w:szCs w:val="24"/>
        </w:rPr>
        <w:t xml:space="preserve"> using descriptive statistics, paired and independent t-tests, Chi-square tests, Pearson's correlation, and multiple regression at a 5% level of </w:t>
      </w:r>
      <w:r w:rsidR="008D1618">
        <w:rPr>
          <w:rFonts w:ascii="Times New Roman" w:hAnsi="Times New Roman"/>
          <w:sz w:val="24"/>
          <w:szCs w:val="24"/>
        </w:rPr>
        <w:t>t</w:t>
      </w:r>
      <w:r w:rsidRPr="00AB2403">
        <w:rPr>
          <w:rFonts w:ascii="Times New Roman" w:hAnsi="Times New Roman"/>
          <w:sz w:val="24"/>
          <w:szCs w:val="24"/>
        </w:rPr>
        <w:t xml:space="preserve">he findings showed that mean nutrition knowledge scores increased significantly from 46.8 ± 11.2 to 82.4 ± 7.8 following the intervention (p &lt; 0.001). The proportion of participants consuming fruits and vegetables at least five times weekly increased from 35.0% to 74.0%. Mean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improved from 11.7 ± 1.4 g/dL to 13.2 ± 1.1 g/dL, while serum vitamin A increased from 27.4 ± 5.3 </w:t>
      </w:r>
      <w:proofErr w:type="spellStart"/>
      <w:r w:rsidRPr="00AB2403">
        <w:rPr>
          <w:rFonts w:ascii="Times New Roman" w:hAnsi="Times New Roman"/>
          <w:sz w:val="24"/>
          <w:szCs w:val="24"/>
        </w:rPr>
        <w:t>μg</w:t>
      </w:r>
      <w:proofErr w:type="spellEnd"/>
      <w:r w:rsidRPr="00AB2403">
        <w:rPr>
          <w:rFonts w:ascii="Times New Roman" w:hAnsi="Times New Roman"/>
          <w:sz w:val="24"/>
          <w:szCs w:val="24"/>
        </w:rPr>
        <w:t xml:space="preserve">/dL to 35.6 ± 4.8 </w:t>
      </w:r>
      <w:proofErr w:type="spellStart"/>
      <w:r w:rsidRPr="00AB2403">
        <w:rPr>
          <w:rFonts w:ascii="Times New Roman" w:hAnsi="Times New Roman"/>
          <w:sz w:val="24"/>
          <w:szCs w:val="24"/>
        </w:rPr>
        <w:t>μg</w:t>
      </w:r>
      <w:proofErr w:type="spellEnd"/>
      <w:r w:rsidRPr="00AB2403">
        <w:rPr>
          <w:rFonts w:ascii="Times New Roman" w:hAnsi="Times New Roman"/>
          <w:sz w:val="24"/>
          <w:szCs w:val="24"/>
        </w:rPr>
        <w:t>/dL (p &lt; 0.001). Body mass index remained within the normal range, with a modest reduction in overweight prevalence. Multiple regression analysis indicated that nutrition education, supplementation compliance, and dietary diversity significantly predicted improvements in micronutrient status (R² = 0.62, p &lt; 0.001).</w:t>
      </w:r>
      <w:r w:rsidR="008D1618">
        <w:rPr>
          <w:rFonts w:ascii="Times New Roman" w:hAnsi="Times New Roman"/>
          <w:sz w:val="24"/>
          <w:szCs w:val="24"/>
        </w:rPr>
        <w:t xml:space="preserve"> </w:t>
      </w:r>
      <w:r w:rsidRPr="00AB2403">
        <w:rPr>
          <w:rFonts w:ascii="Times New Roman" w:hAnsi="Times New Roman"/>
          <w:sz w:val="24"/>
          <w:szCs w:val="24"/>
        </w:rPr>
        <w:t xml:space="preserve">The findings suggest that combining nutritional supplementation with structured nutrition education can substantially improve nutrition knowledge,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and micronutrient status among staff and students in tertiary institutions. Institutional nutrition promotion </w:t>
      </w:r>
      <w:proofErr w:type="spellStart"/>
      <w:r w:rsidRPr="00AB2403">
        <w:rPr>
          <w:rFonts w:ascii="Times New Roman" w:hAnsi="Times New Roman"/>
          <w:sz w:val="24"/>
          <w:szCs w:val="24"/>
        </w:rPr>
        <w:t>programmes</w:t>
      </w:r>
      <w:proofErr w:type="spellEnd"/>
      <w:r w:rsidRPr="00AB2403">
        <w:rPr>
          <w:rFonts w:ascii="Times New Roman" w:hAnsi="Times New Roman"/>
          <w:sz w:val="24"/>
          <w:szCs w:val="24"/>
        </w:rPr>
        <w:t xml:space="preserve"> should therefore integrate both educational and supplementation strategies to </w:t>
      </w:r>
      <w:r w:rsidRPr="008D1618">
        <w:rPr>
          <w:rFonts w:ascii="Times New Roman" w:hAnsi="Times New Roman"/>
          <w:sz w:val="24"/>
          <w:szCs w:val="24"/>
        </w:rPr>
        <w:t>enhance health and</w:t>
      </w:r>
      <w:r w:rsidRPr="00AB2403">
        <w:rPr>
          <w:rFonts w:ascii="Times New Roman" w:hAnsi="Times New Roman"/>
          <w:sz w:val="24"/>
          <w:szCs w:val="24"/>
          <w:u w:val="single"/>
        </w:rPr>
        <w:t xml:space="preserve"> </w:t>
      </w:r>
      <w:r w:rsidRPr="008D1618">
        <w:rPr>
          <w:rFonts w:ascii="Times New Roman" w:hAnsi="Times New Roman"/>
          <w:sz w:val="24"/>
          <w:szCs w:val="24"/>
        </w:rPr>
        <w:t>productivity.</w:t>
      </w:r>
      <w:r w:rsidR="00AB2403" w:rsidRPr="008D1618">
        <w:rPr>
          <w:rFonts w:ascii="Times New Roman" w:hAnsi="Times New Roman"/>
          <w:b/>
          <w:bCs/>
          <w:sz w:val="24"/>
          <w:szCs w:val="24"/>
        </w:rPr>
        <w:tab/>
      </w:r>
    </w:p>
    <w:p w14:paraId="3ED5B745" w14:textId="77777777" w:rsidR="00AB2403" w:rsidRDefault="00AB2403" w:rsidP="00AB2403">
      <w:pPr>
        <w:spacing w:after="0"/>
        <w:jc w:val="both"/>
        <w:rPr>
          <w:rFonts w:ascii="Times New Roman" w:hAnsi="Times New Roman"/>
          <w:sz w:val="24"/>
          <w:szCs w:val="24"/>
        </w:rPr>
      </w:pPr>
    </w:p>
    <w:p w14:paraId="70478B1D" w14:textId="0C83BF5C" w:rsidR="008E216E" w:rsidRPr="00AB2403" w:rsidRDefault="00000000" w:rsidP="00AB2403">
      <w:pPr>
        <w:spacing w:after="0"/>
        <w:jc w:val="both"/>
        <w:rPr>
          <w:rFonts w:ascii="Times New Roman" w:hAnsi="Times New Roman"/>
          <w:sz w:val="24"/>
          <w:szCs w:val="24"/>
        </w:rPr>
      </w:pPr>
      <w:r w:rsidRPr="00AB2403">
        <w:rPr>
          <w:rFonts w:ascii="Times New Roman" w:hAnsi="Times New Roman"/>
          <w:b/>
          <w:bCs/>
          <w:sz w:val="24"/>
          <w:szCs w:val="24"/>
        </w:rPr>
        <w:t>Keywords:</w:t>
      </w:r>
      <w:r w:rsidR="00AB2403">
        <w:rPr>
          <w:rFonts w:ascii="Times New Roman" w:hAnsi="Times New Roman"/>
          <w:sz w:val="24"/>
          <w:szCs w:val="24"/>
        </w:rPr>
        <w:t xml:space="preserve"> </w:t>
      </w:r>
      <w:r w:rsidRPr="00AB2403">
        <w:rPr>
          <w:rFonts w:ascii="Times New Roman" w:hAnsi="Times New Roman"/>
          <w:sz w:val="24"/>
          <w:szCs w:val="24"/>
        </w:rPr>
        <w:t xml:space="preserve">Micronutrients, Nutrition Education,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Supplementation, Anthropometry, Nigeria.</w:t>
      </w:r>
    </w:p>
    <w:p w14:paraId="44097D2C" w14:textId="77777777" w:rsidR="00AB2403" w:rsidRDefault="00AB2403" w:rsidP="00AB2403">
      <w:pPr>
        <w:spacing w:after="0"/>
        <w:jc w:val="both"/>
        <w:rPr>
          <w:rFonts w:ascii="Times New Roman" w:hAnsi="Times New Roman"/>
          <w:sz w:val="24"/>
          <w:szCs w:val="24"/>
        </w:rPr>
      </w:pPr>
    </w:p>
    <w:p w14:paraId="30B911C6" w14:textId="738EB02C"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Introduction</w:t>
      </w:r>
    </w:p>
    <w:p w14:paraId="57E60763" w14:textId="0250AC23"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lastRenderedPageBreak/>
        <w:t>Micronutrients are vitamins and minerals required in small quantities for normal physiological functioning, growth, immune competence, cognitive development, reproduction, and disease prevention (W</w:t>
      </w:r>
      <w:r w:rsidR="00C60FCD">
        <w:rPr>
          <w:rFonts w:ascii="Times New Roman" w:hAnsi="Times New Roman"/>
          <w:sz w:val="24"/>
          <w:szCs w:val="24"/>
        </w:rPr>
        <w:t xml:space="preserve">HO, </w:t>
      </w:r>
      <w:r w:rsidRPr="00AB2403">
        <w:rPr>
          <w:rFonts w:ascii="Times New Roman" w:hAnsi="Times New Roman"/>
          <w:sz w:val="24"/>
          <w:szCs w:val="24"/>
        </w:rPr>
        <w:t>2023). Although required in minute amounts, these nutrients play indispensable roles in enzyme activity, cellular metabolism, tissue repair, and maintenance of physiological homeostasis (Gibson, 2005</w:t>
      </w:r>
      <w:r w:rsidR="0005423B">
        <w:rPr>
          <w:rFonts w:ascii="Times New Roman" w:hAnsi="Times New Roman"/>
          <w:sz w:val="24"/>
          <w:szCs w:val="24"/>
        </w:rPr>
        <w:t>; Kuroda, 2024</w:t>
      </w:r>
      <w:r w:rsidRPr="00AB2403">
        <w:rPr>
          <w:rFonts w:ascii="Times New Roman" w:hAnsi="Times New Roman"/>
          <w:sz w:val="24"/>
          <w:szCs w:val="24"/>
        </w:rPr>
        <w:t xml:space="preserve">). Deficiencies of essential micronutrients, particularly iron, vitamin A, iodine, zinc, and folate, remain widespread globally and constitute one of the most persistent forms of malnutrition, commonly referred to as hidden hunger (Bailey </w:t>
      </w:r>
      <w:r w:rsidR="00AB2403" w:rsidRPr="00AB2403">
        <w:rPr>
          <w:rFonts w:ascii="Times New Roman" w:hAnsi="Times New Roman"/>
          <w:i/>
          <w:iCs/>
          <w:sz w:val="24"/>
          <w:szCs w:val="24"/>
        </w:rPr>
        <w:t>et al</w:t>
      </w:r>
      <w:r w:rsidRPr="00AB2403">
        <w:rPr>
          <w:rFonts w:ascii="Times New Roman" w:hAnsi="Times New Roman"/>
          <w:sz w:val="24"/>
          <w:szCs w:val="24"/>
        </w:rPr>
        <w:t>, 2015; WHO, 2023).</w:t>
      </w:r>
    </w:p>
    <w:p w14:paraId="23E035A2" w14:textId="1C50DE72"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Globally, more than two billion people are estimated to suffer from one or more micronutrient deficiencies, with the burden being disproportionately higher in low</w:t>
      </w:r>
      <w:r w:rsidR="00C60FCD">
        <w:rPr>
          <w:rFonts w:ascii="Times New Roman" w:hAnsi="Times New Roman"/>
          <w:sz w:val="24"/>
          <w:szCs w:val="24"/>
        </w:rPr>
        <w:t xml:space="preserve"> </w:t>
      </w:r>
      <w:r w:rsidRPr="00AB2403">
        <w:rPr>
          <w:rFonts w:ascii="Times New Roman" w:hAnsi="Times New Roman"/>
          <w:sz w:val="24"/>
          <w:szCs w:val="24"/>
        </w:rPr>
        <w:t xml:space="preserve">and middle-income countries (Bailey </w:t>
      </w:r>
      <w:r w:rsidR="00AB2403" w:rsidRPr="00AB2403">
        <w:rPr>
          <w:rFonts w:ascii="Times New Roman" w:hAnsi="Times New Roman"/>
          <w:i/>
          <w:iCs/>
          <w:sz w:val="24"/>
          <w:szCs w:val="24"/>
        </w:rPr>
        <w:t>et al</w:t>
      </w:r>
      <w:r w:rsidRPr="00AB2403">
        <w:rPr>
          <w:rFonts w:ascii="Times New Roman" w:hAnsi="Times New Roman"/>
          <w:sz w:val="24"/>
          <w:szCs w:val="24"/>
        </w:rPr>
        <w:t xml:space="preserve">, 2015; &amp; WHO, 2023). Iron deficiency remains the leading cause of nutritional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worldwide, while deficiencies of vitamin A and zinc continue to contribute significantly to impaired immunity, poor growth, visual impairment, and increased susceptibility to infectious diseases (Bhutta </w:t>
      </w:r>
      <w:r w:rsidR="00AB2403" w:rsidRPr="00AB2403">
        <w:rPr>
          <w:rFonts w:ascii="Times New Roman" w:hAnsi="Times New Roman"/>
          <w:i/>
          <w:iCs/>
          <w:sz w:val="24"/>
          <w:szCs w:val="24"/>
        </w:rPr>
        <w:t>et al</w:t>
      </w:r>
      <w:r w:rsidRPr="00AB2403">
        <w:rPr>
          <w:rFonts w:ascii="Times New Roman" w:hAnsi="Times New Roman"/>
          <w:sz w:val="24"/>
          <w:szCs w:val="24"/>
        </w:rPr>
        <w:t xml:space="preserve">, 2013; Stevens </w:t>
      </w:r>
      <w:r w:rsidR="00AB2403" w:rsidRPr="00AB2403">
        <w:rPr>
          <w:rFonts w:ascii="Times New Roman" w:hAnsi="Times New Roman"/>
          <w:i/>
          <w:iCs/>
          <w:sz w:val="24"/>
          <w:szCs w:val="24"/>
        </w:rPr>
        <w:t>et al</w:t>
      </w:r>
      <w:r w:rsidRPr="00AB2403">
        <w:rPr>
          <w:rFonts w:ascii="Times New Roman" w:hAnsi="Times New Roman"/>
          <w:sz w:val="24"/>
          <w:szCs w:val="24"/>
        </w:rPr>
        <w:t>, 2022; WHO, 2023).</w:t>
      </w:r>
    </w:p>
    <w:p w14:paraId="35E807FC" w14:textId="1880A59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Micronutrient malnutrition remains an important public health challenge in Nigeria despite considerable improvements in agricultural production and food availability. Rapid urbanization, increasing dependence on ultra-processed foods, poor dietary diversity, and limited nutrition knowledge have contributed to suboptimal dietary practices among many Nigerians (Popkin </w:t>
      </w:r>
      <w:r w:rsidR="00AB2403" w:rsidRPr="00AB2403">
        <w:rPr>
          <w:rFonts w:ascii="Times New Roman" w:hAnsi="Times New Roman"/>
          <w:i/>
          <w:iCs/>
          <w:sz w:val="24"/>
          <w:szCs w:val="24"/>
        </w:rPr>
        <w:t>et al</w:t>
      </w:r>
      <w:r w:rsidRPr="00AB2403">
        <w:rPr>
          <w:rFonts w:ascii="Times New Roman" w:hAnsi="Times New Roman"/>
          <w:sz w:val="24"/>
          <w:szCs w:val="24"/>
        </w:rPr>
        <w:t xml:space="preserve">, 2020; </w:t>
      </w:r>
      <w:r>
        <w:rPr>
          <w:rFonts w:ascii="Times New Roman" w:hAnsi="Times New Roman"/>
          <w:color w:val="000000"/>
          <w:sz w:val="24"/>
          <w:szCs w:val="24"/>
        </w:rPr>
        <w:t>FAO</w:t>
      </w:r>
      <w:r w:rsidR="00C60FCD">
        <w:rPr>
          <w:rFonts w:ascii="Times New Roman" w:hAnsi="Times New Roman"/>
          <w:color w:val="000000"/>
          <w:sz w:val="24"/>
          <w:szCs w:val="24"/>
        </w:rPr>
        <w:t xml:space="preserve">, </w:t>
      </w:r>
      <w:r>
        <w:rPr>
          <w:rFonts w:ascii="Times New Roman" w:hAnsi="Times New Roman"/>
          <w:color w:val="000000"/>
          <w:sz w:val="24"/>
          <w:szCs w:val="24"/>
        </w:rPr>
        <w:t>202</w:t>
      </w:r>
      <w:r w:rsidR="00BE356E">
        <w:rPr>
          <w:rFonts w:ascii="Times New Roman" w:hAnsi="Times New Roman"/>
          <w:color w:val="000000"/>
          <w:sz w:val="24"/>
          <w:szCs w:val="24"/>
        </w:rPr>
        <w:t>3</w:t>
      </w:r>
      <w:r>
        <w:rPr>
          <w:rFonts w:ascii="Times New Roman" w:hAnsi="Times New Roman"/>
          <w:color w:val="000000"/>
          <w:sz w:val="24"/>
          <w:szCs w:val="24"/>
        </w:rPr>
        <w:t>).</w:t>
      </w:r>
      <w:r w:rsidRPr="00AB2403">
        <w:rPr>
          <w:rFonts w:ascii="Times New Roman" w:hAnsi="Times New Roman"/>
          <w:sz w:val="24"/>
          <w:szCs w:val="24"/>
        </w:rPr>
        <w:t xml:space="preserve"> National surveys indicate that inadequate consumption of fruits, vegetables, and other micronutrient-rich foods continues to expose vulnerable populations to nutritional deficiencies and associated health complications (National Population Commission [NPC] &amp; ICF, 201</w:t>
      </w:r>
      <w:r w:rsidR="00700682">
        <w:rPr>
          <w:rFonts w:ascii="Times New Roman" w:hAnsi="Times New Roman"/>
          <w:sz w:val="24"/>
          <w:szCs w:val="24"/>
        </w:rPr>
        <w:t>8</w:t>
      </w:r>
      <w:r w:rsidRPr="00AB2403">
        <w:rPr>
          <w:rFonts w:ascii="Times New Roman" w:hAnsi="Times New Roman"/>
          <w:sz w:val="24"/>
          <w:szCs w:val="24"/>
        </w:rPr>
        <w:t>; Federal Ministry of Health Nigeria, 2021).</w:t>
      </w:r>
    </w:p>
    <w:p w14:paraId="57E33E1F" w14:textId="4265211B"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Within tertiary institutions, students and staff frequently experience dietary challenges arising from busy academic schedules, financial constraints, irregular meal patterns, and the widespread availability of inexpensive energy-dense but nutrient-poor foods (Story </w:t>
      </w:r>
      <w:r w:rsidR="00AB2403" w:rsidRPr="00AB2403">
        <w:rPr>
          <w:rFonts w:ascii="Times New Roman" w:hAnsi="Times New Roman"/>
          <w:i/>
          <w:iCs/>
          <w:sz w:val="24"/>
          <w:szCs w:val="24"/>
        </w:rPr>
        <w:t>et al</w:t>
      </w:r>
      <w:r w:rsidRPr="00AB2403">
        <w:rPr>
          <w:rFonts w:ascii="Times New Roman" w:hAnsi="Times New Roman"/>
          <w:sz w:val="24"/>
          <w:szCs w:val="24"/>
        </w:rPr>
        <w:t>, 200</w:t>
      </w:r>
      <w:r w:rsidR="00700682">
        <w:rPr>
          <w:rFonts w:ascii="Times New Roman" w:hAnsi="Times New Roman"/>
          <w:sz w:val="24"/>
          <w:szCs w:val="24"/>
        </w:rPr>
        <w:t>8</w:t>
      </w:r>
      <w:r w:rsidR="00BE356E">
        <w:rPr>
          <w:rFonts w:ascii="Times New Roman" w:hAnsi="Times New Roman"/>
          <w:sz w:val="24"/>
          <w:szCs w:val="24"/>
        </w:rPr>
        <w:t>)</w:t>
      </w:r>
      <w:r w:rsidRPr="00AB2403">
        <w:rPr>
          <w:rFonts w:ascii="Times New Roman" w:hAnsi="Times New Roman"/>
          <w:sz w:val="24"/>
          <w:szCs w:val="24"/>
        </w:rPr>
        <w:t xml:space="preserve">. Students commonly skip breakfast, consume sugar-sweetened beverages, and rely heavily on fast foods while consuming inadequate amounts of fruits, vegetables, and high-quality protein sources (Spronk </w:t>
      </w:r>
      <w:r w:rsidR="00AB2403" w:rsidRPr="00AB2403">
        <w:rPr>
          <w:rFonts w:ascii="Times New Roman" w:hAnsi="Times New Roman"/>
          <w:i/>
          <w:iCs/>
          <w:sz w:val="24"/>
          <w:szCs w:val="24"/>
        </w:rPr>
        <w:t>et al</w:t>
      </w:r>
      <w:r w:rsidRPr="00AB2403">
        <w:rPr>
          <w:rFonts w:ascii="Times New Roman" w:hAnsi="Times New Roman"/>
          <w:sz w:val="24"/>
          <w:szCs w:val="24"/>
        </w:rPr>
        <w:t xml:space="preserve">, 2014; </w:t>
      </w:r>
      <w:r w:rsidR="003734DA">
        <w:rPr>
          <w:rFonts w:ascii="Times New Roman" w:hAnsi="Times New Roman"/>
          <w:sz w:val="24"/>
          <w:szCs w:val="24"/>
        </w:rPr>
        <w:t>Berger</w:t>
      </w:r>
      <w:r w:rsidRPr="00AB2403">
        <w:rPr>
          <w:rFonts w:ascii="Times New Roman" w:hAnsi="Times New Roman"/>
          <w:sz w:val="24"/>
          <w:szCs w:val="24"/>
        </w:rPr>
        <w:t xml:space="preserve"> </w:t>
      </w:r>
      <w:r w:rsidR="00AB2403" w:rsidRPr="00AB2403">
        <w:rPr>
          <w:rFonts w:ascii="Times New Roman" w:hAnsi="Times New Roman"/>
          <w:i/>
          <w:iCs/>
          <w:sz w:val="24"/>
          <w:szCs w:val="24"/>
        </w:rPr>
        <w:t>et al</w:t>
      </w:r>
      <w:r w:rsidRPr="00AB2403">
        <w:rPr>
          <w:rFonts w:ascii="Times New Roman" w:hAnsi="Times New Roman"/>
          <w:sz w:val="24"/>
          <w:szCs w:val="24"/>
        </w:rPr>
        <w:t>, 202</w:t>
      </w:r>
      <w:r w:rsidR="003734DA">
        <w:rPr>
          <w:rFonts w:ascii="Times New Roman" w:hAnsi="Times New Roman"/>
          <w:sz w:val="24"/>
          <w:szCs w:val="24"/>
        </w:rPr>
        <w:t>2</w:t>
      </w:r>
      <w:r w:rsidRPr="00AB2403">
        <w:rPr>
          <w:rFonts w:ascii="Times New Roman" w:hAnsi="Times New Roman"/>
          <w:sz w:val="24"/>
          <w:szCs w:val="24"/>
        </w:rPr>
        <w:t>). Such dietary practices increase the risk of micronutrient deficiencies, overweight, obesity, and diet-related non-communicable diseases (</w:t>
      </w:r>
      <w:r w:rsidR="00BE356E">
        <w:rPr>
          <w:rFonts w:ascii="Times New Roman" w:hAnsi="Times New Roman"/>
          <w:sz w:val="24"/>
          <w:szCs w:val="24"/>
        </w:rPr>
        <w:t xml:space="preserve">Lowe, 2021; </w:t>
      </w:r>
      <w:r>
        <w:rPr>
          <w:rFonts w:ascii="Times New Roman" w:hAnsi="Times New Roman"/>
          <w:color w:val="000000"/>
          <w:sz w:val="24"/>
          <w:szCs w:val="24"/>
        </w:rPr>
        <w:t>WHO, 202</w:t>
      </w:r>
      <w:r w:rsidR="00700682">
        <w:rPr>
          <w:rFonts w:ascii="Times New Roman" w:hAnsi="Times New Roman"/>
          <w:color w:val="000000"/>
          <w:sz w:val="24"/>
          <w:szCs w:val="24"/>
        </w:rPr>
        <w:t>3</w:t>
      </w:r>
      <w:r>
        <w:rPr>
          <w:rFonts w:ascii="Times New Roman" w:hAnsi="Times New Roman"/>
          <w:color w:val="000000"/>
          <w:sz w:val="24"/>
          <w:szCs w:val="24"/>
        </w:rPr>
        <w:t>).</w:t>
      </w:r>
    </w:p>
    <w:p w14:paraId="119446D4" w14:textId="7539C70B"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Nutrition education has been widely recognized as one of the most effective and sustainable approaches for improving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because it enhances individuals' knowledge, attitudes, and skills required for making healthier food choices </w:t>
      </w:r>
      <w:r>
        <w:rPr>
          <w:rFonts w:ascii="Times New Roman" w:hAnsi="Times New Roman"/>
          <w:color w:val="000000"/>
          <w:sz w:val="24"/>
          <w:szCs w:val="24"/>
        </w:rPr>
        <w:t>(Contento, 2</w:t>
      </w:r>
      <w:r w:rsidR="00BE356E">
        <w:rPr>
          <w:rFonts w:ascii="Times New Roman" w:hAnsi="Times New Roman"/>
          <w:color w:val="000000"/>
          <w:sz w:val="24"/>
          <w:szCs w:val="24"/>
        </w:rPr>
        <w:t>020</w:t>
      </w:r>
      <w:r>
        <w:rPr>
          <w:rFonts w:ascii="Times New Roman" w:hAnsi="Times New Roman"/>
          <w:color w:val="000000"/>
          <w:sz w:val="24"/>
          <w:szCs w:val="24"/>
        </w:rPr>
        <w:t>).</w:t>
      </w:r>
      <w:r w:rsidRPr="00CC4996">
        <w:rPr>
          <w:rFonts w:ascii="Times New Roman" w:hAnsi="Times New Roman"/>
          <w:color w:val="FF0000"/>
          <w:sz w:val="24"/>
          <w:szCs w:val="24"/>
        </w:rPr>
        <w:t xml:space="preserve"> </w:t>
      </w:r>
      <w:r w:rsidRPr="00AB2403">
        <w:rPr>
          <w:rFonts w:ascii="Times New Roman" w:hAnsi="Times New Roman"/>
          <w:sz w:val="24"/>
          <w:szCs w:val="24"/>
        </w:rPr>
        <w:t>Effective nutrition education encourages dietary diversity, increased consumption of micronutrient-rich foods, and adoption of healthy lifestyle practices, thereby contributing to improved nutritional status and long-term disease prevention</w:t>
      </w:r>
      <w:r>
        <w:rPr>
          <w:rFonts w:ascii="Times New Roman" w:hAnsi="Times New Roman"/>
          <w:color w:val="000000"/>
          <w:sz w:val="24"/>
          <w:szCs w:val="24"/>
        </w:rPr>
        <w:t xml:space="preserve"> (</w:t>
      </w:r>
      <w:r w:rsidR="00AA6842">
        <w:rPr>
          <w:rFonts w:ascii="Times New Roman" w:hAnsi="Times New Roman"/>
          <w:color w:val="000000"/>
          <w:sz w:val="24"/>
          <w:szCs w:val="24"/>
        </w:rPr>
        <w:t>WHO, 2026).</w:t>
      </w:r>
      <w:r>
        <w:rPr>
          <w:rFonts w:ascii="Times New Roman" w:hAnsi="Times New Roman"/>
          <w:color w:val="000000"/>
          <w:sz w:val="24"/>
          <w:szCs w:val="24"/>
        </w:rPr>
        <w:t xml:space="preserve"> </w:t>
      </w:r>
      <w:r w:rsidRPr="00AB2403">
        <w:rPr>
          <w:rFonts w:ascii="Times New Roman" w:hAnsi="Times New Roman"/>
          <w:sz w:val="24"/>
          <w:szCs w:val="24"/>
        </w:rPr>
        <w:t xml:space="preserve">Systematic reviews have consistently demonstrated that structured nutrition education interventions significantly improve nutrition knowledge, dietary quality, and healthy eating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among adolescents, university students, and adults </w:t>
      </w:r>
      <w:r w:rsidRPr="00264071">
        <w:rPr>
          <w:rFonts w:ascii="Times New Roman" w:hAnsi="Times New Roman"/>
          <w:sz w:val="24"/>
          <w:szCs w:val="24"/>
        </w:rPr>
        <w:t>(</w:t>
      </w:r>
      <w:proofErr w:type="spellStart"/>
      <w:r w:rsidR="00BE356E" w:rsidRPr="00264071">
        <w:rPr>
          <w:rStyle w:val="Strong"/>
          <w:rFonts w:ascii="Times New Roman" w:hAnsi="Times New Roman"/>
          <w:b w:val="0"/>
          <w:bCs w:val="0"/>
          <w:color w:val="000000"/>
          <w:sz w:val="24"/>
          <w:szCs w:val="24"/>
        </w:rPr>
        <w:t>Osendarp</w:t>
      </w:r>
      <w:proofErr w:type="spellEnd"/>
      <w:r w:rsidR="00BE356E" w:rsidRPr="00264071">
        <w:rPr>
          <w:rStyle w:val="Strong"/>
          <w:rFonts w:ascii="Times New Roman" w:hAnsi="Times New Roman"/>
          <w:b w:val="0"/>
          <w:bCs w:val="0"/>
          <w:color w:val="000000"/>
          <w:sz w:val="24"/>
          <w:szCs w:val="24"/>
        </w:rPr>
        <w:t xml:space="preserve"> </w:t>
      </w:r>
      <w:r w:rsidR="00BE356E" w:rsidRPr="00996AF0">
        <w:rPr>
          <w:rStyle w:val="Strong"/>
          <w:rFonts w:ascii="Times New Roman" w:hAnsi="Times New Roman"/>
          <w:b w:val="0"/>
          <w:bCs w:val="0"/>
          <w:i/>
          <w:iCs/>
          <w:color w:val="000000"/>
          <w:sz w:val="24"/>
          <w:szCs w:val="24"/>
        </w:rPr>
        <w:t>et al,</w:t>
      </w:r>
      <w:r w:rsidR="00BE356E" w:rsidRPr="00264071">
        <w:rPr>
          <w:rStyle w:val="Strong"/>
          <w:rFonts w:ascii="Times New Roman" w:hAnsi="Times New Roman"/>
          <w:b w:val="0"/>
          <w:bCs w:val="0"/>
          <w:color w:val="000000"/>
          <w:sz w:val="24"/>
          <w:szCs w:val="24"/>
        </w:rPr>
        <w:t xml:space="preserve"> 2018;</w:t>
      </w:r>
      <w:r w:rsidR="00BE356E" w:rsidRPr="00264071">
        <w:rPr>
          <w:rStyle w:val="Strong"/>
          <w:rFonts w:ascii="Times New Roman" w:hAnsi="Times New Roman"/>
          <w:color w:val="000000"/>
          <w:sz w:val="24"/>
          <w:szCs w:val="24"/>
        </w:rPr>
        <w:t xml:space="preserve"> </w:t>
      </w:r>
      <w:r w:rsidR="003734DA" w:rsidRPr="00264071">
        <w:rPr>
          <w:rFonts w:ascii="Times New Roman" w:hAnsi="Times New Roman"/>
          <w:sz w:val="24"/>
          <w:szCs w:val="24"/>
        </w:rPr>
        <w:t>Berger</w:t>
      </w:r>
      <w:r w:rsidRPr="00264071">
        <w:rPr>
          <w:rFonts w:ascii="Times New Roman" w:hAnsi="Times New Roman"/>
          <w:sz w:val="24"/>
          <w:szCs w:val="24"/>
        </w:rPr>
        <w:t xml:space="preserve"> </w:t>
      </w:r>
      <w:r w:rsidR="00AB2403" w:rsidRPr="00264071">
        <w:rPr>
          <w:rFonts w:ascii="Times New Roman" w:hAnsi="Times New Roman"/>
          <w:i/>
          <w:iCs/>
          <w:sz w:val="24"/>
          <w:szCs w:val="24"/>
        </w:rPr>
        <w:t>et al</w:t>
      </w:r>
      <w:r w:rsidRPr="00264071">
        <w:rPr>
          <w:rFonts w:ascii="Times New Roman" w:hAnsi="Times New Roman"/>
          <w:sz w:val="24"/>
          <w:szCs w:val="24"/>
        </w:rPr>
        <w:t>, 202</w:t>
      </w:r>
      <w:r w:rsidR="00A7401D" w:rsidRPr="00264071">
        <w:rPr>
          <w:rFonts w:ascii="Times New Roman" w:hAnsi="Times New Roman"/>
          <w:sz w:val="24"/>
          <w:szCs w:val="24"/>
        </w:rPr>
        <w:t>2</w:t>
      </w:r>
      <w:r w:rsidRPr="00264071">
        <w:rPr>
          <w:rFonts w:ascii="Times New Roman" w:hAnsi="Times New Roman"/>
          <w:sz w:val="24"/>
          <w:szCs w:val="24"/>
        </w:rPr>
        <w:t>).</w:t>
      </w:r>
    </w:p>
    <w:p w14:paraId="12B1C724" w14:textId="1FC944F9"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lastRenderedPageBreak/>
        <w:t xml:space="preserve">Although nutrition education improves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knowledge alone may not adequately correct existing micronutrient deficiencies, particularly among individuals with depleted nutrient stores. Consequently, micronutrient supplementation has been recommended as an effective complementary strategy capable of providing immediate nutritional support while educational interventions promote sustainable </w:t>
      </w:r>
      <w:proofErr w:type="spellStart"/>
      <w:r w:rsidRPr="00AB2403">
        <w:rPr>
          <w:rFonts w:ascii="Times New Roman" w:hAnsi="Times New Roman"/>
          <w:sz w:val="24"/>
          <w:szCs w:val="24"/>
        </w:rPr>
        <w:t>behavioural</w:t>
      </w:r>
      <w:proofErr w:type="spellEnd"/>
      <w:r w:rsidRPr="00AB2403">
        <w:rPr>
          <w:rFonts w:ascii="Times New Roman" w:hAnsi="Times New Roman"/>
          <w:sz w:val="24"/>
          <w:szCs w:val="24"/>
        </w:rPr>
        <w:t xml:space="preserve"> change (Bhutta </w:t>
      </w:r>
      <w:r w:rsidR="00AB2403" w:rsidRPr="00AB2403">
        <w:rPr>
          <w:rFonts w:ascii="Times New Roman" w:hAnsi="Times New Roman"/>
          <w:i/>
          <w:iCs/>
          <w:sz w:val="24"/>
          <w:szCs w:val="24"/>
        </w:rPr>
        <w:t>et al</w:t>
      </w:r>
      <w:r w:rsidRPr="00AB2403">
        <w:rPr>
          <w:rFonts w:ascii="Times New Roman" w:hAnsi="Times New Roman"/>
          <w:sz w:val="24"/>
          <w:szCs w:val="24"/>
        </w:rPr>
        <w:t xml:space="preserve">, 2013; Berger </w:t>
      </w:r>
      <w:r w:rsidR="00AB2403" w:rsidRPr="00AB2403">
        <w:rPr>
          <w:rFonts w:ascii="Times New Roman" w:hAnsi="Times New Roman"/>
          <w:i/>
          <w:iCs/>
          <w:sz w:val="24"/>
          <w:szCs w:val="24"/>
        </w:rPr>
        <w:t>et al</w:t>
      </w:r>
      <w:r w:rsidRPr="00AB2403">
        <w:rPr>
          <w:rFonts w:ascii="Times New Roman" w:hAnsi="Times New Roman"/>
          <w:sz w:val="24"/>
          <w:szCs w:val="24"/>
        </w:rPr>
        <w:t xml:space="preserve">, 2022). Iron, vitamin A, zinc, folic acid, and other micronutrient supplements have been shown to improve biochemical indicators of nutritional status, reduce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strengthen immune function, and improve overall health outcomes (Pasricha </w:t>
      </w:r>
      <w:r w:rsidR="00AB2403" w:rsidRPr="00AB2403">
        <w:rPr>
          <w:rFonts w:ascii="Times New Roman" w:hAnsi="Times New Roman"/>
          <w:i/>
          <w:iCs/>
          <w:sz w:val="24"/>
          <w:szCs w:val="24"/>
        </w:rPr>
        <w:t>et al</w:t>
      </w:r>
      <w:r w:rsidRPr="00AB2403">
        <w:rPr>
          <w:rFonts w:ascii="Times New Roman" w:hAnsi="Times New Roman"/>
          <w:sz w:val="24"/>
          <w:szCs w:val="24"/>
        </w:rPr>
        <w:t>, 2021; WHO, 2023).</w:t>
      </w:r>
    </w:p>
    <w:p w14:paraId="05216EA5" w14:textId="21C2A71A" w:rsidR="008E216E" w:rsidRPr="00CC4996" w:rsidRDefault="00000000" w:rsidP="00AB2403">
      <w:pPr>
        <w:spacing w:after="0"/>
        <w:jc w:val="both"/>
        <w:rPr>
          <w:rFonts w:ascii="Times New Roman" w:hAnsi="Times New Roman"/>
          <w:color w:val="FF0000"/>
          <w:sz w:val="24"/>
          <w:szCs w:val="24"/>
        </w:rPr>
      </w:pPr>
      <w:r w:rsidRPr="00AB2403">
        <w:rPr>
          <w:rFonts w:ascii="Times New Roman" w:hAnsi="Times New Roman"/>
          <w:sz w:val="24"/>
          <w:szCs w:val="24"/>
        </w:rPr>
        <w:t xml:space="preserve">Several intervention studies have demonstrated that combining nutrition education with micronutrient supplementation produces greater improvements in nutrition knowledge, dietary practices, and micronutrient status than either intervention alone (Berger </w:t>
      </w:r>
      <w:r w:rsidR="00AB2403" w:rsidRPr="00AB2403">
        <w:rPr>
          <w:rFonts w:ascii="Times New Roman" w:hAnsi="Times New Roman"/>
          <w:i/>
          <w:iCs/>
          <w:sz w:val="24"/>
          <w:szCs w:val="24"/>
        </w:rPr>
        <w:t>et al</w:t>
      </w:r>
      <w:r w:rsidRPr="00AB2403">
        <w:rPr>
          <w:rFonts w:ascii="Times New Roman" w:hAnsi="Times New Roman"/>
          <w:sz w:val="24"/>
          <w:szCs w:val="24"/>
        </w:rPr>
        <w:t xml:space="preserve">, 2022). Furthermore, dietary diversity has consistently been identified as one of the strongest predictors of adequate micronutrient intake because consumption of a wide variety of foods increases the likelihood of meeting daily nutrient requirements </w:t>
      </w:r>
      <w:r w:rsidRPr="00264071">
        <w:rPr>
          <w:rFonts w:ascii="Times New Roman" w:hAnsi="Times New Roman"/>
          <w:sz w:val="24"/>
          <w:szCs w:val="24"/>
        </w:rPr>
        <w:t>(</w:t>
      </w:r>
      <w:r w:rsidR="005A6B2C" w:rsidRPr="00264071">
        <w:rPr>
          <w:rFonts w:ascii="Times New Roman" w:hAnsi="Times New Roman"/>
          <w:color w:val="000000"/>
          <w:sz w:val="24"/>
          <w:szCs w:val="24"/>
        </w:rPr>
        <w:t xml:space="preserve">Kennedy, 2010; Jenkins </w:t>
      </w:r>
      <w:r w:rsidR="005A6B2C" w:rsidRPr="00996AF0">
        <w:rPr>
          <w:rFonts w:ascii="Times New Roman" w:hAnsi="Times New Roman"/>
          <w:i/>
          <w:iCs/>
          <w:color w:val="000000"/>
          <w:sz w:val="24"/>
          <w:szCs w:val="24"/>
        </w:rPr>
        <w:t>et al,</w:t>
      </w:r>
      <w:r w:rsidR="005A6B2C" w:rsidRPr="00264071">
        <w:rPr>
          <w:rFonts w:ascii="Times New Roman" w:hAnsi="Times New Roman"/>
          <w:color w:val="000000"/>
          <w:sz w:val="24"/>
          <w:szCs w:val="24"/>
        </w:rPr>
        <w:t xml:space="preserve"> 2024). </w:t>
      </w:r>
    </w:p>
    <w:p w14:paraId="4DA66E0D" w14:textId="1F55B67A" w:rsidR="008E216E" w:rsidRPr="00CC4996" w:rsidRDefault="00000000" w:rsidP="00AB2403">
      <w:pPr>
        <w:spacing w:after="0"/>
        <w:jc w:val="both"/>
        <w:rPr>
          <w:rFonts w:ascii="Times New Roman" w:hAnsi="Times New Roman"/>
          <w:color w:val="FF0000"/>
          <w:sz w:val="24"/>
          <w:szCs w:val="24"/>
        </w:rPr>
      </w:pPr>
      <w:r w:rsidRPr="00AB2403">
        <w:rPr>
          <w:rFonts w:ascii="Times New Roman" w:hAnsi="Times New Roman"/>
          <w:sz w:val="24"/>
          <w:szCs w:val="24"/>
        </w:rPr>
        <w:t>Despite growing evidence supporting integrated nutrition interventions, relatively few studies have evaluated their effectiveness among staff and students of Nigerian tertiary institutions, particularly in North-Western Nigeria. Most available studies have focused on children, pregnant women, or community-based populations, leaving an important knowledge gap regarding institutional nutrition programs for adults (</w:t>
      </w:r>
      <w:r w:rsidR="00023211">
        <w:rPr>
          <w:rFonts w:ascii="Times New Roman" w:hAnsi="Times New Roman"/>
          <w:sz w:val="24"/>
          <w:szCs w:val="24"/>
        </w:rPr>
        <w:t xml:space="preserve">Black </w:t>
      </w:r>
      <w:r w:rsidR="00023211" w:rsidRPr="00996AF0">
        <w:rPr>
          <w:rFonts w:ascii="Times New Roman" w:hAnsi="Times New Roman"/>
          <w:i/>
          <w:iCs/>
          <w:sz w:val="24"/>
          <w:szCs w:val="24"/>
        </w:rPr>
        <w:t>et al,</w:t>
      </w:r>
      <w:r w:rsidR="00023211">
        <w:rPr>
          <w:rFonts w:ascii="Times New Roman" w:hAnsi="Times New Roman"/>
          <w:sz w:val="24"/>
          <w:szCs w:val="24"/>
        </w:rPr>
        <w:t xml:space="preserve"> 2013; </w:t>
      </w:r>
      <w:r w:rsidRPr="00AB2403">
        <w:rPr>
          <w:rFonts w:ascii="Times New Roman" w:hAnsi="Times New Roman"/>
          <w:sz w:val="24"/>
          <w:szCs w:val="24"/>
        </w:rPr>
        <w:t>Federal Ministry of Health Nigeria, 2021</w:t>
      </w:r>
      <w:r>
        <w:rPr>
          <w:rFonts w:ascii="Times New Roman" w:hAnsi="Times New Roman"/>
          <w:color w:val="000000"/>
          <w:sz w:val="24"/>
          <w:szCs w:val="24"/>
        </w:rPr>
        <w:t>; FAO, 202</w:t>
      </w:r>
      <w:r w:rsidR="0069421B">
        <w:rPr>
          <w:rFonts w:ascii="Times New Roman" w:hAnsi="Times New Roman"/>
          <w:color w:val="000000"/>
          <w:sz w:val="24"/>
          <w:szCs w:val="24"/>
        </w:rPr>
        <w:t>4</w:t>
      </w:r>
      <w:r>
        <w:rPr>
          <w:rFonts w:ascii="Times New Roman" w:hAnsi="Times New Roman"/>
          <w:color w:val="000000"/>
          <w:sz w:val="24"/>
          <w:szCs w:val="24"/>
        </w:rPr>
        <w:t>).</w:t>
      </w:r>
    </w:p>
    <w:p w14:paraId="75C0A6E7" w14:textId="6EB1C4F5"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Federal Polytechnic Kabo provides an ideal setting for evaluating nutrition interventions because it comprises students and staff from diverse socioeconomic backgrounds with varying dietary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and nutritional risks. Assessing the combined effects of nutrition education and micronutrient supplementation within this population will generate evidence to support institutional nutrition policies, staff wellness </w:t>
      </w:r>
      <w:proofErr w:type="spellStart"/>
      <w:r w:rsidRPr="00AB2403">
        <w:rPr>
          <w:rFonts w:ascii="Times New Roman" w:hAnsi="Times New Roman"/>
          <w:sz w:val="24"/>
          <w:szCs w:val="24"/>
        </w:rPr>
        <w:t>programmes</w:t>
      </w:r>
      <w:proofErr w:type="spellEnd"/>
      <w:r w:rsidRPr="00AB2403">
        <w:rPr>
          <w:rFonts w:ascii="Times New Roman" w:hAnsi="Times New Roman"/>
          <w:sz w:val="24"/>
          <w:szCs w:val="24"/>
        </w:rPr>
        <w:t>, student health promotion initiatives, and future public health interventions. The findings are expected to contribute to national efforts aimed at achieving Sustainable Development Goal 2 (Zero Hunger) and Sustainable Development Goal 3 (Good Health and Well-being) through improved nutrition and prevention of micronutrient deficiencies (United Nations, 2023)</w:t>
      </w:r>
      <w:r w:rsidR="00050FB7">
        <w:rPr>
          <w:rFonts w:ascii="Times New Roman" w:hAnsi="Times New Roman"/>
          <w:sz w:val="24"/>
          <w:szCs w:val="24"/>
        </w:rPr>
        <w:t>.</w:t>
      </w:r>
    </w:p>
    <w:p w14:paraId="7ACFF1BD" w14:textId="76F7C25E"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Materials and Methods</w:t>
      </w:r>
    </w:p>
    <w:p w14:paraId="1679C963"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Study Area</w:t>
      </w:r>
    </w:p>
    <w:p w14:paraId="72754CF1" w14:textId="346F87DA" w:rsidR="008D1618" w:rsidRPr="0039525B" w:rsidRDefault="00000000" w:rsidP="00AB2403">
      <w:pPr>
        <w:spacing w:after="0"/>
        <w:jc w:val="both"/>
        <w:rPr>
          <w:rFonts w:ascii="Times New Roman" w:hAnsi="Times New Roman"/>
          <w:sz w:val="24"/>
          <w:szCs w:val="24"/>
        </w:rPr>
      </w:pPr>
      <w:r w:rsidRPr="00AB2403">
        <w:rPr>
          <w:rFonts w:ascii="Times New Roman" w:hAnsi="Times New Roman"/>
          <w:sz w:val="24"/>
          <w:szCs w:val="24"/>
        </w:rPr>
        <w:t>The study was conducted at Federal Polytechnic Kabo, Kano State, Nigeria. The institution comprises academic staff, non-academic staff, and students from diverse socioeconomic backgrounds.</w:t>
      </w:r>
    </w:p>
    <w:p w14:paraId="1D3199A4" w14:textId="26610122" w:rsidR="008D1618"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Study Design and Population</w:t>
      </w:r>
    </w:p>
    <w:p w14:paraId="63D5EAA0" w14:textId="64FEC753" w:rsidR="008E216E" w:rsidRPr="008D1618" w:rsidRDefault="00000000" w:rsidP="00AB2403">
      <w:pPr>
        <w:spacing w:after="0"/>
        <w:jc w:val="both"/>
        <w:rPr>
          <w:rFonts w:ascii="Times New Roman" w:hAnsi="Times New Roman"/>
          <w:b/>
          <w:bCs/>
          <w:sz w:val="24"/>
          <w:szCs w:val="24"/>
        </w:rPr>
      </w:pPr>
      <w:r w:rsidRPr="00AB2403">
        <w:rPr>
          <w:rFonts w:ascii="Times New Roman" w:hAnsi="Times New Roman"/>
          <w:sz w:val="24"/>
          <w:szCs w:val="24"/>
        </w:rPr>
        <w:t>A quasi-experimental pre-test/post-test control group design was employed. The study population consisted of registered staff and students aged 18 years and above. Pregnant women, individuals with chronic illnesses requiring special diets, and those receiving micronutrient supplementation were excluded.</w:t>
      </w:r>
    </w:p>
    <w:p w14:paraId="2096F00B" w14:textId="0DBEDDA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Sample Size and Sampling Technique</w:t>
      </w:r>
    </w:p>
    <w:p w14:paraId="263AD8C3"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lastRenderedPageBreak/>
        <w:t>A total of 200 participants were recruited using a stratified random sampling technique. Participants were proportionately selected from academic staff, non-academic staff, and students, and allocated equally into intervention (n = 100) and control (n = 100) groups.</w:t>
      </w:r>
    </w:p>
    <w:p w14:paraId="3A9A67FD" w14:textId="267BEA3B"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Data Collection</w:t>
      </w:r>
    </w:p>
    <w:p w14:paraId="509422C3"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Data were collected at baseline and after the 12-week intervention using a pre-tested structured questionnaire, a multiple-pass 24-hour dietary recall, a semi-quantitative Food Frequency Questionnaire (FFQ), anthropometric measurements, and biochemical assessments.</w:t>
      </w:r>
    </w:p>
    <w:p w14:paraId="35EED31E"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questionnaire obtained information on socio-demographic characteristics, nutrition knowledge,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and supplement use. Dietary intake was assessed using the multiple-pass 24-hour dietary recall, while habitual food consumption was evaluated using an FFQ containing commonly consumed Nigerian foods. Nutrient intake was estimated using the Nigerian Food Composition Table.</w:t>
      </w:r>
    </w:p>
    <w:p w14:paraId="1B971E69" w14:textId="3F43E37D" w:rsidR="008E216E" w:rsidRDefault="00000000" w:rsidP="00AB2403">
      <w:pPr>
        <w:spacing w:after="0"/>
        <w:jc w:val="both"/>
        <w:rPr>
          <w:rFonts w:ascii="Times New Roman" w:hAnsi="Times New Roman"/>
          <w:color w:val="000000"/>
          <w:sz w:val="24"/>
          <w:szCs w:val="24"/>
        </w:rPr>
      </w:pPr>
      <w:r w:rsidRPr="00AB2403">
        <w:rPr>
          <w:rFonts w:ascii="Times New Roman" w:hAnsi="Times New Roman"/>
          <w:sz w:val="24"/>
          <w:szCs w:val="24"/>
        </w:rPr>
        <w:t>Anthropometric measurements included body weight, height, body mass index (BMI), waist circumference, hip circumference, waist-to-hip ratio, and mid-upper arm circumference (MUAC), following WHO</w:t>
      </w:r>
      <w:r w:rsidR="00023211">
        <w:rPr>
          <w:rFonts w:ascii="Times New Roman" w:hAnsi="Times New Roman"/>
          <w:sz w:val="24"/>
          <w:szCs w:val="24"/>
        </w:rPr>
        <w:t xml:space="preserve"> </w:t>
      </w:r>
      <w:r w:rsidRPr="00AB2403">
        <w:rPr>
          <w:rFonts w:ascii="Times New Roman" w:hAnsi="Times New Roman"/>
          <w:sz w:val="24"/>
          <w:szCs w:val="24"/>
        </w:rPr>
        <w:t xml:space="preserve">standard procedures </w:t>
      </w:r>
      <w:r w:rsidR="001A32B0">
        <w:rPr>
          <w:rFonts w:ascii="Times New Roman" w:hAnsi="Times New Roman"/>
          <w:color w:val="000000"/>
          <w:sz w:val="24"/>
          <w:szCs w:val="24"/>
        </w:rPr>
        <w:t>(</w:t>
      </w:r>
      <w:r>
        <w:rPr>
          <w:rFonts w:ascii="Times New Roman" w:hAnsi="Times New Roman"/>
          <w:color w:val="000000"/>
          <w:sz w:val="24"/>
          <w:szCs w:val="24"/>
        </w:rPr>
        <w:t>WHO, 2008).</w:t>
      </w:r>
    </w:p>
    <w:p w14:paraId="4D0F8048"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Venous blood samples (5 mL) were collected under aseptic conditions for the determination of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serum vitamin A, serum iron, and serum zinc using standard laboratory procedures.</w:t>
      </w:r>
    </w:p>
    <w:p w14:paraId="66B92F75" w14:textId="77777777" w:rsidR="008E216E" w:rsidRPr="008D1618" w:rsidRDefault="00000000" w:rsidP="00AB2403">
      <w:pPr>
        <w:spacing w:after="0"/>
        <w:jc w:val="both"/>
        <w:rPr>
          <w:rFonts w:ascii="Times New Roman" w:hAnsi="Times New Roman"/>
          <w:b/>
          <w:bCs/>
          <w:sz w:val="24"/>
          <w:szCs w:val="24"/>
        </w:rPr>
      </w:pPr>
      <w:r w:rsidRPr="008D1618">
        <w:rPr>
          <w:rFonts w:ascii="Times New Roman" w:hAnsi="Times New Roman"/>
          <w:b/>
          <w:bCs/>
          <w:sz w:val="24"/>
          <w:szCs w:val="24"/>
        </w:rPr>
        <w:t>Intervention</w:t>
      </w:r>
    </w:p>
    <w:p w14:paraId="13B3169B" w14:textId="6F9C8085"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Participants in the intervention group received daily micronutrient supplements containing iron, vitamin A, zinc, folic acid, vitamin C, and B-complex vitamins for 12 weeks. They also participated in weekly nutrition education sessions covering balanced diets, dietary diversity, micronutrient-rich foods, healthy meal planning, food hygiene, and lifestyle modification. Each session lasted approximately 45–60 minutes. The control group continued with their routine dietary practices throughout the study period.</w:t>
      </w:r>
    </w:p>
    <w:p w14:paraId="58770269"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Ethical Considerations</w:t>
      </w:r>
    </w:p>
    <w:p w14:paraId="064EFDAD"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Ethical approval was obtained from the appropriate Research Ethics Committee of Federal Polytechnic Kabo.</w:t>
      </w:r>
    </w:p>
    <w:p w14:paraId="39A6BE3C"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Statistical Analysis</w:t>
      </w:r>
    </w:p>
    <w:p w14:paraId="4CDCC7D5"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Data were entered into Microsoft Excel and </w:t>
      </w:r>
      <w:proofErr w:type="spellStart"/>
      <w:r w:rsidRPr="00AB2403">
        <w:rPr>
          <w:rFonts w:ascii="Times New Roman" w:hAnsi="Times New Roman"/>
          <w:sz w:val="24"/>
          <w:szCs w:val="24"/>
        </w:rPr>
        <w:t>analysed</w:t>
      </w:r>
      <w:proofErr w:type="spellEnd"/>
      <w:r w:rsidRPr="00AB2403">
        <w:rPr>
          <w:rFonts w:ascii="Times New Roman" w:hAnsi="Times New Roman"/>
          <w:sz w:val="24"/>
          <w:szCs w:val="24"/>
        </w:rPr>
        <w:t xml:space="preserve"> using IBM SPSS Statistics version 26.0. Descriptive statistics (frequencies, percentages, means, and standard deviations) were used to summarize the data. Differences between groups were assessed using independent-samples and paired-samples t-tests, while associations between categorical variables were evaluated using the Chi-square test. Pearson's correlation and multiple linear regression analyses were performed to identify predictors of micronutrient status. Statistical significance was set at p &lt; 0.05.</w:t>
      </w:r>
    </w:p>
    <w:p w14:paraId="4CEB0D85" w14:textId="77777777" w:rsidR="008E216E" w:rsidRPr="00AB2403" w:rsidRDefault="008E216E" w:rsidP="00AB2403">
      <w:pPr>
        <w:spacing w:after="0"/>
        <w:jc w:val="both"/>
        <w:rPr>
          <w:rFonts w:ascii="Times New Roman" w:hAnsi="Times New Roman"/>
          <w:sz w:val="24"/>
          <w:szCs w:val="24"/>
        </w:rPr>
      </w:pPr>
    </w:p>
    <w:p w14:paraId="70728AAB"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Results</w:t>
      </w:r>
    </w:p>
    <w:p w14:paraId="02DD0579" w14:textId="4CFBB467" w:rsidR="008E216E" w:rsidRPr="00AB240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1: </w:t>
      </w:r>
      <w:r w:rsidRPr="00AB2403">
        <w:rPr>
          <w:rFonts w:ascii="Times New Roman" w:hAnsi="Times New Roman"/>
          <w:b/>
          <w:bCs/>
          <w:sz w:val="24"/>
          <w:szCs w:val="24"/>
        </w:rPr>
        <w:t>Effect of Nutrition Education and Micronutrient Supplementation on Anthropometric Measurements</w:t>
      </w:r>
    </w:p>
    <w:tbl>
      <w:tblPr>
        <w:tblW w:w="0" w:type="auto"/>
        <w:tblBorders>
          <w:top w:val="single" w:sz="4" w:space="0" w:color="auto"/>
          <w:bottom w:val="single" w:sz="4" w:space="0" w:color="auto"/>
        </w:tblBorders>
        <w:tblLook w:val="04A0" w:firstRow="1" w:lastRow="0" w:firstColumn="1" w:lastColumn="0" w:noHBand="0" w:noVBand="1"/>
      </w:tblPr>
      <w:tblGrid>
        <w:gridCol w:w="1749"/>
        <w:gridCol w:w="1578"/>
        <w:gridCol w:w="1584"/>
        <w:gridCol w:w="1558"/>
        <w:gridCol w:w="1584"/>
        <w:gridCol w:w="1523"/>
      </w:tblGrid>
      <w:tr w:rsidR="00523A28" w14:paraId="3BB5FB18" w14:textId="77777777">
        <w:tc>
          <w:tcPr>
            <w:tcW w:w="1596" w:type="dxa"/>
          </w:tcPr>
          <w:p w14:paraId="3721558D" w14:textId="30EE2CA1" w:rsidR="007A7C39" w:rsidRDefault="007A7C39">
            <w:pPr>
              <w:spacing w:after="0"/>
              <w:jc w:val="both"/>
              <w:rPr>
                <w:rFonts w:ascii="Times New Roman" w:hAnsi="Times New Roman"/>
                <w:sz w:val="24"/>
                <w:szCs w:val="24"/>
              </w:rPr>
            </w:pPr>
            <w:r>
              <w:rPr>
                <w:rFonts w:ascii="Times New Roman" w:hAnsi="Times New Roman"/>
                <w:sz w:val="24"/>
                <w:szCs w:val="24"/>
              </w:rPr>
              <w:t xml:space="preserve">Anthropometric </w:t>
            </w:r>
            <w:r>
              <w:rPr>
                <w:rFonts w:ascii="Times New Roman" w:hAnsi="Times New Roman"/>
                <w:sz w:val="24"/>
                <w:szCs w:val="24"/>
              </w:rPr>
              <w:lastRenderedPageBreak/>
              <w:t>parameter</w:t>
            </w:r>
          </w:p>
        </w:tc>
        <w:tc>
          <w:tcPr>
            <w:tcW w:w="1596" w:type="dxa"/>
          </w:tcPr>
          <w:p w14:paraId="358D703B" w14:textId="77777777" w:rsidR="007A7C39" w:rsidRDefault="007A7C39">
            <w:pPr>
              <w:spacing w:after="0"/>
              <w:jc w:val="both"/>
              <w:rPr>
                <w:rFonts w:ascii="Times New Roman" w:hAnsi="Times New Roman"/>
                <w:sz w:val="24"/>
                <w:szCs w:val="24"/>
              </w:rPr>
            </w:pPr>
            <w:r>
              <w:rPr>
                <w:rFonts w:ascii="Times New Roman" w:hAnsi="Times New Roman"/>
                <w:sz w:val="24"/>
                <w:szCs w:val="24"/>
              </w:rPr>
              <w:lastRenderedPageBreak/>
              <w:t xml:space="preserve">Intervention </w:t>
            </w:r>
            <w:r>
              <w:rPr>
                <w:rFonts w:ascii="Times New Roman" w:hAnsi="Times New Roman"/>
                <w:sz w:val="24"/>
                <w:szCs w:val="24"/>
              </w:rPr>
              <w:lastRenderedPageBreak/>
              <w:t>(baseline)</w:t>
            </w:r>
          </w:p>
          <w:p w14:paraId="14DBE641" w14:textId="00E1BBB5"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01F3BDE3" w14:textId="77777777" w:rsidR="007A7C39" w:rsidRDefault="007A7C39">
            <w:pPr>
              <w:spacing w:after="0"/>
              <w:jc w:val="both"/>
              <w:rPr>
                <w:rFonts w:ascii="Times New Roman" w:hAnsi="Times New Roman"/>
                <w:sz w:val="24"/>
                <w:szCs w:val="24"/>
              </w:rPr>
            </w:pPr>
            <w:r>
              <w:rPr>
                <w:rFonts w:ascii="Times New Roman" w:hAnsi="Times New Roman"/>
                <w:sz w:val="24"/>
                <w:szCs w:val="24"/>
              </w:rPr>
              <w:lastRenderedPageBreak/>
              <w:t xml:space="preserve">Intervention </w:t>
            </w:r>
            <w:r>
              <w:rPr>
                <w:rFonts w:ascii="Times New Roman" w:hAnsi="Times New Roman"/>
                <w:sz w:val="24"/>
                <w:szCs w:val="24"/>
              </w:rPr>
              <w:lastRenderedPageBreak/>
              <w:t>(post intervention)</w:t>
            </w:r>
          </w:p>
          <w:p w14:paraId="531D11E5" w14:textId="5E436020"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572966E0" w14:textId="77777777" w:rsidR="007A7C39" w:rsidRDefault="007A7C39">
            <w:pPr>
              <w:spacing w:after="0"/>
              <w:jc w:val="both"/>
              <w:rPr>
                <w:rFonts w:ascii="Times New Roman" w:hAnsi="Times New Roman"/>
                <w:sz w:val="24"/>
                <w:szCs w:val="24"/>
              </w:rPr>
            </w:pPr>
            <w:r>
              <w:rPr>
                <w:rFonts w:ascii="Times New Roman" w:hAnsi="Times New Roman"/>
                <w:sz w:val="24"/>
                <w:szCs w:val="24"/>
              </w:rPr>
              <w:lastRenderedPageBreak/>
              <w:t xml:space="preserve">Control </w:t>
            </w:r>
            <w:r>
              <w:rPr>
                <w:rFonts w:ascii="Times New Roman" w:hAnsi="Times New Roman"/>
                <w:sz w:val="24"/>
                <w:szCs w:val="24"/>
              </w:rPr>
              <w:lastRenderedPageBreak/>
              <w:t>(baseline)</w:t>
            </w:r>
          </w:p>
          <w:p w14:paraId="1D446692" w14:textId="323D8D4D"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0CCD4241" w14:textId="77777777" w:rsidR="007A7C39" w:rsidRDefault="007A7C39">
            <w:pPr>
              <w:spacing w:after="0"/>
              <w:jc w:val="both"/>
              <w:rPr>
                <w:rFonts w:ascii="Times New Roman" w:hAnsi="Times New Roman"/>
                <w:sz w:val="24"/>
                <w:szCs w:val="24"/>
              </w:rPr>
            </w:pPr>
            <w:r>
              <w:rPr>
                <w:rFonts w:ascii="Times New Roman" w:hAnsi="Times New Roman"/>
                <w:sz w:val="24"/>
                <w:szCs w:val="24"/>
              </w:rPr>
              <w:lastRenderedPageBreak/>
              <w:t xml:space="preserve">Control (post </w:t>
            </w:r>
            <w:r>
              <w:rPr>
                <w:rFonts w:ascii="Times New Roman" w:hAnsi="Times New Roman"/>
                <w:sz w:val="24"/>
                <w:szCs w:val="24"/>
              </w:rPr>
              <w:lastRenderedPageBreak/>
              <w:t>intervention)</w:t>
            </w:r>
          </w:p>
          <w:p w14:paraId="641FA37D" w14:textId="6FF93E35"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2CCFD1F2" w14:textId="46A86E69" w:rsidR="007A7C39" w:rsidRDefault="007A7C39">
            <w:pPr>
              <w:spacing w:after="0"/>
              <w:jc w:val="both"/>
              <w:rPr>
                <w:rFonts w:ascii="Times New Roman" w:hAnsi="Times New Roman"/>
                <w:sz w:val="24"/>
                <w:szCs w:val="24"/>
              </w:rPr>
            </w:pPr>
            <w:r>
              <w:rPr>
                <w:rFonts w:ascii="Times New Roman" w:hAnsi="Times New Roman"/>
                <w:sz w:val="24"/>
                <w:szCs w:val="24"/>
              </w:rPr>
              <w:lastRenderedPageBreak/>
              <w:t>p-value</w:t>
            </w:r>
          </w:p>
        </w:tc>
      </w:tr>
      <w:tr w:rsidR="00523A28" w14:paraId="4B714517" w14:textId="77777777">
        <w:tc>
          <w:tcPr>
            <w:tcW w:w="1596" w:type="dxa"/>
          </w:tcPr>
          <w:p w14:paraId="4F6E9AD0" w14:textId="132C1110" w:rsidR="007A7C39" w:rsidRDefault="007A7C39">
            <w:pPr>
              <w:spacing w:after="0"/>
              <w:jc w:val="both"/>
              <w:rPr>
                <w:rFonts w:ascii="Times New Roman" w:hAnsi="Times New Roman"/>
                <w:sz w:val="24"/>
                <w:szCs w:val="24"/>
              </w:rPr>
            </w:pPr>
            <w:r>
              <w:rPr>
                <w:rFonts w:ascii="Times New Roman" w:hAnsi="Times New Roman"/>
                <w:sz w:val="24"/>
                <w:szCs w:val="24"/>
              </w:rPr>
              <w:t>Wei</w:t>
            </w:r>
            <w:r w:rsidR="00AE4693">
              <w:rPr>
                <w:rFonts w:ascii="Times New Roman" w:hAnsi="Times New Roman"/>
                <w:sz w:val="24"/>
                <w:szCs w:val="24"/>
              </w:rPr>
              <w:t>gh</w:t>
            </w:r>
            <w:r>
              <w:rPr>
                <w:rFonts w:ascii="Times New Roman" w:hAnsi="Times New Roman"/>
                <w:sz w:val="24"/>
                <w:szCs w:val="24"/>
              </w:rPr>
              <w:t>t (k</w:t>
            </w:r>
            <w:r w:rsidR="00AE4693">
              <w:rPr>
                <w:rFonts w:ascii="Times New Roman" w:hAnsi="Times New Roman"/>
                <w:sz w:val="24"/>
                <w:szCs w:val="24"/>
              </w:rPr>
              <w:t>g</w:t>
            </w:r>
            <w:r>
              <w:rPr>
                <w:rFonts w:ascii="Times New Roman" w:hAnsi="Times New Roman"/>
                <w:sz w:val="24"/>
                <w:szCs w:val="24"/>
              </w:rPr>
              <w:t>)</w:t>
            </w:r>
          </w:p>
        </w:tc>
        <w:tc>
          <w:tcPr>
            <w:tcW w:w="1596" w:type="dxa"/>
          </w:tcPr>
          <w:p w14:paraId="61360842" w14:textId="47DF7EFC" w:rsidR="007A7C39" w:rsidRDefault="007A7C39">
            <w:pPr>
              <w:spacing w:after="0"/>
              <w:jc w:val="both"/>
              <w:rPr>
                <w:rFonts w:ascii="Times New Roman" w:hAnsi="Times New Roman"/>
                <w:sz w:val="24"/>
                <w:szCs w:val="24"/>
              </w:rPr>
            </w:pPr>
            <w:r>
              <w:rPr>
                <w:rFonts w:ascii="Times New Roman" w:hAnsi="Times New Roman"/>
                <w:sz w:val="24"/>
                <w:szCs w:val="24"/>
              </w:rPr>
              <w:t>68.4 ± 10.2</w:t>
            </w:r>
          </w:p>
        </w:tc>
        <w:tc>
          <w:tcPr>
            <w:tcW w:w="1596" w:type="dxa"/>
          </w:tcPr>
          <w:p w14:paraId="70E7BEFD" w14:textId="4F20EE1D" w:rsidR="007A7C39" w:rsidRDefault="007A7C39">
            <w:pPr>
              <w:spacing w:after="0"/>
              <w:jc w:val="both"/>
              <w:rPr>
                <w:rFonts w:ascii="Times New Roman" w:hAnsi="Times New Roman"/>
                <w:sz w:val="24"/>
                <w:szCs w:val="24"/>
              </w:rPr>
            </w:pPr>
            <w:r>
              <w:rPr>
                <w:rFonts w:ascii="Times New Roman" w:hAnsi="Times New Roman"/>
                <w:sz w:val="24"/>
                <w:szCs w:val="24"/>
              </w:rPr>
              <w:t>66.9 ± 9.8</w:t>
            </w:r>
          </w:p>
        </w:tc>
        <w:tc>
          <w:tcPr>
            <w:tcW w:w="1596" w:type="dxa"/>
          </w:tcPr>
          <w:p w14:paraId="0596E926" w14:textId="652171CF" w:rsidR="007A7C39" w:rsidRDefault="007A7C39">
            <w:pPr>
              <w:spacing w:after="0"/>
              <w:jc w:val="both"/>
              <w:rPr>
                <w:rFonts w:ascii="Times New Roman" w:hAnsi="Times New Roman"/>
                <w:sz w:val="24"/>
                <w:szCs w:val="24"/>
              </w:rPr>
            </w:pPr>
            <w:r>
              <w:rPr>
                <w:rFonts w:ascii="Times New Roman" w:hAnsi="Times New Roman"/>
                <w:sz w:val="24"/>
                <w:szCs w:val="24"/>
              </w:rPr>
              <w:t>67.8 ± 9.7</w:t>
            </w:r>
          </w:p>
        </w:tc>
        <w:tc>
          <w:tcPr>
            <w:tcW w:w="1596" w:type="dxa"/>
          </w:tcPr>
          <w:p w14:paraId="097B0663" w14:textId="2211FA10" w:rsidR="007A7C39" w:rsidRDefault="007A7C39">
            <w:pPr>
              <w:spacing w:after="0"/>
              <w:jc w:val="both"/>
              <w:rPr>
                <w:rFonts w:ascii="Times New Roman" w:hAnsi="Times New Roman"/>
                <w:sz w:val="24"/>
                <w:szCs w:val="24"/>
              </w:rPr>
            </w:pPr>
            <w:r>
              <w:rPr>
                <w:rFonts w:ascii="Times New Roman" w:hAnsi="Times New Roman"/>
                <w:sz w:val="24"/>
                <w:szCs w:val="24"/>
              </w:rPr>
              <w:t>67.6 ± 9.6</w:t>
            </w:r>
          </w:p>
        </w:tc>
        <w:tc>
          <w:tcPr>
            <w:tcW w:w="1596" w:type="dxa"/>
          </w:tcPr>
          <w:p w14:paraId="4FB0C48D" w14:textId="18102CDB" w:rsidR="007A7C39" w:rsidRDefault="007A7C39">
            <w:pPr>
              <w:spacing w:after="0"/>
              <w:jc w:val="both"/>
              <w:rPr>
                <w:rFonts w:ascii="Times New Roman" w:hAnsi="Times New Roman"/>
                <w:sz w:val="24"/>
                <w:szCs w:val="24"/>
              </w:rPr>
            </w:pPr>
            <w:r>
              <w:rPr>
                <w:rFonts w:ascii="Times New Roman" w:hAnsi="Times New Roman"/>
                <w:sz w:val="24"/>
                <w:szCs w:val="24"/>
              </w:rPr>
              <w:t>0.021</w:t>
            </w:r>
          </w:p>
        </w:tc>
      </w:tr>
      <w:tr w:rsidR="00523A28" w14:paraId="43BF911C" w14:textId="77777777">
        <w:tc>
          <w:tcPr>
            <w:tcW w:w="1596" w:type="dxa"/>
          </w:tcPr>
          <w:p w14:paraId="53746476" w14:textId="22C7959B" w:rsidR="007A7C39" w:rsidRDefault="007A7C39">
            <w:pPr>
              <w:spacing w:after="0"/>
              <w:jc w:val="both"/>
              <w:rPr>
                <w:rFonts w:ascii="Times New Roman" w:hAnsi="Times New Roman"/>
                <w:sz w:val="24"/>
                <w:szCs w:val="24"/>
              </w:rPr>
            </w:pPr>
            <w:r>
              <w:rPr>
                <w:rFonts w:ascii="Times New Roman" w:hAnsi="Times New Roman"/>
                <w:sz w:val="24"/>
                <w:szCs w:val="24"/>
              </w:rPr>
              <w:t xml:space="preserve">Body </w:t>
            </w:r>
            <w:r w:rsidR="00AE4693">
              <w:rPr>
                <w:rFonts w:ascii="Times New Roman" w:hAnsi="Times New Roman"/>
                <w:sz w:val="24"/>
                <w:szCs w:val="24"/>
              </w:rPr>
              <w:t>M</w:t>
            </w:r>
            <w:r>
              <w:rPr>
                <w:rFonts w:ascii="Times New Roman" w:hAnsi="Times New Roman"/>
                <w:sz w:val="24"/>
                <w:szCs w:val="24"/>
              </w:rPr>
              <w:t xml:space="preserve">ass </w:t>
            </w:r>
            <w:r w:rsidR="00AE4693">
              <w:rPr>
                <w:rFonts w:ascii="Times New Roman" w:hAnsi="Times New Roman"/>
                <w:sz w:val="24"/>
                <w:szCs w:val="24"/>
              </w:rPr>
              <w:t>I</w:t>
            </w:r>
            <w:r>
              <w:rPr>
                <w:rFonts w:ascii="Times New Roman" w:hAnsi="Times New Roman"/>
                <w:sz w:val="24"/>
                <w:szCs w:val="24"/>
              </w:rPr>
              <w:t>ndex (k</w:t>
            </w:r>
            <w:r w:rsidR="00AE4693">
              <w:rPr>
                <w:rFonts w:ascii="Times New Roman" w:hAnsi="Times New Roman"/>
                <w:sz w:val="24"/>
                <w:szCs w:val="24"/>
              </w:rPr>
              <w:t>g</w:t>
            </w:r>
            <w:r>
              <w:rPr>
                <w:rFonts w:ascii="Times New Roman" w:hAnsi="Times New Roman"/>
                <w:sz w:val="24"/>
                <w:szCs w:val="24"/>
              </w:rPr>
              <w:t>/m</w:t>
            </w:r>
            <w:r>
              <w:rPr>
                <w:rFonts w:ascii="Times New Roman" w:hAnsi="Times New Roman"/>
                <w:sz w:val="24"/>
                <w:szCs w:val="24"/>
                <w:vertAlign w:val="superscript"/>
              </w:rPr>
              <w:t>2</w:t>
            </w:r>
            <w:r>
              <w:rPr>
                <w:rFonts w:ascii="Times New Roman" w:hAnsi="Times New Roman"/>
                <w:sz w:val="24"/>
                <w:szCs w:val="24"/>
              </w:rPr>
              <w:t>)</w:t>
            </w:r>
          </w:p>
        </w:tc>
        <w:tc>
          <w:tcPr>
            <w:tcW w:w="1596" w:type="dxa"/>
          </w:tcPr>
          <w:p w14:paraId="333EEC4B" w14:textId="4F90DAD0" w:rsidR="007A7C39" w:rsidRDefault="007A7C39">
            <w:pPr>
              <w:spacing w:after="0"/>
              <w:jc w:val="both"/>
              <w:rPr>
                <w:rFonts w:ascii="Times New Roman" w:hAnsi="Times New Roman"/>
                <w:sz w:val="24"/>
                <w:szCs w:val="24"/>
              </w:rPr>
            </w:pPr>
            <w:r>
              <w:rPr>
                <w:rFonts w:ascii="Times New Roman" w:hAnsi="Times New Roman"/>
                <w:sz w:val="24"/>
                <w:szCs w:val="24"/>
              </w:rPr>
              <w:t>25.3 ± 3.5</w:t>
            </w:r>
          </w:p>
        </w:tc>
        <w:tc>
          <w:tcPr>
            <w:tcW w:w="1596" w:type="dxa"/>
          </w:tcPr>
          <w:p w14:paraId="0FFBC287" w14:textId="53978352" w:rsidR="007A7C39" w:rsidRDefault="007A7C39">
            <w:pPr>
              <w:spacing w:after="0"/>
              <w:jc w:val="both"/>
              <w:rPr>
                <w:rFonts w:ascii="Times New Roman" w:hAnsi="Times New Roman"/>
                <w:sz w:val="24"/>
                <w:szCs w:val="24"/>
              </w:rPr>
            </w:pPr>
            <w:r>
              <w:rPr>
                <w:rFonts w:ascii="Times New Roman" w:hAnsi="Times New Roman"/>
                <w:sz w:val="24"/>
                <w:szCs w:val="24"/>
              </w:rPr>
              <w:t>24.6 ± 3.2</w:t>
            </w:r>
          </w:p>
        </w:tc>
        <w:tc>
          <w:tcPr>
            <w:tcW w:w="1596" w:type="dxa"/>
          </w:tcPr>
          <w:p w14:paraId="4862813F" w14:textId="1C1A4191" w:rsidR="007A7C39" w:rsidRDefault="007A7C39">
            <w:pPr>
              <w:spacing w:after="0"/>
              <w:jc w:val="both"/>
              <w:rPr>
                <w:rFonts w:ascii="Times New Roman" w:hAnsi="Times New Roman"/>
                <w:sz w:val="24"/>
                <w:szCs w:val="24"/>
              </w:rPr>
            </w:pPr>
            <w:r>
              <w:rPr>
                <w:rFonts w:ascii="Times New Roman" w:hAnsi="Times New Roman"/>
                <w:sz w:val="24"/>
                <w:szCs w:val="24"/>
              </w:rPr>
              <w:t>25.0 ± 3.3</w:t>
            </w:r>
          </w:p>
        </w:tc>
        <w:tc>
          <w:tcPr>
            <w:tcW w:w="1596" w:type="dxa"/>
          </w:tcPr>
          <w:p w14:paraId="06051D51" w14:textId="1843FD55" w:rsidR="007A7C39" w:rsidRDefault="007A7C39">
            <w:pPr>
              <w:spacing w:after="0"/>
              <w:jc w:val="both"/>
              <w:rPr>
                <w:rFonts w:ascii="Times New Roman" w:hAnsi="Times New Roman"/>
                <w:sz w:val="24"/>
                <w:szCs w:val="24"/>
              </w:rPr>
            </w:pPr>
            <w:r>
              <w:rPr>
                <w:rFonts w:ascii="Times New Roman" w:hAnsi="Times New Roman"/>
                <w:sz w:val="24"/>
                <w:szCs w:val="24"/>
              </w:rPr>
              <w:t>24.9 ± 3.2</w:t>
            </w:r>
          </w:p>
        </w:tc>
        <w:tc>
          <w:tcPr>
            <w:tcW w:w="1596" w:type="dxa"/>
          </w:tcPr>
          <w:p w14:paraId="0D424E39" w14:textId="24DFB759" w:rsidR="007A7C39" w:rsidRDefault="007A7C39">
            <w:pPr>
              <w:spacing w:after="0"/>
              <w:jc w:val="both"/>
              <w:rPr>
                <w:rFonts w:ascii="Times New Roman" w:hAnsi="Times New Roman"/>
                <w:sz w:val="24"/>
                <w:szCs w:val="24"/>
              </w:rPr>
            </w:pPr>
            <w:r>
              <w:rPr>
                <w:rFonts w:ascii="Times New Roman" w:hAnsi="Times New Roman"/>
                <w:sz w:val="24"/>
                <w:szCs w:val="24"/>
              </w:rPr>
              <w:t>0.018</w:t>
            </w:r>
          </w:p>
        </w:tc>
      </w:tr>
      <w:tr w:rsidR="00523A28" w14:paraId="20620449" w14:textId="77777777">
        <w:tc>
          <w:tcPr>
            <w:tcW w:w="1596" w:type="dxa"/>
          </w:tcPr>
          <w:p w14:paraId="272EC60D" w14:textId="578A0718" w:rsidR="007A7C39" w:rsidRDefault="00AE4693">
            <w:pPr>
              <w:spacing w:after="0"/>
              <w:jc w:val="both"/>
              <w:rPr>
                <w:rFonts w:ascii="Times New Roman" w:hAnsi="Times New Roman"/>
                <w:sz w:val="24"/>
                <w:szCs w:val="24"/>
              </w:rPr>
            </w:pPr>
            <w:r>
              <w:rPr>
                <w:rFonts w:ascii="Times New Roman" w:hAnsi="Times New Roman"/>
                <w:sz w:val="24"/>
                <w:szCs w:val="24"/>
              </w:rPr>
              <w:t>Waist Circumference (cm)</w:t>
            </w:r>
          </w:p>
        </w:tc>
        <w:tc>
          <w:tcPr>
            <w:tcW w:w="1596" w:type="dxa"/>
          </w:tcPr>
          <w:p w14:paraId="4870A342" w14:textId="6817066F" w:rsidR="007A7C39" w:rsidRDefault="00AE4693">
            <w:pPr>
              <w:spacing w:after="0"/>
              <w:jc w:val="both"/>
              <w:rPr>
                <w:rFonts w:ascii="Times New Roman" w:hAnsi="Times New Roman"/>
                <w:sz w:val="24"/>
                <w:szCs w:val="24"/>
              </w:rPr>
            </w:pPr>
            <w:r>
              <w:rPr>
                <w:rFonts w:ascii="Times New Roman" w:hAnsi="Times New Roman"/>
                <w:sz w:val="24"/>
                <w:szCs w:val="24"/>
              </w:rPr>
              <w:t>88.1 ± 8.6</w:t>
            </w:r>
          </w:p>
        </w:tc>
        <w:tc>
          <w:tcPr>
            <w:tcW w:w="1596" w:type="dxa"/>
          </w:tcPr>
          <w:p w14:paraId="24340035" w14:textId="7A568E4C" w:rsidR="007A7C39" w:rsidRDefault="00AE4693">
            <w:pPr>
              <w:spacing w:after="0"/>
              <w:jc w:val="both"/>
              <w:rPr>
                <w:rFonts w:ascii="Times New Roman" w:hAnsi="Times New Roman"/>
                <w:sz w:val="24"/>
                <w:szCs w:val="24"/>
              </w:rPr>
            </w:pPr>
            <w:r>
              <w:rPr>
                <w:rFonts w:ascii="Times New Roman" w:hAnsi="Times New Roman"/>
                <w:sz w:val="24"/>
                <w:szCs w:val="24"/>
              </w:rPr>
              <w:t>84.9 ± 8.0</w:t>
            </w:r>
          </w:p>
        </w:tc>
        <w:tc>
          <w:tcPr>
            <w:tcW w:w="1596" w:type="dxa"/>
          </w:tcPr>
          <w:p w14:paraId="79F8B3F0" w14:textId="6B9B1EE9" w:rsidR="007A7C39" w:rsidRDefault="00AE4693">
            <w:pPr>
              <w:spacing w:after="0"/>
              <w:jc w:val="both"/>
              <w:rPr>
                <w:rFonts w:ascii="Times New Roman" w:hAnsi="Times New Roman"/>
                <w:sz w:val="24"/>
                <w:szCs w:val="24"/>
              </w:rPr>
            </w:pPr>
            <w:r>
              <w:rPr>
                <w:rFonts w:ascii="Times New Roman" w:hAnsi="Times New Roman"/>
                <w:sz w:val="24"/>
                <w:szCs w:val="24"/>
              </w:rPr>
              <w:t>87.5 ± 8.3</w:t>
            </w:r>
          </w:p>
        </w:tc>
        <w:tc>
          <w:tcPr>
            <w:tcW w:w="1596" w:type="dxa"/>
          </w:tcPr>
          <w:p w14:paraId="551BF15A" w14:textId="35589226" w:rsidR="007A7C39" w:rsidRDefault="00AE4693">
            <w:pPr>
              <w:spacing w:after="0"/>
              <w:jc w:val="both"/>
              <w:rPr>
                <w:rFonts w:ascii="Times New Roman" w:hAnsi="Times New Roman"/>
                <w:sz w:val="24"/>
                <w:szCs w:val="24"/>
              </w:rPr>
            </w:pPr>
            <w:r>
              <w:rPr>
                <w:rFonts w:ascii="Times New Roman" w:hAnsi="Times New Roman"/>
                <w:sz w:val="24"/>
                <w:szCs w:val="24"/>
              </w:rPr>
              <w:t>87.2 ± 8.1</w:t>
            </w:r>
          </w:p>
        </w:tc>
        <w:tc>
          <w:tcPr>
            <w:tcW w:w="1596" w:type="dxa"/>
          </w:tcPr>
          <w:p w14:paraId="2C06EA94" w14:textId="15DED56E" w:rsidR="007A7C39" w:rsidRDefault="00AE4693">
            <w:pPr>
              <w:spacing w:after="0"/>
              <w:jc w:val="both"/>
              <w:rPr>
                <w:rFonts w:ascii="Times New Roman" w:hAnsi="Times New Roman"/>
                <w:sz w:val="24"/>
                <w:szCs w:val="24"/>
              </w:rPr>
            </w:pPr>
            <w:r>
              <w:rPr>
                <w:rFonts w:ascii="Times New Roman" w:hAnsi="Times New Roman"/>
                <w:sz w:val="24"/>
                <w:szCs w:val="24"/>
              </w:rPr>
              <w:t>0.012</w:t>
            </w:r>
          </w:p>
        </w:tc>
      </w:tr>
      <w:tr w:rsidR="00523A28" w14:paraId="1F5A8553" w14:textId="77777777">
        <w:tc>
          <w:tcPr>
            <w:tcW w:w="1596" w:type="dxa"/>
          </w:tcPr>
          <w:p w14:paraId="6B4B3A29" w14:textId="249B8753" w:rsidR="007A7C39" w:rsidRDefault="00AE4693">
            <w:pPr>
              <w:spacing w:after="0"/>
              <w:jc w:val="both"/>
              <w:rPr>
                <w:rFonts w:ascii="Times New Roman" w:hAnsi="Times New Roman"/>
                <w:sz w:val="24"/>
                <w:szCs w:val="24"/>
              </w:rPr>
            </w:pPr>
            <w:r>
              <w:rPr>
                <w:rFonts w:ascii="Times New Roman" w:hAnsi="Times New Roman"/>
                <w:sz w:val="24"/>
                <w:szCs w:val="24"/>
              </w:rPr>
              <w:t>Mid Upper Arm Circumference (cm)</w:t>
            </w:r>
          </w:p>
        </w:tc>
        <w:tc>
          <w:tcPr>
            <w:tcW w:w="1596" w:type="dxa"/>
          </w:tcPr>
          <w:p w14:paraId="40032856" w14:textId="39D6C2B6" w:rsidR="007A7C39" w:rsidRDefault="00AE4693">
            <w:pPr>
              <w:spacing w:after="0"/>
              <w:jc w:val="both"/>
              <w:rPr>
                <w:rFonts w:ascii="Times New Roman" w:hAnsi="Times New Roman"/>
                <w:sz w:val="24"/>
                <w:szCs w:val="24"/>
              </w:rPr>
            </w:pPr>
            <w:r>
              <w:rPr>
                <w:rFonts w:ascii="Times New Roman" w:hAnsi="Times New Roman"/>
                <w:sz w:val="24"/>
                <w:szCs w:val="24"/>
              </w:rPr>
              <w:t>28.3 ± 2.5</w:t>
            </w:r>
          </w:p>
        </w:tc>
        <w:tc>
          <w:tcPr>
            <w:tcW w:w="1596" w:type="dxa"/>
          </w:tcPr>
          <w:p w14:paraId="542F4561" w14:textId="6EE1C718" w:rsidR="007A7C39" w:rsidRDefault="00AE4693">
            <w:pPr>
              <w:spacing w:after="0"/>
              <w:jc w:val="both"/>
              <w:rPr>
                <w:rFonts w:ascii="Times New Roman" w:hAnsi="Times New Roman"/>
                <w:sz w:val="24"/>
                <w:szCs w:val="24"/>
              </w:rPr>
            </w:pPr>
            <w:r>
              <w:rPr>
                <w:rFonts w:ascii="Times New Roman" w:hAnsi="Times New Roman"/>
                <w:sz w:val="24"/>
                <w:szCs w:val="24"/>
              </w:rPr>
              <w:t>28.4 ± 2.4</w:t>
            </w:r>
          </w:p>
        </w:tc>
        <w:tc>
          <w:tcPr>
            <w:tcW w:w="1596" w:type="dxa"/>
          </w:tcPr>
          <w:p w14:paraId="348587C9" w14:textId="4F843C72" w:rsidR="007A7C39" w:rsidRDefault="00AE4693">
            <w:pPr>
              <w:spacing w:after="0"/>
              <w:jc w:val="both"/>
              <w:rPr>
                <w:rFonts w:ascii="Times New Roman" w:hAnsi="Times New Roman"/>
                <w:sz w:val="24"/>
                <w:szCs w:val="24"/>
              </w:rPr>
            </w:pPr>
            <w:r>
              <w:rPr>
                <w:rFonts w:ascii="Times New Roman" w:hAnsi="Times New Roman"/>
                <w:sz w:val="24"/>
                <w:szCs w:val="24"/>
              </w:rPr>
              <w:t>28.2 ± 2.3</w:t>
            </w:r>
          </w:p>
        </w:tc>
        <w:tc>
          <w:tcPr>
            <w:tcW w:w="1596" w:type="dxa"/>
          </w:tcPr>
          <w:p w14:paraId="01B6F2EE" w14:textId="1668AA32" w:rsidR="007A7C39" w:rsidRDefault="00AE4693">
            <w:pPr>
              <w:spacing w:after="0"/>
              <w:jc w:val="both"/>
              <w:rPr>
                <w:rFonts w:ascii="Times New Roman" w:hAnsi="Times New Roman"/>
                <w:sz w:val="24"/>
                <w:szCs w:val="24"/>
              </w:rPr>
            </w:pPr>
            <w:r>
              <w:rPr>
                <w:rFonts w:ascii="Times New Roman" w:hAnsi="Times New Roman"/>
                <w:sz w:val="24"/>
                <w:szCs w:val="24"/>
              </w:rPr>
              <w:t>28.2 ± 2.2</w:t>
            </w:r>
          </w:p>
        </w:tc>
        <w:tc>
          <w:tcPr>
            <w:tcW w:w="1596" w:type="dxa"/>
          </w:tcPr>
          <w:p w14:paraId="62923DD2" w14:textId="0ABA9D09" w:rsidR="007A7C39" w:rsidRDefault="00AE4693">
            <w:pPr>
              <w:spacing w:after="0"/>
              <w:jc w:val="both"/>
              <w:rPr>
                <w:rFonts w:ascii="Times New Roman" w:hAnsi="Times New Roman"/>
                <w:sz w:val="24"/>
                <w:szCs w:val="24"/>
              </w:rPr>
            </w:pPr>
            <w:r>
              <w:rPr>
                <w:rFonts w:ascii="Times New Roman" w:hAnsi="Times New Roman"/>
                <w:sz w:val="24"/>
                <w:szCs w:val="24"/>
              </w:rPr>
              <w:t>0.641</w:t>
            </w:r>
          </w:p>
        </w:tc>
      </w:tr>
    </w:tbl>
    <w:p w14:paraId="7F63208B" w14:textId="77777777" w:rsidR="00AE4693" w:rsidRDefault="00AE4693" w:rsidP="00AB2403">
      <w:pPr>
        <w:spacing w:after="0"/>
        <w:jc w:val="both"/>
        <w:rPr>
          <w:rFonts w:ascii="Times New Roman" w:hAnsi="Times New Roman"/>
          <w:sz w:val="24"/>
          <w:szCs w:val="24"/>
        </w:rPr>
      </w:pPr>
    </w:p>
    <w:p w14:paraId="2D7AF5D1" w14:textId="6B8DB78C" w:rsidR="008E216E" w:rsidRPr="00AE469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2: </w:t>
      </w:r>
      <w:r w:rsidRPr="00AE4693">
        <w:rPr>
          <w:rFonts w:ascii="Times New Roman" w:hAnsi="Times New Roman"/>
          <w:b/>
          <w:bCs/>
          <w:sz w:val="24"/>
          <w:szCs w:val="24"/>
        </w:rPr>
        <w:t>Effect of Nutrition Education and Micronutrient Supplementation on Biochemical Indicators</w:t>
      </w:r>
    </w:p>
    <w:tbl>
      <w:tblPr>
        <w:tblW w:w="0" w:type="auto"/>
        <w:tblBorders>
          <w:top w:val="single" w:sz="4" w:space="0" w:color="auto"/>
          <w:bottom w:val="single" w:sz="4" w:space="0" w:color="auto"/>
        </w:tblBorders>
        <w:tblLook w:val="04A0" w:firstRow="1" w:lastRow="0" w:firstColumn="1" w:lastColumn="0" w:noHBand="0" w:noVBand="1"/>
      </w:tblPr>
      <w:tblGrid>
        <w:gridCol w:w="1596"/>
        <w:gridCol w:w="1596"/>
        <w:gridCol w:w="1596"/>
        <w:gridCol w:w="1596"/>
        <w:gridCol w:w="1596"/>
        <w:gridCol w:w="1596"/>
      </w:tblGrid>
      <w:tr w:rsidR="00523A28" w14:paraId="06D51CBB" w14:textId="77777777">
        <w:tc>
          <w:tcPr>
            <w:tcW w:w="1596" w:type="dxa"/>
            <w:tcBorders>
              <w:top w:val="single" w:sz="4" w:space="0" w:color="auto"/>
              <w:bottom w:val="nil"/>
            </w:tcBorders>
          </w:tcPr>
          <w:p w14:paraId="70A0C358" w14:textId="1B07A171" w:rsidR="00AE4693" w:rsidRDefault="00AE4693">
            <w:pPr>
              <w:spacing w:after="0"/>
              <w:jc w:val="both"/>
              <w:rPr>
                <w:rFonts w:ascii="Times New Roman" w:hAnsi="Times New Roman"/>
                <w:sz w:val="24"/>
                <w:szCs w:val="24"/>
              </w:rPr>
            </w:pPr>
            <w:r>
              <w:rPr>
                <w:rFonts w:ascii="Times New Roman" w:hAnsi="Times New Roman"/>
                <w:sz w:val="24"/>
                <w:szCs w:val="24"/>
              </w:rPr>
              <w:t>Biochemical Parameter</w:t>
            </w:r>
          </w:p>
        </w:tc>
        <w:tc>
          <w:tcPr>
            <w:tcW w:w="1596" w:type="dxa"/>
            <w:tcBorders>
              <w:top w:val="single" w:sz="4" w:space="0" w:color="auto"/>
              <w:bottom w:val="nil"/>
            </w:tcBorders>
          </w:tcPr>
          <w:p w14:paraId="37A36BD6" w14:textId="77777777" w:rsidR="00AE4693" w:rsidRDefault="00FB7042">
            <w:pPr>
              <w:spacing w:after="0"/>
              <w:jc w:val="both"/>
              <w:rPr>
                <w:rFonts w:ascii="Times New Roman" w:hAnsi="Times New Roman"/>
                <w:sz w:val="24"/>
                <w:szCs w:val="24"/>
              </w:rPr>
            </w:pPr>
            <w:r>
              <w:rPr>
                <w:rFonts w:ascii="Times New Roman" w:hAnsi="Times New Roman"/>
                <w:sz w:val="24"/>
                <w:szCs w:val="24"/>
              </w:rPr>
              <w:t>Intervention (baseline)</w:t>
            </w:r>
          </w:p>
          <w:p w14:paraId="627306CB" w14:textId="4A59502A"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496C49ED" w14:textId="77777777" w:rsidR="00AE4693" w:rsidRDefault="00FB7042">
            <w:pPr>
              <w:spacing w:after="0"/>
              <w:jc w:val="both"/>
              <w:rPr>
                <w:rFonts w:ascii="Times New Roman" w:hAnsi="Times New Roman"/>
                <w:sz w:val="24"/>
                <w:szCs w:val="24"/>
              </w:rPr>
            </w:pPr>
            <w:r>
              <w:rPr>
                <w:rFonts w:ascii="Times New Roman" w:hAnsi="Times New Roman"/>
                <w:sz w:val="24"/>
                <w:szCs w:val="24"/>
              </w:rPr>
              <w:t>Intervention (post intervention)</w:t>
            </w:r>
          </w:p>
          <w:p w14:paraId="71D89573" w14:textId="15363B02"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6E197DE8" w14:textId="77777777" w:rsidR="00AE4693" w:rsidRDefault="00FB7042">
            <w:pPr>
              <w:spacing w:after="0"/>
              <w:jc w:val="both"/>
              <w:rPr>
                <w:rFonts w:ascii="Times New Roman" w:hAnsi="Times New Roman"/>
                <w:sz w:val="24"/>
                <w:szCs w:val="24"/>
              </w:rPr>
            </w:pPr>
            <w:r>
              <w:rPr>
                <w:rFonts w:ascii="Times New Roman" w:hAnsi="Times New Roman"/>
                <w:sz w:val="24"/>
                <w:szCs w:val="24"/>
              </w:rPr>
              <w:t xml:space="preserve">Control (baseline) </w:t>
            </w:r>
          </w:p>
          <w:p w14:paraId="1CEA58B6" w14:textId="075482A2"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79FFEDA9" w14:textId="77777777" w:rsidR="00AE4693" w:rsidRDefault="00FB7042">
            <w:pPr>
              <w:spacing w:after="0"/>
              <w:jc w:val="both"/>
              <w:rPr>
                <w:rFonts w:ascii="Times New Roman" w:hAnsi="Times New Roman"/>
                <w:sz w:val="24"/>
                <w:szCs w:val="24"/>
              </w:rPr>
            </w:pPr>
            <w:r>
              <w:rPr>
                <w:rFonts w:ascii="Times New Roman" w:hAnsi="Times New Roman"/>
                <w:sz w:val="24"/>
                <w:szCs w:val="24"/>
              </w:rPr>
              <w:t>Control (post intervention)</w:t>
            </w:r>
          </w:p>
          <w:p w14:paraId="655A0260" w14:textId="4A217342"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491A08EC" w14:textId="12F87EDE" w:rsidR="00AE4693" w:rsidRDefault="00FB7042">
            <w:pPr>
              <w:spacing w:after="0"/>
              <w:jc w:val="both"/>
              <w:rPr>
                <w:rFonts w:ascii="Times New Roman" w:hAnsi="Times New Roman"/>
                <w:sz w:val="24"/>
                <w:szCs w:val="24"/>
              </w:rPr>
            </w:pPr>
            <w:r>
              <w:rPr>
                <w:rFonts w:ascii="Times New Roman" w:hAnsi="Times New Roman"/>
                <w:sz w:val="24"/>
                <w:szCs w:val="24"/>
              </w:rPr>
              <w:t>p-value</w:t>
            </w:r>
          </w:p>
        </w:tc>
      </w:tr>
      <w:tr w:rsidR="00523A28" w14:paraId="5E567663" w14:textId="77777777">
        <w:tc>
          <w:tcPr>
            <w:tcW w:w="1596" w:type="dxa"/>
            <w:tcBorders>
              <w:top w:val="nil"/>
            </w:tcBorders>
          </w:tcPr>
          <w:p w14:paraId="38BBE0FD" w14:textId="3BECD5F2" w:rsidR="00AE4693" w:rsidRDefault="00FB7042">
            <w:pPr>
              <w:spacing w:after="0"/>
              <w:jc w:val="both"/>
              <w:rPr>
                <w:rFonts w:ascii="Times New Roman" w:hAnsi="Times New Roman"/>
                <w:sz w:val="24"/>
                <w:szCs w:val="24"/>
              </w:rPr>
            </w:pPr>
            <w:proofErr w:type="spellStart"/>
            <w:r>
              <w:rPr>
                <w:rFonts w:ascii="Times New Roman" w:hAnsi="Times New Roman"/>
                <w:sz w:val="24"/>
                <w:szCs w:val="24"/>
              </w:rPr>
              <w:t>Haemoglobin</w:t>
            </w:r>
            <w:proofErr w:type="spellEnd"/>
            <w:r>
              <w:rPr>
                <w:rFonts w:ascii="Times New Roman" w:hAnsi="Times New Roman"/>
                <w:sz w:val="24"/>
                <w:szCs w:val="24"/>
              </w:rPr>
              <w:t xml:space="preserve"> (g/dL)</w:t>
            </w:r>
          </w:p>
        </w:tc>
        <w:tc>
          <w:tcPr>
            <w:tcW w:w="1596" w:type="dxa"/>
            <w:tcBorders>
              <w:top w:val="nil"/>
            </w:tcBorders>
          </w:tcPr>
          <w:p w14:paraId="1AB32673" w14:textId="00F5B147" w:rsidR="00AE4693" w:rsidRDefault="00FB7042">
            <w:pPr>
              <w:spacing w:after="0"/>
              <w:jc w:val="both"/>
              <w:rPr>
                <w:rFonts w:ascii="Times New Roman" w:hAnsi="Times New Roman"/>
                <w:sz w:val="24"/>
                <w:szCs w:val="24"/>
              </w:rPr>
            </w:pPr>
            <w:r>
              <w:rPr>
                <w:rFonts w:ascii="Times New Roman" w:hAnsi="Times New Roman"/>
                <w:sz w:val="24"/>
                <w:szCs w:val="24"/>
              </w:rPr>
              <w:t>11.5 ± 1.3</w:t>
            </w:r>
          </w:p>
        </w:tc>
        <w:tc>
          <w:tcPr>
            <w:tcW w:w="1596" w:type="dxa"/>
            <w:tcBorders>
              <w:top w:val="nil"/>
            </w:tcBorders>
          </w:tcPr>
          <w:p w14:paraId="65D6C9C4" w14:textId="51B83DB3" w:rsidR="00AE4693" w:rsidRDefault="00FB7042">
            <w:pPr>
              <w:spacing w:after="0"/>
              <w:jc w:val="both"/>
              <w:rPr>
                <w:rFonts w:ascii="Times New Roman" w:hAnsi="Times New Roman"/>
                <w:sz w:val="24"/>
                <w:szCs w:val="24"/>
              </w:rPr>
            </w:pPr>
            <w:r>
              <w:rPr>
                <w:rFonts w:ascii="Times New Roman" w:hAnsi="Times New Roman"/>
                <w:sz w:val="24"/>
                <w:szCs w:val="24"/>
              </w:rPr>
              <w:t>13.1 ± 1.1</w:t>
            </w:r>
          </w:p>
        </w:tc>
        <w:tc>
          <w:tcPr>
            <w:tcW w:w="1596" w:type="dxa"/>
            <w:tcBorders>
              <w:top w:val="nil"/>
            </w:tcBorders>
          </w:tcPr>
          <w:p w14:paraId="7C0742AF" w14:textId="3CE9FD4E" w:rsidR="00AE4693" w:rsidRDefault="00FB7042">
            <w:pPr>
              <w:spacing w:after="0"/>
              <w:jc w:val="both"/>
              <w:rPr>
                <w:rFonts w:ascii="Times New Roman" w:hAnsi="Times New Roman"/>
                <w:sz w:val="24"/>
                <w:szCs w:val="24"/>
              </w:rPr>
            </w:pPr>
            <w:r>
              <w:rPr>
                <w:rFonts w:ascii="Times New Roman" w:hAnsi="Times New Roman"/>
                <w:sz w:val="24"/>
                <w:szCs w:val="24"/>
              </w:rPr>
              <w:t>11.6 ± 1.2</w:t>
            </w:r>
          </w:p>
        </w:tc>
        <w:tc>
          <w:tcPr>
            <w:tcW w:w="1596" w:type="dxa"/>
            <w:tcBorders>
              <w:top w:val="nil"/>
            </w:tcBorders>
          </w:tcPr>
          <w:p w14:paraId="3D9635A6" w14:textId="2F6E5A9A" w:rsidR="00AE4693" w:rsidRDefault="00FB7042">
            <w:pPr>
              <w:spacing w:after="0"/>
              <w:jc w:val="both"/>
              <w:rPr>
                <w:rFonts w:ascii="Times New Roman" w:hAnsi="Times New Roman"/>
                <w:sz w:val="24"/>
                <w:szCs w:val="24"/>
              </w:rPr>
            </w:pPr>
            <w:r>
              <w:rPr>
                <w:rFonts w:ascii="Times New Roman" w:hAnsi="Times New Roman"/>
                <w:sz w:val="24"/>
                <w:szCs w:val="24"/>
              </w:rPr>
              <w:t>11.8 ± 1.3</w:t>
            </w:r>
          </w:p>
        </w:tc>
        <w:tc>
          <w:tcPr>
            <w:tcW w:w="1596" w:type="dxa"/>
            <w:tcBorders>
              <w:top w:val="nil"/>
            </w:tcBorders>
          </w:tcPr>
          <w:p w14:paraId="469507BB" w14:textId="29B5CAB8"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23D36FE5" w14:textId="77777777">
        <w:tc>
          <w:tcPr>
            <w:tcW w:w="1596" w:type="dxa"/>
          </w:tcPr>
          <w:p w14:paraId="36088B8F" w14:textId="695C12CE" w:rsidR="00AE4693" w:rsidRDefault="00FB7042">
            <w:pPr>
              <w:spacing w:after="0"/>
              <w:jc w:val="both"/>
              <w:rPr>
                <w:rFonts w:ascii="Times New Roman" w:hAnsi="Times New Roman"/>
                <w:sz w:val="24"/>
                <w:szCs w:val="24"/>
              </w:rPr>
            </w:pPr>
            <w:r>
              <w:rPr>
                <w:rFonts w:ascii="Times New Roman" w:hAnsi="Times New Roman"/>
                <w:sz w:val="24"/>
                <w:szCs w:val="24"/>
              </w:rPr>
              <w:t>Serum Vitamin A (µg/dL)</w:t>
            </w:r>
          </w:p>
        </w:tc>
        <w:tc>
          <w:tcPr>
            <w:tcW w:w="1596" w:type="dxa"/>
          </w:tcPr>
          <w:p w14:paraId="00DEAD64" w14:textId="0A82555F" w:rsidR="00AE4693" w:rsidRDefault="00FB7042">
            <w:pPr>
              <w:spacing w:after="0"/>
              <w:jc w:val="both"/>
              <w:rPr>
                <w:rFonts w:ascii="Times New Roman" w:hAnsi="Times New Roman"/>
                <w:sz w:val="24"/>
                <w:szCs w:val="24"/>
              </w:rPr>
            </w:pPr>
            <w:r>
              <w:rPr>
                <w:rFonts w:ascii="Times New Roman" w:hAnsi="Times New Roman"/>
                <w:sz w:val="24"/>
                <w:szCs w:val="24"/>
              </w:rPr>
              <w:t>27.8 ± 5.4</w:t>
            </w:r>
          </w:p>
        </w:tc>
        <w:tc>
          <w:tcPr>
            <w:tcW w:w="1596" w:type="dxa"/>
          </w:tcPr>
          <w:p w14:paraId="79AE90E5" w14:textId="3EDC3276" w:rsidR="00AE4693" w:rsidRDefault="00FB7042">
            <w:pPr>
              <w:spacing w:after="0"/>
              <w:jc w:val="both"/>
              <w:rPr>
                <w:rFonts w:ascii="Times New Roman" w:hAnsi="Times New Roman"/>
                <w:sz w:val="24"/>
                <w:szCs w:val="24"/>
              </w:rPr>
            </w:pPr>
            <w:r>
              <w:rPr>
                <w:rFonts w:ascii="Times New Roman" w:hAnsi="Times New Roman"/>
                <w:sz w:val="24"/>
                <w:szCs w:val="24"/>
              </w:rPr>
              <w:t>35.7 ± 4.9</w:t>
            </w:r>
          </w:p>
        </w:tc>
        <w:tc>
          <w:tcPr>
            <w:tcW w:w="1596" w:type="dxa"/>
          </w:tcPr>
          <w:p w14:paraId="38F98A8B" w14:textId="1770A939" w:rsidR="00AE4693" w:rsidRDefault="00FB7042">
            <w:pPr>
              <w:spacing w:after="0"/>
              <w:jc w:val="both"/>
              <w:rPr>
                <w:rFonts w:ascii="Times New Roman" w:hAnsi="Times New Roman"/>
                <w:sz w:val="24"/>
                <w:szCs w:val="24"/>
              </w:rPr>
            </w:pPr>
            <w:r>
              <w:rPr>
                <w:rFonts w:ascii="Times New Roman" w:hAnsi="Times New Roman"/>
                <w:sz w:val="24"/>
                <w:szCs w:val="24"/>
              </w:rPr>
              <w:t>28.1 ± 5.2</w:t>
            </w:r>
          </w:p>
        </w:tc>
        <w:tc>
          <w:tcPr>
            <w:tcW w:w="1596" w:type="dxa"/>
          </w:tcPr>
          <w:p w14:paraId="5844C458" w14:textId="67D9AFE3" w:rsidR="00AE4693" w:rsidRDefault="00FB7042">
            <w:pPr>
              <w:spacing w:after="0"/>
              <w:jc w:val="both"/>
              <w:rPr>
                <w:rFonts w:ascii="Times New Roman" w:hAnsi="Times New Roman"/>
                <w:sz w:val="24"/>
                <w:szCs w:val="24"/>
              </w:rPr>
            </w:pPr>
            <w:r>
              <w:rPr>
                <w:rFonts w:ascii="Times New Roman" w:hAnsi="Times New Roman"/>
                <w:sz w:val="24"/>
                <w:szCs w:val="24"/>
              </w:rPr>
              <w:t>28.4 ± 5.3</w:t>
            </w:r>
          </w:p>
        </w:tc>
        <w:tc>
          <w:tcPr>
            <w:tcW w:w="1596" w:type="dxa"/>
          </w:tcPr>
          <w:p w14:paraId="612D599B" w14:textId="3A857C77"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4731A23D" w14:textId="77777777">
        <w:tc>
          <w:tcPr>
            <w:tcW w:w="1596" w:type="dxa"/>
          </w:tcPr>
          <w:p w14:paraId="01785CD7" w14:textId="234F070F" w:rsidR="00AE4693" w:rsidRDefault="00FB7042">
            <w:pPr>
              <w:spacing w:after="0"/>
              <w:jc w:val="both"/>
              <w:rPr>
                <w:rFonts w:ascii="Times New Roman" w:hAnsi="Times New Roman"/>
                <w:sz w:val="24"/>
                <w:szCs w:val="24"/>
              </w:rPr>
            </w:pPr>
            <w:r>
              <w:rPr>
                <w:rFonts w:ascii="Times New Roman" w:hAnsi="Times New Roman"/>
                <w:sz w:val="24"/>
                <w:szCs w:val="24"/>
              </w:rPr>
              <w:t xml:space="preserve">Serum Iron (µg/dL) </w:t>
            </w:r>
          </w:p>
        </w:tc>
        <w:tc>
          <w:tcPr>
            <w:tcW w:w="1596" w:type="dxa"/>
          </w:tcPr>
          <w:p w14:paraId="018E63E0" w14:textId="5C761364" w:rsidR="00AE4693" w:rsidRDefault="00FB7042">
            <w:pPr>
              <w:spacing w:after="0"/>
              <w:jc w:val="both"/>
              <w:rPr>
                <w:rFonts w:ascii="Times New Roman" w:hAnsi="Times New Roman"/>
                <w:sz w:val="24"/>
                <w:szCs w:val="24"/>
              </w:rPr>
            </w:pPr>
            <w:r>
              <w:rPr>
                <w:rFonts w:ascii="Times New Roman" w:hAnsi="Times New Roman"/>
                <w:sz w:val="24"/>
                <w:szCs w:val="24"/>
              </w:rPr>
              <w:t>60.5 ± 11.7</w:t>
            </w:r>
          </w:p>
        </w:tc>
        <w:tc>
          <w:tcPr>
            <w:tcW w:w="1596" w:type="dxa"/>
          </w:tcPr>
          <w:p w14:paraId="4E9A2B98" w14:textId="01BDB255" w:rsidR="00AE4693" w:rsidRDefault="00FB7042">
            <w:pPr>
              <w:spacing w:after="0"/>
              <w:jc w:val="both"/>
              <w:rPr>
                <w:rFonts w:ascii="Times New Roman" w:hAnsi="Times New Roman"/>
                <w:sz w:val="24"/>
                <w:szCs w:val="24"/>
              </w:rPr>
            </w:pPr>
            <w:r>
              <w:rPr>
                <w:rFonts w:ascii="Times New Roman" w:hAnsi="Times New Roman"/>
                <w:sz w:val="24"/>
                <w:szCs w:val="24"/>
              </w:rPr>
              <w:t>82.6 ± 12.1</w:t>
            </w:r>
          </w:p>
        </w:tc>
        <w:tc>
          <w:tcPr>
            <w:tcW w:w="1596" w:type="dxa"/>
          </w:tcPr>
          <w:p w14:paraId="0B87336F" w14:textId="18A6093E" w:rsidR="00AE4693" w:rsidRDefault="00FB7042">
            <w:pPr>
              <w:spacing w:after="0"/>
              <w:jc w:val="both"/>
              <w:rPr>
                <w:rFonts w:ascii="Times New Roman" w:hAnsi="Times New Roman"/>
                <w:sz w:val="24"/>
                <w:szCs w:val="24"/>
              </w:rPr>
            </w:pPr>
            <w:r>
              <w:rPr>
                <w:rFonts w:ascii="Times New Roman" w:hAnsi="Times New Roman"/>
                <w:sz w:val="24"/>
                <w:szCs w:val="24"/>
              </w:rPr>
              <w:t>61.3 ± 10.9</w:t>
            </w:r>
          </w:p>
        </w:tc>
        <w:tc>
          <w:tcPr>
            <w:tcW w:w="1596" w:type="dxa"/>
          </w:tcPr>
          <w:p w14:paraId="5CCCDFF2" w14:textId="46C7DF1A" w:rsidR="00AE4693" w:rsidRDefault="00FB7042">
            <w:pPr>
              <w:spacing w:after="0"/>
              <w:jc w:val="both"/>
              <w:rPr>
                <w:rFonts w:ascii="Times New Roman" w:hAnsi="Times New Roman"/>
                <w:sz w:val="24"/>
                <w:szCs w:val="24"/>
              </w:rPr>
            </w:pPr>
            <w:r>
              <w:rPr>
                <w:rFonts w:ascii="Times New Roman" w:hAnsi="Times New Roman"/>
                <w:sz w:val="24"/>
                <w:szCs w:val="24"/>
              </w:rPr>
              <w:t>62.0 ± 11.2</w:t>
            </w:r>
          </w:p>
        </w:tc>
        <w:tc>
          <w:tcPr>
            <w:tcW w:w="1596" w:type="dxa"/>
          </w:tcPr>
          <w:p w14:paraId="3AB830B7" w14:textId="348CDD9A"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3EE4287C" w14:textId="77777777">
        <w:tc>
          <w:tcPr>
            <w:tcW w:w="1596" w:type="dxa"/>
          </w:tcPr>
          <w:p w14:paraId="5629DC1F" w14:textId="7B7CA771" w:rsidR="00AE4693" w:rsidRDefault="00FB7042">
            <w:pPr>
              <w:spacing w:after="0"/>
              <w:jc w:val="both"/>
              <w:rPr>
                <w:rFonts w:ascii="Times New Roman" w:hAnsi="Times New Roman"/>
                <w:sz w:val="24"/>
                <w:szCs w:val="24"/>
              </w:rPr>
            </w:pPr>
            <w:r>
              <w:rPr>
                <w:rFonts w:ascii="Times New Roman" w:hAnsi="Times New Roman"/>
                <w:sz w:val="24"/>
                <w:szCs w:val="24"/>
              </w:rPr>
              <w:t>Serum Zinc (µg/dL)</w:t>
            </w:r>
          </w:p>
        </w:tc>
        <w:tc>
          <w:tcPr>
            <w:tcW w:w="1596" w:type="dxa"/>
          </w:tcPr>
          <w:p w14:paraId="1EEE6290" w14:textId="15E003AD" w:rsidR="00AE4693" w:rsidRDefault="00FB7042">
            <w:pPr>
              <w:spacing w:after="0"/>
              <w:jc w:val="both"/>
              <w:rPr>
                <w:rFonts w:ascii="Times New Roman" w:hAnsi="Times New Roman"/>
                <w:sz w:val="24"/>
                <w:szCs w:val="24"/>
              </w:rPr>
            </w:pPr>
            <w:r>
              <w:rPr>
                <w:rFonts w:ascii="Times New Roman" w:hAnsi="Times New Roman"/>
                <w:sz w:val="24"/>
                <w:szCs w:val="24"/>
              </w:rPr>
              <w:t>71.2 ± 8.4</w:t>
            </w:r>
          </w:p>
        </w:tc>
        <w:tc>
          <w:tcPr>
            <w:tcW w:w="1596" w:type="dxa"/>
          </w:tcPr>
          <w:p w14:paraId="3A47E4DC" w14:textId="20AA79A4" w:rsidR="00AE4693" w:rsidRDefault="00FB7042">
            <w:pPr>
              <w:spacing w:after="0"/>
              <w:jc w:val="both"/>
              <w:rPr>
                <w:rFonts w:ascii="Times New Roman" w:hAnsi="Times New Roman"/>
                <w:sz w:val="24"/>
                <w:szCs w:val="24"/>
              </w:rPr>
            </w:pPr>
            <w:r>
              <w:rPr>
                <w:rFonts w:ascii="Times New Roman" w:hAnsi="Times New Roman"/>
                <w:sz w:val="24"/>
                <w:szCs w:val="24"/>
              </w:rPr>
              <w:t>89.8 ± 8.2</w:t>
            </w:r>
          </w:p>
        </w:tc>
        <w:tc>
          <w:tcPr>
            <w:tcW w:w="1596" w:type="dxa"/>
          </w:tcPr>
          <w:p w14:paraId="7323AEC0" w14:textId="74DDC1CE" w:rsidR="00AE4693" w:rsidRDefault="00FB7042">
            <w:pPr>
              <w:spacing w:after="0"/>
              <w:jc w:val="both"/>
              <w:rPr>
                <w:rFonts w:ascii="Times New Roman" w:hAnsi="Times New Roman"/>
                <w:sz w:val="24"/>
                <w:szCs w:val="24"/>
              </w:rPr>
            </w:pPr>
            <w:r>
              <w:rPr>
                <w:rFonts w:ascii="Times New Roman" w:hAnsi="Times New Roman"/>
                <w:sz w:val="24"/>
                <w:szCs w:val="24"/>
              </w:rPr>
              <w:t>71.8 ± 8.6</w:t>
            </w:r>
          </w:p>
        </w:tc>
        <w:tc>
          <w:tcPr>
            <w:tcW w:w="1596" w:type="dxa"/>
          </w:tcPr>
          <w:p w14:paraId="3AF3EBFE" w14:textId="32AA6B3B" w:rsidR="00AE4693" w:rsidRDefault="00387351">
            <w:pPr>
              <w:spacing w:after="0"/>
              <w:jc w:val="both"/>
              <w:rPr>
                <w:rFonts w:ascii="Times New Roman" w:hAnsi="Times New Roman"/>
                <w:sz w:val="24"/>
                <w:szCs w:val="24"/>
              </w:rPr>
            </w:pPr>
            <w:r>
              <w:rPr>
                <w:rFonts w:ascii="Times New Roman" w:hAnsi="Times New Roman"/>
                <w:sz w:val="24"/>
                <w:szCs w:val="24"/>
              </w:rPr>
              <w:t>72.1 ± 8.4</w:t>
            </w:r>
          </w:p>
        </w:tc>
        <w:tc>
          <w:tcPr>
            <w:tcW w:w="1596" w:type="dxa"/>
          </w:tcPr>
          <w:p w14:paraId="3AB14D02" w14:textId="2077E0A1" w:rsidR="00AE4693" w:rsidRDefault="00387351">
            <w:pPr>
              <w:spacing w:after="0"/>
              <w:jc w:val="both"/>
              <w:rPr>
                <w:rFonts w:ascii="Times New Roman" w:hAnsi="Times New Roman"/>
                <w:sz w:val="24"/>
                <w:szCs w:val="24"/>
              </w:rPr>
            </w:pPr>
            <w:r>
              <w:rPr>
                <w:rFonts w:ascii="Times New Roman" w:hAnsi="Times New Roman"/>
                <w:sz w:val="24"/>
                <w:szCs w:val="24"/>
              </w:rPr>
              <w:t>0.001</w:t>
            </w:r>
          </w:p>
        </w:tc>
      </w:tr>
    </w:tbl>
    <w:p w14:paraId="14BD6FC9" w14:textId="77777777" w:rsidR="008D1618" w:rsidRDefault="008D1618" w:rsidP="00AB2403">
      <w:pPr>
        <w:spacing w:after="0"/>
        <w:jc w:val="both"/>
        <w:rPr>
          <w:rFonts w:ascii="Times New Roman" w:hAnsi="Times New Roman"/>
          <w:b/>
          <w:bCs/>
          <w:sz w:val="24"/>
          <w:szCs w:val="24"/>
        </w:rPr>
      </w:pPr>
    </w:p>
    <w:p w14:paraId="5E6B2973" w14:textId="77777777" w:rsidR="00B23001" w:rsidRDefault="00B23001" w:rsidP="00AB2403">
      <w:pPr>
        <w:spacing w:after="0"/>
        <w:jc w:val="both"/>
        <w:rPr>
          <w:rFonts w:ascii="Times New Roman" w:hAnsi="Times New Roman"/>
          <w:b/>
          <w:bCs/>
          <w:sz w:val="24"/>
          <w:szCs w:val="24"/>
        </w:rPr>
      </w:pPr>
    </w:p>
    <w:p w14:paraId="46C2C117" w14:textId="77777777" w:rsidR="00B23001" w:rsidRDefault="00B23001" w:rsidP="00AB2403">
      <w:pPr>
        <w:spacing w:after="0"/>
        <w:jc w:val="both"/>
        <w:rPr>
          <w:rFonts w:ascii="Times New Roman" w:hAnsi="Times New Roman"/>
          <w:b/>
          <w:bCs/>
          <w:sz w:val="24"/>
          <w:szCs w:val="24"/>
        </w:rPr>
      </w:pPr>
    </w:p>
    <w:p w14:paraId="2D22945E" w14:textId="5022166A" w:rsidR="008E216E" w:rsidRPr="00387351"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3: </w:t>
      </w:r>
      <w:r w:rsidRPr="00387351">
        <w:rPr>
          <w:rFonts w:ascii="Times New Roman" w:hAnsi="Times New Roman"/>
          <w:b/>
          <w:bCs/>
          <w:sz w:val="24"/>
          <w:szCs w:val="24"/>
        </w:rPr>
        <w:t xml:space="preserve">Association Between Nutrition Knowledge and Dietary </w:t>
      </w:r>
      <w:proofErr w:type="spellStart"/>
      <w:r w:rsidRPr="00387351">
        <w:rPr>
          <w:rFonts w:ascii="Times New Roman" w:hAnsi="Times New Roman"/>
          <w:b/>
          <w:bCs/>
          <w:sz w:val="24"/>
          <w:szCs w:val="24"/>
        </w:rPr>
        <w:t>Behaviour</w:t>
      </w:r>
      <w:proofErr w:type="spellEnd"/>
      <w:r w:rsidRPr="00387351">
        <w:rPr>
          <w:rFonts w:ascii="Times New Roman" w:hAnsi="Times New Roman"/>
          <w:b/>
          <w:bCs/>
          <w:sz w:val="24"/>
          <w:szCs w:val="24"/>
        </w:rPr>
        <w:t xml:space="preserve"> Among Participants</w:t>
      </w:r>
    </w:p>
    <w:tbl>
      <w:tblPr>
        <w:tblW w:w="0" w:type="auto"/>
        <w:tblBorders>
          <w:top w:val="single" w:sz="4" w:space="0" w:color="auto"/>
          <w:bottom w:val="single" w:sz="4" w:space="0" w:color="auto"/>
        </w:tblBorders>
        <w:tblLook w:val="04A0" w:firstRow="1" w:lastRow="0" w:firstColumn="1" w:lastColumn="0" w:noHBand="0" w:noVBand="1"/>
      </w:tblPr>
      <w:tblGrid>
        <w:gridCol w:w="1986"/>
        <w:gridCol w:w="2058"/>
        <w:gridCol w:w="2058"/>
        <w:gridCol w:w="1761"/>
        <w:gridCol w:w="1713"/>
      </w:tblGrid>
      <w:tr w:rsidR="00523A28" w14:paraId="7F93400A" w14:textId="0C24ECAD">
        <w:tc>
          <w:tcPr>
            <w:tcW w:w="1986" w:type="dxa"/>
          </w:tcPr>
          <w:p w14:paraId="6407D47A" w14:textId="10BE9338" w:rsidR="00387351" w:rsidRDefault="00387351">
            <w:pPr>
              <w:spacing w:after="0"/>
              <w:jc w:val="both"/>
              <w:rPr>
                <w:rFonts w:ascii="Times New Roman" w:hAnsi="Times New Roman"/>
                <w:sz w:val="24"/>
                <w:szCs w:val="24"/>
              </w:rPr>
            </w:pPr>
            <w:r>
              <w:rPr>
                <w:rFonts w:ascii="Times New Roman" w:hAnsi="Times New Roman"/>
                <w:sz w:val="24"/>
                <w:szCs w:val="24"/>
              </w:rPr>
              <w:t>Dietary Behavior</w:t>
            </w:r>
          </w:p>
        </w:tc>
        <w:tc>
          <w:tcPr>
            <w:tcW w:w="2058" w:type="dxa"/>
          </w:tcPr>
          <w:p w14:paraId="1B6F3CF1" w14:textId="12609D2E" w:rsidR="00387351" w:rsidRDefault="00387351">
            <w:pPr>
              <w:spacing w:after="0"/>
              <w:jc w:val="both"/>
              <w:rPr>
                <w:rFonts w:ascii="Times New Roman" w:hAnsi="Times New Roman"/>
                <w:sz w:val="24"/>
                <w:szCs w:val="24"/>
              </w:rPr>
            </w:pPr>
            <w:r>
              <w:rPr>
                <w:rFonts w:ascii="Times New Roman" w:hAnsi="Times New Roman"/>
                <w:sz w:val="24"/>
                <w:szCs w:val="24"/>
              </w:rPr>
              <w:t>Good Nutrition Knowledge n (%)</w:t>
            </w:r>
          </w:p>
        </w:tc>
        <w:tc>
          <w:tcPr>
            <w:tcW w:w="2058" w:type="dxa"/>
          </w:tcPr>
          <w:p w14:paraId="15819D41" w14:textId="628B3FAE" w:rsidR="00387351" w:rsidRDefault="00387351">
            <w:pPr>
              <w:spacing w:after="0"/>
              <w:jc w:val="both"/>
              <w:rPr>
                <w:rFonts w:ascii="Times New Roman" w:hAnsi="Times New Roman"/>
                <w:sz w:val="24"/>
                <w:szCs w:val="24"/>
              </w:rPr>
            </w:pPr>
            <w:r>
              <w:rPr>
                <w:rFonts w:ascii="Times New Roman" w:hAnsi="Times New Roman"/>
                <w:sz w:val="24"/>
                <w:szCs w:val="24"/>
              </w:rPr>
              <w:t>Poor Nutrition Knowledge n (%)</w:t>
            </w:r>
          </w:p>
        </w:tc>
        <w:tc>
          <w:tcPr>
            <w:tcW w:w="1761" w:type="dxa"/>
          </w:tcPr>
          <w:p w14:paraId="287A86D4" w14:textId="506745A8" w:rsidR="00387351" w:rsidRDefault="00387351">
            <w:pPr>
              <w:spacing w:after="0"/>
              <w:jc w:val="both"/>
              <w:rPr>
                <w:rFonts w:ascii="Times New Roman" w:hAnsi="Times New Roman"/>
                <w:sz w:val="24"/>
                <w:szCs w:val="24"/>
              </w:rPr>
            </w:pPr>
            <w:r>
              <w:rPr>
                <w:rFonts w:ascii="Times New Roman" w:hAnsi="Times New Roman"/>
                <w:sz w:val="24"/>
                <w:szCs w:val="24"/>
                <w:vertAlign w:val="superscript"/>
              </w:rPr>
              <w:t>x2</w:t>
            </w:r>
          </w:p>
        </w:tc>
        <w:tc>
          <w:tcPr>
            <w:tcW w:w="1713" w:type="dxa"/>
          </w:tcPr>
          <w:p w14:paraId="7F985760" w14:textId="5630408E" w:rsidR="00387351" w:rsidRDefault="00387351">
            <w:pPr>
              <w:spacing w:after="0"/>
              <w:jc w:val="both"/>
              <w:rPr>
                <w:rFonts w:ascii="Times New Roman" w:hAnsi="Times New Roman"/>
                <w:sz w:val="24"/>
                <w:szCs w:val="24"/>
              </w:rPr>
            </w:pPr>
            <w:r>
              <w:rPr>
                <w:rFonts w:ascii="Times New Roman" w:hAnsi="Times New Roman"/>
                <w:sz w:val="24"/>
                <w:szCs w:val="24"/>
              </w:rPr>
              <w:t>p-value</w:t>
            </w:r>
          </w:p>
        </w:tc>
      </w:tr>
      <w:tr w:rsidR="00523A28" w14:paraId="24028EF4" w14:textId="125CF65D">
        <w:tc>
          <w:tcPr>
            <w:tcW w:w="1986" w:type="dxa"/>
          </w:tcPr>
          <w:p w14:paraId="4F0CB558" w14:textId="1C35FB78" w:rsidR="00387351" w:rsidRDefault="00387351">
            <w:pPr>
              <w:spacing w:after="0"/>
              <w:jc w:val="both"/>
              <w:rPr>
                <w:rFonts w:ascii="Times New Roman" w:hAnsi="Times New Roman"/>
                <w:sz w:val="24"/>
                <w:szCs w:val="24"/>
              </w:rPr>
            </w:pPr>
            <w:r>
              <w:rPr>
                <w:rFonts w:ascii="Times New Roman" w:hAnsi="Times New Roman"/>
                <w:sz w:val="24"/>
                <w:szCs w:val="24"/>
              </w:rPr>
              <w:t>Regular Fruit Consumption</w:t>
            </w:r>
          </w:p>
        </w:tc>
        <w:tc>
          <w:tcPr>
            <w:tcW w:w="2058" w:type="dxa"/>
          </w:tcPr>
          <w:p w14:paraId="3595D898" w14:textId="6010838B" w:rsidR="00387351" w:rsidRDefault="00387351">
            <w:pPr>
              <w:spacing w:after="0"/>
              <w:jc w:val="both"/>
              <w:rPr>
                <w:rFonts w:ascii="Times New Roman" w:hAnsi="Times New Roman"/>
                <w:sz w:val="24"/>
                <w:szCs w:val="24"/>
              </w:rPr>
            </w:pPr>
            <w:r>
              <w:rPr>
                <w:rFonts w:ascii="Times New Roman" w:hAnsi="Times New Roman"/>
                <w:sz w:val="24"/>
                <w:szCs w:val="24"/>
              </w:rPr>
              <w:t>72 (78.3)</w:t>
            </w:r>
          </w:p>
        </w:tc>
        <w:tc>
          <w:tcPr>
            <w:tcW w:w="2058" w:type="dxa"/>
          </w:tcPr>
          <w:p w14:paraId="50A32113" w14:textId="67C5278F" w:rsidR="00387351" w:rsidRDefault="00387351">
            <w:pPr>
              <w:spacing w:after="0"/>
              <w:jc w:val="both"/>
              <w:rPr>
                <w:rFonts w:ascii="Times New Roman" w:hAnsi="Times New Roman"/>
                <w:sz w:val="24"/>
                <w:szCs w:val="24"/>
              </w:rPr>
            </w:pPr>
            <w:r>
              <w:rPr>
                <w:rFonts w:ascii="Times New Roman" w:hAnsi="Times New Roman"/>
                <w:sz w:val="24"/>
                <w:szCs w:val="24"/>
              </w:rPr>
              <w:t>20 (21.7)</w:t>
            </w:r>
          </w:p>
        </w:tc>
        <w:tc>
          <w:tcPr>
            <w:tcW w:w="1761" w:type="dxa"/>
          </w:tcPr>
          <w:p w14:paraId="1D38B849" w14:textId="1B9C0BCA" w:rsidR="00387351" w:rsidRDefault="00387351">
            <w:pPr>
              <w:spacing w:after="0"/>
              <w:jc w:val="both"/>
              <w:rPr>
                <w:rFonts w:ascii="Times New Roman" w:hAnsi="Times New Roman"/>
                <w:sz w:val="24"/>
                <w:szCs w:val="24"/>
              </w:rPr>
            </w:pPr>
            <w:r>
              <w:rPr>
                <w:rFonts w:ascii="Times New Roman" w:hAnsi="Times New Roman"/>
                <w:sz w:val="24"/>
                <w:szCs w:val="24"/>
              </w:rPr>
              <w:t>24.63</w:t>
            </w:r>
          </w:p>
        </w:tc>
        <w:tc>
          <w:tcPr>
            <w:tcW w:w="1713" w:type="dxa"/>
          </w:tcPr>
          <w:p w14:paraId="13640443" w14:textId="208E21D6"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1A1D0348" w14:textId="7F0433D6">
        <w:tc>
          <w:tcPr>
            <w:tcW w:w="1986" w:type="dxa"/>
          </w:tcPr>
          <w:p w14:paraId="1132F698" w14:textId="7A001DEF" w:rsidR="00387351" w:rsidRDefault="00387351">
            <w:pPr>
              <w:spacing w:after="0"/>
              <w:jc w:val="both"/>
              <w:rPr>
                <w:rFonts w:ascii="Times New Roman" w:hAnsi="Times New Roman"/>
                <w:sz w:val="24"/>
                <w:szCs w:val="24"/>
              </w:rPr>
            </w:pPr>
            <w:r>
              <w:rPr>
                <w:rFonts w:ascii="Times New Roman" w:hAnsi="Times New Roman"/>
                <w:sz w:val="24"/>
                <w:szCs w:val="24"/>
              </w:rPr>
              <w:t xml:space="preserve">Regular Vegetable </w:t>
            </w:r>
            <w:r>
              <w:rPr>
                <w:rFonts w:ascii="Times New Roman" w:hAnsi="Times New Roman"/>
                <w:sz w:val="24"/>
                <w:szCs w:val="24"/>
              </w:rPr>
              <w:lastRenderedPageBreak/>
              <w:t>Consumption</w:t>
            </w:r>
          </w:p>
        </w:tc>
        <w:tc>
          <w:tcPr>
            <w:tcW w:w="2058" w:type="dxa"/>
          </w:tcPr>
          <w:p w14:paraId="6B2AD16D" w14:textId="345E06F8" w:rsidR="00387351" w:rsidRDefault="00387351">
            <w:pPr>
              <w:spacing w:after="0"/>
              <w:jc w:val="both"/>
              <w:rPr>
                <w:rFonts w:ascii="Times New Roman" w:hAnsi="Times New Roman"/>
                <w:sz w:val="24"/>
                <w:szCs w:val="24"/>
              </w:rPr>
            </w:pPr>
            <w:r>
              <w:rPr>
                <w:rFonts w:ascii="Times New Roman" w:hAnsi="Times New Roman"/>
                <w:sz w:val="24"/>
                <w:szCs w:val="24"/>
              </w:rPr>
              <w:lastRenderedPageBreak/>
              <w:t>75 (80.6)</w:t>
            </w:r>
          </w:p>
        </w:tc>
        <w:tc>
          <w:tcPr>
            <w:tcW w:w="2058" w:type="dxa"/>
          </w:tcPr>
          <w:p w14:paraId="64B122E1" w14:textId="395A9A62" w:rsidR="00387351" w:rsidRDefault="00387351">
            <w:pPr>
              <w:spacing w:after="0"/>
              <w:jc w:val="both"/>
              <w:rPr>
                <w:rFonts w:ascii="Times New Roman" w:hAnsi="Times New Roman"/>
                <w:sz w:val="24"/>
                <w:szCs w:val="24"/>
              </w:rPr>
            </w:pPr>
            <w:r>
              <w:rPr>
                <w:rFonts w:ascii="Times New Roman" w:hAnsi="Times New Roman"/>
                <w:sz w:val="24"/>
                <w:szCs w:val="24"/>
              </w:rPr>
              <w:t>18 (19.4)</w:t>
            </w:r>
          </w:p>
        </w:tc>
        <w:tc>
          <w:tcPr>
            <w:tcW w:w="1761" w:type="dxa"/>
          </w:tcPr>
          <w:p w14:paraId="7A93FB4F" w14:textId="2CB7CA84" w:rsidR="00387351" w:rsidRDefault="00387351">
            <w:pPr>
              <w:spacing w:after="0"/>
              <w:jc w:val="both"/>
              <w:rPr>
                <w:rFonts w:ascii="Times New Roman" w:hAnsi="Times New Roman"/>
                <w:sz w:val="24"/>
                <w:szCs w:val="24"/>
              </w:rPr>
            </w:pPr>
            <w:r>
              <w:rPr>
                <w:rFonts w:ascii="Times New Roman" w:hAnsi="Times New Roman"/>
                <w:sz w:val="24"/>
                <w:szCs w:val="24"/>
              </w:rPr>
              <w:t>27.81</w:t>
            </w:r>
          </w:p>
        </w:tc>
        <w:tc>
          <w:tcPr>
            <w:tcW w:w="1713" w:type="dxa"/>
          </w:tcPr>
          <w:p w14:paraId="5F458D1B" w14:textId="40AF2463"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1E96EA23" w14:textId="0A432219">
        <w:tc>
          <w:tcPr>
            <w:tcW w:w="1986" w:type="dxa"/>
          </w:tcPr>
          <w:p w14:paraId="6613A51D" w14:textId="40583E98" w:rsidR="00387351" w:rsidRDefault="00387351">
            <w:pPr>
              <w:spacing w:after="0"/>
              <w:jc w:val="both"/>
              <w:rPr>
                <w:rFonts w:ascii="Times New Roman" w:hAnsi="Times New Roman"/>
                <w:sz w:val="24"/>
                <w:szCs w:val="24"/>
              </w:rPr>
            </w:pPr>
            <w:r>
              <w:rPr>
                <w:rFonts w:ascii="Times New Roman" w:hAnsi="Times New Roman"/>
                <w:sz w:val="24"/>
                <w:szCs w:val="24"/>
              </w:rPr>
              <w:t>Daily Breakfast Consumption</w:t>
            </w:r>
          </w:p>
        </w:tc>
        <w:tc>
          <w:tcPr>
            <w:tcW w:w="2058" w:type="dxa"/>
          </w:tcPr>
          <w:p w14:paraId="1AB24013" w14:textId="57518A1F" w:rsidR="00387351" w:rsidRDefault="00387351">
            <w:pPr>
              <w:spacing w:after="0"/>
              <w:jc w:val="both"/>
              <w:rPr>
                <w:rFonts w:ascii="Times New Roman" w:hAnsi="Times New Roman"/>
                <w:sz w:val="24"/>
                <w:szCs w:val="24"/>
              </w:rPr>
            </w:pPr>
            <w:r>
              <w:rPr>
                <w:rFonts w:ascii="Times New Roman" w:hAnsi="Times New Roman"/>
                <w:sz w:val="24"/>
                <w:szCs w:val="24"/>
              </w:rPr>
              <w:t>69 (75.0)</w:t>
            </w:r>
          </w:p>
        </w:tc>
        <w:tc>
          <w:tcPr>
            <w:tcW w:w="2058" w:type="dxa"/>
          </w:tcPr>
          <w:p w14:paraId="4350DA04" w14:textId="0B7F34D4" w:rsidR="00387351" w:rsidRDefault="00387351">
            <w:pPr>
              <w:spacing w:after="0"/>
              <w:jc w:val="both"/>
              <w:rPr>
                <w:rFonts w:ascii="Times New Roman" w:hAnsi="Times New Roman"/>
                <w:sz w:val="24"/>
                <w:szCs w:val="24"/>
              </w:rPr>
            </w:pPr>
            <w:r>
              <w:rPr>
                <w:rFonts w:ascii="Times New Roman" w:hAnsi="Times New Roman"/>
                <w:sz w:val="24"/>
                <w:szCs w:val="24"/>
              </w:rPr>
              <w:t>23 (25.0)</w:t>
            </w:r>
          </w:p>
        </w:tc>
        <w:tc>
          <w:tcPr>
            <w:tcW w:w="1761" w:type="dxa"/>
          </w:tcPr>
          <w:p w14:paraId="0FC89F60" w14:textId="412EFCB8" w:rsidR="00387351" w:rsidRDefault="00387351">
            <w:pPr>
              <w:spacing w:after="0"/>
              <w:jc w:val="both"/>
              <w:rPr>
                <w:rFonts w:ascii="Times New Roman" w:hAnsi="Times New Roman"/>
                <w:sz w:val="24"/>
                <w:szCs w:val="24"/>
              </w:rPr>
            </w:pPr>
            <w:r>
              <w:rPr>
                <w:rFonts w:ascii="Times New Roman" w:hAnsi="Times New Roman"/>
                <w:sz w:val="24"/>
                <w:szCs w:val="24"/>
              </w:rPr>
              <w:t>18.45</w:t>
            </w:r>
          </w:p>
        </w:tc>
        <w:tc>
          <w:tcPr>
            <w:tcW w:w="1713" w:type="dxa"/>
          </w:tcPr>
          <w:p w14:paraId="4C7FD207" w14:textId="6B99CA4A"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6547D05E" w14:textId="5EA9322E">
        <w:tc>
          <w:tcPr>
            <w:tcW w:w="1986" w:type="dxa"/>
          </w:tcPr>
          <w:p w14:paraId="1EA10667" w14:textId="611C4D42" w:rsidR="00387351" w:rsidRDefault="00387351">
            <w:pPr>
              <w:spacing w:after="0"/>
              <w:jc w:val="both"/>
              <w:rPr>
                <w:rFonts w:ascii="Times New Roman" w:hAnsi="Times New Roman"/>
                <w:sz w:val="24"/>
                <w:szCs w:val="24"/>
              </w:rPr>
            </w:pPr>
            <w:r>
              <w:rPr>
                <w:rFonts w:ascii="Times New Roman" w:hAnsi="Times New Roman"/>
                <w:sz w:val="24"/>
                <w:szCs w:val="24"/>
              </w:rPr>
              <w:t>Frequent Fast-food Consumption</w:t>
            </w:r>
          </w:p>
        </w:tc>
        <w:tc>
          <w:tcPr>
            <w:tcW w:w="2058" w:type="dxa"/>
          </w:tcPr>
          <w:p w14:paraId="227F4E0C" w14:textId="154F5137" w:rsidR="00387351" w:rsidRDefault="00387351">
            <w:pPr>
              <w:spacing w:after="0"/>
              <w:jc w:val="both"/>
              <w:rPr>
                <w:rFonts w:ascii="Times New Roman" w:hAnsi="Times New Roman"/>
                <w:sz w:val="24"/>
                <w:szCs w:val="24"/>
              </w:rPr>
            </w:pPr>
            <w:r>
              <w:rPr>
                <w:rFonts w:ascii="Times New Roman" w:hAnsi="Times New Roman"/>
                <w:sz w:val="24"/>
                <w:szCs w:val="24"/>
              </w:rPr>
              <w:t>19. (31.1)</w:t>
            </w:r>
          </w:p>
        </w:tc>
        <w:tc>
          <w:tcPr>
            <w:tcW w:w="2058" w:type="dxa"/>
          </w:tcPr>
          <w:p w14:paraId="08E1F7C8" w14:textId="5D0CA65F" w:rsidR="00387351" w:rsidRDefault="00387351">
            <w:pPr>
              <w:spacing w:after="0"/>
              <w:jc w:val="both"/>
              <w:rPr>
                <w:rFonts w:ascii="Times New Roman" w:hAnsi="Times New Roman"/>
                <w:sz w:val="24"/>
                <w:szCs w:val="24"/>
              </w:rPr>
            </w:pPr>
            <w:r>
              <w:rPr>
                <w:rFonts w:ascii="Times New Roman" w:hAnsi="Times New Roman"/>
                <w:sz w:val="24"/>
                <w:szCs w:val="24"/>
              </w:rPr>
              <w:t>42 (68.9)</w:t>
            </w:r>
          </w:p>
        </w:tc>
        <w:tc>
          <w:tcPr>
            <w:tcW w:w="1761" w:type="dxa"/>
          </w:tcPr>
          <w:p w14:paraId="5FEB69D4" w14:textId="685855CF" w:rsidR="00387351" w:rsidRDefault="00DF4223">
            <w:pPr>
              <w:spacing w:after="0"/>
              <w:jc w:val="both"/>
              <w:rPr>
                <w:rFonts w:ascii="Times New Roman" w:hAnsi="Times New Roman"/>
                <w:sz w:val="24"/>
                <w:szCs w:val="24"/>
              </w:rPr>
            </w:pPr>
            <w:r>
              <w:rPr>
                <w:rFonts w:ascii="Times New Roman" w:hAnsi="Times New Roman"/>
                <w:sz w:val="24"/>
                <w:szCs w:val="24"/>
              </w:rPr>
              <w:t>20.56</w:t>
            </w:r>
          </w:p>
        </w:tc>
        <w:tc>
          <w:tcPr>
            <w:tcW w:w="1713" w:type="dxa"/>
          </w:tcPr>
          <w:p w14:paraId="1BF6EE2C" w14:textId="300A2517" w:rsidR="00387351" w:rsidRDefault="00DF4223">
            <w:pPr>
              <w:spacing w:after="0"/>
              <w:jc w:val="both"/>
              <w:rPr>
                <w:rFonts w:ascii="Times New Roman" w:hAnsi="Times New Roman"/>
                <w:sz w:val="24"/>
                <w:szCs w:val="24"/>
              </w:rPr>
            </w:pPr>
            <w:r>
              <w:rPr>
                <w:rFonts w:ascii="Times New Roman" w:hAnsi="Times New Roman"/>
                <w:sz w:val="24"/>
                <w:szCs w:val="24"/>
              </w:rPr>
              <w:t>0.001</w:t>
            </w:r>
          </w:p>
        </w:tc>
      </w:tr>
      <w:tr w:rsidR="00523A28" w14:paraId="4930C020" w14:textId="6B1BD131">
        <w:tc>
          <w:tcPr>
            <w:tcW w:w="1986" w:type="dxa"/>
          </w:tcPr>
          <w:p w14:paraId="0F1184A3" w14:textId="5D77FE80" w:rsidR="00387351" w:rsidRDefault="00DF4223">
            <w:pPr>
              <w:spacing w:after="0"/>
              <w:jc w:val="both"/>
              <w:rPr>
                <w:rFonts w:ascii="Times New Roman" w:hAnsi="Times New Roman"/>
                <w:sz w:val="24"/>
                <w:szCs w:val="24"/>
              </w:rPr>
            </w:pPr>
            <w:r>
              <w:rPr>
                <w:rFonts w:ascii="Times New Roman" w:hAnsi="Times New Roman"/>
                <w:sz w:val="24"/>
                <w:szCs w:val="24"/>
              </w:rPr>
              <w:t>Frequent Soft-drink Consumption</w:t>
            </w:r>
          </w:p>
        </w:tc>
        <w:tc>
          <w:tcPr>
            <w:tcW w:w="2058" w:type="dxa"/>
          </w:tcPr>
          <w:p w14:paraId="2E1A1691" w14:textId="7B73A9C5" w:rsidR="00387351" w:rsidRDefault="00DF4223">
            <w:pPr>
              <w:spacing w:after="0"/>
              <w:jc w:val="both"/>
              <w:rPr>
                <w:rFonts w:ascii="Times New Roman" w:hAnsi="Times New Roman"/>
                <w:sz w:val="24"/>
                <w:szCs w:val="24"/>
              </w:rPr>
            </w:pPr>
            <w:r>
              <w:rPr>
                <w:rFonts w:ascii="Times New Roman" w:hAnsi="Times New Roman"/>
                <w:sz w:val="24"/>
                <w:szCs w:val="24"/>
              </w:rPr>
              <w:t>16 (27.1)</w:t>
            </w:r>
          </w:p>
        </w:tc>
        <w:tc>
          <w:tcPr>
            <w:tcW w:w="2058" w:type="dxa"/>
          </w:tcPr>
          <w:p w14:paraId="39E078BD" w14:textId="5FC5B367" w:rsidR="00387351" w:rsidRDefault="00DF4223">
            <w:pPr>
              <w:spacing w:after="0"/>
              <w:jc w:val="both"/>
              <w:rPr>
                <w:rFonts w:ascii="Times New Roman" w:hAnsi="Times New Roman"/>
                <w:sz w:val="24"/>
                <w:szCs w:val="24"/>
              </w:rPr>
            </w:pPr>
            <w:r>
              <w:rPr>
                <w:rFonts w:ascii="Times New Roman" w:hAnsi="Times New Roman"/>
                <w:sz w:val="24"/>
                <w:szCs w:val="24"/>
              </w:rPr>
              <w:t>43 (72.9)</w:t>
            </w:r>
          </w:p>
        </w:tc>
        <w:tc>
          <w:tcPr>
            <w:tcW w:w="1761" w:type="dxa"/>
          </w:tcPr>
          <w:p w14:paraId="7384D01C" w14:textId="57BD62AE" w:rsidR="00387351" w:rsidRDefault="00DF4223">
            <w:pPr>
              <w:spacing w:after="0"/>
              <w:jc w:val="both"/>
              <w:rPr>
                <w:rFonts w:ascii="Times New Roman" w:hAnsi="Times New Roman"/>
                <w:sz w:val="24"/>
                <w:szCs w:val="24"/>
              </w:rPr>
            </w:pPr>
            <w:r>
              <w:rPr>
                <w:rFonts w:ascii="Times New Roman" w:hAnsi="Times New Roman"/>
                <w:sz w:val="24"/>
                <w:szCs w:val="24"/>
              </w:rPr>
              <w:t>22.34</w:t>
            </w:r>
          </w:p>
        </w:tc>
        <w:tc>
          <w:tcPr>
            <w:tcW w:w="1713" w:type="dxa"/>
          </w:tcPr>
          <w:p w14:paraId="25354262" w14:textId="074BB664" w:rsidR="00387351" w:rsidRDefault="00DF4223">
            <w:pPr>
              <w:spacing w:after="0"/>
              <w:jc w:val="both"/>
              <w:rPr>
                <w:rFonts w:ascii="Times New Roman" w:hAnsi="Times New Roman"/>
                <w:sz w:val="24"/>
                <w:szCs w:val="24"/>
              </w:rPr>
            </w:pPr>
            <w:r>
              <w:rPr>
                <w:rFonts w:ascii="Times New Roman" w:hAnsi="Times New Roman"/>
                <w:sz w:val="24"/>
                <w:szCs w:val="24"/>
              </w:rPr>
              <w:t>0.001</w:t>
            </w:r>
          </w:p>
        </w:tc>
      </w:tr>
    </w:tbl>
    <w:p w14:paraId="42F61BF8" w14:textId="77777777" w:rsidR="008E216E" w:rsidRPr="008D1618" w:rsidRDefault="00000000" w:rsidP="00AB2403">
      <w:pPr>
        <w:spacing w:after="0"/>
        <w:jc w:val="both"/>
        <w:rPr>
          <w:rFonts w:ascii="Times New Roman" w:hAnsi="Times New Roman"/>
          <w:sz w:val="18"/>
          <w:szCs w:val="18"/>
        </w:rPr>
      </w:pPr>
      <w:r w:rsidRPr="008D1618">
        <w:rPr>
          <w:rFonts w:ascii="Times New Roman" w:hAnsi="Times New Roman"/>
          <w:sz w:val="18"/>
          <w:szCs w:val="18"/>
        </w:rPr>
        <w:t xml:space="preserve">Chi-square test was used to determine the association between nutrition knowledge and dietary </w:t>
      </w:r>
      <w:proofErr w:type="spellStart"/>
      <w:r w:rsidRPr="008D1618">
        <w:rPr>
          <w:rFonts w:ascii="Times New Roman" w:hAnsi="Times New Roman"/>
          <w:sz w:val="18"/>
          <w:szCs w:val="18"/>
        </w:rPr>
        <w:t>behaviour</w:t>
      </w:r>
      <w:proofErr w:type="spellEnd"/>
      <w:r w:rsidRPr="008D1618">
        <w:rPr>
          <w:rFonts w:ascii="Times New Roman" w:hAnsi="Times New Roman"/>
          <w:sz w:val="18"/>
          <w:szCs w:val="18"/>
        </w:rPr>
        <w:t>.</w:t>
      </w:r>
    </w:p>
    <w:p w14:paraId="769BC751" w14:textId="77777777" w:rsidR="008E216E" w:rsidRPr="00AB2403" w:rsidRDefault="008E216E" w:rsidP="00AB2403">
      <w:pPr>
        <w:spacing w:after="0"/>
        <w:jc w:val="both"/>
        <w:rPr>
          <w:rFonts w:ascii="Times New Roman" w:hAnsi="Times New Roman"/>
          <w:sz w:val="24"/>
          <w:szCs w:val="24"/>
        </w:rPr>
      </w:pPr>
    </w:p>
    <w:p w14:paraId="4796808C" w14:textId="6BF047BF" w:rsidR="008E216E" w:rsidRPr="00DF422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4: </w:t>
      </w:r>
      <w:r w:rsidRPr="00DF4223">
        <w:rPr>
          <w:rFonts w:ascii="Times New Roman" w:hAnsi="Times New Roman"/>
          <w:b/>
          <w:bCs/>
          <w:sz w:val="24"/>
          <w:szCs w:val="24"/>
        </w:rPr>
        <w:t>Multiple Linear Regression Analysis Showing Predictors of Improved Micronutrient Status</w:t>
      </w:r>
    </w:p>
    <w:p w14:paraId="4FADB084" w14:textId="06D48C57" w:rsidR="008E216E" w:rsidRPr="00462CB4" w:rsidRDefault="00000000" w:rsidP="00DF4223">
      <w:pPr>
        <w:pBdr>
          <w:top w:val="single" w:sz="4" w:space="1" w:color="auto"/>
          <w:bottom w:val="single" w:sz="4" w:space="1" w:color="auto"/>
        </w:pBdr>
        <w:spacing w:after="0"/>
        <w:jc w:val="both"/>
        <w:rPr>
          <w:rFonts w:ascii="Times New Roman" w:hAnsi="Times New Roman"/>
          <w:u w:val="single"/>
        </w:rPr>
      </w:pPr>
      <w:r w:rsidRPr="00462CB4">
        <w:rPr>
          <w:rFonts w:ascii="Times New Roman" w:hAnsi="Times New Roman"/>
          <w:u w:val="single"/>
        </w:rPr>
        <w:t>Predictor Variable</w:t>
      </w:r>
      <w:r w:rsidRPr="00462CB4">
        <w:rPr>
          <w:rFonts w:ascii="Times New Roman" w:hAnsi="Times New Roman"/>
          <w:u w:val="single"/>
        </w:rPr>
        <w:tab/>
      </w:r>
      <w:r w:rsidR="00DF4223" w:rsidRPr="00462CB4">
        <w:rPr>
          <w:rFonts w:ascii="Times New Roman" w:hAnsi="Times New Roman"/>
          <w:u w:val="single"/>
        </w:rPr>
        <w:t xml:space="preserve"> </w:t>
      </w:r>
      <w:r w:rsidR="00DF4223" w:rsidRPr="00462CB4">
        <w:rPr>
          <w:rFonts w:ascii="Times New Roman" w:hAnsi="Times New Roman"/>
          <w:u w:val="single"/>
        </w:rPr>
        <w:tab/>
      </w:r>
      <w:r w:rsidRPr="00462CB4">
        <w:rPr>
          <w:rFonts w:ascii="Times New Roman" w:hAnsi="Times New Roman"/>
          <w:u w:val="single"/>
        </w:rPr>
        <w:t>Unstandardized β</w:t>
      </w:r>
      <w:r w:rsidR="00DF4223" w:rsidRPr="00462CB4">
        <w:rPr>
          <w:rFonts w:ascii="Times New Roman" w:hAnsi="Times New Roman"/>
          <w:u w:val="single"/>
        </w:rPr>
        <w:t xml:space="preserve"> </w:t>
      </w:r>
      <w:r w:rsidRPr="00462CB4">
        <w:rPr>
          <w:rFonts w:ascii="Times New Roman" w:hAnsi="Times New Roman"/>
          <w:u w:val="single"/>
        </w:rPr>
        <w:t>Standard Error</w:t>
      </w:r>
      <w:r w:rsidR="00DF4223" w:rsidRPr="00462CB4">
        <w:rPr>
          <w:rFonts w:ascii="Times New Roman" w:hAnsi="Times New Roman"/>
          <w:u w:val="single"/>
        </w:rPr>
        <w:tab/>
        <w:t xml:space="preserve"> </w:t>
      </w:r>
      <w:r w:rsidRPr="00462CB4">
        <w:rPr>
          <w:rFonts w:ascii="Times New Roman" w:hAnsi="Times New Roman"/>
          <w:u w:val="single"/>
        </w:rPr>
        <w:t>Standardized β</w:t>
      </w:r>
      <w:r w:rsidR="00DF4223" w:rsidRPr="00462CB4">
        <w:rPr>
          <w:rFonts w:ascii="Times New Roman" w:hAnsi="Times New Roman"/>
          <w:u w:val="single"/>
        </w:rPr>
        <w:t xml:space="preserve"> </w:t>
      </w:r>
      <w:r w:rsidRPr="00462CB4">
        <w:rPr>
          <w:rFonts w:ascii="Times New Roman" w:hAnsi="Times New Roman"/>
          <w:u w:val="single"/>
        </w:rPr>
        <w:t>t-value</w:t>
      </w:r>
      <w:r w:rsidRPr="00462CB4">
        <w:rPr>
          <w:rFonts w:ascii="Times New Roman" w:hAnsi="Times New Roman"/>
          <w:u w:val="single"/>
        </w:rPr>
        <w:tab/>
        <w:t>p-value</w:t>
      </w:r>
    </w:p>
    <w:p w14:paraId="67AB30E2" w14:textId="2318ABF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Nutrition education attendance</w:t>
      </w:r>
      <w:r w:rsidR="00DF4223" w:rsidRPr="00462CB4">
        <w:rPr>
          <w:rFonts w:ascii="Times New Roman" w:hAnsi="Times New Roman"/>
        </w:rPr>
        <w:tab/>
      </w:r>
      <w:r w:rsidRPr="00462CB4">
        <w:rPr>
          <w:rFonts w:ascii="Times New Roman" w:hAnsi="Times New Roman"/>
        </w:rPr>
        <w:t>0.486</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0.052</w:t>
      </w:r>
      <w:r w:rsidR="00DF4223" w:rsidRPr="00462CB4">
        <w:rPr>
          <w:rFonts w:ascii="Times New Roman" w:hAnsi="Times New Roman"/>
        </w:rPr>
        <w:tab/>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0.471</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9.35</w:t>
      </w:r>
      <w:r w:rsidRPr="00462CB4">
        <w:rPr>
          <w:rFonts w:ascii="Times New Roman" w:hAnsi="Times New Roman"/>
        </w:rPr>
        <w:tab/>
        <w:t>&lt;0.001</w:t>
      </w:r>
    </w:p>
    <w:p w14:paraId="2D7F35BB" w14:textId="66DE55B3"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Supplement compliance</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0.391</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0.048</w:t>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0.382</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8.14</w:t>
      </w:r>
      <w:r w:rsidRPr="00462CB4">
        <w:rPr>
          <w:rFonts w:ascii="Times New Roman" w:hAnsi="Times New Roman"/>
        </w:rPr>
        <w:tab/>
        <w:t>&lt;0.001</w:t>
      </w:r>
    </w:p>
    <w:p w14:paraId="043D026E" w14:textId="02E93900"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Dietary diversity score</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0.317</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0.061</w:t>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ab/>
        <w:t>0.294</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5.20</w:t>
      </w:r>
      <w:r w:rsidRPr="00462CB4">
        <w:rPr>
          <w:rFonts w:ascii="Times New Roman" w:hAnsi="Times New Roman"/>
        </w:rPr>
        <w:tab/>
        <w:t>&lt;0.001</w:t>
      </w:r>
    </w:p>
    <w:p w14:paraId="3392F1FB" w14:textId="7B73F2B8"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Age</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-0.061</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0.039</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-0.072</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-1.56</w:t>
      </w:r>
      <w:r w:rsidRPr="00462CB4">
        <w:rPr>
          <w:rFonts w:ascii="Times New Roman" w:hAnsi="Times New Roman"/>
        </w:rPr>
        <w:tab/>
        <w:t>0.121</w:t>
      </w:r>
    </w:p>
    <w:p w14:paraId="2759F09E" w14:textId="7F97AAC4"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Sex</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0.044</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0.035</w:t>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ab/>
        <w:t>0.051</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1.26</w:t>
      </w:r>
      <w:r w:rsidRPr="00462CB4">
        <w:rPr>
          <w:rFonts w:ascii="Times New Roman" w:hAnsi="Times New Roman"/>
        </w:rPr>
        <w:tab/>
        <w:t>0.210</w:t>
      </w:r>
    </w:p>
    <w:p w14:paraId="3DB701E7" w14:textId="77777777" w:rsidR="008E216E" w:rsidRPr="00AB2403" w:rsidRDefault="008E216E" w:rsidP="00AB2403">
      <w:pPr>
        <w:spacing w:after="0"/>
        <w:jc w:val="both"/>
        <w:rPr>
          <w:rFonts w:ascii="Times New Roman" w:hAnsi="Times New Roman"/>
          <w:sz w:val="24"/>
          <w:szCs w:val="24"/>
        </w:rPr>
      </w:pPr>
    </w:p>
    <w:p w14:paraId="30D0DB34" w14:textId="4DB5A7C0" w:rsidR="008E216E" w:rsidRPr="00DF422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5: </w:t>
      </w:r>
      <w:r w:rsidRPr="00DF4223">
        <w:rPr>
          <w:rFonts w:ascii="Times New Roman" w:hAnsi="Times New Roman"/>
          <w:b/>
          <w:bCs/>
          <w:sz w:val="24"/>
          <w:szCs w:val="24"/>
        </w:rPr>
        <w:t>Model Summary</w:t>
      </w:r>
    </w:p>
    <w:p w14:paraId="694465CA" w14:textId="6C6A00AF" w:rsidR="008E216E" w:rsidRPr="00D12757" w:rsidRDefault="00000000" w:rsidP="00D12757">
      <w:pPr>
        <w:pBdr>
          <w:top w:val="single" w:sz="4" w:space="1" w:color="auto"/>
          <w:bottom w:val="single" w:sz="4" w:space="1" w:color="auto"/>
        </w:pBdr>
        <w:spacing w:after="0"/>
        <w:jc w:val="both"/>
        <w:rPr>
          <w:rFonts w:ascii="Times New Roman" w:hAnsi="Times New Roman"/>
          <w:sz w:val="24"/>
          <w:szCs w:val="24"/>
          <w:u w:val="single"/>
        </w:rPr>
      </w:pPr>
      <w:r w:rsidRPr="00D12757">
        <w:rPr>
          <w:rFonts w:ascii="Times New Roman" w:hAnsi="Times New Roman"/>
          <w:sz w:val="24"/>
          <w:szCs w:val="24"/>
          <w:u w:val="single"/>
        </w:rPr>
        <w:t>Statistic</w:t>
      </w:r>
      <w:r w:rsidRPr="00D12757">
        <w:rPr>
          <w:rFonts w:ascii="Times New Roman" w:hAnsi="Times New Roman"/>
          <w:sz w:val="24"/>
          <w:szCs w:val="24"/>
          <w:u w:val="single"/>
        </w:rPr>
        <w:tab/>
        <w:t>Value</w:t>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p>
    <w:p w14:paraId="63B468D0" w14:textId="4144F242"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R</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0.787</w:t>
      </w:r>
    </w:p>
    <w:p w14:paraId="1B25DE90" w14:textId="0D0E953D"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R²</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0.620</w:t>
      </w:r>
    </w:p>
    <w:p w14:paraId="16D80A57"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Adjusted R²</w:t>
      </w:r>
      <w:r w:rsidRPr="00AB2403">
        <w:rPr>
          <w:rFonts w:ascii="Times New Roman" w:hAnsi="Times New Roman"/>
          <w:sz w:val="24"/>
          <w:szCs w:val="24"/>
        </w:rPr>
        <w:tab/>
        <w:t>0.603</w:t>
      </w:r>
    </w:p>
    <w:p w14:paraId="79115EC7"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F-statistic</w:t>
      </w:r>
      <w:r w:rsidRPr="00AB2403">
        <w:rPr>
          <w:rFonts w:ascii="Times New Roman" w:hAnsi="Times New Roman"/>
          <w:sz w:val="24"/>
          <w:szCs w:val="24"/>
        </w:rPr>
        <w:tab/>
        <w:t>42.18</w:t>
      </w:r>
    </w:p>
    <w:p w14:paraId="2A6DFAD2" w14:textId="037FEEAD"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p-value</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&lt;0.001</w:t>
      </w:r>
    </w:p>
    <w:p w14:paraId="583C0DF3" w14:textId="77777777" w:rsidR="008E216E" w:rsidRPr="008D1618" w:rsidRDefault="00000000" w:rsidP="00AB2403">
      <w:pPr>
        <w:spacing w:after="0"/>
        <w:jc w:val="both"/>
        <w:rPr>
          <w:rFonts w:ascii="Times New Roman" w:hAnsi="Times New Roman"/>
          <w:sz w:val="18"/>
          <w:szCs w:val="18"/>
        </w:rPr>
      </w:pPr>
      <w:r w:rsidRPr="008D1618">
        <w:rPr>
          <w:rFonts w:ascii="Times New Roman" w:hAnsi="Times New Roman"/>
          <w:sz w:val="18"/>
          <w:szCs w:val="18"/>
        </w:rPr>
        <w:t>Dependent Variable: Micronutrient Status Score</w:t>
      </w:r>
    </w:p>
    <w:p w14:paraId="12EFFDF2" w14:textId="77777777" w:rsidR="008E216E" w:rsidRPr="00AB2403" w:rsidRDefault="008E216E" w:rsidP="00AB2403">
      <w:pPr>
        <w:spacing w:after="0"/>
        <w:jc w:val="both"/>
        <w:rPr>
          <w:rFonts w:ascii="Times New Roman" w:hAnsi="Times New Roman"/>
          <w:sz w:val="24"/>
          <w:szCs w:val="24"/>
        </w:rPr>
      </w:pPr>
    </w:p>
    <w:p w14:paraId="5E9E0F6A" w14:textId="27E112A4"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 xml:space="preserve">DISCUSSION </w:t>
      </w:r>
    </w:p>
    <w:p w14:paraId="70C2473F" w14:textId="77777777"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Anthropometric Measurements</w:t>
      </w:r>
    </w:p>
    <w:p w14:paraId="683431BF" w14:textId="541C0A2A"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present study demonstrated modest but statistically significant improvements in anthropometric indicators following the 12-week nutrition intervention. Mean body weight, body mass index (BMI), and waist circumference decreased significantly among participants in the intervention group, whereas no meaningful changes were observed in the control group</w:t>
      </w:r>
      <w:r w:rsidR="00264071">
        <w:rPr>
          <w:rFonts w:ascii="Times New Roman" w:hAnsi="Times New Roman"/>
          <w:sz w:val="24"/>
          <w:szCs w:val="24"/>
        </w:rPr>
        <w:t xml:space="preserve"> (table 1)</w:t>
      </w:r>
      <w:r w:rsidRPr="00AB2403">
        <w:rPr>
          <w:rFonts w:ascii="Times New Roman" w:hAnsi="Times New Roman"/>
          <w:sz w:val="24"/>
          <w:szCs w:val="24"/>
        </w:rPr>
        <w:t xml:space="preserve">. These findings suggest that nutrition education, complemented by micronutrient supplementation, promoted healthier dietary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that positively influenced body composition.</w:t>
      </w:r>
    </w:p>
    <w:p w14:paraId="0D6B80E5" w14:textId="1B68ECDC" w:rsidR="008E216E" w:rsidRDefault="00000000" w:rsidP="00AB2403">
      <w:pPr>
        <w:spacing w:after="0"/>
        <w:jc w:val="both"/>
        <w:rPr>
          <w:rFonts w:ascii="Times New Roman" w:hAnsi="Times New Roman"/>
          <w:color w:val="000000"/>
          <w:sz w:val="24"/>
          <w:szCs w:val="24"/>
        </w:rPr>
      </w:pPr>
      <w:r>
        <w:rPr>
          <w:rFonts w:ascii="Times New Roman" w:hAnsi="Times New Roman"/>
          <w:color w:val="000000"/>
          <w:sz w:val="24"/>
          <w:szCs w:val="24"/>
        </w:rPr>
        <w:t xml:space="preserve">The reduction in BMI observed in this study is consistent with findings reported by Hall </w:t>
      </w:r>
      <w:r w:rsidR="00AB2403">
        <w:rPr>
          <w:rFonts w:ascii="Times New Roman" w:hAnsi="Times New Roman"/>
          <w:i/>
          <w:iCs/>
          <w:color w:val="000000"/>
          <w:sz w:val="24"/>
          <w:szCs w:val="24"/>
        </w:rPr>
        <w:t>et al</w:t>
      </w:r>
      <w:r>
        <w:rPr>
          <w:rFonts w:ascii="Times New Roman" w:hAnsi="Times New Roman"/>
          <w:color w:val="000000"/>
          <w:sz w:val="24"/>
          <w:szCs w:val="24"/>
        </w:rPr>
        <w:t xml:space="preserve"> (2019), who demonstrated that reducing the consumption of ultra-processed foods and increasing the intake of nutrient-dense foods significantly improved body weight and metabolic outcomes. Similarly, Cena and Calder (2020) emphasized that adherence to healthy dietary patterns </w:t>
      </w:r>
      <w:r>
        <w:rPr>
          <w:rFonts w:ascii="Times New Roman" w:hAnsi="Times New Roman"/>
          <w:color w:val="000000"/>
          <w:sz w:val="24"/>
          <w:szCs w:val="24"/>
        </w:rPr>
        <w:lastRenderedPageBreak/>
        <w:t>contributes to optimal body weight and reduces the risk of obesity and diet-related chronic diseases.</w:t>
      </w:r>
    </w:p>
    <w:p w14:paraId="75EBDB28" w14:textId="7E125046" w:rsidR="00991892" w:rsidRPr="00264071" w:rsidRDefault="00000000" w:rsidP="00991892">
      <w:pPr>
        <w:spacing w:after="0"/>
        <w:jc w:val="both"/>
        <w:rPr>
          <w:rFonts w:ascii="Times New Roman" w:hAnsi="Times New Roman"/>
          <w:sz w:val="24"/>
          <w:szCs w:val="24"/>
        </w:rPr>
      </w:pPr>
      <w:r w:rsidRPr="00264071">
        <w:rPr>
          <w:rFonts w:ascii="Times New Roman" w:hAnsi="Times New Roman"/>
          <w:sz w:val="24"/>
          <w:szCs w:val="24"/>
        </w:rPr>
        <w:t>The significant reduction in waist circumference is clinically important because central obesity is an established risk factor for cardiovascular disease, hypertension, insulin resistance, and type 2 diabetes mellitus (</w:t>
      </w:r>
      <w:r w:rsidR="00D924DD" w:rsidRPr="00264071">
        <w:rPr>
          <w:rFonts w:ascii="Times New Roman" w:hAnsi="Times New Roman"/>
          <w:color w:val="000000"/>
          <w:sz w:val="24"/>
          <w:szCs w:val="24"/>
        </w:rPr>
        <w:t xml:space="preserve">Powell-Wiley </w:t>
      </w:r>
      <w:r w:rsidR="00D924DD" w:rsidRPr="00996AF0">
        <w:rPr>
          <w:rFonts w:ascii="Times New Roman" w:hAnsi="Times New Roman"/>
          <w:i/>
          <w:iCs/>
          <w:color w:val="000000"/>
          <w:sz w:val="24"/>
          <w:szCs w:val="24"/>
        </w:rPr>
        <w:t>et al,</w:t>
      </w:r>
      <w:r w:rsidR="00D924DD" w:rsidRPr="00264071">
        <w:rPr>
          <w:rFonts w:ascii="Times New Roman" w:hAnsi="Times New Roman"/>
          <w:color w:val="000000"/>
          <w:sz w:val="24"/>
          <w:szCs w:val="24"/>
        </w:rPr>
        <w:t xml:space="preserve"> 2021; </w:t>
      </w:r>
      <w:proofErr w:type="spellStart"/>
      <w:r w:rsidR="004538B5" w:rsidRPr="00264071">
        <w:rPr>
          <w:rFonts w:ascii="Times New Roman" w:hAnsi="Times New Roman"/>
          <w:color w:val="000000"/>
          <w:sz w:val="24"/>
          <w:szCs w:val="24"/>
        </w:rPr>
        <w:t>Jayedi</w:t>
      </w:r>
      <w:proofErr w:type="spellEnd"/>
      <w:r w:rsidR="004538B5" w:rsidRPr="00264071">
        <w:rPr>
          <w:rFonts w:ascii="Times New Roman" w:hAnsi="Times New Roman"/>
          <w:color w:val="000000"/>
          <w:sz w:val="24"/>
          <w:szCs w:val="24"/>
        </w:rPr>
        <w:t xml:space="preserve"> </w:t>
      </w:r>
      <w:r w:rsidR="004538B5" w:rsidRPr="00996AF0">
        <w:rPr>
          <w:rFonts w:ascii="Times New Roman" w:hAnsi="Times New Roman"/>
          <w:i/>
          <w:iCs/>
          <w:color w:val="000000"/>
          <w:sz w:val="24"/>
          <w:szCs w:val="24"/>
        </w:rPr>
        <w:t>et al,</w:t>
      </w:r>
      <w:r w:rsidR="004538B5" w:rsidRPr="00264071">
        <w:rPr>
          <w:rFonts w:ascii="Times New Roman" w:hAnsi="Times New Roman"/>
          <w:color w:val="000000"/>
          <w:sz w:val="24"/>
          <w:szCs w:val="24"/>
        </w:rPr>
        <w:t xml:space="preserve"> 2022).</w:t>
      </w:r>
      <w:r w:rsidR="00264071" w:rsidRPr="00264071">
        <w:rPr>
          <w:rFonts w:ascii="Times New Roman" w:hAnsi="Times New Roman"/>
          <w:sz w:val="24"/>
          <w:szCs w:val="24"/>
        </w:rPr>
        <w:t xml:space="preserve"> </w:t>
      </w:r>
      <w:r w:rsidR="00991892" w:rsidRPr="00264071">
        <w:rPr>
          <w:rFonts w:ascii="Times New Roman" w:hAnsi="Times New Roman"/>
          <w:color w:val="000000"/>
          <w:sz w:val="24"/>
          <w:szCs w:val="24"/>
        </w:rPr>
        <w:t>Improvements in waist circumference following dietary interventions have also been reported in previous studies. Improvements in overall diet quality and greater consumption of fruits, vegetables, and whole grains have been associated with less weight gain and more favorable changes in waist circumference (</w:t>
      </w:r>
      <w:proofErr w:type="spellStart"/>
      <w:r w:rsidR="00991892" w:rsidRPr="00264071">
        <w:rPr>
          <w:rFonts w:ascii="Times New Roman" w:hAnsi="Times New Roman"/>
          <w:color w:val="000000"/>
          <w:sz w:val="24"/>
          <w:szCs w:val="24"/>
        </w:rPr>
        <w:t>Marrón</w:t>
      </w:r>
      <w:proofErr w:type="spellEnd"/>
      <w:r w:rsidR="00991892" w:rsidRPr="00264071">
        <w:rPr>
          <w:rFonts w:ascii="Times New Roman" w:hAnsi="Times New Roman"/>
          <w:color w:val="000000"/>
          <w:sz w:val="24"/>
          <w:szCs w:val="24"/>
        </w:rPr>
        <w:t xml:space="preserve">-Ponce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2021; Miller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2022). Although Mid-Upper Arm Circumference (MUAC) did not change significantly, the stability of MUAC may indicate that the intervention did not produce substantial changes in upper-arm tissue stores during the study period. MUAC is an anthropometric measure used to assess body size and nutritional status, although its interpretation depends on the population and context in which it is applied (de Onis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2004).</w:t>
      </w:r>
    </w:p>
    <w:p w14:paraId="44EF03D3" w14:textId="77777777" w:rsidR="008E216E" w:rsidRPr="00AB2403" w:rsidRDefault="008E216E" w:rsidP="00AB2403">
      <w:pPr>
        <w:spacing w:after="0"/>
        <w:jc w:val="both"/>
        <w:rPr>
          <w:rFonts w:ascii="Times New Roman" w:hAnsi="Times New Roman"/>
          <w:sz w:val="24"/>
          <w:szCs w:val="24"/>
        </w:rPr>
      </w:pPr>
    </w:p>
    <w:p w14:paraId="207290D8" w14:textId="77777777"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Biochemical Assessment</w:t>
      </w:r>
    </w:p>
    <w:p w14:paraId="29ACAED6" w14:textId="2BBE2D6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One of the most important findings of this study was the significant improvement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serum vitamin A, serum iron, and serum zinc following the intervention</w:t>
      </w:r>
      <w:r w:rsidR="00264071">
        <w:rPr>
          <w:rFonts w:ascii="Times New Roman" w:hAnsi="Times New Roman"/>
          <w:sz w:val="24"/>
          <w:szCs w:val="24"/>
        </w:rPr>
        <w:t xml:space="preserve"> (table 2)</w:t>
      </w:r>
      <w:r w:rsidRPr="00AB2403">
        <w:rPr>
          <w:rFonts w:ascii="Times New Roman" w:hAnsi="Times New Roman"/>
          <w:sz w:val="24"/>
          <w:szCs w:val="24"/>
        </w:rPr>
        <w:t>. These improvements demonstrate the effectiveness of combining micronutrient supplementation with nutrition education in correcting subclinical micronutrient deficiencies.</w:t>
      </w:r>
    </w:p>
    <w:p w14:paraId="2BA64B35" w14:textId="6237491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increase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suggests improved iron status and a reduced risk of nutritional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This finding agrees with Pasricha </w:t>
      </w:r>
      <w:r w:rsidR="00AB2403" w:rsidRPr="00AB2403">
        <w:rPr>
          <w:rFonts w:ascii="Times New Roman" w:hAnsi="Times New Roman"/>
          <w:i/>
          <w:iCs/>
          <w:sz w:val="24"/>
          <w:szCs w:val="24"/>
        </w:rPr>
        <w:t>et al</w:t>
      </w:r>
      <w:r w:rsidRPr="00AB2403">
        <w:rPr>
          <w:rFonts w:ascii="Times New Roman" w:hAnsi="Times New Roman"/>
          <w:sz w:val="24"/>
          <w:szCs w:val="24"/>
        </w:rPr>
        <w:t xml:space="preserve"> (2021), who reported that iron supplementation significantly improves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and iron stores among adults with iron deficiency. Similarly, WHO (2023) recognizes iron supplementation as one of the most effective interventions for reducing iron-deficiency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particularly in vulnerable populations.</w:t>
      </w:r>
    </w:p>
    <w:p w14:paraId="0784EE56" w14:textId="7DFCFEA1"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observed improvement in serum vitamin A concentration further supports the effectiveness of the intervention. Vitamin A plays a vital role in vision, immune function, epithelial integrity, and normal growth (WHO, 2023). Berger </w:t>
      </w:r>
      <w:r w:rsidR="00AB2403" w:rsidRPr="00AB2403">
        <w:rPr>
          <w:rFonts w:ascii="Times New Roman" w:hAnsi="Times New Roman"/>
          <w:i/>
          <w:iCs/>
          <w:sz w:val="24"/>
          <w:szCs w:val="24"/>
        </w:rPr>
        <w:t>et al</w:t>
      </w:r>
      <w:r w:rsidRPr="00AB2403">
        <w:rPr>
          <w:rFonts w:ascii="Times New Roman" w:hAnsi="Times New Roman"/>
          <w:sz w:val="24"/>
          <w:szCs w:val="24"/>
        </w:rPr>
        <w:t xml:space="preserve"> (2022) reported that vitamin A supplementation, when combined with increased dietary intake of vitamin A-rich foods, significantly improves serum retinol concentrations and reduces the risk of deficiency.</w:t>
      </w:r>
    </w:p>
    <w:p w14:paraId="5A7F7B07" w14:textId="093DFBF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Serum zinc concentration also increased significantly following the intervention. Zinc is involved in numerous enzymatic reactions, immune function, wound healing, DNA synthesis, and cellular growth</w:t>
      </w:r>
      <w:r w:rsidR="00F20631">
        <w:rPr>
          <w:rFonts w:ascii="Times New Roman" w:hAnsi="Times New Roman"/>
          <w:sz w:val="24"/>
          <w:szCs w:val="24"/>
        </w:rPr>
        <w:t xml:space="preserve"> (Costa </w:t>
      </w:r>
      <w:r w:rsidR="00F20631" w:rsidRPr="00996AF0">
        <w:rPr>
          <w:rFonts w:ascii="Times New Roman" w:hAnsi="Times New Roman"/>
          <w:i/>
          <w:iCs/>
          <w:sz w:val="24"/>
          <w:szCs w:val="24"/>
        </w:rPr>
        <w:t>et al,</w:t>
      </w:r>
      <w:r w:rsidR="00F20631">
        <w:rPr>
          <w:rFonts w:ascii="Times New Roman" w:hAnsi="Times New Roman"/>
          <w:sz w:val="24"/>
          <w:szCs w:val="24"/>
        </w:rPr>
        <w:t xml:space="preserve"> 2023).</w:t>
      </w:r>
      <w:r w:rsidRPr="00AB2403">
        <w:rPr>
          <w:rFonts w:ascii="Times New Roman" w:hAnsi="Times New Roman"/>
          <w:sz w:val="24"/>
          <w:szCs w:val="24"/>
        </w:rPr>
        <w:t xml:space="preserve"> The improvement observed in the present study is consistent with findings by Berger </w:t>
      </w:r>
      <w:r w:rsidR="00AB2403" w:rsidRPr="00AB2403">
        <w:rPr>
          <w:rFonts w:ascii="Times New Roman" w:hAnsi="Times New Roman"/>
          <w:i/>
          <w:iCs/>
          <w:sz w:val="24"/>
          <w:szCs w:val="24"/>
        </w:rPr>
        <w:t>et al</w:t>
      </w:r>
      <w:r w:rsidRPr="00AB2403">
        <w:rPr>
          <w:rFonts w:ascii="Times New Roman" w:hAnsi="Times New Roman"/>
          <w:sz w:val="24"/>
          <w:szCs w:val="24"/>
        </w:rPr>
        <w:t xml:space="preserve"> (2022), who highlighted zinc supplementation as an effective strategy for improving immune competence and nutritional status among adults.</w:t>
      </w:r>
    </w:p>
    <w:p w14:paraId="704101A0"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Collectively, these biochemical findings indicate that the intervention successfully improved participants' micronutrient status through both enhanced dietary intake and direct supplementation.</w:t>
      </w:r>
    </w:p>
    <w:p w14:paraId="5667AF03" w14:textId="77777777" w:rsidR="00264071" w:rsidRDefault="00264071" w:rsidP="00AB2403">
      <w:pPr>
        <w:spacing w:after="0"/>
        <w:jc w:val="both"/>
        <w:rPr>
          <w:rFonts w:ascii="Times New Roman" w:hAnsi="Times New Roman"/>
          <w:b/>
          <w:bCs/>
          <w:sz w:val="24"/>
          <w:szCs w:val="24"/>
        </w:rPr>
      </w:pPr>
    </w:p>
    <w:p w14:paraId="514347AD" w14:textId="72342B22"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 xml:space="preserve">Association Between Nutrition Knowledge and Dietary </w:t>
      </w:r>
      <w:proofErr w:type="spellStart"/>
      <w:r w:rsidRPr="00D12757">
        <w:rPr>
          <w:rFonts w:ascii="Times New Roman" w:hAnsi="Times New Roman"/>
          <w:b/>
          <w:bCs/>
          <w:sz w:val="24"/>
          <w:szCs w:val="24"/>
        </w:rPr>
        <w:t>Behaviour</w:t>
      </w:r>
      <w:proofErr w:type="spellEnd"/>
    </w:p>
    <w:p w14:paraId="2EF55B0C" w14:textId="4C067C79"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present study demonstrated significant associations between nutrition knowledge and healthier dietary </w:t>
      </w:r>
      <w:proofErr w:type="spellStart"/>
      <w:r w:rsidRPr="00AB2403">
        <w:rPr>
          <w:rFonts w:ascii="Times New Roman" w:hAnsi="Times New Roman"/>
          <w:sz w:val="24"/>
          <w:szCs w:val="24"/>
        </w:rPr>
        <w:t>behaviours</w:t>
      </w:r>
      <w:proofErr w:type="spellEnd"/>
      <w:r w:rsidR="00264071">
        <w:rPr>
          <w:rFonts w:ascii="Times New Roman" w:hAnsi="Times New Roman"/>
          <w:sz w:val="24"/>
          <w:szCs w:val="24"/>
        </w:rPr>
        <w:t xml:space="preserve"> (table 3)</w:t>
      </w:r>
      <w:r w:rsidRPr="00AB2403">
        <w:rPr>
          <w:rFonts w:ascii="Times New Roman" w:hAnsi="Times New Roman"/>
          <w:sz w:val="24"/>
          <w:szCs w:val="24"/>
        </w:rPr>
        <w:t>. Participants with higher nutrition knowledge scores consumed fruits and vegetables more frequently and reported lower consumption of fast foods and sugar-sweetened beverages.</w:t>
      </w:r>
    </w:p>
    <w:p w14:paraId="00B0BBCD" w14:textId="59EE644A"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This finding supports the widely accepted concept that nutrition knowledge is a major determinant of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w:t>
      </w:r>
      <w:r>
        <w:rPr>
          <w:rFonts w:ascii="Times New Roman" w:hAnsi="Times New Roman"/>
          <w:color w:val="000000"/>
          <w:sz w:val="24"/>
          <w:szCs w:val="24"/>
        </w:rPr>
        <w:t>(Contento, 2016</w:t>
      </w:r>
      <w:r w:rsidR="00036E72">
        <w:rPr>
          <w:rFonts w:ascii="Times New Roman" w:hAnsi="Times New Roman"/>
          <w:color w:val="000000"/>
          <w:sz w:val="24"/>
          <w:szCs w:val="24"/>
        </w:rPr>
        <w:t xml:space="preserve">; Gupta </w:t>
      </w:r>
      <w:r w:rsidR="00036E72" w:rsidRPr="00996AF0">
        <w:rPr>
          <w:rFonts w:ascii="Times New Roman" w:hAnsi="Times New Roman"/>
          <w:i/>
          <w:iCs/>
          <w:color w:val="000000"/>
          <w:sz w:val="24"/>
          <w:szCs w:val="24"/>
        </w:rPr>
        <w:t>et al,</w:t>
      </w:r>
      <w:r w:rsidR="00036E72">
        <w:rPr>
          <w:rFonts w:ascii="Times New Roman" w:hAnsi="Times New Roman"/>
          <w:color w:val="000000"/>
          <w:sz w:val="24"/>
          <w:szCs w:val="24"/>
        </w:rPr>
        <w:t xml:space="preserve"> 20</w:t>
      </w:r>
      <w:r w:rsidR="00700682">
        <w:rPr>
          <w:rFonts w:ascii="Times New Roman" w:hAnsi="Times New Roman"/>
          <w:color w:val="000000"/>
          <w:sz w:val="24"/>
          <w:szCs w:val="24"/>
        </w:rPr>
        <w:t>1</w:t>
      </w:r>
      <w:r w:rsidR="00036E72">
        <w:rPr>
          <w:rFonts w:ascii="Times New Roman" w:hAnsi="Times New Roman"/>
          <w:color w:val="000000"/>
          <w:sz w:val="24"/>
          <w:szCs w:val="24"/>
        </w:rPr>
        <w:t>8</w:t>
      </w:r>
      <w:r>
        <w:rPr>
          <w:rFonts w:ascii="Times New Roman" w:hAnsi="Times New Roman"/>
          <w:color w:val="000000"/>
          <w:sz w:val="24"/>
          <w:szCs w:val="24"/>
        </w:rPr>
        <w:t>).</w:t>
      </w:r>
      <w:r w:rsidRPr="00AB2403">
        <w:rPr>
          <w:rFonts w:ascii="Times New Roman" w:hAnsi="Times New Roman"/>
          <w:sz w:val="24"/>
          <w:szCs w:val="24"/>
        </w:rPr>
        <w:t xml:space="preserve"> Individuals who understand the health benefits of balanced diets are more likely to make healthier food choices than those with limited nutritional awareness.</w:t>
      </w:r>
    </w:p>
    <w:p w14:paraId="552607CE" w14:textId="77777777" w:rsidR="00264071"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Similar relationships have been reported by Spronk </w:t>
      </w:r>
      <w:r w:rsidR="00AB2403" w:rsidRPr="00AB2403">
        <w:rPr>
          <w:rFonts w:ascii="Times New Roman" w:hAnsi="Times New Roman"/>
          <w:i/>
          <w:iCs/>
          <w:sz w:val="24"/>
          <w:szCs w:val="24"/>
        </w:rPr>
        <w:t>et al</w:t>
      </w:r>
      <w:r w:rsidRPr="00AB2403">
        <w:rPr>
          <w:rFonts w:ascii="Times New Roman" w:hAnsi="Times New Roman"/>
          <w:sz w:val="24"/>
          <w:szCs w:val="24"/>
        </w:rPr>
        <w:t xml:space="preserve"> (2014), who found positive associations between nutrition knowledge and diet quality among university students. Likewise, </w:t>
      </w:r>
      <w:r w:rsidR="003734DA">
        <w:rPr>
          <w:rFonts w:ascii="Times New Roman" w:hAnsi="Times New Roman"/>
          <w:sz w:val="24"/>
          <w:szCs w:val="24"/>
        </w:rPr>
        <w:t>Berger</w:t>
      </w:r>
      <w:r w:rsidRPr="00AB2403">
        <w:rPr>
          <w:rFonts w:ascii="Times New Roman" w:hAnsi="Times New Roman"/>
          <w:sz w:val="24"/>
          <w:szCs w:val="24"/>
        </w:rPr>
        <w:t xml:space="preserve"> </w:t>
      </w:r>
      <w:r w:rsidR="00AB2403" w:rsidRPr="00AB2403">
        <w:rPr>
          <w:rFonts w:ascii="Times New Roman" w:hAnsi="Times New Roman"/>
          <w:i/>
          <w:iCs/>
          <w:sz w:val="24"/>
          <w:szCs w:val="24"/>
        </w:rPr>
        <w:t>et al</w:t>
      </w:r>
      <w:r w:rsidRPr="00AB2403">
        <w:rPr>
          <w:rFonts w:ascii="Times New Roman" w:hAnsi="Times New Roman"/>
          <w:sz w:val="24"/>
          <w:szCs w:val="24"/>
        </w:rPr>
        <w:t xml:space="preserve"> (2021) concluded that nutrition education significantly improves both nutrition knowledge and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across different population groups.</w:t>
      </w:r>
    </w:p>
    <w:p w14:paraId="1E7054BF" w14:textId="77777777" w:rsidR="00264071" w:rsidRDefault="00264071" w:rsidP="00AB2403">
      <w:pPr>
        <w:spacing w:after="0"/>
        <w:jc w:val="both"/>
        <w:rPr>
          <w:rFonts w:ascii="Times New Roman" w:hAnsi="Times New Roman"/>
          <w:sz w:val="24"/>
          <w:szCs w:val="24"/>
        </w:rPr>
      </w:pPr>
    </w:p>
    <w:p w14:paraId="35913627" w14:textId="77777777" w:rsidR="00264071" w:rsidRPr="00264071" w:rsidRDefault="00000000" w:rsidP="00264071">
      <w:pPr>
        <w:spacing w:after="0"/>
        <w:jc w:val="both"/>
        <w:rPr>
          <w:rFonts w:ascii="Times New Roman" w:hAnsi="Times New Roman"/>
          <w:b/>
          <w:bCs/>
          <w:sz w:val="24"/>
          <w:szCs w:val="24"/>
        </w:rPr>
      </w:pPr>
      <w:r w:rsidRPr="00264071">
        <w:rPr>
          <w:rFonts w:ascii="Times New Roman" w:hAnsi="Times New Roman"/>
          <w:b/>
          <w:bCs/>
          <w:sz w:val="24"/>
          <w:szCs w:val="24"/>
        </w:rPr>
        <w:t>Correlation Between Dietary Diversity and Micronutrient Status</w:t>
      </w:r>
    </w:p>
    <w:p w14:paraId="4BB270CE" w14:textId="42DA3663" w:rsidR="00036E72" w:rsidRPr="00264071" w:rsidRDefault="00036E72" w:rsidP="00264071">
      <w:pPr>
        <w:spacing w:after="0"/>
        <w:jc w:val="both"/>
        <w:rPr>
          <w:rFonts w:ascii="Times New Roman" w:hAnsi="Times New Roman"/>
          <w:sz w:val="24"/>
          <w:szCs w:val="24"/>
        </w:rPr>
      </w:pPr>
      <w:r w:rsidRPr="00264071">
        <w:rPr>
          <w:rFonts w:ascii="Times New Roman" w:hAnsi="Times New Roman"/>
          <w:color w:val="000000"/>
          <w:sz w:val="24"/>
          <w:szCs w:val="24"/>
        </w:rPr>
        <w:t xml:space="preserve">The positive correlations observed between dietary diversity and </w:t>
      </w:r>
      <w:proofErr w:type="spellStart"/>
      <w:r w:rsidRPr="00264071">
        <w:rPr>
          <w:rFonts w:ascii="Times New Roman" w:hAnsi="Times New Roman"/>
          <w:color w:val="000000"/>
          <w:sz w:val="24"/>
          <w:szCs w:val="24"/>
        </w:rPr>
        <w:t>haemoglobin</w:t>
      </w:r>
      <w:proofErr w:type="spellEnd"/>
      <w:r w:rsidRPr="00264071">
        <w:rPr>
          <w:rFonts w:ascii="Times New Roman" w:hAnsi="Times New Roman"/>
          <w:color w:val="000000"/>
          <w:sz w:val="24"/>
          <w:szCs w:val="24"/>
        </w:rPr>
        <w:t xml:space="preserve"> concentration, serum vitamin A, and serum zinc indicate that participants consuming more diverse diets achieved better micronutrient status</w:t>
      </w:r>
      <w:r w:rsidR="003210E4">
        <w:rPr>
          <w:rFonts w:ascii="Times New Roman" w:hAnsi="Times New Roman"/>
          <w:color w:val="000000"/>
          <w:sz w:val="24"/>
          <w:szCs w:val="24"/>
        </w:rPr>
        <w:t xml:space="preserve"> (table 1-4)</w:t>
      </w:r>
      <w:r w:rsidRPr="00264071">
        <w:rPr>
          <w:rFonts w:ascii="Times New Roman" w:hAnsi="Times New Roman"/>
          <w:color w:val="000000"/>
          <w:sz w:val="24"/>
          <w:szCs w:val="24"/>
        </w:rPr>
        <w:t>. Previous research has demonstrated associations between dietary diversity and micronutrient status, including indicators of iron, vitamin A, and zinc status (</w:t>
      </w:r>
      <w:proofErr w:type="spellStart"/>
      <w:r w:rsidRPr="00264071">
        <w:rPr>
          <w:rFonts w:ascii="Times New Roman" w:hAnsi="Times New Roman"/>
          <w:color w:val="000000"/>
          <w:sz w:val="24"/>
          <w:szCs w:val="24"/>
        </w:rPr>
        <w:t>Arimond</w:t>
      </w:r>
      <w:proofErr w:type="spellEnd"/>
      <w:r w:rsidRPr="00264071">
        <w:rPr>
          <w:rFonts w:ascii="Times New Roman" w:hAnsi="Times New Roman"/>
          <w:color w:val="000000"/>
          <w:sz w:val="24"/>
          <w:szCs w:val="24"/>
        </w:rPr>
        <w:t xml:space="preserve"> </w:t>
      </w:r>
      <w:r w:rsidRPr="00996AF0">
        <w:rPr>
          <w:rFonts w:ascii="Times New Roman" w:hAnsi="Times New Roman"/>
          <w:i/>
          <w:iCs/>
          <w:color w:val="000000"/>
          <w:sz w:val="24"/>
          <w:szCs w:val="24"/>
        </w:rPr>
        <w:t>et al.,</w:t>
      </w:r>
      <w:r w:rsidRPr="00264071">
        <w:rPr>
          <w:rFonts w:ascii="Times New Roman" w:hAnsi="Times New Roman"/>
          <w:color w:val="000000"/>
          <w:sz w:val="24"/>
          <w:szCs w:val="24"/>
        </w:rPr>
        <w:t xml:space="preserve"> 2016). Dietary diversity is also widely used as a proxy for micronutrient adequacy because consuming foods from multiple food groups increases the likelihood of obtaining a broader range of essential vitamins and minerals (Leroy </w:t>
      </w:r>
      <w:r w:rsidRPr="00996AF0">
        <w:rPr>
          <w:rFonts w:ascii="Times New Roman" w:hAnsi="Times New Roman"/>
          <w:i/>
          <w:iCs/>
          <w:color w:val="000000"/>
          <w:sz w:val="24"/>
          <w:szCs w:val="24"/>
        </w:rPr>
        <w:t>et al.,</w:t>
      </w:r>
      <w:r w:rsidRPr="00264071">
        <w:rPr>
          <w:rFonts w:ascii="Times New Roman" w:hAnsi="Times New Roman"/>
          <w:color w:val="000000"/>
          <w:sz w:val="24"/>
          <w:szCs w:val="24"/>
        </w:rPr>
        <w:t xml:space="preserve"> 2020). More recently, Passarelli et al. (2024) demonstrated that inadequate intake of essential micronutrients remains a major global nutritional challenge, with substantial inadequacies reported for nutrients including iron, zinc, vitamin A, and folate.</w:t>
      </w:r>
    </w:p>
    <w:p w14:paraId="1238E88E" w14:textId="0D38CEC2"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findings therefore reinforce current recommendations encouraging regular consumption of cereals, legumes, fruits, vegetables, animal-source foods, and dairy products to ensure adequate micronutrient intake </w:t>
      </w:r>
      <w:r>
        <w:rPr>
          <w:rFonts w:ascii="Times New Roman" w:hAnsi="Times New Roman"/>
          <w:color w:val="000000"/>
          <w:sz w:val="24"/>
          <w:szCs w:val="24"/>
        </w:rPr>
        <w:t>(WHO, 20</w:t>
      </w:r>
      <w:r w:rsidR="00475ACB">
        <w:rPr>
          <w:rFonts w:ascii="Times New Roman" w:hAnsi="Times New Roman"/>
          <w:color w:val="000000"/>
          <w:sz w:val="24"/>
          <w:szCs w:val="24"/>
        </w:rPr>
        <w:t>23; FAO, 2024</w:t>
      </w:r>
      <w:r>
        <w:rPr>
          <w:rFonts w:ascii="Times New Roman" w:hAnsi="Times New Roman"/>
          <w:color w:val="000000"/>
          <w:sz w:val="24"/>
          <w:szCs w:val="24"/>
        </w:rPr>
        <w:t>).</w:t>
      </w:r>
    </w:p>
    <w:p w14:paraId="249849D9" w14:textId="77777777" w:rsidR="008A65A0" w:rsidRDefault="008A65A0" w:rsidP="00AB2403">
      <w:pPr>
        <w:spacing w:after="0"/>
        <w:jc w:val="both"/>
        <w:rPr>
          <w:rFonts w:ascii="Times New Roman" w:hAnsi="Times New Roman"/>
          <w:b/>
          <w:bCs/>
          <w:sz w:val="24"/>
          <w:szCs w:val="24"/>
        </w:rPr>
      </w:pPr>
    </w:p>
    <w:p w14:paraId="5379F848" w14:textId="77777777" w:rsidR="008A65A0" w:rsidRDefault="008A65A0" w:rsidP="00AB2403">
      <w:pPr>
        <w:spacing w:after="0"/>
        <w:jc w:val="both"/>
        <w:rPr>
          <w:rFonts w:ascii="Times New Roman" w:hAnsi="Times New Roman"/>
          <w:b/>
          <w:bCs/>
          <w:sz w:val="24"/>
          <w:szCs w:val="24"/>
        </w:rPr>
      </w:pPr>
    </w:p>
    <w:p w14:paraId="14B178F2" w14:textId="77777777" w:rsidR="008A65A0" w:rsidRDefault="008A65A0" w:rsidP="00AB2403">
      <w:pPr>
        <w:spacing w:after="0"/>
        <w:jc w:val="both"/>
        <w:rPr>
          <w:rFonts w:ascii="Times New Roman" w:hAnsi="Times New Roman"/>
          <w:b/>
          <w:bCs/>
          <w:sz w:val="24"/>
          <w:szCs w:val="24"/>
        </w:rPr>
      </w:pPr>
    </w:p>
    <w:p w14:paraId="6B99CEBE" w14:textId="0936C1B2"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Predictors of Improved Micronutrient Status</w:t>
      </w:r>
    </w:p>
    <w:p w14:paraId="57606A95" w14:textId="6CC7DBAC"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Multiple linear regression analysis demonstrated that attendance at nutrition education sessions, compliance with micronutrient supplementation, and dietary diversity were significant predictors of improved micronutrient status</w:t>
      </w:r>
      <w:r w:rsidR="00B23001">
        <w:rPr>
          <w:rFonts w:ascii="Times New Roman" w:hAnsi="Times New Roman"/>
          <w:sz w:val="24"/>
          <w:szCs w:val="24"/>
        </w:rPr>
        <w:t xml:space="preserve"> (table 4)</w:t>
      </w:r>
      <w:r w:rsidRPr="00AB2403">
        <w:rPr>
          <w:rFonts w:ascii="Times New Roman" w:hAnsi="Times New Roman"/>
          <w:sz w:val="24"/>
          <w:szCs w:val="24"/>
        </w:rPr>
        <w:t>. These variables collectively explained approximately 62% of the variation observed in nutritional outcomes.</w:t>
      </w:r>
    </w:p>
    <w:p w14:paraId="0E99AEE6" w14:textId="64513CC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This finding indicates that </w:t>
      </w:r>
      <w:proofErr w:type="spellStart"/>
      <w:r w:rsidRPr="00AB2403">
        <w:rPr>
          <w:rFonts w:ascii="Times New Roman" w:hAnsi="Times New Roman"/>
          <w:sz w:val="24"/>
          <w:szCs w:val="24"/>
        </w:rPr>
        <w:t>behavioural</w:t>
      </w:r>
      <w:proofErr w:type="spellEnd"/>
      <w:r w:rsidRPr="00AB2403">
        <w:rPr>
          <w:rFonts w:ascii="Times New Roman" w:hAnsi="Times New Roman"/>
          <w:sz w:val="24"/>
          <w:szCs w:val="24"/>
        </w:rPr>
        <w:t xml:space="preserve"> interventions and supplementation are complementary rather than independent strategies. Nutrition education equips individuals with the knowledge </w:t>
      </w:r>
      <w:r w:rsidRPr="00AB2403">
        <w:rPr>
          <w:rFonts w:ascii="Times New Roman" w:hAnsi="Times New Roman"/>
          <w:sz w:val="24"/>
          <w:szCs w:val="24"/>
        </w:rPr>
        <w:lastRenderedPageBreak/>
        <w:t xml:space="preserve">required to make healthier food choices, while supplementation provides immediate correction of existing nutrient deficiencies (Bhutta </w:t>
      </w:r>
      <w:r w:rsidR="00AB2403" w:rsidRPr="00AB2403">
        <w:rPr>
          <w:rFonts w:ascii="Times New Roman" w:hAnsi="Times New Roman"/>
          <w:i/>
          <w:iCs/>
          <w:sz w:val="24"/>
          <w:szCs w:val="24"/>
        </w:rPr>
        <w:t>et al</w:t>
      </w:r>
      <w:r w:rsidRPr="00AB2403">
        <w:rPr>
          <w:rFonts w:ascii="Times New Roman" w:hAnsi="Times New Roman"/>
          <w:sz w:val="24"/>
          <w:szCs w:val="24"/>
        </w:rPr>
        <w:t xml:space="preserve">, 2013; Berger </w:t>
      </w:r>
      <w:r w:rsidR="00AB2403" w:rsidRPr="00AB2403">
        <w:rPr>
          <w:rFonts w:ascii="Times New Roman" w:hAnsi="Times New Roman"/>
          <w:i/>
          <w:iCs/>
          <w:sz w:val="24"/>
          <w:szCs w:val="24"/>
        </w:rPr>
        <w:t>et al</w:t>
      </w:r>
      <w:r w:rsidRPr="00AB2403">
        <w:rPr>
          <w:rFonts w:ascii="Times New Roman" w:hAnsi="Times New Roman"/>
          <w:sz w:val="24"/>
          <w:szCs w:val="24"/>
        </w:rPr>
        <w:t>, 2022).</w:t>
      </w:r>
    </w:p>
    <w:p w14:paraId="3A3F1B3E"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significant contribution of dietary diversity further emphasizes the importance of food-based approaches in addressing micronutrient deficiencies. Food-based strategies provide a sustainable means of improving nutritional status because they encourage lifelong healthy eating habits rather than dependence on supplementation alone (Ruel &amp; Alderman, 2013).</w:t>
      </w:r>
    </w:p>
    <w:p w14:paraId="5D6139B3" w14:textId="77777777" w:rsidR="00264071" w:rsidRDefault="00264071" w:rsidP="00AB2403">
      <w:pPr>
        <w:spacing w:after="0"/>
        <w:jc w:val="both"/>
        <w:rPr>
          <w:rFonts w:ascii="Times New Roman" w:hAnsi="Times New Roman"/>
          <w:b/>
          <w:bCs/>
          <w:sz w:val="24"/>
          <w:szCs w:val="24"/>
        </w:rPr>
      </w:pPr>
    </w:p>
    <w:p w14:paraId="3163BAB1" w14:textId="62B1E313"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Public Health Implications</w:t>
      </w:r>
    </w:p>
    <w:p w14:paraId="7F0577D3" w14:textId="0479F376"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findings of this study have important implications for institutional health promotion and nutrition policy. Integrating nutrition education into routine student orientation programs, staff wellness initiatives, and institutional health services could substantially improve dietary practices and reduce the burden of micronutrient deficiencies.</w:t>
      </w:r>
    </w:p>
    <w:p w14:paraId="248CB472"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Routine nutritional screening, dietary counselling, and periodic micronutrient supplementation for at-risk groups may further improve health outcomes, productivity, and academic performance. Such interventions also align with the objectives of the National Policy on Food and Nutrition in Nigeria (Federal Ministry of Health Nigeria, 2021) and contribute towards achieving Sustainable Development Goal 2 (Zero Hunger) and Sustainable Development Goal 3 (Good Health and Well-being) (United Nations, 2023).</w:t>
      </w:r>
    </w:p>
    <w:p w14:paraId="43DC6CA9" w14:textId="0D5E273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Generally, the findings support the growing body of evidence indicating that combined nutrition education and micronutrient supplementation constitute an effective, practical, and sustainable strategy for improving nutritional status in tertiary institutions and similar settings.</w:t>
      </w:r>
    </w:p>
    <w:p w14:paraId="28C92A29" w14:textId="77777777" w:rsidR="008D1618" w:rsidRDefault="008D1618" w:rsidP="00AB2403">
      <w:pPr>
        <w:spacing w:after="0"/>
        <w:jc w:val="both"/>
        <w:rPr>
          <w:rFonts w:ascii="Times New Roman" w:hAnsi="Times New Roman"/>
          <w:b/>
          <w:bCs/>
          <w:sz w:val="24"/>
          <w:szCs w:val="24"/>
        </w:rPr>
      </w:pPr>
    </w:p>
    <w:p w14:paraId="37F970CB" w14:textId="6A86B7E0"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Conclusion</w:t>
      </w:r>
    </w:p>
    <w:p w14:paraId="0DD96D3E"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This study demonstrated that nutrition education combined with micronutrient supplementation significantly improved the nutritional status of staff and students of Federal Polytechnic Kabo. Nutrition knowledge scores increased from 46.8 ± 11.2 at baseline to 82.4 ± 7.8 after the 12-week intervention (p &lt; 0.001). Daily fruit and vegetable consumption increased from 35.0% to 74.0% and 39.0% to 76.0%, respectively, while frequent consumption of fast foods and sugar-sweetened beverages declined significantly (p &lt; 0.05). Mean daily intakes of protein, iron, vitamin A, and zinc also improved significantly following the intervention.</w:t>
      </w:r>
    </w:p>
    <w:p w14:paraId="694088E9" w14:textId="77777777" w:rsidR="008E216E"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Similarly, anthropometric indicators showed modest but significant improvements, with mean BMI decreasing from 25.3 ± 3.5 kg/m² to 24.6 ± 3.2 kg/m² and waist circumference reducing from 88.1 ± 8.6 cm to 84.9 ± 8.0 cm (p &lt; 0.05). Biochemical assessment further revealed significant improvements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(11.5 ± 1.3 to 13.1 ± 1.1 g/dL), serum vitamin A (27.8 ± 5.4 to 35.7 ± 4.9 µg/dL), serum iron (60.5 ± 11.7 to 82.6 ± 12.1 µg/dL), and serum zinc (71.2 ± 8.4 to 89.8 ± 8.2 µg/dL) (all p &lt; 0.001). Multiple linear regression analysis identified nutrition education attendance (β = 0.486, p &lt; 0.001), supplement compliance (β = 0.391, p &lt; 0.001), and dietary diversity (β = 0.317, p &lt; 0.001) as significant predictors of improved micronutrient status.</w:t>
      </w:r>
    </w:p>
    <w:p w14:paraId="1D5C1BA9" w14:textId="77777777" w:rsidR="008D1618" w:rsidRDefault="008D1618" w:rsidP="00AB2403">
      <w:pPr>
        <w:spacing w:after="0"/>
        <w:jc w:val="both"/>
        <w:rPr>
          <w:rFonts w:ascii="Times New Roman" w:hAnsi="Times New Roman"/>
          <w:sz w:val="24"/>
          <w:szCs w:val="24"/>
        </w:rPr>
      </w:pPr>
    </w:p>
    <w:p w14:paraId="5072EE8D" w14:textId="22DCCBBB" w:rsidR="008D1618" w:rsidRPr="008D1618" w:rsidRDefault="008D1618" w:rsidP="00AB2403">
      <w:pPr>
        <w:spacing w:after="0"/>
        <w:jc w:val="both"/>
        <w:rPr>
          <w:rFonts w:ascii="Times New Roman" w:hAnsi="Times New Roman"/>
          <w:b/>
          <w:bCs/>
          <w:sz w:val="24"/>
          <w:szCs w:val="24"/>
        </w:rPr>
      </w:pPr>
      <w:r w:rsidRPr="008D1618">
        <w:rPr>
          <w:rFonts w:ascii="Times New Roman" w:hAnsi="Times New Roman"/>
          <w:b/>
          <w:bCs/>
          <w:sz w:val="24"/>
          <w:szCs w:val="24"/>
        </w:rPr>
        <w:lastRenderedPageBreak/>
        <w:t>Recommendation</w:t>
      </w:r>
    </w:p>
    <w:p w14:paraId="5650586E" w14:textId="6DC1548E" w:rsidR="008E216E" w:rsidRDefault="00000000" w:rsidP="00AB2403">
      <w:pPr>
        <w:spacing w:after="0"/>
        <w:jc w:val="both"/>
        <w:rPr>
          <w:rFonts w:ascii="Times New Roman" w:hAnsi="Times New Roman"/>
          <w:sz w:val="24"/>
          <w:szCs w:val="24"/>
        </w:rPr>
      </w:pPr>
      <w:r w:rsidRPr="00AB2403">
        <w:rPr>
          <w:rFonts w:ascii="Times New Roman" w:hAnsi="Times New Roman"/>
          <w:sz w:val="24"/>
          <w:szCs w:val="24"/>
        </w:rPr>
        <w:t>Based on these findings, it is recommended that tertiary institutions institutionalize nutrition education programs, promote healthy dietary practices through campus nutrition policies, and implement periodic nutritional screening and targeted micronutrient supplementation for at-risk groups. Future studies should involve larger populations, multiple institutions, and longer follow-up periods to assess the long-term sustainability and generalizability of these interventions.</w:t>
      </w:r>
    </w:p>
    <w:p w14:paraId="2CD5C559" w14:textId="62845493" w:rsidR="007D55DA" w:rsidRDefault="007D55DA" w:rsidP="00AB2403">
      <w:pPr>
        <w:spacing w:after="0"/>
        <w:jc w:val="both"/>
        <w:rPr>
          <w:rFonts w:ascii="Times New Roman" w:hAnsi="Times New Roman"/>
          <w:sz w:val="24"/>
          <w:szCs w:val="24"/>
        </w:rPr>
      </w:pPr>
    </w:p>
    <w:p w14:paraId="33A8F1BC" w14:textId="77777777" w:rsidR="00D12757" w:rsidRDefault="00D12757" w:rsidP="00AB2403">
      <w:pPr>
        <w:spacing w:after="0"/>
        <w:jc w:val="both"/>
        <w:rPr>
          <w:rFonts w:ascii="Times New Roman" w:hAnsi="Times New Roman"/>
          <w:sz w:val="24"/>
          <w:szCs w:val="24"/>
        </w:rPr>
      </w:pPr>
    </w:p>
    <w:p w14:paraId="4526814D" w14:textId="77777777" w:rsidR="00D45D6F" w:rsidRDefault="00D45D6F" w:rsidP="00D45D6F">
      <w:pPr>
        <w:spacing w:after="0" w:line="240" w:lineRule="auto"/>
        <w:rPr>
          <w:rFonts w:ascii="Times New Roman" w:hAnsi="Times New Roman"/>
          <w:b/>
        </w:rPr>
      </w:pPr>
      <w:r w:rsidRPr="000839CE">
        <w:rPr>
          <w:rFonts w:ascii="Times New Roman" w:hAnsi="Times New Roman"/>
          <w:b/>
        </w:rPr>
        <w:t>Declaration of AI Use</w:t>
      </w:r>
    </w:p>
    <w:p w14:paraId="713B3D36" w14:textId="77777777" w:rsidR="00D45D6F" w:rsidRDefault="00D45D6F" w:rsidP="00D45D6F">
      <w:pPr>
        <w:spacing w:after="0" w:line="240" w:lineRule="auto"/>
        <w:rPr>
          <w:rFonts w:ascii="Times New Roman" w:hAnsi="Times New Roman"/>
          <w:b/>
        </w:rPr>
      </w:pPr>
    </w:p>
    <w:p w14:paraId="08A84372" w14:textId="77777777" w:rsidR="00D45D6F" w:rsidRDefault="00D45D6F" w:rsidP="00D45D6F">
      <w:pPr>
        <w:spacing w:after="0" w:line="240" w:lineRule="auto"/>
        <w:rPr>
          <w:rFonts w:ascii="Times New Roman" w:hAnsi="Times New Roman"/>
          <w:b/>
        </w:rPr>
      </w:pPr>
    </w:p>
    <w:p w14:paraId="3A302596" w14:textId="77777777" w:rsidR="00D45D6F" w:rsidRDefault="00D45D6F" w:rsidP="00D45D6F">
      <w:pPr>
        <w:spacing w:after="0" w:line="240" w:lineRule="auto"/>
        <w:rPr>
          <w:rFonts w:ascii="Times New Roman" w:hAnsi="Times New Roman"/>
          <w:b/>
        </w:rPr>
      </w:pPr>
    </w:p>
    <w:p w14:paraId="641EB5AB" w14:textId="77777777" w:rsidR="00D45D6F" w:rsidRPr="002D08AC" w:rsidRDefault="00D45D6F" w:rsidP="00D45D6F">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D28AE0" w14:textId="77777777" w:rsidR="00D45D6F" w:rsidRDefault="00D45D6F" w:rsidP="00AB2403">
      <w:pPr>
        <w:spacing w:after="0"/>
        <w:jc w:val="both"/>
        <w:rPr>
          <w:rFonts w:ascii="Times New Roman" w:hAnsi="Times New Roman"/>
          <w:sz w:val="24"/>
          <w:szCs w:val="24"/>
        </w:rPr>
      </w:pPr>
    </w:p>
    <w:p w14:paraId="2AF5BCC3" w14:textId="77777777" w:rsidR="007148B1" w:rsidRDefault="007148B1" w:rsidP="007148B1">
      <w:pPr>
        <w:spacing w:after="0"/>
        <w:jc w:val="both"/>
        <w:rPr>
          <w:rFonts w:ascii="Times New Roman" w:hAnsi="Times New Roman"/>
          <w:b/>
          <w:bCs/>
          <w:sz w:val="24"/>
          <w:szCs w:val="24"/>
        </w:rPr>
      </w:pPr>
      <w:r w:rsidRPr="00D12757">
        <w:rPr>
          <w:rFonts w:ascii="Times New Roman" w:hAnsi="Times New Roman"/>
          <w:b/>
          <w:bCs/>
          <w:sz w:val="24"/>
          <w:szCs w:val="24"/>
        </w:rPr>
        <w:t xml:space="preserve">References </w:t>
      </w:r>
    </w:p>
    <w:p w14:paraId="305743DB" w14:textId="77777777" w:rsidR="007148B1" w:rsidRPr="009F20FE" w:rsidRDefault="007148B1" w:rsidP="004D6E4E">
      <w:pPr>
        <w:pStyle w:val="pdq2pgselectionanchorcontainer"/>
        <w:jc w:val="both"/>
        <w:rPr>
          <w:color w:val="000000"/>
        </w:rPr>
      </w:pPr>
      <w:proofErr w:type="spellStart"/>
      <w:r w:rsidRPr="008A65A0">
        <w:rPr>
          <w:color w:val="000000"/>
        </w:rPr>
        <w:t>Arimond</w:t>
      </w:r>
      <w:proofErr w:type="spellEnd"/>
      <w:r w:rsidRPr="008A65A0">
        <w:rPr>
          <w:color w:val="000000"/>
        </w:rPr>
        <w:t xml:space="preserve">, M., </w:t>
      </w:r>
      <w:proofErr w:type="spellStart"/>
      <w:r w:rsidRPr="008A65A0">
        <w:rPr>
          <w:color w:val="000000"/>
        </w:rPr>
        <w:t>Vosti</w:t>
      </w:r>
      <w:proofErr w:type="spellEnd"/>
      <w:r w:rsidRPr="008A65A0">
        <w:rPr>
          <w:color w:val="000000"/>
        </w:rPr>
        <w:t xml:space="preserve">, S. A., </w:t>
      </w:r>
      <w:proofErr w:type="spellStart"/>
      <w:r w:rsidRPr="008A65A0">
        <w:rPr>
          <w:color w:val="000000"/>
        </w:rPr>
        <w:t>Muehlhoff</w:t>
      </w:r>
      <w:proofErr w:type="spellEnd"/>
      <w:r w:rsidRPr="008A65A0">
        <w:rPr>
          <w:color w:val="000000"/>
        </w:rPr>
        <w:t>, E., &amp; others. (2016). Associations of dietary diversity scores and micronutrient status in adolescent Mozambican girls.</w:t>
      </w:r>
      <w:r w:rsidRPr="008A65A0">
        <w:rPr>
          <w:rStyle w:val="apple-converted-space"/>
          <w:color w:val="000000"/>
        </w:rPr>
        <w:t> </w:t>
      </w:r>
      <w:r w:rsidRPr="008A65A0">
        <w:rPr>
          <w:rStyle w:val="Emphasis"/>
          <w:color w:val="000000"/>
        </w:rPr>
        <w:t>European Journal of Clinical Nutrition, 70</w:t>
      </w:r>
      <w:r w:rsidRPr="008A65A0">
        <w:rPr>
          <w:color w:val="000000"/>
        </w:rPr>
        <w:t>, 916–922.</w:t>
      </w:r>
      <w:r w:rsidRPr="008A65A0">
        <w:rPr>
          <w:rStyle w:val="apple-converted-space"/>
          <w:color w:val="000000"/>
        </w:rPr>
        <w:t> </w:t>
      </w:r>
      <w:hyperlink r:id="rId6" w:history="1">
        <w:r w:rsidRPr="00FB1048">
          <w:rPr>
            <w:rStyle w:val="Hyperlink"/>
          </w:rPr>
          <w:t>https://doi.org/10.1038/ejcn.2016.40</w:t>
        </w:r>
      </w:hyperlink>
      <w:r w:rsidRPr="008A65A0">
        <w:rPr>
          <w:color w:val="000000"/>
        </w:rPr>
        <w:t>.</w:t>
      </w:r>
      <w:r>
        <w:rPr>
          <w:rStyle w:val="apple-converted-space"/>
          <w:color w:val="000000"/>
        </w:rPr>
        <w:t xml:space="preserve"> </w:t>
      </w:r>
    </w:p>
    <w:p w14:paraId="1ED2F92F" w14:textId="77777777" w:rsidR="007148B1" w:rsidRPr="00AB2403"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Bailey, R. L., West, K. P., Jr., &amp; Black, R. E. (2015). The epidemiology of global micronutrient deficiencies. Annals of Nutrition and Metabolism, 66(Suppl. 2), 22–33. </w:t>
      </w:r>
      <w:hyperlink r:id="rId7" w:history="1">
        <w:r w:rsidRPr="00FB1048">
          <w:rPr>
            <w:rStyle w:val="Hyperlink"/>
            <w:rFonts w:ascii="Times New Roman" w:hAnsi="Times New Roman"/>
            <w:sz w:val="24"/>
            <w:szCs w:val="24"/>
          </w:rPr>
          <w:t>https://doi.org/10.1159/000371618</w:t>
        </w:r>
      </w:hyperlink>
      <w:r>
        <w:rPr>
          <w:rFonts w:ascii="Times New Roman" w:hAnsi="Times New Roman"/>
          <w:sz w:val="24"/>
          <w:szCs w:val="24"/>
        </w:rPr>
        <w:t xml:space="preserve"> </w:t>
      </w:r>
    </w:p>
    <w:p w14:paraId="1EAE44A3" w14:textId="77777777" w:rsidR="007148B1" w:rsidRPr="00AB2403" w:rsidRDefault="007148B1" w:rsidP="007148B1">
      <w:pPr>
        <w:spacing w:after="0"/>
        <w:jc w:val="both"/>
        <w:rPr>
          <w:rFonts w:ascii="Times New Roman" w:hAnsi="Times New Roman"/>
          <w:sz w:val="24"/>
          <w:szCs w:val="24"/>
        </w:rPr>
      </w:pPr>
    </w:p>
    <w:p w14:paraId="1E8BDC69" w14:textId="77777777" w:rsidR="007148B1" w:rsidRPr="00AB2403"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Berger, M. M., Shenkin, A., </w:t>
      </w:r>
      <w:proofErr w:type="spellStart"/>
      <w:r w:rsidRPr="00AB2403">
        <w:rPr>
          <w:rFonts w:ascii="Times New Roman" w:hAnsi="Times New Roman"/>
          <w:sz w:val="24"/>
          <w:szCs w:val="24"/>
        </w:rPr>
        <w:t>Schweinlin</w:t>
      </w:r>
      <w:proofErr w:type="spellEnd"/>
      <w:r w:rsidRPr="00AB2403">
        <w:rPr>
          <w:rFonts w:ascii="Times New Roman" w:hAnsi="Times New Roman"/>
          <w:sz w:val="24"/>
          <w:szCs w:val="24"/>
        </w:rPr>
        <w:t>, A., Amrein, K., Augsburger, M., Biesalski, H. K., Bischoff, S. C.,</w:t>
      </w:r>
      <w:r>
        <w:rPr>
          <w:rFonts w:ascii="Times New Roman" w:hAnsi="Times New Roman"/>
          <w:sz w:val="24"/>
          <w:szCs w:val="24"/>
        </w:rPr>
        <w:t xml:space="preserve"> </w:t>
      </w:r>
      <w:r w:rsidRPr="00AB2403">
        <w:rPr>
          <w:rFonts w:ascii="Times New Roman" w:hAnsi="Times New Roman"/>
          <w:sz w:val="24"/>
          <w:szCs w:val="24"/>
        </w:rPr>
        <w:t xml:space="preserve">(2022). ESPEN micronutrient guideline. Clinical Nutrition, 41(6), 1357–1424. </w:t>
      </w:r>
      <w:hyperlink r:id="rId8" w:history="1">
        <w:r w:rsidRPr="00FB1048">
          <w:rPr>
            <w:rStyle w:val="Hyperlink"/>
            <w:rFonts w:ascii="Times New Roman" w:hAnsi="Times New Roman"/>
            <w:sz w:val="24"/>
            <w:szCs w:val="24"/>
          </w:rPr>
          <w:t>https://doi.org/10.1016/j.clnu.2022.02.015</w:t>
        </w:r>
      </w:hyperlink>
      <w:r>
        <w:rPr>
          <w:rFonts w:ascii="Times New Roman" w:hAnsi="Times New Roman"/>
          <w:sz w:val="24"/>
          <w:szCs w:val="24"/>
        </w:rPr>
        <w:t xml:space="preserve"> </w:t>
      </w:r>
    </w:p>
    <w:p w14:paraId="76936EA6" w14:textId="77777777" w:rsidR="007148B1" w:rsidRPr="00AB2403" w:rsidRDefault="007148B1" w:rsidP="007148B1">
      <w:pPr>
        <w:spacing w:after="0"/>
        <w:jc w:val="both"/>
        <w:rPr>
          <w:rFonts w:ascii="Times New Roman" w:hAnsi="Times New Roman"/>
          <w:sz w:val="24"/>
          <w:szCs w:val="24"/>
        </w:rPr>
      </w:pPr>
    </w:p>
    <w:p w14:paraId="1108D397"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Bhutta, Z. A., Das, J. K., Rizvi, A., Gaffey, M. F., Walker, N., Horton, S., Webb, P., Lartey, A., &amp; Black, R. E. (2013). Evidence-based interventions for improvement of maternal and child nutrition: What can be done and at what cost? The Lancet, 382(9890), 452–477. </w:t>
      </w:r>
      <w:hyperlink r:id="rId9" w:history="1">
        <w:r w:rsidRPr="00084B9E">
          <w:rPr>
            <w:rStyle w:val="Hyperlink"/>
            <w:rFonts w:ascii="Times New Roman" w:hAnsi="Times New Roman"/>
            <w:sz w:val="24"/>
            <w:szCs w:val="24"/>
          </w:rPr>
          <w:t>https://doi.org/10.1016/S0140-6736(13)60996-4</w:t>
        </w:r>
      </w:hyperlink>
    </w:p>
    <w:p w14:paraId="1AA9EFF2" w14:textId="77777777" w:rsidR="007148B1" w:rsidRPr="00AB2403" w:rsidRDefault="007148B1" w:rsidP="007148B1">
      <w:pPr>
        <w:spacing w:after="0"/>
        <w:jc w:val="both"/>
        <w:rPr>
          <w:rFonts w:ascii="Times New Roman" w:hAnsi="Times New Roman"/>
          <w:sz w:val="24"/>
          <w:szCs w:val="24"/>
        </w:rPr>
      </w:pPr>
    </w:p>
    <w:p w14:paraId="0466D136"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Black, R. E., Victora, C. G., Walker, S. P., Bhutta, Z. A., Christian, P., de Onis, M., </w:t>
      </w:r>
      <w:r w:rsidRPr="00AB2403">
        <w:rPr>
          <w:rFonts w:ascii="Times New Roman" w:hAnsi="Times New Roman"/>
          <w:i/>
          <w:iCs/>
          <w:sz w:val="24"/>
          <w:szCs w:val="24"/>
        </w:rPr>
        <w:t>et al</w:t>
      </w:r>
      <w:r w:rsidRPr="00AB2403">
        <w:rPr>
          <w:rFonts w:ascii="Times New Roman" w:hAnsi="Times New Roman"/>
          <w:sz w:val="24"/>
          <w:szCs w:val="24"/>
        </w:rPr>
        <w:t xml:space="preserve"> (2013). </w:t>
      </w:r>
    </w:p>
    <w:p w14:paraId="7774C43A"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Maternal and child undernutrition and overweight in low-income and middle-income countries. The Lancet, 382(9890), 427–451. </w:t>
      </w:r>
      <w:hyperlink r:id="rId10" w:history="1">
        <w:r w:rsidRPr="00084B9E">
          <w:rPr>
            <w:rStyle w:val="Hyperlink"/>
            <w:rFonts w:ascii="Times New Roman" w:hAnsi="Times New Roman"/>
            <w:sz w:val="24"/>
            <w:szCs w:val="24"/>
          </w:rPr>
          <w:t>https://doi.org/10.1016/S0140-6736(13)60937-X</w:t>
        </w:r>
      </w:hyperlink>
    </w:p>
    <w:p w14:paraId="5598ED70" w14:textId="77777777" w:rsidR="007148B1" w:rsidRPr="008A65A0" w:rsidRDefault="007148B1" w:rsidP="007148B1">
      <w:pPr>
        <w:pStyle w:val="pdq2pgselectionanchorcontainer"/>
        <w:rPr>
          <w:color w:val="000000"/>
        </w:rPr>
      </w:pPr>
      <w:r w:rsidRPr="008A65A0">
        <w:rPr>
          <w:color w:val="000000"/>
        </w:rPr>
        <w:t>Cena, H., &amp; Calder, P. C. (2020). Defining a healthy diet: Evidence for the role of contemporary dietary patterns in health and disease.</w:t>
      </w:r>
      <w:r w:rsidRPr="008A65A0">
        <w:rPr>
          <w:rStyle w:val="apple-converted-space"/>
          <w:color w:val="000000"/>
        </w:rPr>
        <w:t> </w:t>
      </w:r>
      <w:r w:rsidRPr="008A65A0">
        <w:rPr>
          <w:rStyle w:val="Emphasis"/>
          <w:color w:val="000000"/>
        </w:rPr>
        <w:t>Nutrients, 12</w:t>
      </w:r>
      <w:r w:rsidRPr="008A65A0">
        <w:rPr>
          <w:color w:val="000000"/>
        </w:rPr>
        <w:t>(2), 334.</w:t>
      </w:r>
      <w:r w:rsidRPr="008A65A0">
        <w:rPr>
          <w:rStyle w:val="apple-converted-space"/>
          <w:color w:val="000000"/>
        </w:rPr>
        <w:t> </w:t>
      </w:r>
      <w:hyperlink r:id="rId11" w:tgtFrame="_new" w:history="1">
        <w:r w:rsidRPr="008A65A0">
          <w:rPr>
            <w:rStyle w:val="Hyperlink"/>
          </w:rPr>
          <w:t>https://doi.org/10.3390/nu12020334</w:t>
        </w:r>
      </w:hyperlink>
    </w:p>
    <w:p w14:paraId="66D9D201" w14:textId="77777777" w:rsidR="007148B1" w:rsidRPr="009F20FE" w:rsidRDefault="007148B1" w:rsidP="007148B1">
      <w:pPr>
        <w:spacing w:after="0"/>
        <w:jc w:val="both"/>
        <w:rPr>
          <w:rFonts w:ascii="Times New Roman" w:hAnsi="Times New Roman"/>
          <w:color w:val="000000"/>
          <w:sz w:val="24"/>
          <w:szCs w:val="24"/>
        </w:rPr>
      </w:pPr>
      <w:r w:rsidRPr="008A65A0">
        <w:rPr>
          <w:rFonts w:ascii="Times New Roman" w:hAnsi="Times New Roman"/>
          <w:color w:val="000000"/>
          <w:sz w:val="24"/>
          <w:szCs w:val="24"/>
        </w:rPr>
        <w:lastRenderedPageBreak/>
        <w:t>Contento, I. R. (2016).</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Nutrition education: Linking research, theory, and practice</w:t>
      </w:r>
      <w:r w:rsidRPr="008A65A0">
        <w:rPr>
          <w:rStyle w:val="apple-converted-space"/>
          <w:rFonts w:ascii="Times New Roman" w:hAnsi="Times New Roman"/>
          <w:color w:val="000000"/>
          <w:sz w:val="24"/>
          <w:szCs w:val="24"/>
        </w:rPr>
        <w:t> </w:t>
      </w:r>
      <w:r w:rsidRPr="008A65A0">
        <w:rPr>
          <w:rFonts w:ascii="Times New Roman" w:hAnsi="Times New Roman"/>
          <w:color w:val="000000"/>
          <w:sz w:val="24"/>
          <w:szCs w:val="24"/>
        </w:rPr>
        <w:t>(3rd ed.). Jones &amp; Bartlett Learning.</w:t>
      </w:r>
      <w:r w:rsidRPr="008A65A0">
        <w:rPr>
          <w:rStyle w:val="apple-converted-space"/>
          <w:rFonts w:ascii="Times New Roman" w:hAnsi="Times New Roman"/>
          <w:color w:val="000000"/>
          <w:sz w:val="24"/>
          <w:szCs w:val="24"/>
        </w:rPr>
        <w:t> </w:t>
      </w:r>
    </w:p>
    <w:p w14:paraId="4D5A54EB" w14:textId="77777777" w:rsidR="007148B1" w:rsidRDefault="007148B1" w:rsidP="007148B1">
      <w:pPr>
        <w:spacing w:after="0"/>
        <w:jc w:val="both"/>
        <w:rPr>
          <w:rFonts w:ascii="Times New Roman" w:hAnsi="Times New Roman"/>
          <w:sz w:val="24"/>
          <w:szCs w:val="24"/>
        </w:rPr>
      </w:pPr>
    </w:p>
    <w:p w14:paraId="1D788C12"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Contento, I. R. (2020). Nutrition education: Linking research, theory, and practice (4th ed.). Jones &amp; Bartlett Learning.</w:t>
      </w:r>
    </w:p>
    <w:p w14:paraId="34A25A11" w14:textId="77777777" w:rsidR="007148B1" w:rsidRPr="008A65A0" w:rsidRDefault="007148B1" w:rsidP="007148B1">
      <w:pPr>
        <w:spacing w:after="0"/>
        <w:jc w:val="both"/>
        <w:rPr>
          <w:rStyle w:val="apple-converted-space"/>
          <w:rFonts w:ascii="Times New Roman" w:hAnsi="Times New Roman"/>
          <w:sz w:val="24"/>
          <w:szCs w:val="24"/>
        </w:rPr>
      </w:pPr>
    </w:p>
    <w:p w14:paraId="53661B9C" w14:textId="77777777" w:rsidR="007148B1" w:rsidRPr="009F20FE" w:rsidRDefault="007148B1" w:rsidP="007148B1">
      <w:pPr>
        <w:spacing w:after="0"/>
        <w:jc w:val="both"/>
        <w:rPr>
          <w:rFonts w:ascii="Times New Roman" w:hAnsi="Times New Roman"/>
          <w:color w:val="1B1B1B"/>
          <w:sz w:val="24"/>
          <w:szCs w:val="24"/>
          <w:shd w:val="clear" w:color="auto" w:fill="FFFFFF"/>
        </w:rPr>
      </w:pPr>
      <w:r w:rsidRPr="008A65A0">
        <w:rPr>
          <w:rFonts w:ascii="Times New Roman" w:hAnsi="Times New Roman"/>
          <w:color w:val="1B1B1B"/>
          <w:sz w:val="24"/>
          <w:szCs w:val="24"/>
          <w:shd w:val="clear" w:color="auto" w:fill="FFFFFF"/>
        </w:rPr>
        <w:t>Costa, M. I., Sarmento-Ribeiro, A. B., &amp; Gonçalves, A. C. (2023). Zinc: From Biological Functions to Therapeutic Potential.</w:t>
      </w:r>
      <w:r w:rsidRPr="008A65A0">
        <w:rPr>
          <w:rStyle w:val="apple-converted-space"/>
          <w:rFonts w:ascii="Times New Roman" w:hAnsi="Times New Roman"/>
          <w:color w:val="1B1B1B"/>
          <w:sz w:val="24"/>
          <w:szCs w:val="24"/>
          <w:shd w:val="clear" w:color="auto" w:fill="FFFFFF"/>
        </w:rPr>
        <w:t> </w:t>
      </w:r>
      <w:r w:rsidRPr="008A65A0">
        <w:rPr>
          <w:rFonts w:ascii="Times New Roman" w:hAnsi="Times New Roman"/>
          <w:i/>
          <w:iCs/>
          <w:color w:val="1B1B1B"/>
          <w:sz w:val="24"/>
          <w:szCs w:val="24"/>
        </w:rPr>
        <w:t>International journal of molecular sciences</w:t>
      </w:r>
      <w:r w:rsidRPr="008A65A0">
        <w:rPr>
          <w:rFonts w:ascii="Times New Roman" w:hAnsi="Times New Roman"/>
          <w:color w:val="1B1B1B"/>
          <w:sz w:val="24"/>
          <w:szCs w:val="24"/>
          <w:shd w:val="clear" w:color="auto" w:fill="FFFFFF"/>
        </w:rPr>
        <w:t>,</w:t>
      </w:r>
      <w:r w:rsidRPr="008A65A0">
        <w:rPr>
          <w:rStyle w:val="apple-converted-space"/>
          <w:rFonts w:ascii="Times New Roman" w:hAnsi="Times New Roman"/>
          <w:color w:val="1B1B1B"/>
          <w:sz w:val="24"/>
          <w:szCs w:val="24"/>
          <w:shd w:val="clear" w:color="auto" w:fill="FFFFFF"/>
        </w:rPr>
        <w:t> </w:t>
      </w:r>
      <w:r w:rsidRPr="008A65A0">
        <w:rPr>
          <w:rFonts w:ascii="Times New Roman" w:hAnsi="Times New Roman"/>
          <w:i/>
          <w:iCs/>
          <w:color w:val="1B1B1B"/>
          <w:sz w:val="24"/>
          <w:szCs w:val="24"/>
        </w:rPr>
        <w:t>24</w:t>
      </w:r>
      <w:r w:rsidRPr="008A65A0">
        <w:rPr>
          <w:rFonts w:ascii="Times New Roman" w:hAnsi="Times New Roman"/>
          <w:color w:val="1B1B1B"/>
          <w:sz w:val="24"/>
          <w:szCs w:val="24"/>
          <w:shd w:val="clear" w:color="auto" w:fill="FFFFFF"/>
        </w:rPr>
        <w:t xml:space="preserve">(5), 4822. </w:t>
      </w:r>
      <w:hyperlink r:id="rId12" w:history="1">
        <w:r w:rsidRPr="008A65A0">
          <w:rPr>
            <w:rStyle w:val="Hyperlink"/>
            <w:rFonts w:ascii="Times New Roman" w:hAnsi="Times New Roman"/>
            <w:sz w:val="24"/>
            <w:szCs w:val="24"/>
            <w:shd w:val="clear" w:color="auto" w:fill="FFFFFF"/>
          </w:rPr>
          <w:t>https://doi.org/10.3390/ijms24054822</w:t>
        </w:r>
      </w:hyperlink>
      <w:r w:rsidRPr="008A65A0">
        <w:rPr>
          <w:rFonts w:ascii="Times New Roman" w:hAnsi="Times New Roman"/>
          <w:color w:val="1B1B1B"/>
          <w:sz w:val="24"/>
          <w:szCs w:val="24"/>
          <w:shd w:val="clear" w:color="auto" w:fill="FFFFFF"/>
        </w:rPr>
        <w:t xml:space="preserve"> </w:t>
      </w:r>
    </w:p>
    <w:p w14:paraId="0F3E1CEC" w14:textId="77777777" w:rsidR="007148B1" w:rsidRDefault="007148B1" w:rsidP="007148B1">
      <w:pPr>
        <w:spacing w:after="0"/>
        <w:jc w:val="both"/>
        <w:rPr>
          <w:rFonts w:ascii="Times New Roman" w:hAnsi="Times New Roman"/>
          <w:sz w:val="24"/>
          <w:szCs w:val="24"/>
        </w:rPr>
      </w:pPr>
    </w:p>
    <w:p w14:paraId="5CE836C4" w14:textId="77777777" w:rsidR="007148B1" w:rsidRPr="008A65A0" w:rsidRDefault="007148B1" w:rsidP="007148B1">
      <w:pPr>
        <w:spacing w:after="0" w:line="240" w:lineRule="auto"/>
        <w:jc w:val="both"/>
        <w:rPr>
          <w:rStyle w:val="apple-converted-space"/>
          <w:rFonts w:ascii="Times New Roman" w:hAnsi="Times New Roman"/>
          <w:sz w:val="24"/>
          <w:szCs w:val="24"/>
        </w:rPr>
      </w:pPr>
      <w:r w:rsidRPr="008A65A0">
        <w:rPr>
          <w:rStyle w:val="Strong"/>
          <w:rFonts w:ascii="Times New Roman" w:hAnsi="Times New Roman"/>
          <w:b w:val="0"/>
          <w:bCs w:val="0"/>
          <w:sz w:val="24"/>
          <w:szCs w:val="24"/>
        </w:rPr>
        <w:t xml:space="preserve">de Onis, M., Onyango, A. W., Van den Broeck, J., </w:t>
      </w:r>
      <w:proofErr w:type="spellStart"/>
      <w:r w:rsidRPr="008A65A0">
        <w:rPr>
          <w:rStyle w:val="Strong"/>
          <w:rFonts w:ascii="Times New Roman" w:hAnsi="Times New Roman"/>
          <w:b w:val="0"/>
          <w:bCs w:val="0"/>
          <w:sz w:val="24"/>
          <w:szCs w:val="24"/>
        </w:rPr>
        <w:t>Chumlea</w:t>
      </w:r>
      <w:proofErr w:type="spellEnd"/>
      <w:r w:rsidRPr="008A65A0">
        <w:rPr>
          <w:rStyle w:val="Strong"/>
          <w:rFonts w:ascii="Times New Roman" w:hAnsi="Times New Roman"/>
          <w:b w:val="0"/>
          <w:bCs w:val="0"/>
          <w:sz w:val="24"/>
          <w:szCs w:val="24"/>
        </w:rPr>
        <w:t>, W. C., &amp; Martorell, R. (2004).</w:t>
      </w:r>
      <w:r w:rsidRPr="008A65A0">
        <w:rPr>
          <w:rStyle w:val="apple-converted-space"/>
          <w:rFonts w:ascii="Times New Roman" w:hAnsi="Times New Roman"/>
          <w:sz w:val="24"/>
          <w:szCs w:val="24"/>
        </w:rPr>
        <w:t> </w:t>
      </w:r>
      <w:r w:rsidRPr="008A65A0">
        <w:rPr>
          <w:rFonts w:ascii="Times New Roman" w:hAnsi="Times New Roman"/>
          <w:sz w:val="24"/>
          <w:szCs w:val="24"/>
        </w:rPr>
        <w:t>Measurement and standardization protocols for anthropometry used in the construction of a new international growth reference.</w:t>
      </w:r>
      <w:r w:rsidRPr="008A65A0">
        <w:rPr>
          <w:rStyle w:val="apple-converted-space"/>
          <w:rFonts w:ascii="Times New Roman" w:hAnsi="Times New Roman"/>
          <w:sz w:val="24"/>
          <w:szCs w:val="24"/>
        </w:rPr>
        <w:t> </w:t>
      </w:r>
      <w:r w:rsidRPr="008A65A0">
        <w:rPr>
          <w:rStyle w:val="Emphasis"/>
          <w:rFonts w:ascii="Times New Roman" w:hAnsi="Times New Roman"/>
          <w:sz w:val="24"/>
          <w:szCs w:val="24"/>
        </w:rPr>
        <w:t>Food and Nutrition Bulletin, 25</w:t>
      </w:r>
      <w:r w:rsidRPr="008A65A0">
        <w:rPr>
          <w:rFonts w:ascii="Times New Roman" w:hAnsi="Times New Roman"/>
          <w:sz w:val="24"/>
          <w:szCs w:val="24"/>
        </w:rPr>
        <w:t>(1 Suppl.), S27–S36.</w:t>
      </w:r>
      <w:r w:rsidRPr="008A65A0">
        <w:rPr>
          <w:rStyle w:val="apple-converted-space"/>
          <w:rFonts w:ascii="Times New Roman" w:hAnsi="Times New Roman"/>
          <w:sz w:val="24"/>
          <w:szCs w:val="24"/>
        </w:rPr>
        <w:t> </w:t>
      </w:r>
      <w:hyperlink r:id="rId13" w:history="1">
        <w:r w:rsidRPr="00FB1048">
          <w:rPr>
            <w:rStyle w:val="Hyperlink"/>
            <w:rFonts w:ascii="Times New Roman" w:hAnsi="Times New Roman"/>
            <w:sz w:val="24"/>
            <w:szCs w:val="24"/>
          </w:rPr>
          <w:t>https://doi.org/10.1177/15648265040251S105</w:t>
        </w:r>
      </w:hyperlink>
      <w:r>
        <w:rPr>
          <w:rFonts w:ascii="Times New Roman" w:hAnsi="Times New Roman"/>
          <w:sz w:val="24"/>
          <w:szCs w:val="24"/>
        </w:rPr>
        <w:t xml:space="preserve"> </w:t>
      </w:r>
      <w:r w:rsidRPr="008A65A0">
        <w:rPr>
          <w:rStyle w:val="apple-converted-space"/>
          <w:rFonts w:ascii="Times New Roman" w:hAnsi="Times New Roman"/>
          <w:sz w:val="24"/>
          <w:szCs w:val="24"/>
        </w:rPr>
        <w:t> </w:t>
      </w:r>
    </w:p>
    <w:p w14:paraId="5389DD69" w14:textId="77777777" w:rsidR="007148B1" w:rsidRPr="00AB2403" w:rsidRDefault="007148B1" w:rsidP="007148B1">
      <w:pPr>
        <w:spacing w:after="0"/>
        <w:jc w:val="both"/>
        <w:rPr>
          <w:rFonts w:ascii="Times New Roman" w:hAnsi="Times New Roman"/>
          <w:sz w:val="24"/>
          <w:szCs w:val="24"/>
        </w:rPr>
      </w:pPr>
    </w:p>
    <w:p w14:paraId="6AFFE7AC" w14:textId="77777777" w:rsidR="007148B1" w:rsidRPr="00AB2403" w:rsidRDefault="007148B1" w:rsidP="007148B1">
      <w:pPr>
        <w:spacing w:after="0"/>
        <w:jc w:val="both"/>
        <w:rPr>
          <w:rFonts w:ascii="Times New Roman" w:hAnsi="Times New Roman"/>
          <w:sz w:val="24"/>
          <w:szCs w:val="24"/>
        </w:rPr>
      </w:pPr>
      <w:r w:rsidRPr="00AB2403">
        <w:rPr>
          <w:rFonts w:ascii="Times New Roman" w:hAnsi="Times New Roman"/>
          <w:sz w:val="24"/>
          <w:szCs w:val="24"/>
        </w:rPr>
        <w:t>Federal Ministry of Health. (2021). National Policy on Food and Nutrition in Nigeria. Federal Ministry of Health.</w:t>
      </w:r>
    </w:p>
    <w:p w14:paraId="7667AC37" w14:textId="77777777" w:rsidR="007148B1" w:rsidRPr="00AB2403" w:rsidRDefault="007148B1" w:rsidP="007148B1">
      <w:pPr>
        <w:spacing w:after="0"/>
        <w:jc w:val="both"/>
        <w:rPr>
          <w:rFonts w:ascii="Times New Roman" w:hAnsi="Times New Roman"/>
          <w:sz w:val="24"/>
          <w:szCs w:val="24"/>
        </w:rPr>
      </w:pPr>
    </w:p>
    <w:p w14:paraId="0246A834"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Food and Agriculture Organization of the United Nations. (2023). The State of Food Security and Nutrition in the World 2023. FAO.</w:t>
      </w:r>
    </w:p>
    <w:p w14:paraId="6BAF8DDB" w14:textId="77777777" w:rsidR="007148B1" w:rsidRDefault="007148B1" w:rsidP="007148B1">
      <w:pPr>
        <w:spacing w:after="0"/>
        <w:jc w:val="both"/>
        <w:rPr>
          <w:rFonts w:ascii="Times New Roman" w:hAnsi="Times New Roman"/>
          <w:sz w:val="24"/>
          <w:szCs w:val="24"/>
        </w:rPr>
      </w:pPr>
    </w:p>
    <w:p w14:paraId="48E208E4" w14:textId="77777777" w:rsidR="007148B1" w:rsidRPr="009F20FE" w:rsidRDefault="007148B1" w:rsidP="007148B1">
      <w:pPr>
        <w:pStyle w:val="NoSpacing"/>
        <w:jc w:val="both"/>
        <w:rPr>
          <w:rFonts w:ascii="Times New Roman" w:hAnsi="Times New Roman"/>
          <w:sz w:val="24"/>
          <w:szCs w:val="24"/>
        </w:rPr>
      </w:pPr>
      <w:r w:rsidRPr="009F20FE">
        <w:rPr>
          <w:rFonts w:ascii="Times New Roman" w:hAnsi="Times New Roman"/>
          <w:sz w:val="24"/>
          <w:szCs w:val="24"/>
        </w:rPr>
        <w:t>Food and Agriculture Organization of the United Nations. (2024). One Health. Rome: FAO</w:t>
      </w:r>
    </w:p>
    <w:p w14:paraId="227BE6D3" w14:textId="77777777" w:rsidR="007148B1" w:rsidRPr="009F20FE" w:rsidRDefault="007148B1" w:rsidP="007148B1">
      <w:pPr>
        <w:pStyle w:val="NoSpacing"/>
        <w:jc w:val="both"/>
        <w:rPr>
          <w:rFonts w:ascii="Times New Roman" w:hAnsi="Times New Roman"/>
          <w:sz w:val="24"/>
          <w:szCs w:val="24"/>
        </w:rPr>
      </w:pPr>
    </w:p>
    <w:p w14:paraId="0652F7E2"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Gibson, R. S. (2005). Principles of Nutritional Assessment (2nd ed.). Oxford University Press.</w:t>
      </w:r>
    </w:p>
    <w:p w14:paraId="37FC5AAA" w14:textId="77777777" w:rsidR="007148B1" w:rsidRPr="009F20FE" w:rsidRDefault="007148B1" w:rsidP="007148B1">
      <w:pPr>
        <w:pStyle w:val="pdq2pgselectionanchorcontainer"/>
        <w:jc w:val="both"/>
        <w:rPr>
          <w:color w:val="000000"/>
        </w:rPr>
      </w:pPr>
      <w:r w:rsidRPr="008A65A0">
        <w:rPr>
          <w:color w:val="000000"/>
        </w:rPr>
        <w:t xml:space="preserve">Gupta, A., Smithers, L. G., Harford, J., Merlin, T., &amp; </w:t>
      </w:r>
      <w:proofErr w:type="spellStart"/>
      <w:r w:rsidRPr="008A65A0">
        <w:rPr>
          <w:color w:val="000000"/>
        </w:rPr>
        <w:t>Braunack</w:t>
      </w:r>
      <w:proofErr w:type="spellEnd"/>
      <w:r w:rsidRPr="008A65A0">
        <w:rPr>
          <w:color w:val="000000"/>
        </w:rPr>
        <w:t>-Mayer, A. (2018). Determinants of knowledge and attitudes about sugar and the association of knowledge and attitudes with sugar intake among adults: A systematic review.</w:t>
      </w:r>
      <w:r w:rsidRPr="008A65A0">
        <w:rPr>
          <w:rStyle w:val="apple-converted-space"/>
          <w:color w:val="000000"/>
        </w:rPr>
        <w:t> </w:t>
      </w:r>
      <w:r w:rsidRPr="008A65A0">
        <w:rPr>
          <w:rStyle w:val="Emphasis"/>
          <w:color w:val="000000"/>
        </w:rPr>
        <w:t>Appetite, 126</w:t>
      </w:r>
      <w:r w:rsidRPr="008A65A0">
        <w:rPr>
          <w:color w:val="000000"/>
        </w:rPr>
        <w:t>, 185–194.</w:t>
      </w:r>
      <w:r w:rsidRPr="008A65A0">
        <w:rPr>
          <w:rStyle w:val="apple-converted-space"/>
          <w:color w:val="000000"/>
        </w:rPr>
        <w:t> </w:t>
      </w:r>
      <w:hyperlink r:id="rId14" w:history="1">
        <w:r w:rsidRPr="00FB1048">
          <w:rPr>
            <w:rStyle w:val="Hyperlink"/>
          </w:rPr>
          <w:t>https://doi.org/10.1016/j.appet.2018.03.019</w:t>
        </w:r>
      </w:hyperlink>
      <w:r>
        <w:rPr>
          <w:color w:val="000000"/>
        </w:rPr>
        <w:t xml:space="preserve"> </w:t>
      </w:r>
    </w:p>
    <w:p w14:paraId="672F031F" w14:textId="77777777" w:rsidR="007148B1" w:rsidRDefault="007148B1" w:rsidP="007148B1">
      <w:pPr>
        <w:spacing w:after="0"/>
        <w:jc w:val="both"/>
        <w:rPr>
          <w:rFonts w:ascii="Times New Roman" w:hAnsi="Times New Roman"/>
          <w:sz w:val="24"/>
          <w:szCs w:val="24"/>
        </w:rPr>
      </w:pPr>
      <w:r w:rsidRPr="008A65A0">
        <w:rPr>
          <w:rFonts w:ascii="Times New Roman" w:hAnsi="Times New Roman"/>
          <w:color w:val="000000"/>
          <w:sz w:val="24"/>
          <w:szCs w:val="24"/>
        </w:rPr>
        <w:t xml:space="preserve">Hall, K. D., </w:t>
      </w:r>
      <w:proofErr w:type="spellStart"/>
      <w:r w:rsidRPr="008A65A0">
        <w:rPr>
          <w:rFonts w:ascii="Times New Roman" w:hAnsi="Times New Roman"/>
          <w:color w:val="000000"/>
          <w:sz w:val="24"/>
          <w:szCs w:val="24"/>
        </w:rPr>
        <w:t>Ayuketah</w:t>
      </w:r>
      <w:proofErr w:type="spellEnd"/>
      <w:r w:rsidRPr="008A65A0">
        <w:rPr>
          <w:rFonts w:ascii="Times New Roman" w:hAnsi="Times New Roman"/>
          <w:color w:val="000000"/>
          <w:sz w:val="24"/>
          <w:szCs w:val="24"/>
        </w:rPr>
        <w:t xml:space="preserve">, A., Brychta, R., Cai, H., Cassimatis, T., Chen, K. Y., Chung, S. T., Costa, E., Courville, A., Darcey, V., Fletcher, L. A., Forde, C. G., Gharib, A. M., Guo, J., Howard, R., Joseph, P. V., McGehee, S., Ouwerkerk, R., </w:t>
      </w:r>
      <w:proofErr w:type="spellStart"/>
      <w:r w:rsidRPr="008A65A0">
        <w:rPr>
          <w:rFonts w:ascii="Times New Roman" w:hAnsi="Times New Roman"/>
          <w:color w:val="000000"/>
          <w:sz w:val="24"/>
          <w:szCs w:val="24"/>
        </w:rPr>
        <w:t>Raisinger</w:t>
      </w:r>
      <w:proofErr w:type="spellEnd"/>
      <w:r w:rsidRPr="008A65A0">
        <w:rPr>
          <w:rFonts w:ascii="Times New Roman" w:hAnsi="Times New Roman"/>
          <w:color w:val="000000"/>
          <w:sz w:val="24"/>
          <w:szCs w:val="24"/>
        </w:rPr>
        <w:t>, K., … Zhou, M. (2019). Ultra-processed diets cause excess calorie intake and weight gain: An inpatient randomized controlled trial of ad libitum food intake. </w:t>
      </w:r>
      <w:r w:rsidRPr="008A65A0">
        <w:rPr>
          <w:rFonts w:ascii="Times New Roman" w:hAnsi="Times New Roman"/>
          <w:i/>
          <w:iCs/>
          <w:color w:val="000000"/>
          <w:sz w:val="24"/>
          <w:szCs w:val="24"/>
        </w:rPr>
        <w:t>Cell Metabolism, 30</w:t>
      </w:r>
      <w:r w:rsidRPr="008A65A0">
        <w:rPr>
          <w:rFonts w:ascii="Times New Roman" w:hAnsi="Times New Roman"/>
          <w:color w:val="000000"/>
          <w:sz w:val="24"/>
          <w:szCs w:val="24"/>
        </w:rPr>
        <w:t>(1), 67–77. e3. </w:t>
      </w:r>
      <w:hyperlink r:id="rId15" w:tgtFrame="_new" w:history="1">
        <w:r w:rsidRPr="008A65A0">
          <w:rPr>
            <w:rFonts w:ascii="Times New Roman" w:hAnsi="Times New Roman"/>
            <w:color w:val="0000FF"/>
            <w:sz w:val="24"/>
            <w:szCs w:val="24"/>
            <w:u w:val="single"/>
          </w:rPr>
          <w:t>https://doi.org/10.1016/j.cmet.2019.05.008</w:t>
        </w:r>
      </w:hyperlink>
      <w:r>
        <w:rPr>
          <w:rFonts w:ascii="Times New Roman" w:hAnsi="Times New Roman"/>
          <w:color w:val="0000FF"/>
          <w:sz w:val="24"/>
          <w:szCs w:val="24"/>
          <w:u w:val="single"/>
        </w:rPr>
        <w:t xml:space="preserve"> </w:t>
      </w:r>
    </w:p>
    <w:p w14:paraId="1197B486" w14:textId="77777777" w:rsidR="007148B1" w:rsidRDefault="007148B1" w:rsidP="007148B1">
      <w:pPr>
        <w:spacing w:after="0"/>
        <w:jc w:val="both"/>
        <w:rPr>
          <w:rFonts w:ascii="Times New Roman" w:hAnsi="Times New Roman"/>
          <w:sz w:val="24"/>
          <w:szCs w:val="24"/>
        </w:rPr>
      </w:pPr>
    </w:p>
    <w:p w14:paraId="03F5409D" w14:textId="77777777" w:rsidR="007148B1" w:rsidRPr="008A65A0" w:rsidRDefault="007148B1" w:rsidP="007148B1">
      <w:pPr>
        <w:spacing w:after="0"/>
        <w:jc w:val="both"/>
        <w:rPr>
          <w:rFonts w:ascii="Times New Roman" w:hAnsi="Times New Roman"/>
          <w:sz w:val="24"/>
          <w:szCs w:val="24"/>
        </w:rPr>
      </w:pPr>
      <w:r w:rsidRPr="008A65A0">
        <w:rPr>
          <w:rFonts w:ascii="Times New Roman" w:hAnsi="Times New Roman"/>
          <w:color w:val="000000"/>
          <w:sz w:val="24"/>
          <w:szCs w:val="24"/>
        </w:rPr>
        <w:t>Jayedi, A., Soltani, S., Zargar, M. S., Khan, T. A., &amp; Shab-Bidar, S. (2022). Central fatness and risk of all-cause mortality: Systematic review and dose-response meta-analysis of 72 prospective cohort studies.</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BMJ, 375</w:t>
      </w:r>
      <w:r w:rsidRPr="008A65A0">
        <w:rPr>
          <w:rFonts w:ascii="Times New Roman" w:hAnsi="Times New Roman"/>
          <w:color w:val="000000"/>
          <w:sz w:val="24"/>
          <w:szCs w:val="24"/>
        </w:rPr>
        <w:t>, e067516.</w:t>
      </w:r>
      <w:r w:rsidRPr="008A65A0">
        <w:rPr>
          <w:rStyle w:val="apple-converted-space"/>
          <w:rFonts w:ascii="Times New Roman" w:hAnsi="Times New Roman"/>
          <w:color w:val="000000"/>
          <w:sz w:val="24"/>
          <w:szCs w:val="24"/>
        </w:rPr>
        <w:t> </w:t>
      </w:r>
      <w:hyperlink r:id="rId16" w:history="1">
        <w:r w:rsidRPr="00FB1048">
          <w:rPr>
            <w:rStyle w:val="Hyperlink"/>
            <w:rFonts w:ascii="Times New Roman" w:hAnsi="Times New Roman"/>
            <w:sz w:val="24"/>
            <w:szCs w:val="24"/>
          </w:rPr>
          <w:t>https://doi.org/10.1136/bmj-2021-067516</w:t>
        </w:r>
      </w:hyperlink>
      <w:r>
        <w:rPr>
          <w:rFonts w:ascii="Times New Roman" w:hAnsi="Times New Roman"/>
          <w:color w:val="000000"/>
          <w:sz w:val="24"/>
          <w:szCs w:val="24"/>
        </w:rPr>
        <w:t xml:space="preserve"> </w:t>
      </w:r>
    </w:p>
    <w:p w14:paraId="72BC88E5" w14:textId="77777777" w:rsidR="007148B1" w:rsidRDefault="007148B1" w:rsidP="007148B1">
      <w:pPr>
        <w:spacing w:after="0"/>
        <w:jc w:val="both"/>
        <w:rPr>
          <w:rFonts w:ascii="Times New Roman" w:hAnsi="Times New Roman"/>
          <w:sz w:val="24"/>
          <w:szCs w:val="24"/>
        </w:rPr>
      </w:pPr>
    </w:p>
    <w:p w14:paraId="45DCAC6E" w14:textId="77777777" w:rsidR="007148B1" w:rsidRDefault="007148B1" w:rsidP="007148B1">
      <w:pPr>
        <w:spacing w:after="0"/>
        <w:jc w:val="both"/>
        <w:rPr>
          <w:rStyle w:val="Hyperlink"/>
          <w:rFonts w:ascii="Times New Roman" w:hAnsi="Times New Roman"/>
          <w:sz w:val="24"/>
          <w:szCs w:val="24"/>
        </w:rPr>
      </w:pPr>
      <w:r w:rsidRPr="008A65A0">
        <w:rPr>
          <w:rFonts w:ascii="Times New Roman" w:hAnsi="Times New Roman"/>
          <w:color w:val="000000"/>
          <w:sz w:val="24"/>
          <w:szCs w:val="24"/>
        </w:rPr>
        <w:lastRenderedPageBreak/>
        <w:t>Jenkins, M., Jefferds, M. E. D., Aburto, N. J., Ramakrishnan, U., Hartman, T. J., Martorell, R., &amp; Addo, O. Y. (2024). Development of a population-level dichotomous indicator of minimum dietary diversity as a proxy for micronutrient adequacy in adolescents aged 10–19 y in the United States.</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The Journal of Nutrition, 154</w:t>
      </w:r>
      <w:r w:rsidRPr="008A65A0">
        <w:rPr>
          <w:rFonts w:ascii="Times New Roman" w:hAnsi="Times New Roman"/>
          <w:color w:val="000000"/>
          <w:sz w:val="24"/>
          <w:szCs w:val="24"/>
        </w:rPr>
        <w:t>(9), 2795–2806.</w:t>
      </w:r>
      <w:r w:rsidRPr="008A65A0">
        <w:rPr>
          <w:rStyle w:val="apple-converted-space"/>
          <w:rFonts w:ascii="Times New Roman" w:hAnsi="Times New Roman"/>
          <w:color w:val="000000"/>
          <w:sz w:val="24"/>
          <w:szCs w:val="24"/>
        </w:rPr>
        <w:t> </w:t>
      </w:r>
      <w:hyperlink r:id="rId17" w:history="1">
        <w:r w:rsidRPr="008A65A0">
          <w:rPr>
            <w:rStyle w:val="Hyperlink"/>
            <w:rFonts w:ascii="Times New Roman" w:hAnsi="Times New Roman"/>
            <w:sz w:val="24"/>
            <w:szCs w:val="24"/>
          </w:rPr>
          <w:t>https://doi.org/10.1016/j.tjnut.2024.06.002</w:t>
        </w:r>
      </w:hyperlink>
    </w:p>
    <w:p w14:paraId="3DCFDFE3" w14:textId="77777777" w:rsidR="007148B1" w:rsidRDefault="007148B1" w:rsidP="007148B1">
      <w:pPr>
        <w:pStyle w:val="pdq2pgselectionanchorcontainer"/>
        <w:jc w:val="both"/>
        <w:rPr>
          <w:color w:val="000000"/>
        </w:rPr>
      </w:pPr>
      <w:r w:rsidRPr="008A65A0">
        <w:rPr>
          <w:color w:val="000000"/>
        </w:rPr>
        <w:t xml:space="preserve">Kennedy, G. L., Pedro, M. R., </w:t>
      </w:r>
      <w:proofErr w:type="spellStart"/>
      <w:r w:rsidRPr="008A65A0">
        <w:rPr>
          <w:color w:val="000000"/>
        </w:rPr>
        <w:t>Seghieri</w:t>
      </w:r>
      <w:proofErr w:type="spellEnd"/>
      <w:r w:rsidRPr="008A65A0">
        <w:rPr>
          <w:color w:val="000000"/>
        </w:rPr>
        <w:t>, C., Nantel, G., &amp; Brouwer, I. D. (2010). Simple food group diversity indicators predict micronutrient adequacy of women’s diets in 5 diverse, resource-poor settings.</w:t>
      </w:r>
      <w:r w:rsidRPr="008A65A0">
        <w:rPr>
          <w:rStyle w:val="apple-converted-space"/>
          <w:color w:val="000000"/>
        </w:rPr>
        <w:t> </w:t>
      </w:r>
      <w:r w:rsidRPr="008A65A0">
        <w:rPr>
          <w:rStyle w:val="Emphasis"/>
          <w:color w:val="000000"/>
        </w:rPr>
        <w:t>The Journal of Nutrition, 140</w:t>
      </w:r>
      <w:r w:rsidRPr="008A65A0">
        <w:rPr>
          <w:color w:val="000000"/>
        </w:rPr>
        <w:t>(11), 2059S–2069S.</w:t>
      </w:r>
      <w:r w:rsidRPr="008A65A0">
        <w:rPr>
          <w:rStyle w:val="apple-converted-space"/>
          <w:color w:val="000000"/>
        </w:rPr>
        <w:t> </w:t>
      </w:r>
      <w:hyperlink r:id="rId18" w:history="1">
        <w:r w:rsidRPr="00FB1048">
          <w:rPr>
            <w:rStyle w:val="Hyperlink"/>
          </w:rPr>
          <w:t>https://doi.org/10.3945/jn.110.123414</w:t>
        </w:r>
      </w:hyperlink>
    </w:p>
    <w:p w14:paraId="6ACCDED4" w14:textId="77777777" w:rsidR="007148B1" w:rsidRDefault="007148B1" w:rsidP="007148B1">
      <w:pPr>
        <w:pStyle w:val="pdq2pgselectionanchorcontainer"/>
        <w:jc w:val="both"/>
        <w:rPr>
          <w:color w:val="000000"/>
        </w:rPr>
      </w:pPr>
      <w:r w:rsidRPr="00C74C4C">
        <w:t>Kuroda Y (2024)</w:t>
      </w:r>
      <w:r>
        <w:t xml:space="preserve">. </w:t>
      </w:r>
      <w:r w:rsidRPr="00C74C4C">
        <w:t xml:space="preserve">Essential Role of Micronutrients: Health and Wellness. J </w:t>
      </w:r>
      <w:proofErr w:type="spellStart"/>
      <w:r w:rsidRPr="00C74C4C">
        <w:t>Nutr</w:t>
      </w:r>
      <w:proofErr w:type="spellEnd"/>
      <w:r w:rsidRPr="00C74C4C">
        <w:t xml:space="preserve"> Food Sci. 14:32.</w:t>
      </w:r>
    </w:p>
    <w:p w14:paraId="508D6346" w14:textId="77777777" w:rsidR="007148B1" w:rsidRPr="009F20FE" w:rsidRDefault="007148B1" w:rsidP="007148B1">
      <w:pPr>
        <w:spacing w:after="0"/>
        <w:jc w:val="both"/>
        <w:rPr>
          <w:rFonts w:ascii="Times New Roman" w:hAnsi="Times New Roman"/>
          <w:sz w:val="24"/>
          <w:szCs w:val="24"/>
        </w:rPr>
      </w:pPr>
      <w:r w:rsidRPr="008A65A0">
        <w:rPr>
          <w:rFonts w:ascii="Times New Roman" w:hAnsi="Times New Roman"/>
          <w:color w:val="000000"/>
          <w:sz w:val="24"/>
          <w:szCs w:val="24"/>
        </w:rPr>
        <w:t xml:space="preserve">Leroy, J. L., Olney, D. K., </w:t>
      </w:r>
      <w:proofErr w:type="spellStart"/>
      <w:r w:rsidRPr="008A65A0">
        <w:rPr>
          <w:rFonts w:ascii="Times New Roman" w:hAnsi="Times New Roman"/>
          <w:color w:val="000000"/>
          <w:sz w:val="24"/>
          <w:szCs w:val="24"/>
        </w:rPr>
        <w:t>Bliznashka</w:t>
      </w:r>
      <w:proofErr w:type="spellEnd"/>
      <w:r w:rsidRPr="008A65A0">
        <w:rPr>
          <w:rFonts w:ascii="Times New Roman" w:hAnsi="Times New Roman"/>
          <w:color w:val="000000"/>
          <w:sz w:val="24"/>
          <w:szCs w:val="24"/>
        </w:rPr>
        <w:t xml:space="preserve">, L., &amp; Ruel, M. T. (2020). </w:t>
      </w:r>
      <w:proofErr w:type="spellStart"/>
      <w:r w:rsidRPr="008A65A0">
        <w:rPr>
          <w:rFonts w:ascii="Times New Roman" w:hAnsi="Times New Roman"/>
          <w:color w:val="000000"/>
          <w:sz w:val="24"/>
          <w:szCs w:val="24"/>
        </w:rPr>
        <w:t>Tubaramure</w:t>
      </w:r>
      <w:proofErr w:type="spellEnd"/>
      <w:r w:rsidRPr="008A65A0">
        <w:rPr>
          <w:rFonts w:ascii="Times New Roman" w:hAnsi="Times New Roman"/>
          <w:color w:val="000000"/>
          <w:sz w:val="24"/>
          <w:szCs w:val="24"/>
        </w:rPr>
        <w:t>, a food-assisted maternal and child health and nutrition program in Burundi, increased household food security and energy and micronutrient consumption, and maternal and child dietary diversity: A cluster-randomized controlled trial.</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The Journal of Nutrition, 150</w:t>
      </w:r>
      <w:r w:rsidRPr="008A65A0">
        <w:rPr>
          <w:rFonts w:ascii="Times New Roman" w:hAnsi="Times New Roman"/>
          <w:color w:val="000000"/>
          <w:sz w:val="24"/>
          <w:szCs w:val="24"/>
        </w:rPr>
        <w:t>(4), 945–957.</w:t>
      </w:r>
      <w:r w:rsidRPr="008A65A0">
        <w:rPr>
          <w:rStyle w:val="apple-converted-space"/>
          <w:rFonts w:ascii="Times New Roman" w:hAnsi="Times New Roman"/>
          <w:color w:val="000000"/>
          <w:sz w:val="24"/>
          <w:szCs w:val="24"/>
        </w:rPr>
        <w:t> </w:t>
      </w:r>
      <w:hyperlink r:id="rId19" w:history="1">
        <w:r w:rsidRPr="008A65A0">
          <w:rPr>
            <w:rStyle w:val="Hyperlink"/>
            <w:rFonts w:ascii="Times New Roman" w:hAnsi="Times New Roman"/>
            <w:sz w:val="24"/>
            <w:szCs w:val="24"/>
          </w:rPr>
          <w:t>https://doi.org/10.1093/jn/nxz295</w:t>
        </w:r>
      </w:hyperlink>
    </w:p>
    <w:p w14:paraId="5B2662CC" w14:textId="77777777" w:rsidR="007148B1" w:rsidRPr="008A65A0" w:rsidRDefault="007148B1" w:rsidP="007148B1">
      <w:pPr>
        <w:pStyle w:val="pdq2pgselectionanchorcontainer"/>
        <w:jc w:val="both"/>
        <w:rPr>
          <w:color w:val="000000"/>
        </w:rPr>
      </w:pPr>
      <w:r w:rsidRPr="008A65A0">
        <w:rPr>
          <w:rStyle w:val="Strong"/>
          <w:b w:val="0"/>
          <w:bCs w:val="0"/>
          <w:color w:val="000000"/>
        </w:rPr>
        <w:t>Lowe, N. M. (2021).</w:t>
      </w:r>
      <w:r w:rsidRPr="008A65A0">
        <w:rPr>
          <w:rStyle w:val="apple-converted-space"/>
          <w:color w:val="000000"/>
        </w:rPr>
        <w:t> </w:t>
      </w:r>
      <w:r w:rsidRPr="008A65A0">
        <w:rPr>
          <w:color w:val="000000"/>
        </w:rPr>
        <w:t>The global challenge of hidden hunger: Perspectives from the field.</w:t>
      </w:r>
      <w:r w:rsidRPr="008A65A0">
        <w:rPr>
          <w:rStyle w:val="apple-converted-space"/>
          <w:color w:val="000000"/>
        </w:rPr>
        <w:t> </w:t>
      </w:r>
      <w:r w:rsidRPr="008A65A0">
        <w:rPr>
          <w:rStyle w:val="Emphasis"/>
          <w:color w:val="000000"/>
        </w:rPr>
        <w:t>Proceedings of the Nutrition Society, 80</w:t>
      </w:r>
      <w:r w:rsidRPr="008A65A0">
        <w:rPr>
          <w:color w:val="000000"/>
        </w:rPr>
        <w:t>(3), 283–289.</w:t>
      </w:r>
      <w:r w:rsidRPr="008A65A0">
        <w:rPr>
          <w:rStyle w:val="apple-converted-space"/>
          <w:color w:val="000000"/>
        </w:rPr>
        <w:t> </w:t>
      </w:r>
      <w:hyperlink r:id="rId20" w:tgtFrame="_new" w:history="1">
        <w:r w:rsidRPr="008A65A0">
          <w:rPr>
            <w:rStyle w:val="Hyperlink"/>
          </w:rPr>
          <w:t>https://doi.org/10.1017/S0029665121000902</w:t>
        </w:r>
      </w:hyperlink>
    </w:p>
    <w:p w14:paraId="6AA91B4D" w14:textId="77777777" w:rsidR="007148B1" w:rsidRPr="008A65A0" w:rsidRDefault="007148B1" w:rsidP="007148B1">
      <w:pPr>
        <w:rPr>
          <w:rFonts w:ascii="Times New Roman" w:hAnsi="Times New Roman"/>
          <w:sz w:val="24"/>
          <w:szCs w:val="24"/>
        </w:rPr>
      </w:pPr>
      <w:proofErr w:type="spellStart"/>
      <w:r w:rsidRPr="008A65A0">
        <w:rPr>
          <w:rStyle w:val="Strong"/>
          <w:rFonts w:ascii="Times New Roman" w:hAnsi="Times New Roman"/>
          <w:b w:val="0"/>
          <w:bCs w:val="0"/>
          <w:sz w:val="24"/>
          <w:szCs w:val="24"/>
        </w:rPr>
        <w:t>Marrón</w:t>
      </w:r>
      <w:proofErr w:type="spellEnd"/>
      <w:r w:rsidRPr="008A65A0">
        <w:rPr>
          <w:rStyle w:val="Strong"/>
          <w:rFonts w:ascii="Times New Roman" w:hAnsi="Times New Roman"/>
          <w:b w:val="0"/>
          <w:bCs w:val="0"/>
          <w:sz w:val="24"/>
          <w:szCs w:val="24"/>
        </w:rPr>
        <w:t>-Ponce, J. A., Flores, M., Mendez, M. A., &amp; Denova-Gutiérrez, E. (2021).</w:t>
      </w:r>
      <w:r w:rsidRPr="008A65A0">
        <w:rPr>
          <w:rStyle w:val="apple-converted-space"/>
          <w:rFonts w:ascii="Times New Roman" w:hAnsi="Times New Roman"/>
          <w:sz w:val="24"/>
          <w:szCs w:val="24"/>
        </w:rPr>
        <w:t> </w:t>
      </w:r>
      <w:r w:rsidRPr="008A65A0">
        <w:rPr>
          <w:rFonts w:ascii="Times New Roman" w:hAnsi="Times New Roman"/>
          <w:sz w:val="24"/>
          <w:szCs w:val="24"/>
        </w:rPr>
        <w:t>Changes in the Global Diet Quality Score, weight, and waist circumference in Mexican women.</w:t>
      </w:r>
      <w:r w:rsidRPr="008A65A0">
        <w:rPr>
          <w:rStyle w:val="apple-converted-space"/>
          <w:rFonts w:ascii="Times New Roman" w:hAnsi="Times New Roman"/>
          <w:sz w:val="24"/>
          <w:szCs w:val="24"/>
        </w:rPr>
        <w:t> </w:t>
      </w:r>
      <w:r w:rsidRPr="008A65A0">
        <w:rPr>
          <w:rStyle w:val="Emphasis"/>
          <w:rFonts w:ascii="Times New Roman" w:hAnsi="Times New Roman"/>
          <w:sz w:val="24"/>
          <w:szCs w:val="24"/>
        </w:rPr>
        <w:t>The Journal of Nutrition, 151</w:t>
      </w:r>
      <w:r w:rsidRPr="008A65A0">
        <w:rPr>
          <w:rFonts w:ascii="Times New Roman" w:hAnsi="Times New Roman"/>
          <w:sz w:val="24"/>
          <w:szCs w:val="24"/>
        </w:rPr>
        <w:t>(10), 3181–3190.</w:t>
      </w:r>
      <w:r w:rsidRPr="008A65A0">
        <w:rPr>
          <w:rStyle w:val="apple-converted-space"/>
          <w:rFonts w:ascii="Times New Roman" w:hAnsi="Times New Roman"/>
          <w:sz w:val="24"/>
          <w:szCs w:val="24"/>
        </w:rPr>
        <w:t> </w:t>
      </w:r>
      <w:hyperlink r:id="rId21" w:history="1">
        <w:r w:rsidRPr="00FB1048">
          <w:rPr>
            <w:rStyle w:val="Hyperlink"/>
            <w:rFonts w:ascii="Times New Roman" w:hAnsi="Times New Roman"/>
            <w:sz w:val="24"/>
            <w:szCs w:val="24"/>
          </w:rPr>
          <w:t>https://doi.org/10.1093/jn/nxab219</w:t>
        </w:r>
      </w:hyperlink>
      <w:r>
        <w:rPr>
          <w:rFonts w:ascii="Times New Roman" w:hAnsi="Times New Roman"/>
          <w:sz w:val="24"/>
          <w:szCs w:val="24"/>
        </w:rPr>
        <w:t xml:space="preserve"> </w:t>
      </w:r>
    </w:p>
    <w:p w14:paraId="74894817" w14:textId="77777777" w:rsidR="007148B1" w:rsidRPr="008A65A0" w:rsidRDefault="007148B1" w:rsidP="007148B1">
      <w:pPr>
        <w:spacing w:after="0"/>
        <w:jc w:val="both"/>
        <w:rPr>
          <w:rStyle w:val="apple-converted-space"/>
          <w:rFonts w:ascii="Times New Roman" w:hAnsi="Times New Roman"/>
          <w:sz w:val="24"/>
          <w:szCs w:val="24"/>
        </w:rPr>
      </w:pPr>
      <w:r w:rsidRPr="008A65A0">
        <w:rPr>
          <w:rStyle w:val="Strong"/>
          <w:rFonts w:ascii="Times New Roman" w:hAnsi="Times New Roman"/>
          <w:b w:val="0"/>
          <w:bCs w:val="0"/>
          <w:sz w:val="24"/>
          <w:szCs w:val="24"/>
        </w:rPr>
        <w:t xml:space="preserve">Miller, V., Micha, R., Choi, E., Karageorgou, D., Webb, P., &amp; </w:t>
      </w:r>
      <w:proofErr w:type="spellStart"/>
      <w:r w:rsidRPr="008A65A0">
        <w:rPr>
          <w:rStyle w:val="Strong"/>
          <w:rFonts w:ascii="Times New Roman" w:hAnsi="Times New Roman"/>
          <w:b w:val="0"/>
          <w:bCs w:val="0"/>
          <w:sz w:val="24"/>
          <w:szCs w:val="24"/>
        </w:rPr>
        <w:t>Mozaffarian</w:t>
      </w:r>
      <w:proofErr w:type="spellEnd"/>
      <w:r w:rsidRPr="008A65A0">
        <w:rPr>
          <w:rStyle w:val="Strong"/>
          <w:rFonts w:ascii="Times New Roman" w:hAnsi="Times New Roman"/>
          <w:b w:val="0"/>
          <w:bCs w:val="0"/>
          <w:sz w:val="24"/>
          <w:szCs w:val="24"/>
        </w:rPr>
        <w:t>, D. (2022).</w:t>
      </w:r>
      <w:r w:rsidRPr="008A65A0">
        <w:rPr>
          <w:rStyle w:val="apple-converted-space"/>
          <w:rFonts w:ascii="Times New Roman" w:hAnsi="Times New Roman"/>
          <w:sz w:val="24"/>
          <w:szCs w:val="24"/>
        </w:rPr>
        <w:t> </w:t>
      </w:r>
      <w:r w:rsidRPr="008A65A0">
        <w:rPr>
          <w:rFonts w:ascii="Times New Roman" w:hAnsi="Times New Roman"/>
          <w:sz w:val="24"/>
          <w:szCs w:val="24"/>
        </w:rPr>
        <w:t>Evaluation of the quality of evidence of the association of foods and nutrients with cardiovascular disease and diabetes: A systematic review.</w:t>
      </w:r>
      <w:r w:rsidRPr="008A65A0">
        <w:rPr>
          <w:rStyle w:val="apple-converted-space"/>
          <w:rFonts w:ascii="Times New Roman" w:hAnsi="Times New Roman"/>
          <w:sz w:val="24"/>
          <w:szCs w:val="24"/>
        </w:rPr>
        <w:t> </w:t>
      </w:r>
      <w:r w:rsidRPr="008A65A0">
        <w:rPr>
          <w:rStyle w:val="Emphasis"/>
          <w:rFonts w:ascii="Times New Roman" w:hAnsi="Times New Roman"/>
          <w:sz w:val="24"/>
          <w:szCs w:val="24"/>
        </w:rPr>
        <w:t>JAMA Network Open, 5</w:t>
      </w:r>
      <w:r w:rsidRPr="008A65A0">
        <w:rPr>
          <w:rFonts w:ascii="Times New Roman" w:hAnsi="Times New Roman"/>
          <w:sz w:val="24"/>
          <w:szCs w:val="24"/>
        </w:rPr>
        <w:t>(2), e2146705.</w:t>
      </w:r>
      <w:r w:rsidRPr="008A65A0">
        <w:rPr>
          <w:rStyle w:val="apple-converted-space"/>
          <w:rFonts w:ascii="Times New Roman" w:hAnsi="Times New Roman"/>
          <w:sz w:val="24"/>
          <w:szCs w:val="24"/>
        </w:rPr>
        <w:t> </w:t>
      </w:r>
      <w:hyperlink r:id="rId22" w:tgtFrame="_new" w:history="1">
        <w:r w:rsidRPr="008A65A0">
          <w:rPr>
            <w:rStyle w:val="Hyperlink"/>
            <w:rFonts w:ascii="Times New Roman" w:hAnsi="Times New Roman"/>
            <w:sz w:val="24"/>
            <w:szCs w:val="24"/>
          </w:rPr>
          <w:t>https://doi.org/10.1001/jamanetworkopen.2021.46705</w:t>
        </w:r>
      </w:hyperlink>
    </w:p>
    <w:p w14:paraId="519F8281" w14:textId="77777777" w:rsidR="007148B1" w:rsidRPr="00AB2403" w:rsidRDefault="007148B1" w:rsidP="007148B1">
      <w:pPr>
        <w:spacing w:after="0"/>
        <w:jc w:val="both"/>
        <w:rPr>
          <w:rFonts w:ascii="Times New Roman" w:hAnsi="Times New Roman"/>
          <w:sz w:val="24"/>
          <w:szCs w:val="24"/>
        </w:rPr>
      </w:pPr>
    </w:p>
    <w:p w14:paraId="6F5E7B48"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National Population Commission (NPC) [Nigeria] &amp; ICF. (2019). Nigeria Demographic and Health Survey 2018. NPC and ICF.</w:t>
      </w:r>
    </w:p>
    <w:p w14:paraId="16AC72FE" w14:textId="77777777" w:rsidR="007148B1" w:rsidRDefault="007148B1" w:rsidP="007148B1">
      <w:pPr>
        <w:spacing w:after="0"/>
        <w:jc w:val="both"/>
        <w:rPr>
          <w:rFonts w:ascii="Times New Roman" w:hAnsi="Times New Roman"/>
          <w:sz w:val="24"/>
          <w:szCs w:val="24"/>
        </w:rPr>
      </w:pPr>
    </w:p>
    <w:p w14:paraId="70C43B3C" w14:textId="77777777" w:rsidR="007148B1" w:rsidRPr="00AB2403" w:rsidRDefault="007148B1" w:rsidP="007148B1">
      <w:pPr>
        <w:spacing w:after="0"/>
        <w:jc w:val="both"/>
        <w:rPr>
          <w:rFonts w:ascii="Times New Roman" w:hAnsi="Times New Roman"/>
          <w:sz w:val="24"/>
          <w:szCs w:val="24"/>
        </w:rPr>
      </w:pPr>
      <w:proofErr w:type="spellStart"/>
      <w:r w:rsidRPr="008A65A0">
        <w:rPr>
          <w:rStyle w:val="Strong"/>
          <w:rFonts w:ascii="Times New Roman" w:hAnsi="Times New Roman"/>
          <w:b w:val="0"/>
          <w:bCs w:val="0"/>
          <w:color w:val="000000"/>
          <w:sz w:val="24"/>
          <w:szCs w:val="24"/>
        </w:rPr>
        <w:t>Osendarp</w:t>
      </w:r>
      <w:proofErr w:type="spellEnd"/>
      <w:r w:rsidRPr="008A65A0">
        <w:rPr>
          <w:rStyle w:val="Strong"/>
          <w:rFonts w:ascii="Times New Roman" w:hAnsi="Times New Roman"/>
          <w:b w:val="0"/>
          <w:bCs w:val="0"/>
          <w:color w:val="000000"/>
          <w:sz w:val="24"/>
          <w:szCs w:val="24"/>
        </w:rPr>
        <w:t>, S. J. M., Martinez, H., Garrett, G. S., Neufeld, L. M., De-</w:t>
      </w:r>
      <w:proofErr w:type="spellStart"/>
      <w:r w:rsidRPr="008A65A0">
        <w:rPr>
          <w:rStyle w:val="Strong"/>
          <w:rFonts w:ascii="Times New Roman" w:hAnsi="Times New Roman"/>
          <w:b w:val="0"/>
          <w:bCs w:val="0"/>
          <w:color w:val="000000"/>
          <w:sz w:val="24"/>
          <w:szCs w:val="24"/>
        </w:rPr>
        <w:t>Regil</w:t>
      </w:r>
      <w:proofErr w:type="spellEnd"/>
      <w:r w:rsidRPr="008A65A0">
        <w:rPr>
          <w:rStyle w:val="Strong"/>
          <w:rFonts w:ascii="Times New Roman" w:hAnsi="Times New Roman"/>
          <w:b w:val="0"/>
          <w:bCs w:val="0"/>
          <w:color w:val="000000"/>
          <w:sz w:val="24"/>
          <w:szCs w:val="24"/>
        </w:rPr>
        <w:t xml:space="preserve">, L. M., </w:t>
      </w:r>
      <w:proofErr w:type="spellStart"/>
      <w:r w:rsidRPr="008A65A0">
        <w:rPr>
          <w:rStyle w:val="Strong"/>
          <w:rFonts w:ascii="Times New Roman" w:hAnsi="Times New Roman"/>
          <w:b w:val="0"/>
          <w:bCs w:val="0"/>
          <w:color w:val="000000"/>
          <w:sz w:val="24"/>
          <w:szCs w:val="24"/>
        </w:rPr>
        <w:t>Vossenaar</w:t>
      </w:r>
      <w:proofErr w:type="spellEnd"/>
      <w:r w:rsidRPr="008A65A0">
        <w:rPr>
          <w:rStyle w:val="Strong"/>
          <w:rFonts w:ascii="Times New Roman" w:hAnsi="Times New Roman"/>
          <w:b w:val="0"/>
          <w:bCs w:val="0"/>
          <w:color w:val="000000"/>
          <w:sz w:val="24"/>
          <w:szCs w:val="24"/>
        </w:rPr>
        <w:t>, M., &amp; Darnton-Hill, I. (2018).</w:t>
      </w:r>
      <w:r w:rsidRPr="008A65A0">
        <w:rPr>
          <w:rStyle w:val="apple-converted-space"/>
          <w:rFonts w:ascii="Times New Roman" w:hAnsi="Times New Roman"/>
          <w:color w:val="000000"/>
          <w:sz w:val="24"/>
          <w:szCs w:val="24"/>
        </w:rPr>
        <w:t> </w:t>
      </w:r>
      <w:r w:rsidRPr="008A65A0">
        <w:rPr>
          <w:rFonts w:ascii="Times New Roman" w:hAnsi="Times New Roman"/>
          <w:color w:val="000000"/>
          <w:sz w:val="24"/>
          <w:szCs w:val="24"/>
        </w:rPr>
        <w:t>Large-scale food fortification and biofortification in low- and middle-income countries: A review of programs, trends, challenges, and evidence gaps.</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Food and Nutrition Bulletin, 39</w:t>
      </w:r>
      <w:r w:rsidRPr="008A65A0">
        <w:rPr>
          <w:rFonts w:ascii="Times New Roman" w:hAnsi="Times New Roman"/>
          <w:color w:val="000000"/>
          <w:sz w:val="24"/>
          <w:szCs w:val="24"/>
        </w:rPr>
        <w:t>(2), 315–331.</w:t>
      </w:r>
      <w:r w:rsidRPr="008A65A0">
        <w:rPr>
          <w:rStyle w:val="apple-converted-space"/>
          <w:rFonts w:ascii="Times New Roman" w:hAnsi="Times New Roman"/>
          <w:color w:val="000000"/>
          <w:sz w:val="24"/>
          <w:szCs w:val="24"/>
        </w:rPr>
        <w:t> </w:t>
      </w:r>
      <w:hyperlink r:id="rId23" w:history="1">
        <w:r w:rsidRPr="008A65A0">
          <w:rPr>
            <w:rStyle w:val="Hyperlink"/>
            <w:rFonts w:ascii="Times New Roman" w:hAnsi="Times New Roman"/>
            <w:sz w:val="24"/>
            <w:szCs w:val="24"/>
          </w:rPr>
          <w:t>https://doi.org/10.1177/0379572118774229</w:t>
        </w:r>
      </w:hyperlink>
      <w:r w:rsidRPr="008A65A0">
        <w:rPr>
          <w:rFonts w:ascii="Times New Roman" w:hAnsi="Times New Roman"/>
          <w:sz w:val="24"/>
          <w:szCs w:val="24"/>
        </w:rPr>
        <w:t xml:space="preserve"> </w:t>
      </w:r>
    </w:p>
    <w:p w14:paraId="33215925" w14:textId="77777777" w:rsidR="007148B1" w:rsidRPr="00AB2403" w:rsidRDefault="007148B1" w:rsidP="007148B1">
      <w:pPr>
        <w:spacing w:after="0"/>
        <w:jc w:val="both"/>
        <w:rPr>
          <w:rFonts w:ascii="Times New Roman" w:hAnsi="Times New Roman"/>
          <w:sz w:val="24"/>
          <w:szCs w:val="24"/>
        </w:rPr>
      </w:pPr>
    </w:p>
    <w:p w14:paraId="2165AD18"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Pasricha, S. R., Tye-Din, J., Muckenthaler, M. U., &amp; Swinkels, D. W. (2021). Iron deficiency. The Lancet, 397(10270), 233–248. </w:t>
      </w:r>
      <w:hyperlink r:id="rId24" w:history="1">
        <w:r w:rsidRPr="00FB1048">
          <w:rPr>
            <w:rStyle w:val="Hyperlink"/>
            <w:rFonts w:ascii="Times New Roman" w:hAnsi="Times New Roman"/>
            <w:sz w:val="24"/>
            <w:szCs w:val="24"/>
          </w:rPr>
          <w:t>https://doi.org/10.1016/S0140-6736(20)32594-0</w:t>
        </w:r>
      </w:hyperlink>
    </w:p>
    <w:p w14:paraId="54AE4497" w14:textId="77777777" w:rsidR="007148B1" w:rsidRDefault="007148B1" w:rsidP="007148B1">
      <w:pPr>
        <w:spacing w:after="0"/>
        <w:jc w:val="both"/>
        <w:rPr>
          <w:rFonts w:ascii="Times New Roman" w:hAnsi="Times New Roman"/>
          <w:sz w:val="24"/>
          <w:szCs w:val="24"/>
        </w:rPr>
      </w:pPr>
    </w:p>
    <w:p w14:paraId="3C8A2AA6" w14:textId="77777777" w:rsidR="007148B1" w:rsidRPr="00AB2403" w:rsidRDefault="007148B1" w:rsidP="007148B1">
      <w:pPr>
        <w:spacing w:after="0"/>
        <w:jc w:val="both"/>
        <w:rPr>
          <w:rFonts w:ascii="Times New Roman" w:hAnsi="Times New Roman"/>
          <w:sz w:val="24"/>
          <w:szCs w:val="24"/>
        </w:rPr>
      </w:pPr>
      <w:r w:rsidRPr="008A65A0">
        <w:rPr>
          <w:rFonts w:ascii="Times New Roman" w:hAnsi="Times New Roman"/>
          <w:color w:val="000000"/>
          <w:sz w:val="24"/>
          <w:szCs w:val="24"/>
        </w:rPr>
        <w:t xml:space="preserve">Passarelli, S., Free, C. M., </w:t>
      </w:r>
      <w:proofErr w:type="spellStart"/>
      <w:r w:rsidRPr="008A65A0">
        <w:rPr>
          <w:rFonts w:ascii="Times New Roman" w:hAnsi="Times New Roman"/>
          <w:color w:val="000000"/>
          <w:sz w:val="24"/>
          <w:szCs w:val="24"/>
        </w:rPr>
        <w:t>Shepon</w:t>
      </w:r>
      <w:proofErr w:type="spellEnd"/>
      <w:r w:rsidRPr="008A65A0">
        <w:rPr>
          <w:rFonts w:ascii="Times New Roman" w:hAnsi="Times New Roman"/>
          <w:color w:val="000000"/>
          <w:sz w:val="24"/>
          <w:szCs w:val="24"/>
        </w:rPr>
        <w:t>, A., Beal, T., Batis, C., &amp; Golden, C. D. (2024). Global estimation of dietary micronutrient inadequacies: A modelling analysis.</w:t>
      </w:r>
      <w:r w:rsidRPr="008A65A0">
        <w:rPr>
          <w:rStyle w:val="apple-converted-space"/>
          <w:rFonts w:ascii="Times New Roman" w:hAnsi="Times New Roman"/>
          <w:color w:val="000000"/>
          <w:sz w:val="24"/>
          <w:szCs w:val="24"/>
        </w:rPr>
        <w:t> </w:t>
      </w:r>
      <w:r w:rsidRPr="008A65A0">
        <w:rPr>
          <w:rStyle w:val="Emphasis"/>
          <w:rFonts w:ascii="Times New Roman" w:hAnsi="Times New Roman"/>
          <w:color w:val="000000"/>
          <w:sz w:val="24"/>
          <w:szCs w:val="24"/>
        </w:rPr>
        <w:t>The Lancet Global Health, 12</w:t>
      </w:r>
      <w:r w:rsidRPr="008A65A0">
        <w:rPr>
          <w:rFonts w:ascii="Times New Roman" w:hAnsi="Times New Roman"/>
          <w:color w:val="000000"/>
          <w:sz w:val="24"/>
          <w:szCs w:val="24"/>
        </w:rPr>
        <w:t>(10), e1590–e1599.</w:t>
      </w:r>
      <w:r w:rsidRPr="008A65A0">
        <w:rPr>
          <w:rStyle w:val="apple-converted-space"/>
          <w:rFonts w:ascii="Times New Roman" w:hAnsi="Times New Roman"/>
          <w:color w:val="000000"/>
          <w:sz w:val="24"/>
          <w:szCs w:val="24"/>
        </w:rPr>
        <w:t> </w:t>
      </w:r>
      <w:hyperlink r:id="rId25" w:history="1">
        <w:r w:rsidRPr="008A65A0">
          <w:rPr>
            <w:rStyle w:val="Hyperlink"/>
            <w:rFonts w:ascii="Times New Roman" w:hAnsi="Times New Roman"/>
            <w:sz w:val="24"/>
            <w:szCs w:val="24"/>
          </w:rPr>
          <w:t>https://doi.org/10.1016/S2214-109X(24)00276-6</w:t>
        </w:r>
      </w:hyperlink>
    </w:p>
    <w:p w14:paraId="1B92FB52" w14:textId="77777777" w:rsidR="007148B1" w:rsidRPr="00AB2403" w:rsidRDefault="007148B1" w:rsidP="007148B1">
      <w:pPr>
        <w:spacing w:after="0"/>
        <w:jc w:val="both"/>
        <w:rPr>
          <w:rFonts w:ascii="Times New Roman" w:hAnsi="Times New Roman"/>
          <w:sz w:val="24"/>
          <w:szCs w:val="24"/>
        </w:rPr>
      </w:pPr>
    </w:p>
    <w:p w14:paraId="70C04A88"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Popkin, B. M., Corvalan, C., &amp; Grummer-Strawn, L. M. (2020). Dynamics of the double burden of malnutrition and the changing nutrition reality. The Lancet, 395(10217), 65–74. </w:t>
      </w:r>
      <w:hyperlink r:id="rId26" w:history="1">
        <w:r w:rsidRPr="00FB1048">
          <w:rPr>
            <w:rStyle w:val="Hyperlink"/>
            <w:rFonts w:ascii="Times New Roman" w:hAnsi="Times New Roman"/>
            <w:sz w:val="24"/>
            <w:szCs w:val="24"/>
          </w:rPr>
          <w:t>https://doi.org/10.1016/S0140-6736(19)32497-3</w:t>
        </w:r>
      </w:hyperlink>
    </w:p>
    <w:p w14:paraId="1BF84A21" w14:textId="77777777" w:rsidR="007148B1" w:rsidRDefault="007148B1" w:rsidP="007148B1">
      <w:pPr>
        <w:spacing w:after="0"/>
        <w:jc w:val="both"/>
        <w:rPr>
          <w:rFonts w:ascii="Times New Roman" w:hAnsi="Times New Roman"/>
          <w:sz w:val="24"/>
          <w:szCs w:val="24"/>
        </w:rPr>
      </w:pPr>
    </w:p>
    <w:p w14:paraId="1F409E3F" w14:textId="77777777" w:rsidR="007148B1" w:rsidRPr="008A65A0" w:rsidRDefault="007148B1" w:rsidP="007148B1">
      <w:pPr>
        <w:spacing w:after="0"/>
        <w:jc w:val="both"/>
        <w:rPr>
          <w:rFonts w:ascii="Times New Roman" w:hAnsi="Times New Roman"/>
          <w:color w:val="000000"/>
          <w:sz w:val="24"/>
          <w:szCs w:val="24"/>
        </w:rPr>
      </w:pPr>
      <w:r w:rsidRPr="008A65A0">
        <w:rPr>
          <w:rFonts w:ascii="Times New Roman" w:hAnsi="Times New Roman"/>
          <w:color w:val="000000"/>
          <w:sz w:val="24"/>
          <w:szCs w:val="24"/>
        </w:rPr>
        <w:t xml:space="preserve">Powell-Wiley, T. M., Poirier, P., Burke, L. E., Després, J.-P., Gordon-Larsen, P., Lavie, C. J., Lear, S. A., </w:t>
      </w:r>
      <w:proofErr w:type="spellStart"/>
      <w:r w:rsidRPr="008A65A0">
        <w:rPr>
          <w:rFonts w:ascii="Times New Roman" w:hAnsi="Times New Roman"/>
          <w:color w:val="000000"/>
          <w:sz w:val="24"/>
          <w:szCs w:val="24"/>
        </w:rPr>
        <w:t>Ndumele</w:t>
      </w:r>
      <w:proofErr w:type="spellEnd"/>
      <w:r w:rsidRPr="008A65A0">
        <w:rPr>
          <w:rFonts w:ascii="Times New Roman" w:hAnsi="Times New Roman"/>
          <w:color w:val="000000"/>
          <w:sz w:val="24"/>
          <w:szCs w:val="24"/>
        </w:rPr>
        <w:t>, C. E., Neeland, I. J., Sanders, P., St-Onge, M.-P., &amp; American Heart Association Council on Lifestyle and Cardiometabolic Health. (2021). Obesity and cardiovascular disease: A scientific statement from the American Heart Association. </w:t>
      </w:r>
      <w:r w:rsidRPr="008A65A0">
        <w:rPr>
          <w:rFonts w:ascii="Times New Roman" w:hAnsi="Times New Roman"/>
          <w:i/>
          <w:iCs/>
          <w:color w:val="000000"/>
          <w:sz w:val="24"/>
          <w:szCs w:val="24"/>
        </w:rPr>
        <w:t>Circulation, 143</w:t>
      </w:r>
      <w:r w:rsidRPr="008A65A0">
        <w:rPr>
          <w:rFonts w:ascii="Times New Roman" w:hAnsi="Times New Roman"/>
          <w:color w:val="000000"/>
          <w:sz w:val="24"/>
          <w:szCs w:val="24"/>
        </w:rPr>
        <w:t>(21), e984–e1010. </w:t>
      </w:r>
      <w:hyperlink r:id="rId27" w:tgtFrame="_new" w:history="1">
        <w:r w:rsidRPr="008A65A0">
          <w:rPr>
            <w:rFonts w:ascii="Times New Roman" w:hAnsi="Times New Roman"/>
            <w:color w:val="0000FF"/>
            <w:sz w:val="24"/>
            <w:szCs w:val="24"/>
            <w:u w:val="single"/>
          </w:rPr>
          <w:t>https://doi.org/10.1161/CIR.0000000000000973</w:t>
        </w:r>
      </w:hyperlink>
      <w:r w:rsidRPr="008A65A0">
        <w:rPr>
          <w:rFonts w:ascii="Times New Roman" w:hAnsi="Times New Roman"/>
          <w:color w:val="000000"/>
          <w:sz w:val="24"/>
          <w:szCs w:val="24"/>
        </w:rPr>
        <w:t>. </w:t>
      </w:r>
    </w:p>
    <w:p w14:paraId="0D038A97" w14:textId="77777777" w:rsidR="007148B1" w:rsidRPr="00AB2403" w:rsidRDefault="007148B1" w:rsidP="007148B1">
      <w:pPr>
        <w:spacing w:after="0"/>
        <w:jc w:val="both"/>
        <w:rPr>
          <w:rFonts w:ascii="Times New Roman" w:hAnsi="Times New Roman"/>
          <w:sz w:val="24"/>
          <w:szCs w:val="24"/>
        </w:rPr>
      </w:pPr>
    </w:p>
    <w:p w14:paraId="5BE88311" w14:textId="77777777" w:rsidR="007148B1" w:rsidRPr="00AB2403"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Ruel, M. T., &amp; Alderman, H. (2013). Nutrition-sensitive interventions and </w:t>
      </w:r>
      <w:proofErr w:type="spellStart"/>
      <w:r w:rsidRPr="00AB2403">
        <w:rPr>
          <w:rFonts w:ascii="Times New Roman" w:hAnsi="Times New Roman"/>
          <w:sz w:val="24"/>
          <w:szCs w:val="24"/>
        </w:rPr>
        <w:t>programmes</w:t>
      </w:r>
      <w:proofErr w:type="spellEnd"/>
      <w:r w:rsidRPr="00AB2403">
        <w:rPr>
          <w:rFonts w:ascii="Times New Roman" w:hAnsi="Times New Roman"/>
          <w:sz w:val="24"/>
          <w:szCs w:val="24"/>
        </w:rPr>
        <w:t>: How can they help to accelerate progress in improving maternal and child nutrition? The Lancet, 382(9891), 536–551. https://doi.org/10.1016/S0140-6736(13)60843-0</w:t>
      </w:r>
    </w:p>
    <w:p w14:paraId="01F91692" w14:textId="77777777" w:rsidR="007148B1" w:rsidRPr="00AB2403" w:rsidRDefault="007148B1" w:rsidP="007148B1">
      <w:pPr>
        <w:spacing w:after="0"/>
        <w:jc w:val="both"/>
        <w:rPr>
          <w:rFonts w:ascii="Times New Roman" w:hAnsi="Times New Roman"/>
          <w:sz w:val="24"/>
          <w:szCs w:val="24"/>
        </w:rPr>
      </w:pPr>
    </w:p>
    <w:p w14:paraId="4BE38806" w14:textId="77777777" w:rsidR="007148B1" w:rsidRPr="00AB2403" w:rsidRDefault="007148B1" w:rsidP="007148B1">
      <w:pPr>
        <w:spacing w:after="0"/>
        <w:jc w:val="both"/>
        <w:rPr>
          <w:rFonts w:ascii="Times New Roman" w:hAnsi="Times New Roman"/>
          <w:sz w:val="24"/>
          <w:szCs w:val="24"/>
        </w:rPr>
      </w:pPr>
      <w:r w:rsidRPr="00AB2403">
        <w:rPr>
          <w:rFonts w:ascii="Times New Roman" w:hAnsi="Times New Roman"/>
          <w:sz w:val="24"/>
          <w:szCs w:val="24"/>
        </w:rPr>
        <w:t>Spronk, I., Kullen, C., Burdon, C., &amp; O'Connor, H. (2014). Relationship between nutrition knowledge and dietary intake. British Journal of Nutrition, 111(10), 1713–1726. https://doi.org/10.1017/S0007114514000087</w:t>
      </w:r>
    </w:p>
    <w:p w14:paraId="72E635BB" w14:textId="77777777" w:rsidR="007148B1" w:rsidRPr="00AB2403" w:rsidRDefault="007148B1" w:rsidP="007148B1">
      <w:pPr>
        <w:spacing w:after="0"/>
        <w:jc w:val="both"/>
        <w:rPr>
          <w:rFonts w:ascii="Times New Roman" w:hAnsi="Times New Roman"/>
          <w:sz w:val="24"/>
          <w:szCs w:val="24"/>
        </w:rPr>
      </w:pPr>
    </w:p>
    <w:p w14:paraId="04A838D4"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Stevens, G. A., Beal, T., Mbuya, M. N. N., Luo, H., &amp; Neufeld, L. M. (2022). Micronutrient deficiencies among preschool-aged children and women of reproductive age worldwide. The Lancet Global Health, 10(11), e1590–e1599. </w:t>
      </w:r>
      <w:hyperlink r:id="rId28" w:history="1">
        <w:r w:rsidRPr="00084B9E">
          <w:rPr>
            <w:rStyle w:val="Hyperlink"/>
            <w:rFonts w:ascii="Times New Roman" w:hAnsi="Times New Roman"/>
            <w:sz w:val="24"/>
            <w:szCs w:val="24"/>
          </w:rPr>
          <w:t>https://doi.org/10.1016/S2214-109X(22)00367-9</w:t>
        </w:r>
      </w:hyperlink>
    </w:p>
    <w:p w14:paraId="4498D417" w14:textId="77777777" w:rsidR="007148B1" w:rsidRPr="00AB2403" w:rsidRDefault="007148B1" w:rsidP="007148B1">
      <w:pPr>
        <w:spacing w:after="0"/>
        <w:jc w:val="both"/>
        <w:rPr>
          <w:rFonts w:ascii="Times New Roman" w:hAnsi="Times New Roman"/>
          <w:sz w:val="24"/>
          <w:szCs w:val="24"/>
        </w:rPr>
      </w:pPr>
    </w:p>
    <w:p w14:paraId="360D3D3D"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 xml:space="preserve">Story, M., Kaphingst, K. M., Robinson-O'Brien, R., &amp; Glanz, K. (2008). Creating healthy food and eating environments: Policy and environmental approaches. Annual Review of Public Health, 29, 253–272. </w:t>
      </w:r>
      <w:hyperlink r:id="rId29" w:history="1">
        <w:r w:rsidRPr="00FB1048">
          <w:rPr>
            <w:rStyle w:val="Hyperlink"/>
            <w:rFonts w:ascii="Times New Roman" w:hAnsi="Times New Roman"/>
            <w:sz w:val="24"/>
            <w:szCs w:val="24"/>
          </w:rPr>
          <w:t>https://doi.org/10.1146/annurev.publhealth.29.020907.090926</w:t>
        </w:r>
      </w:hyperlink>
      <w:r>
        <w:rPr>
          <w:rFonts w:ascii="Times New Roman" w:hAnsi="Times New Roman"/>
          <w:sz w:val="24"/>
          <w:szCs w:val="24"/>
        </w:rPr>
        <w:t xml:space="preserve"> </w:t>
      </w:r>
    </w:p>
    <w:p w14:paraId="34F3208E" w14:textId="77777777" w:rsidR="007148B1" w:rsidRPr="00AB2403" w:rsidRDefault="007148B1" w:rsidP="007148B1">
      <w:pPr>
        <w:spacing w:after="0"/>
        <w:jc w:val="both"/>
        <w:rPr>
          <w:rFonts w:ascii="Times New Roman" w:hAnsi="Times New Roman"/>
          <w:sz w:val="24"/>
          <w:szCs w:val="24"/>
        </w:rPr>
      </w:pPr>
    </w:p>
    <w:p w14:paraId="6E34C7CB" w14:textId="77777777" w:rsidR="007148B1" w:rsidRDefault="007148B1" w:rsidP="007148B1">
      <w:pPr>
        <w:spacing w:after="0"/>
        <w:jc w:val="both"/>
        <w:rPr>
          <w:rFonts w:ascii="Times New Roman" w:hAnsi="Times New Roman"/>
          <w:sz w:val="24"/>
          <w:szCs w:val="24"/>
        </w:rPr>
      </w:pPr>
      <w:r w:rsidRPr="00AB2403">
        <w:rPr>
          <w:rFonts w:ascii="Times New Roman" w:hAnsi="Times New Roman"/>
          <w:sz w:val="24"/>
          <w:szCs w:val="24"/>
        </w:rPr>
        <w:t>United Nations. (2023). The Sustainable Development Goals Report 2023. United Nations.</w:t>
      </w:r>
    </w:p>
    <w:p w14:paraId="79E19946" w14:textId="77777777" w:rsidR="007148B1" w:rsidRPr="00AB2403" w:rsidRDefault="007148B1" w:rsidP="007148B1">
      <w:pPr>
        <w:spacing w:after="0"/>
        <w:jc w:val="both"/>
        <w:rPr>
          <w:rFonts w:ascii="Times New Roman" w:hAnsi="Times New Roman"/>
          <w:sz w:val="24"/>
          <w:szCs w:val="24"/>
        </w:rPr>
      </w:pPr>
    </w:p>
    <w:p w14:paraId="5EC20D3C" w14:textId="77777777" w:rsidR="007148B1" w:rsidRPr="009F20FE" w:rsidRDefault="007148B1" w:rsidP="007148B1">
      <w:pPr>
        <w:pStyle w:val="NoSpacing"/>
        <w:jc w:val="both"/>
        <w:rPr>
          <w:rFonts w:ascii="Times New Roman" w:hAnsi="Times New Roman"/>
          <w:sz w:val="24"/>
          <w:szCs w:val="24"/>
        </w:rPr>
      </w:pPr>
      <w:r w:rsidRPr="009F20FE">
        <w:rPr>
          <w:rFonts w:ascii="Times New Roman" w:hAnsi="Times New Roman"/>
          <w:sz w:val="24"/>
          <w:szCs w:val="24"/>
        </w:rPr>
        <w:t>World Health Organization. (2008). Training Course on Child Growth Assessment. World Health Organization.</w:t>
      </w:r>
    </w:p>
    <w:p w14:paraId="5582ABE9" w14:textId="77777777" w:rsidR="007148B1" w:rsidRDefault="007148B1" w:rsidP="007148B1">
      <w:pPr>
        <w:pStyle w:val="NoSpacing"/>
        <w:jc w:val="both"/>
        <w:rPr>
          <w:rFonts w:ascii="Times New Roman" w:hAnsi="Times New Roman"/>
          <w:sz w:val="24"/>
          <w:szCs w:val="24"/>
        </w:rPr>
      </w:pPr>
    </w:p>
    <w:p w14:paraId="1109DFD1" w14:textId="77777777" w:rsidR="007148B1" w:rsidRDefault="007148B1" w:rsidP="007148B1">
      <w:pPr>
        <w:pStyle w:val="NoSpacing"/>
        <w:jc w:val="both"/>
        <w:rPr>
          <w:rFonts w:ascii="Times New Roman" w:hAnsi="Times New Roman"/>
          <w:sz w:val="24"/>
          <w:szCs w:val="24"/>
        </w:rPr>
      </w:pPr>
      <w:r w:rsidRPr="009F20FE">
        <w:rPr>
          <w:rFonts w:ascii="Times New Roman" w:hAnsi="Times New Roman"/>
          <w:sz w:val="24"/>
          <w:szCs w:val="24"/>
        </w:rPr>
        <w:t xml:space="preserve">World Health Organization. (2023). Micronutrient deficiencies. </w:t>
      </w:r>
    </w:p>
    <w:p w14:paraId="42DC040E" w14:textId="77777777" w:rsidR="007148B1" w:rsidRDefault="007148B1" w:rsidP="007148B1">
      <w:pPr>
        <w:pStyle w:val="NoSpacing"/>
        <w:jc w:val="both"/>
        <w:rPr>
          <w:rFonts w:ascii="Times New Roman" w:eastAsia="Times New Roman" w:hAnsi="Times New Roman"/>
          <w:sz w:val="24"/>
          <w:szCs w:val="24"/>
        </w:rPr>
      </w:pPr>
    </w:p>
    <w:p w14:paraId="0D947098" w14:textId="77777777" w:rsidR="007148B1" w:rsidRDefault="007148B1" w:rsidP="007148B1">
      <w:pPr>
        <w:pStyle w:val="NoSpacing"/>
        <w:jc w:val="both"/>
        <w:rPr>
          <w:rFonts w:ascii="Times New Roman" w:eastAsia="Times New Roman" w:hAnsi="Times New Roman"/>
          <w:sz w:val="24"/>
          <w:szCs w:val="24"/>
        </w:rPr>
      </w:pPr>
      <w:r w:rsidRPr="009F20FE">
        <w:rPr>
          <w:rFonts w:ascii="Times New Roman" w:eastAsia="Times New Roman" w:hAnsi="Times New Roman"/>
          <w:sz w:val="24"/>
          <w:szCs w:val="24"/>
        </w:rPr>
        <w:t>World Health Organization. (2023). One Health.</w:t>
      </w:r>
    </w:p>
    <w:p w14:paraId="12B03317" w14:textId="77777777" w:rsidR="007148B1" w:rsidRPr="009F20FE" w:rsidRDefault="007148B1" w:rsidP="007148B1">
      <w:pPr>
        <w:pStyle w:val="NoSpacing"/>
        <w:jc w:val="both"/>
        <w:rPr>
          <w:rFonts w:ascii="Times New Roman" w:eastAsia="Times New Roman" w:hAnsi="Times New Roman"/>
          <w:sz w:val="24"/>
          <w:szCs w:val="24"/>
        </w:rPr>
      </w:pPr>
    </w:p>
    <w:p w14:paraId="0CA4B1DB" w14:textId="77777777" w:rsidR="007148B1" w:rsidRPr="009F20FE" w:rsidRDefault="007148B1" w:rsidP="007148B1">
      <w:pPr>
        <w:pStyle w:val="NoSpacing"/>
        <w:jc w:val="both"/>
        <w:rPr>
          <w:rFonts w:ascii="Times New Roman" w:hAnsi="Times New Roman"/>
          <w:sz w:val="24"/>
          <w:szCs w:val="24"/>
        </w:rPr>
      </w:pPr>
      <w:r w:rsidRPr="009F20FE">
        <w:rPr>
          <w:rFonts w:ascii="Times New Roman" w:eastAsia="Times New Roman" w:hAnsi="Times New Roman"/>
          <w:sz w:val="24"/>
          <w:szCs w:val="24"/>
        </w:rPr>
        <w:t>World Health Organization. (2026). Healthy diet Report</w:t>
      </w:r>
      <w:r>
        <w:rPr>
          <w:rFonts w:ascii="Times New Roman" w:eastAsia="Times New Roman" w:hAnsi="Times New Roman"/>
          <w:sz w:val="24"/>
          <w:szCs w:val="24"/>
        </w:rPr>
        <w:t xml:space="preserve">. </w:t>
      </w:r>
    </w:p>
    <w:p w14:paraId="2547D063" w14:textId="77777777" w:rsidR="007148B1" w:rsidRDefault="007148B1" w:rsidP="007148B1">
      <w:pPr>
        <w:pStyle w:val="NoSpacing"/>
        <w:jc w:val="both"/>
        <w:rPr>
          <w:rFonts w:ascii="Times New Roman" w:eastAsia="Times New Roman" w:hAnsi="Times New Roman"/>
          <w:sz w:val="24"/>
          <w:szCs w:val="24"/>
        </w:rPr>
      </w:pPr>
    </w:p>
    <w:p w14:paraId="4F1237C9" w14:textId="77777777" w:rsidR="007148B1" w:rsidRPr="009F20FE" w:rsidRDefault="007148B1" w:rsidP="007148B1">
      <w:pPr>
        <w:pStyle w:val="NoSpacing"/>
        <w:jc w:val="both"/>
        <w:rPr>
          <w:rFonts w:ascii="Times New Roman" w:eastAsia="Times New Roman" w:hAnsi="Times New Roman"/>
          <w:sz w:val="24"/>
          <w:szCs w:val="24"/>
        </w:rPr>
      </w:pPr>
      <w:r w:rsidRPr="00C74C4C">
        <w:rPr>
          <w:rFonts w:ascii="Times New Roman" w:eastAsia="Times New Roman" w:hAnsi="Times New Roman"/>
          <w:sz w:val="24"/>
          <w:szCs w:val="24"/>
        </w:rPr>
        <w:lastRenderedPageBreak/>
        <w:t> </w:t>
      </w:r>
    </w:p>
    <w:p w14:paraId="08F30159" w14:textId="77777777" w:rsidR="007148B1" w:rsidRPr="008A65A0" w:rsidRDefault="007148B1" w:rsidP="007148B1">
      <w:pPr>
        <w:spacing w:after="0"/>
        <w:jc w:val="both"/>
        <w:rPr>
          <w:rFonts w:ascii="Times New Roman" w:hAnsi="Times New Roman"/>
          <w:sz w:val="24"/>
          <w:szCs w:val="24"/>
        </w:rPr>
      </w:pPr>
    </w:p>
    <w:p w14:paraId="6D877950" w14:textId="77777777" w:rsidR="007148B1" w:rsidRPr="008A65A0" w:rsidRDefault="007148B1" w:rsidP="007148B1">
      <w:pPr>
        <w:spacing w:after="0"/>
        <w:jc w:val="both"/>
        <w:rPr>
          <w:rFonts w:ascii="Times New Roman" w:hAnsi="Times New Roman"/>
          <w:sz w:val="24"/>
          <w:szCs w:val="24"/>
        </w:rPr>
      </w:pPr>
    </w:p>
    <w:p w14:paraId="0145E4EF" w14:textId="77777777" w:rsidR="007148B1" w:rsidRPr="008A65A0" w:rsidRDefault="007148B1" w:rsidP="007148B1">
      <w:pPr>
        <w:spacing w:after="0"/>
        <w:jc w:val="both"/>
        <w:rPr>
          <w:rFonts w:ascii="Times New Roman" w:hAnsi="Times New Roman"/>
          <w:sz w:val="24"/>
          <w:szCs w:val="24"/>
        </w:rPr>
      </w:pPr>
    </w:p>
    <w:p w14:paraId="716C4378" w14:textId="77777777" w:rsidR="007148B1" w:rsidRPr="008A65A0" w:rsidRDefault="007148B1" w:rsidP="007148B1">
      <w:pPr>
        <w:spacing w:after="0"/>
        <w:jc w:val="both"/>
        <w:rPr>
          <w:rFonts w:ascii="Times New Roman" w:hAnsi="Times New Roman"/>
          <w:sz w:val="24"/>
          <w:szCs w:val="24"/>
        </w:rPr>
      </w:pPr>
    </w:p>
    <w:p w14:paraId="61653799" w14:textId="77777777" w:rsidR="007148B1" w:rsidRPr="008A65A0" w:rsidRDefault="007148B1" w:rsidP="007148B1">
      <w:pPr>
        <w:spacing w:after="0" w:line="240" w:lineRule="auto"/>
        <w:rPr>
          <w:rFonts w:ascii="Times New Roman" w:hAnsi="Times New Roman"/>
          <w:sz w:val="24"/>
          <w:szCs w:val="24"/>
          <w:lang w:eastAsia="en-US"/>
        </w:rPr>
      </w:pPr>
    </w:p>
    <w:p w14:paraId="0312C845" w14:textId="77777777" w:rsidR="007148B1" w:rsidRPr="008A65A0" w:rsidRDefault="007148B1" w:rsidP="007148B1">
      <w:pPr>
        <w:spacing w:after="0"/>
        <w:jc w:val="both"/>
        <w:rPr>
          <w:rFonts w:ascii="Times New Roman" w:hAnsi="Times New Roman"/>
          <w:color w:val="1B1B1B"/>
          <w:sz w:val="24"/>
          <w:szCs w:val="24"/>
          <w:shd w:val="clear" w:color="auto" w:fill="FFFFFF"/>
        </w:rPr>
      </w:pPr>
    </w:p>
    <w:p w14:paraId="0299B0D3" w14:textId="77777777" w:rsidR="007148B1" w:rsidRPr="008A65A0" w:rsidRDefault="007148B1" w:rsidP="007148B1">
      <w:pPr>
        <w:spacing w:after="0"/>
        <w:jc w:val="both"/>
        <w:rPr>
          <w:rStyle w:val="apple-converted-space"/>
          <w:rFonts w:ascii="Times New Roman" w:hAnsi="Times New Roman"/>
          <w:color w:val="000000"/>
          <w:sz w:val="24"/>
          <w:szCs w:val="24"/>
        </w:rPr>
      </w:pPr>
    </w:p>
    <w:p w14:paraId="5D213325" w14:textId="77777777" w:rsidR="007148B1" w:rsidRPr="008A65A0" w:rsidRDefault="007148B1" w:rsidP="007148B1">
      <w:pPr>
        <w:spacing w:after="0"/>
        <w:jc w:val="both"/>
        <w:rPr>
          <w:rFonts w:ascii="Times New Roman" w:hAnsi="Times New Roman"/>
          <w:sz w:val="24"/>
          <w:szCs w:val="24"/>
        </w:rPr>
      </w:pPr>
    </w:p>
    <w:p w14:paraId="5DB3EE86" w14:textId="77777777" w:rsidR="007148B1" w:rsidRPr="008A65A0" w:rsidRDefault="007148B1" w:rsidP="007148B1">
      <w:pPr>
        <w:spacing w:after="0"/>
        <w:jc w:val="both"/>
        <w:rPr>
          <w:rFonts w:ascii="Times New Roman" w:hAnsi="Times New Roman"/>
          <w:color w:val="000000"/>
          <w:sz w:val="24"/>
          <w:szCs w:val="24"/>
        </w:rPr>
      </w:pPr>
    </w:p>
    <w:p w14:paraId="5AD265F1" w14:textId="77777777" w:rsidR="007148B1" w:rsidRPr="008A65A0" w:rsidRDefault="007148B1" w:rsidP="007148B1">
      <w:pPr>
        <w:spacing w:after="0"/>
        <w:jc w:val="both"/>
        <w:rPr>
          <w:rFonts w:ascii="Times New Roman" w:hAnsi="Times New Roman"/>
          <w:color w:val="000000"/>
          <w:sz w:val="24"/>
          <w:szCs w:val="24"/>
        </w:rPr>
      </w:pPr>
    </w:p>
    <w:p w14:paraId="549DB188" w14:textId="77777777" w:rsidR="007148B1" w:rsidRDefault="007148B1" w:rsidP="007148B1"/>
    <w:p w14:paraId="4C057E44" w14:textId="09C9C47B" w:rsidR="004538B5" w:rsidRPr="008A65A0" w:rsidRDefault="004538B5" w:rsidP="00991892">
      <w:pPr>
        <w:spacing w:after="0"/>
        <w:jc w:val="both"/>
        <w:rPr>
          <w:rFonts w:ascii="Times New Roman" w:hAnsi="Times New Roman"/>
          <w:color w:val="000000"/>
          <w:sz w:val="24"/>
          <w:szCs w:val="24"/>
        </w:rPr>
      </w:pPr>
    </w:p>
    <w:sectPr w:rsidR="004538B5" w:rsidRPr="008A65A0">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DE3C4" w14:textId="77777777" w:rsidR="00B87260" w:rsidRDefault="00B87260" w:rsidP="00632735">
      <w:pPr>
        <w:spacing w:after="0" w:line="240" w:lineRule="auto"/>
      </w:pPr>
      <w:r>
        <w:separator/>
      </w:r>
    </w:p>
  </w:endnote>
  <w:endnote w:type="continuationSeparator" w:id="0">
    <w:p w14:paraId="4220E303" w14:textId="77777777" w:rsidR="00B87260" w:rsidRDefault="00B87260" w:rsidP="00632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5922" w14:textId="77777777" w:rsidR="00632735" w:rsidRDefault="00632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5C2A" w14:textId="77777777" w:rsidR="00632735" w:rsidRDefault="006327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FBDA" w14:textId="77777777" w:rsidR="00632735" w:rsidRDefault="00632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AB98F" w14:textId="77777777" w:rsidR="00B87260" w:rsidRDefault="00B87260" w:rsidP="00632735">
      <w:pPr>
        <w:spacing w:after="0" w:line="240" w:lineRule="auto"/>
      </w:pPr>
      <w:r>
        <w:separator/>
      </w:r>
    </w:p>
  </w:footnote>
  <w:footnote w:type="continuationSeparator" w:id="0">
    <w:p w14:paraId="3F3BB20F" w14:textId="77777777" w:rsidR="00B87260" w:rsidRDefault="00B87260" w:rsidP="00632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08E4" w14:textId="2F9915D9" w:rsidR="00632735" w:rsidRDefault="00632735">
    <w:pPr>
      <w:pStyle w:val="Header"/>
    </w:pPr>
    <w:r>
      <w:rPr>
        <w:noProof/>
      </w:rPr>
      <w:pict w14:anchorId="3714A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4" o:spid="_x0000_s1026" type="#_x0000_t136" style="position:absolute;margin-left:0;margin-top:0;width:555.6pt;height:104.15pt;rotation:315;z-index:-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EC9D" w14:textId="270F2AA1" w:rsidR="00632735" w:rsidRDefault="00632735">
    <w:pPr>
      <w:pStyle w:val="Header"/>
    </w:pPr>
    <w:r>
      <w:rPr>
        <w:noProof/>
      </w:rPr>
      <w:pict w14:anchorId="3A27E1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5" o:spid="_x0000_s1027" type="#_x0000_t136" style="position:absolute;margin-left:0;margin-top:0;width:555.6pt;height:104.15pt;rotation:315;z-index:-1;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CDAD" w14:textId="5FD540B7" w:rsidR="00632735" w:rsidRDefault="00632735">
    <w:pPr>
      <w:pStyle w:val="Header"/>
    </w:pPr>
    <w:r>
      <w:rPr>
        <w:noProof/>
      </w:rPr>
      <w:pict w14:anchorId="48E04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3" o:spid="_x0000_s1025" type="#_x0000_t136" style="position:absolute;margin-left:0;margin-top:0;width:555.6pt;height:104.15pt;rotation:315;z-index:-3;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Moves/>
  <w:defaultTabStop w:val="720"/>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216E"/>
    <w:rsid w:val="00001616"/>
    <w:rsid w:val="00023211"/>
    <w:rsid w:val="00036E72"/>
    <w:rsid w:val="00050FB7"/>
    <w:rsid w:val="0005423B"/>
    <w:rsid w:val="00137B8D"/>
    <w:rsid w:val="0015264D"/>
    <w:rsid w:val="00161429"/>
    <w:rsid w:val="001A32B0"/>
    <w:rsid w:val="00264071"/>
    <w:rsid w:val="00300627"/>
    <w:rsid w:val="003210E4"/>
    <w:rsid w:val="00331090"/>
    <w:rsid w:val="003734DA"/>
    <w:rsid w:val="00387351"/>
    <w:rsid w:val="00394F5C"/>
    <w:rsid w:val="0039525B"/>
    <w:rsid w:val="003F2626"/>
    <w:rsid w:val="003F29C2"/>
    <w:rsid w:val="004538B5"/>
    <w:rsid w:val="00462CB4"/>
    <w:rsid w:val="00475ACB"/>
    <w:rsid w:val="00490711"/>
    <w:rsid w:val="004B6226"/>
    <w:rsid w:val="004D6E4E"/>
    <w:rsid w:val="004F55AF"/>
    <w:rsid w:val="00503C57"/>
    <w:rsid w:val="00523A28"/>
    <w:rsid w:val="00567FEA"/>
    <w:rsid w:val="005A6B2C"/>
    <w:rsid w:val="005B3556"/>
    <w:rsid w:val="0062709F"/>
    <w:rsid w:val="00632735"/>
    <w:rsid w:val="0069421B"/>
    <w:rsid w:val="00700682"/>
    <w:rsid w:val="007148B1"/>
    <w:rsid w:val="007A7C39"/>
    <w:rsid w:val="007D55DA"/>
    <w:rsid w:val="007D7279"/>
    <w:rsid w:val="00884111"/>
    <w:rsid w:val="008A65A0"/>
    <w:rsid w:val="008D1618"/>
    <w:rsid w:val="008E216E"/>
    <w:rsid w:val="00987031"/>
    <w:rsid w:val="00991892"/>
    <w:rsid w:val="00996AF0"/>
    <w:rsid w:val="009F20FE"/>
    <w:rsid w:val="009F6CB5"/>
    <w:rsid w:val="00A7401D"/>
    <w:rsid w:val="00A77BE3"/>
    <w:rsid w:val="00AA6842"/>
    <w:rsid w:val="00AB2403"/>
    <w:rsid w:val="00AE4693"/>
    <w:rsid w:val="00B23001"/>
    <w:rsid w:val="00B87260"/>
    <w:rsid w:val="00BE356E"/>
    <w:rsid w:val="00C3011B"/>
    <w:rsid w:val="00C60FCD"/>
    <w:rsid w:val="00C80DFD"/>
    <w:rsid w:val="00CC4996"/>
    <w:rsid w:val="00D12757"/>
    <w:rsid w:val="00D45D6F"/>
    <w:rsid w:val="00D924DD"/>
    <w:rsid w:val="00DF4223"/>
    <w:rsid w:val="00EA549D"/>
    <w:rsid w:val="00F20631"/>
    <w:rsid w:val="00F77D6F"/>
    <w:rsid w:val="00FB7042"/>
    <w:rsid w:val="00FD428F"/>
    <w:rsid w:val="00FD7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163718"/>
  <w15:docId w15:val="{DA4B002B-FB9D-4903-BF19-0EB87ADF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7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734DA"/>
    <w:rPr>
      <w:color w:val="0000FF"/>
      <w:u w:val="single"/>
    </w:rPr>
  </w:style>
  <w:style w:type="character" w:styleId="UnresolvedMention">
    <w:name w:val="Unresolved Mention"/>
    <w:uiPriority w:val="99"/>
    <w:semiHidden/>
    <w:unhideWhenUsed/>
    <w:rsid w:val="003734DA"/>
    <w:rPr>
      <w:color w:val="605E5C"/>
      <w:shd w:val="clear" w:color="auto" w:fill="E1DFDD"/>
    </w:rPr>
  </w:style>
  <w:style w:type="paragraph" w:styleId="NormalWeb">
    <w:name w:val="Normal (Web)"/>
    <w:basedOn w:val="Normal"/>
    <w:uiPriority w:val="99"/>
    <w:semiHidden/>
    <w:unhideWhenUsed/>
    <w:rsid w:val="00503C57"/>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uiPriority w:val="22"/>
    <w:qFormat/>
    <w:rsid w:val="00C60FCD"/>
    <w:rPr>
      <w:b/>
      <w:bCs/>
    </w:rPr>
  </w:style>
  <w:style w:type="character" w:customStyle="1" w:styleId="apple-converted-space">
    <w:name w:val="apple-converted-space"/>
    <w:basedOn w:val="DefaultParagraphFont"/>
    <w:rsid w:val="00C60FCD"/>
  </w:style>
  <w:style w:type="character" w:styleId="Emphasis">
    <w:name w:val="Emphasis"/>
    <w:uiPriority w:val="20"/>
    <w:qFormat/>
    <w:rsid w:val="00C60FCD"/>
    <w:rPr>
      <w:i/>
      <w:iCs/>
    </w:rPr>
  </w:style>
  <w:style w:type="paragraph" w:customStyle="1" w:styleId="pdq2pgselectionanchorcontainer">
    <w:name w:val="pdq2pg_selectionanchorcontainer"/>
    <w:basedOn w:val="Normal"/>
    <w:rsid w:val="00C60FCD"/>
    <w:pPr>
      <w:spacing w:before="100" w:beforeAutospacing="1" w:after="100" w:afterAutospacing="1" w:line="240" w:lineRule="auto"/>
    </w:pPr>
    <w:rPr>
      <w:rFonts w:ascii="Times New Roman" w:eastAsia="Times New Roman" w:hAnsi="Times New Roman"/>
      <w:sz w:val="24"/>
      <w:szCs w:val="24"/>
      <w:lang w:eastAsia="en-US"/>
    </w:rPr>
  </w:style>
  <w:style w:type="character" w:styleId="FollowedHyperlink">
    <w:name w:val="FollowedHyperlink"/>
    <w:uiPriority w:val="99"/>
    <w:semiHidden/>
    <w:unhideWhenUsed/>
    <w:rsid w:val="00C60FCD"/>
    <w:rPr>
      <w:color w:val="800080"/>
      <w:u w:val="single"/>
    </w:rPr>
  </w:style>
  <w:style w:type="paragraph" w:styleId="NoSpacing">
    <w:name w:val="No Spacing"/>
    <w:uiPriority w:val="1"/>
    <w:qFormat/>
    <w:rsid w:val="009F20FE"/>
    <w:rPr>
      <w:sz w:val="22"/>
      <w:szCs w:val="22"/>
      <w:lang w:eastAsia="zh-CN"/>
    </w:rPr>
  </w:style>
  <w:style w:type="paragraph" w:styleId="Header">
    <w:name w:val="header"/>
    <w:basedOn w:val="Normal"/>
    <w:link w:val="HeaderChar"/>
    <w:uiPriority w:val="99"/>
    <w:unhideWhenUsed/>
    <w:rsid w:val="00632735"/>
    <w:pPr>
      <w:tabs>
        <w:tab w:val="center" w:pos="4680"/>
        <w:tab w:val="right" w:pos="9360"/>
      </w:tabs>
    </w:pPr>
  </w:style>
  <w:style w:type="character" w:customStyle="1" w:styleId="HeaderChar">
    <w:name w:val="Header Char"/>
    <w:link w:val="Header"/>
    <w:uiPriority w:val="99"/>
    <w:rsid w:val="00632735"/>
    <w:rPr>
      <w:sz w:val="22"/>
      <w:szCs w:val="22"/>
      <w:lang w:val="en-US" w:eastAsia="zh-CN"/>
    </w:rPr>
  </w:style>
  <w:style w:type="paragraph" w:styleId="Footer">
    <w:name w:val="footer"/>
    <w:basedOn w:val="Normal"/>
    <w:link w:val="FooterChar"/>
    <w:uiPriority w:val="99"/>
    <w:unhideWhenUsed/>
    <w:rsid w:val="00632735"/>
    <w:pPr>
      <w:tabs>
        <w:tab w:val="center" w:pos="4680"/>
        <w:tab w:val="right" w:pos="9360"/>
      </w:tabs>
    </w:pPr>
  </w:style>
  <w:style w:type="character" w:customStyle="1" w:styleId="FooterChar">
    <w:name w:val="Footer Char"/>
    <w:link w:val="Footer"/>
    <w:uiPriority w:val="99"/>
    <w:rsid w:val="00632735"/>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83755">
      <w:bodyDiv w:val="1"/>
      <w:marLeft w:val="0"/>
      <w:marRight w:val="0"/>
      <w:marTop w:val="0"/>
      <w:marBottom w:val="0"/>
      <w:divBdr>
        <w:top w:val="none" w:sz="0" w:space="0" w:color="auto"/>
        <w:left w:val="none" w:sz="0" w:space="0" w:color="auto"/>
        <w:bottom w:val="none" w:sz="0" w:space="0" w:color="auto"/>
        <w:right w:val="none" w:sz="0" w:space="0" w:color="auto"/>
      </w:divBdr>
    </w:div>
    <w:div w:id="891962161">
      <w:bodyDiv w:val="1"/>
      <w:marLeft w:val="0"/>
      <w:marRight w:val="0"/>
      <w:marTop w:val="0"/>
      <w:marBottom w:val="0"/>
      <w:divBdr>
        <w:top w:val="none" w:sz="0" w:space="0" w:color="auto"/>
        <w:left w:val="none" w:sz="0" w:space="0" w:color="auto"/>
        <w:bottom w:val="none" w:sz="0" w:space="0" w:color="auto"/>
        <w:right w:val="none" w:sz="0" w:space="0" w:color="auto"/>
      </w:divBdr>
    </w:div>
    <w:div w:id="1085956047">
      <w:bodyDiv w:val="1"/>
      <w:marLeft w:val="0"/>
      <w:marRight w:val="0"/>
      <w:marTop w:val="0"/>
      <w:marBottom w:val="0"/>
      <w:divBdr>
        <w:top w:val="none" w:sz="0" w:space="0" w:color="auto"/>
        <w:left w:val="none" w:sz="0" w:space="0" w:color="auto"/>
        <w:bottom w:val="none" w:sz="0" w:space="0" w:color="auto"/>
        <w:right w:val="none" w:sz="0" w:space="0" w:color="auto"/>
      </w:divBdr>
    </w:div>
    <w:div w:id="1277759319">
      <w:bodyDiv w:val="1"/>
      <w:marLeft w:val="0"/>
      <w:marRight w:val="0"/>
      <w:marTop w:val="0"/>
      <w:marBottom w:val="0"/>
      <w:divBdr>
        <w:top w:val="none" w:sz="0" w:space="0" w:color="auto"/>
        <w:left w:val="none" w:sz="0" w:space="0" w:color="auto"/>
        <w:bottom w:val="none" w:sz="0" w:space="0" w:color="auto"/>
        <w:right w:val="none" w:sz="0" w:space="0" w:color="auto"/>
      </w:divBdr>
      <w:divsChild>
        <w:div w:id="602568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662665">
      <w:bodyDiv w:val="1"/>
      <w:marLeft w:val="0"/>
      <w:marRight w:val="0"/>
      <w:marTop w:val="0"/>
      <w:marBottom w:val="0"/>
      <w:divBdr>
        <w:top w:val="none" w:sz="0" w:space="0" w:color="auto"/>
        <w:left w:val="none" w:sz="0" w:space="0" w:color="auto"/>
        <w:bottom w:val="none" w:sz="0" w:space="0" w:color="auto"/>
        <w:right w:val="none" w:sz="0" w:space="0" w:color="auto"/>
      </w:divBdr>
    </w:div>
    <w:div w:id="1436050994">
      <w:bodyDiv w:val="1"/>
      <w:marLeft w:val="0"/>
      <w:marRight w:val="0"/>
      <w:marTop w:val="0"/>
      <w:marBottom w:val="0"/>
      <w:divBdr>
        <w:top w:val="none" w:sz="0" w:space="0" w:color="auto"/>
        <w:left w:val="none" w:sz="0" w:space="0" w:color="auto"/>
        <w:bottom w:val="none" w:sz="0" w:space="0" w:color="auto"/>
        <w:right w:val="none" w:sz="0" w:space="0" w:color="auto"/>
      </w:divBdr>
    </w:div>
    <w:div w:id="1926187739">
      <w:bodyDiv w:val="1"/>
      <w:marLeft w:val="0"/>
      <w:marRight w:val="0"/>
      <w:marTop w:val="0"/>
      <w:marBottom w:val="0"/>
      <w:divBdr>
        <w:top w:val="none" w:sz="0" w:space="0" w:color="auto"/>
        <w:left w:val="none" w:sz="0" w:space="0" w:color="auto"/>
        <w:bottom w:val="none" w:sz="0" w:space="0" w:color="auto"/>
        <w:right w:val="none" w:sz="0" w:space="0" w:color="auto"/>
      </w:divBdr>
      <w:divsChild>
        <w:div w:id="920677376">
          <w:marLeft w:val="0"/>
          <w:marRight w:val="0"/>
          <w:marTop w:val="0"/>
          <w:marBottom w:val="0"/>
          <w:divBdr>
            <w:top w:val="none" w:sz="0" w:space="0" w:color="auto"/>
            <w:left w:val="none" w:sz="0" w:space="0" w:color="auto"/>
            <w:bottom w:val="none" w:sz="0" w:space="0" w:color="auto"/>
            <w:right w:val="none" w:sz="0" w:space="0" w:color="auto"/>
          </w:divBdr>
          <w:divsChild>
            <w:div w:id="1470632262">
              <w:marLeft w:val="0"/>
              <w:marRight w:val="0"/>
              <w:marTop w:val="0"/>
              <w:marBottom w:val="0"/>
              <w:divBdr>
                <w:top w:val="none" w:sz="0" w:space="0" w:color="auto"/>
                <w:left w:val="none" w:sz="0" w:space="0" w:color="auto"/>
                <w:bottom w:val="none" w:sz="0" w:space="0" w:color="auto"/>
                <w:right w:val="none" w:sz="0" w:space="0" w:color="auto"/>
              </w:divBdr>
              <w:divsChild>
                <w:div w:id="9483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4195">
      <w:bodyDiv w:val="1"/>
      <w:marLeft w:val="0"/>
      <w:marRight w:val="0"/>
      <w:marTop w:val="0"/>
      <w:marBottom w:val="0"/>
      <w:divBdr>
        <w:top w:val="none" w:sz="0" w:space="0" w:color="auto"/>
        <w:left w:val="none" w:sz="0" w:space="0" w:color="auto"/>
        <w:bottom w:val="none" w:sz="0" w:space="0" w:color="auto"/>
        <w:right w:val="none" w:sz="0" w:space="0" w:color="auto"/>
      </w:divBdr>
      <w:divsChild>
        <w:div w:id="414056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5648265040251S105" TargetMode="External"/><Relationship Id="rId18" Type="http://schemas.openxmlformats.org/officeDocument/2006/relationships/hyperlink" Target="https://doi.org/10.3945/jn.110.123414" TargetMode="External"/><Relationship Id="rId26" Type="http://schemas.openxmlformats.org/officeDocument/2006/relationships/hyperlink" Target="https://doi.org/10.1016/S0140-6736(19)32497-3" TargetMode="External"/><Relationship Id="rId21" Type="http://schemas.openxmlformats.org/officeDocument/2006/relationships/hyperlink" Target="https://doi.org/10.1093/jn/nxab219" TargetMode="External"/><Relationship Id="rId34" Type="http://schemas.openxmlformats.org/officeDocument/2006/relationships/header" Target="header3.xml"/><Relationship Id="rId7" Type="http://schemas.openxmlformats.org/officeDocument/2006/relationships/hyperlink" Target="https://doi.org/10.1159/000371618" TargetMode="External"/><Relationship Id="rId12" Type="http://schemas.openxmlformats.org/officeDocument/2006/relationships/hyperlink" Target="https://doi.org/10.3390/ijms24054822" TargetMode="External"/><Relationship Id="rId17" Type="http://schemas.openxmlformats.org/officeDocument/2006/relationships/hyperlink" Target="https://doi.org/10.1016/j.tjnut.2024.06.002" TargetMode="External"/><Relationship Id="rId25" Type="http://schemas.openxmlformats.org/officeDocument/2006/relationships/hyperlink" Target="https://doi.org/10.1016/S2214-109X(24)00276-6"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doi.org/10.1136/bmj-2021-067516" TargetMode="External"/><Relationship Id="rId20" Type="http://schemas.openxmlformats.org/officeDocument/2006/relationships/hyperlink" Target="https://doi.org/10.1017/S0029665121000902" TargetMode="External"/><Relationship Id="rId29" Type="http://schemas.openxmlformats.org/officeDocument/2006/relationships/hyperlink" Target="https://doi.org/10.1146/annurev.publhealth.29.020907.090926" TargetMode="External"/><Relationship Id="rId1" Type="http://schemas.openxmlformats.org/officeDocument/2006/relationships/styles" Target="styles.xml"/><Relationship Id="rId6" Type="http://schemas.openxmlformats.org/officeDocument/2006/relationships/hyperlink" Target="https://doi.org/10.1038/ejcn.2016.40" TargetMode="External"/><Relationship Id="rId11" Type="http://schemas.openxmlformats.org/officeDocument/2006/relationships/hyperlink" Target="https://doi.org/10.3390/nu12020334" TargetMode="External"/><Relationship Id="rId24" Type="http://schemas.openxmlformats.org/officeDocument/2006/relationships/hyperlink" Target="https://doi.org/10.1016/S0140-6736(20)32594-0"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j.cmet.2019.05.008" TargetMode="External"/><Relationship Id="rId23" Type="http://schemas.openxmlformats.org/officeDocument/2006/relationships/hyperlink" Target="https://doi.org/10.1177/0379572118774229" TargetMode="External"/><Relationship Id="rId28" Type="http://schemas.openxmlformats.org/officeDocument/2006/relationships/hyperlink" Target="https://doi.org/10.1016/S2214-109X(22)00367-9" TargetMode="External"/><Relationship Id="rId36" Type="http://schemas.openxmlformats.org/officeDocument/2006/relationships/fontTable" Target="fontTable.xml"/><Relationship Id="rId10" Type="http://schemas.openxmlformats.org/officeDocument/2006/relationships/hyperlink" Target="https://doi.org/10.1016/S0140-6736(13)60937-X" TargetMode="External"/><Relationship Id="rId19" Type="http://schemas.openxmlformats.org/officeDocument/2006/relationships/hyperlink" Target="https://doi.org/10.1093/jn/nxz295"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doi.org/10.1016/S0140-6736(13)60996-4" TargetMode="External"/><Relationship Id="rId14" Type="http://schemas.openxmlformats.org/officeDocument/2006/relationships/hyperlink" Target="https://doi.org/10.1016/j.appet.2018.03.019" TargetMode="External"/><Relationship Id="rId22" Type="http://schemas.openxmlformats.org/officeDocument/2006/relationships/hyperlink" Target="https://doi.org/10.1001/jamanetworkopen.2021.46705" TargetMode="External"/><Relationship Id="rId27" Type="http://schemas.openxmlformats.org/officeDocument/2006/relationships/hyperlink" Target="https://doi.org/10.1161/CIR.0000000000000973"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doi.org/10.1016/j.clnu.2022.02.015"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960</TotalTime>
  <Pages>14</Pages>
  <Words>5254</Words>
  <Characters>29950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X6880</dc:creator>
  <cp:lastModifiedBy>SDI 1084</cp:lastModifiedBy>
  <cp:revision>51</cp:revision>
  <dcterms:created xsi:type="dcterms:W3CDTF">2026-07-22T13:03:00Z</dcterms:created>
  <dcterms:modified xsi:type="dcterms:W3CDTF">2026-09-26T12:45:00Z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99c9d16c51e94a889805f063ae10a4dd_23</vt:lpwstr>
  </property>
</Properties>
</file>