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ACE5" w14:textId="77777777" w:rsidR="00754C9A" w:rsidRDefault="00754C9A" w:rsidP="00441B6F">
      <w:pPr>
        <w:pStyle w:val="Title"/>
        <w:spacing w:after="0"/>
        <w:jc w:val="both"/>
        <w:rPr>
          <w:rFonts w:ascii="Arial" w:hAnsi="Arial" w:cs="Arial"/>
        </w:rPr>
      </w:pPr>
    </w:p>
    <w:p w14:paraId="6716BCD5" w14:textId="77777777" w:rsidR="00A258C3" w:rsidRPr="00790ADA" w:rsidRDefault="00DF1953" w:rsidP="00441B6F">
      <w:pPr>
        <w:pStyle w:val="Author"/>
        <w:spacing w:line="240" w:lineRule="auto"/>
        <w:jc w:val="both"/>
        <w:rPr>
          <w:rFonts w:ascii="Arial" w:hAnsi="Arial" w:cs="Arial"/>
          <w:sz w:val="36"/>
        </w:rPr>
      </w:pPr>
      <w:r w:rsidRPr="00DF1953">
        <w:rPr>
          <w:rFonts w:ascii="Times New Roman" w:hAnsi="Times New Roman"/>
          <w:bCs/>
          <w:szCs w:val="24"/>
        </w:rPr>
        <w:t>ASSESSMENT OF HEAVY METAL BIOACCUMULATION OF AFRICAN CATFISH (</w:t>
      </w:r>
      <w:r w:rsidRPr="00DF1953">
        <w:rPr>
          <w:rFonts w:ascii="Times New Roman" w:hAnsi="Times New Roman"/>
          <w:bCs/>
          <w:i/>
          <w:szCs w:val="24"/>
        </w:rPr>
        <w:t xml:space="preserve">Clarias </w:t>
      </w:r>
      <w:proofErr w:type="spellStart"/>
      <w:r w:rsidRPr="00DF1953">
        <w:rPr>
          <w:rFonts w:ascii="Times New Roman" w:hAnsi="Times New Roman"/>
          <w:bCs/>
          <w:i/>
          <w:szCs w:val="24"/>
        </w:rPr>
        <w:t>gariepinus</w:t>
      </w:r>
      <w:proofErr w:type="spellEnd"/>
      <w:r w:rsidRPr="00DF1953">
        <w:rPr>
          <w:rFonts w:ascii="Times New Roman" w:hAnsi="Times New Roman"/>
          <w:bCs/>
          <w:szCs w:val="24"/>
        </w:rPr>
        <w:t>) REARED IN EARTHEN, CONCRETE AND TARPAULIN PONDS IN CALABAR METROPOLIS</w:t>
      </w:r>
    </w:p>
    <w:p w14:paraId="1B7A14C2" w14:textId="6D0ADB86" w:rsidR="002C57D2" w:rsidRDefault="002C57D2" w:rsidP="00DF1953">
      <w:pPr>
        <w:pStyle w:val="Affiliation"/>
        <w:spacing w:after="0" w:line="240" w:lineRule="auto"/>
        <w:rPr>
          <w:rFonts w:ascii="Arial" w:hAnsi="Arial" w:cs="Arial"/>
          <w:i/>
        </w:rPr>
      </w:pPr>
    </w:p>
    <w:p w14:paraId="10E19886" w14:textId="77777777" w:rsidR="0030446E" w:rsidRDefault="0030446E" w:rsidP="00DF1953">
      <w:pPr>
        <w:pStyle w:val="Affiliation"/>
        <w:spacing w:after="0" w:line="240" w:lineRule="auto"/>
        <w:rPr>
          <w:rFonts w:ascii="Arial" w:hAnsi="Arial" w:cs="Arial"/>
          <w:i/>
        </w:rPr>
      </w:pPr>
    </w:p>
    <w:p w14:paraId="0B234346" w14:textId="77777777" w:rsidR="0030446E" w:rsidRPr="00DF1953" w:rsidRDefault="0030446E" w:rsidP="00DF1953">
      <w:pPr>
        <w:pStyle w:val="Affiliation"/>
        <w:spacing w:after="0" w:line="240" w:lineRule="auto"/>
        <w:rPr>
          <w:rFonts w:ascii="Arial" w:hAnsi="Arial" w:cs="Arial"/>
          <w:i/>
        </w:rPr>
      </w:pPr>
    </w:p>
    <w:p w14:paraId="357B07B5" w14:textId="77777777" w:rsidR="00790ADA" w:rsidRPr="00FB3A86" w:rsidRDefault="00563B0A" w:rsidP="00953144">
      <w:pPr>
        <w:pStyle w:val="Copyright"/>
        <w:spacing w:after="0" w:line="240" w:lineRule="auto"/>
        <w:jc w:val="both"/>
        <w:rPr>
          <w:rFonts w:ascii="Arial" w:hAnsi="Arial" w:cs="Arial"/>
        </w:rPr>
      </w:pPr>
      <w:r>
        <w:rPr>
          <w:rFonts w:ascii="Arial" w:hAnsi="Arial" w:cs="Arial"/>
          <w:noProof/>
        </w:rPr>
        <mc:AlternateContent>
          <mc:Choice Requires="wps">
            <w:drawing>
              <wp:inline distT="0" distB="0" distL="0" distR="0" wp14:anchorId="4026D9B7" wp14:editId="2D7B18D9">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DDE0DA5"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proofErr w:type="gramStart"/>
      <w:r w:rsidR="00FB3A86">
        <w:rPr>
          <w:rFonts w:ascii="Arial" w:hAnsi="Arial" w:cs="Arial"/>
        </w:rPr>
        <w:t>.</w:t>
      </w:r>
      <w:r w:rsidR="00B01FCD" w:rsidRPr="00953144">
        <w:rPr>
          <w:rFonts w:ascii="Arial" w:hAnsi="Arial" w:cs="Arial"/>
          <w:b/>
        </w:rPr>
        <w:t>ABSTRACT</w:t>
      </w:r>
      <w:proofErr w:type="gramEnd"/>
    </w:p>
    <w:p w14:paraId="4BE36B31" w14:textId="77777777" w:rsidR="00BC0C81" w:rsidRDefault="00BC0C81" w:rsidP="00BC0C81">
      <w:pPr>
        <w:pStyle w:val="w6asjqtextbase"/>
      </w:pPr>
      <w:r>
        <w:t>This study assessed the bioaccumulation of heavy metals and trace elements in African catfish (</w:t>
      </w:r>
      <w:r>
        <w:rPr>
          <w:rStyle w:val="w6asjqtextbase1"/>
        </w:rPr>
        <w:t>Clarias gariepinus</w:t>
      </w:r>
      <w:r>
        <w:t>) reared in earthen, concrete, and tarpaulin ponds in Calabar Metropolis, Cross River St</w:t>
      </w:r>
      <w:r w:rsidR="00953144">
        <w:t>ate, Nigeria. C</w:t>
      </w:r>
      <w:r>
        <w:t>oncentrations of Fe, Pb, Cd, Cu, and Zn in pond water and fish tissues</w:t>
      </w:r>
      <w:r w:rsidR="00953144">
        <w:t xml:space="preserve"> were determined,</w:t>
      </w:r>
      <w:r>
        <w:t xml:space="preserve"> and </w:t>
      </w:r>
      <w:r w:rsidR="00953144">
        <w:t>bioaccumulation factors were calculated</w:t>
      </w:r>
      <w:r>
        <w:t xml:space="preserve">. A 3 × 3 factorial design was adopted using three farms and three pond types: earthen, concrete, and tarpaulin. Fifty-four fish were sampled. Muscle, gill, and liver tissues were analyzed using Atomic Absorption Spectrophotometry. Data were presented as mean ± SD and analyzed using one-way ANOVA with Tukey’s HSD at p &lt; 0.05. Results showed tissue-specific accumulation in the order: gills &gt; liver &gt; muscle. For iron, the highest concentration was in New Airport concrete pond gills: 0.1340 ± 0.0001 mg/kg, while the lowest was in Magnus earthen pond muscle: 0.0680 ± 0.0001 mg/kg. Zinc was highest in New Airport concrete pond and lowest in Iyonde earthen pond. Copper was highest in New Airport tarpaulin pond gills: 8.491 ± 0.093 mg/kg and lowest in Magnus earthen pond muscle: 3.810 ± 0.150 mg/kg. Lead in pond water was highest in Iyonde earthen pond: 1.720 ± 0.070 mg/L and lowest in New Airport concrete pond: 0.300 ± 0.018 mg/L. Cadmium in fish tissue ranged from 0.002 mg/kg in Iyonde earthen pond muscle to 0.25 mg/kg in New Airport concrete pond gills. BAF results were in the order Zn &gt; Pb &gt; Cd, with several values greater than one, indicating bioaccumulation. The study concludes that </w:t>
      </w:r>
      <w:r>
        <w:rPr>
          <w:rStyle w:val="w6asjqtextbase1"/>
        </w:rPr>
        <w:t>C. gariepinus</w:t>
      </w:r>
      <w:r>
        <w:t xml:space="preserve"> can accumulate essential and potentially toxic metals, influenced by pond type and tissue. Routine monitoring of aquaculture water and fish tissues is recommended to protect fish health and ensure safety for human consumption.</w:t>
      </w:r>
    </w:p>
    <w:p w14:paraId="6E9418BB" w14:textId="77777777" w:rsidR="00BC0C81" w:rsidRDefault="00BC0C81" w:rsidP="00BC0C81">
      <w:pPr>
        <w:pStyle w:val="NormalWeb"/>
        <w:spacing w:before="0" w:beforeAutospacing="0" w:after="200" w:afterAutospacing="0"/>
        <w:jc w:val="both"/>
      </w:pPr>
      <w:r>
        <w:rPr>
          <w:rStyle w:val="Strong"/>
          <w:rFonts w:eastAsia="SimSun"/>
        </w:rPr>
        <w:t>Keywords:</w:t>
      </w:r>
      <w:r>
        <w:t xml:space="preserve"> </w:t>
      </w:r>
      <w:r>
        <w:rPr>
          <w:rStyle w:val="Emphasis"/>
        </w:rPr>
        <w:t xml:space="preserve">Clarias </w:t>
      </w:r>
      <w:proofErr w:type="spellStart"/>
      <w:r>
        <w:rPr>
          <w:rStyle w:val="Emphasis"/>
        </w:rPr>
        <w:t>gariepinus</w:t>
      </w:r>
      <w:proofErr w:type="spellEnd"/>
      <w:r>
        <w:t>, heavy metals, bioaccumulation factor, aquaculture, pond types, fish tissues, nutritional trace elements, Calabar Metropolis.</w:t>
      </w:r>
    </w:p>
    <w:p w14:paraId="4285A748" w14:textId="77777777" w:rsidR="00BC0C81" w:rsidRDefault="00BC0C81" w:rsidP="00BC0C81">
      <w:pPr>
        <w:rPr>
          <w:rFonts w:ascii="Times New Roman" w:hAnsi="Times New Roman"/>
          <w:sz w:val="24"/>
          <w:szCs w:val="24"/>
        </w:rPr>
        <w:sectPr w:rsidR="00BC0C81" w:rsidSect="0030446E">
          <w:headerReference w:type="even" r:id="rId8"/>
          <w:headerReference w:type="default" r:id="rId9"/>
          <w:footerReference w:type="even" r:id="rId10"/>
          <w:footerReference w:type="default" r:id="rId11"/>
          <w:headerReference w:type="first" r:id="rId12"/>
          <w:footerReference w:type="first" r:id="rId13"/>
          <w:type w:val="nextPage"/>
          <w:pgSz w:w="11906" w:h="16838"/>
          <w:pgMar w:top="1440" w:right="1440" w:bottom="1440" w:left="1440" w:header="720" w:footer="720" w:gutter="0"/>
          <w:pgNumType w:fmt="lowerRoman" w:start="1"/>
          <w:cols w:space="720"/>
        </w:sectPr>
      </w:pPr>
    </w:p>
    <w:p w14:paraId="1C6F5DFC" w14:textId="77777777" w:rsidR="007F7B32" w:rsidRDefault="00953144" w:rsidP="00953144">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p>
    <w:p w14:paraId="77754471" w14:textId="77777777" w:rsidR="00BC0C81" w:rsidRDefault="00BC0C81" w:rsidP="00BC0C81">
      <w:pPr>
        <w:jc w:val="both"/>
        <w:rPr>
          <w:rFonts w:ascii="Times New Roman" w:hAnsi="Times New Roman"/>
          <w:b/>
          <w:bCs/>
        </w:rPr>
      </w:pPr>
      <w:r>
        <w:rPr>
          <w:rFonts w:ascii="Times New Roman" w:hAnsi="Times New Roman"/>
          <w:sz w:val="24"/>
          <w:szCs w:val="24"/>
        </w:rPr>
        <w:t xml:space="preserve">Aquaculture has become an important component of food production because it provides fish as a source of high-quality protein, essential fatty acids, vitamins, and minerals while contributing to employment and livelihood development (Afolabi </w:t>
      </w:r>
      <w:r>
        <w:rPr>
          <w:rFonts w:ascii="Times New Roman" w:hAnsi="Times New Roman"/>
          <w:i/>
          <w:sz w:val="24"/>
          <w:szCs w:val="24"/>
        </w:rPr>
        <w:t>et al.,</w:t>
      </w:r>
      <w:r>
        <w:rPr>
          <w:rFonts w:ascii="Times New Roman" w:hAnsi="Times New Roman"/>
          <w:sz w:val="24"/>
          <w:szCs w:val="24"/>
        </w:rPr>
        <w:t xml:space="preserve"> 2020). The increasing demand for fish has encouraged the expansion of cultured fish production in many developing countries, including Nigeria. African catfish (</w:t>
      </w:r>
      <w:r>
        <w:rPr>
          <w:rFonts w:ascii="Times New Roman" w:hAnsi="Times New Roman"/>
          <w:i/>
          <w:sz w:val="24"/>
          <w:szCs w:val="24"/>
        </w:rPr>
        <w:t xml:space="preserve">Clarias </w:t>
      </w:r>
      <w:proofErr w:type="spellStart"/>
      <w:r>
        <w:rPr>
          <w:rFonts w:ascii="Times New Roman" w:hAnsi="Times New Roman"/>
          <w:i/>
          <w:sz w:val="24"/>
          <w:szCs w:val="24"/>
        </w:rPr>
        <w:t>gariepinus</w:t>
      </w:r>
      <w:proofErr w:type="spellEnd"/>
      <w:r>
        <w:rPr>
          <w:rFonts w:ascii="Times New Roman" w:hAnsi="Times New Roman"/>
          <w:sz w:val="24"/>
          <w:szCs w:val="24"/>
        </w:rPr>
        <w:t xml:space="preserve">) is one of the most important cultured freshwater fish species in Nigeria because of its rapid growth, ability to tolerate relatively wide environmental conditions, and high consumer acceptance. It is also a major tropical aquaculture species in Africa and one of the principal fish species cultivated by Nigerian fish farmers (Afolabi </w:t>
      </w:r>
      <w:r>
        <w:rPr>
          <w:rFonts w:ascii="Times New Roman" w:hAnsi="Times New Roman"/>
          <w:i/>
          <w:sz w:val="24"/>
          <w:szCs w:val="24"/>
        </w:rPr>
        <w:t>et al.,</w:t>
      </w:r>
      <w:r>
        <w:rPr>
          <w:rFonts w:ascii="Times New Roman" w:hAnsi="Times New Roman"/>
          <w:sz w:val="24"/>
          <w:szCs w:val="24"/>
        </w:rPr>
        <w:t xml:space="preserve"> 2020).</w:t>
      </w:r>
    </w:p>
    <w:p w14:paraId="68CF9038"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The nutritional importance of fish extends beyond its protein content to include essential minerals and trace elements required for normal physiological functions. Fish provide minerals such as iron, zinc, copper, manganese, and other micronutrients that contribute to processes including oxygen transport, enzyme activity, immune function, and metabolism (Okonkwo </w:t>
      </w:r>
      <w:r>
        <w:rPr>
          <w:rFonts w:ascii="Times New Roman" w:hAnsi="Times New Roman"/>
          <w:i/>
          <w:sz w:val="24"/>
          <w:szCs w:val="24"/>
        </w:rPr>
        <w:t>et al.</w:t>
      </w:r>
      <w:r>
        <w:rPr>
          <w:rFonts w:ascii="Times New Roman" w:hAnsi="Times New Roman"/>
          <w:sz w:val="24"/>
          <w:szCs w:val="24"/>
        </w:rPr>
        <w:t xml:space="preserve">, 2020). In a study conducted in Nigeria, Aremu </w:t>
      </w:r>
      <w:r>
        <w:rPr>
          <w:rFonts w:ascii="Times New Roman" w:hAnsi="Times New Roman"/>
          <w:i/>
          <w:sz w:val="24"/>
          <w:szCs w:val="24"/>
        </w:rPr>
        <w:t>et al.,</w:t>
      </w:r>
      <w:r>
        <w:rPr>
          <w:rFonts w:ascii="Times New Roman" w:hAnsi="Times New Roman"/>
          <w:sz w:val="24"/>
          <w:szCs w:val="24"/>
        </w:rPr>
        <w:t xml:space="preserve"> (2021) reported that </w:t>
      </w:r>
      <w:r>
        <w:rPr>
          <w:rFonts w:ascii="Times New Roman" w:hAnsi="Times New Roman"/>
          <w:i/>
          <w:sz w:val="24"/>
          <w:szCs w:val="24"/>
        </w:rPr>
        <w:t>C. gariepinus</w:t>
      </w:r>
      <w:r>
        <w:rPr>
          <w:rFonts w:ascii="Times New Roman" w:hAnsi="Times New Roman"/>
          <w:sz w:val="24"/>
          <w:szCs w:val="24"/>
        </w:rPr>
        <w:t xml:space="preserve"> contained appreciable amounts of essential nutrients and minerals and could contribute to recommended nutrient intakes. Similarly, Okonkwo </w:t>
      </w:r>
      <w:r>
        <w:rPr>
          <w:rFonts w:ascii="Times New Roman" w:hAnsi="Times New Roman"/>
          <w:i/>
          <w:sz w:val="24"/>
          <w:szCs w:val="24"/>
        </w:rPr>
        <w:t>et al.,</w:t>
      </w:r>
      <w:r>
        <w:rPr>
          <w:rFonts w:ascii="Times New Roman" w:hAnsi="Times New Roman"/>
          <w:sz w:val="24"/>
          <w:szCs w:val="24"/>
        </w:rPr>
        <w:t xml:space="preserve"> (2020) found differences in the nutrient composition of </w:t>
      </w:r>
      <w:proofErr w:type="spellStart"/>
      <w:r>
        <w:rPr>
          <w:rFonts w:ascii="Times New Roman" w:hAnsi="Times New Roman"/>
          <w:sz w:val="24"/>
          <w:szCs w:val="24"/>
        </w:rPr>
        <w:t>aquacultured</w:t>
      </w:r>
      <w:proofErr w:type="spellEnd"/>
      <w:r>
        <w:rPr>
          <w:rFonts w:ascii="Times New Roman" w:hAnsi="Times New Roman"/>
          <w:sz w:val="24"/>
          <w:szCs w:val="24"/>
        </w:rPr>
        <w:t xml:space="preserve"> and wild </w:t>
      </w:r>
      <w:r>
        <w:rPr>
          <w:rFonts w:ascii="Times New Roman" w:hAnsi="Times New Roman"/>
          <w:i/>
          <w:sz w:val="24"/>
          <w:szCs w:val="24"/>
        </w:rPr>
        <w:t>C. gariepinus</w:t>
      </w:r>
      <w:r>
        <w:rPr>
          <w:rFonts w:ascii="Times New Roman" w:hAnsi="Times New Roman"/>
          <w:sz w:val="24"/>
          <w:szCs w:val="24"/>
        </w:rPr>
        <w:t xml:space="preserve"> obtained in Cross River State, demonstrating that the production environment may influence the nutritional characteristics of the fish. Thus, the assessment of nutritional trace elements in cultured fish is important for establishing the dietary value of fish produced through different aquaculture systems.</w:t>
      </w:r>
    </w:p>
    <w:p w14:paraId="7DDCA735"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Fish are commonly reared in different pond systems, with earthen, concrete, and tarpaulin ponds being among the systems used by fish farmers in Nigeria. These pond types differ in their construction materials and their degree of interaction with soil and the surrounding environment (Okocha </w:t>
      </w:r>
      <w:r>
        <w:rPr>
          <w:rFonts w:ascii="Times New Roman" w:hAnsi="Times New Roman"/>
          <w:i/>
          <w:sz w:val="24"/>
          <w:szCs w:val="24"/>
        </w:rPr>
        <w:t>et al.</w:t>
      </w:r>
      <w:r>
        <w:rPr>
          <w:rFonts w:ascii="Times New Roman" w:hAnsi="Times New Roman"/>
          <w:sz w:val="24"/>
          <w:szCs w:val="24"/>
        </w:rPr>
        <w:t xml:space="preserve">, 2025). Earthen ponds have direct contact with the soil, while concrete ponds are constructed with cement-based materials and tarpaulin ponds are lined with synthetic materials. Such differences may influence the physicochemical characteristics of the culture environment and consequently affect the availability and accumulation of minerals and metallic elements in fish (Okocha </w:t>
      </w:r>
      <w:r>
        <w:rPr>
          <w:rFonts w:ascii="Times New Roman" w:hAnsi="Times New Roman"/>
          <w:i/>
          <w:sz w:val="24"/>
          <w:szCs w:val="24"/>
        </w:rPr>
        <w:t>et al.</w:t>
      </w:r>
      <w:r>
        <w:rPr>
          <w:rFonts w:ascii="Times New Roman" w:hAnsi="Times New Roman"/>
          <w:sz w:val="24"/>
          <w:szCs w:val="24"/>
        </w:rPr>
        <w:t>, 2025).</w:t>
      </w:r>
    </w:p>
    <w:p w14:paraId="1507878E"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Heavy metals are among the environmental contaminants that require particular attention in aquaculture because some can persist in aquatic environments and accumulate in biological tissues. Metals such as iron, zinc, copper, and manganese have important physiological functions at appropriate concentrations, whereas lead, cadmium, and other potentially toxic metals have no beneficial biological role and may produce adverse effects when accumulated in organisms (Okocha </w:t>
      </w:r>
      <w:r>
        <w:rPr>
          <w:rFonts w:ascii="Times New Roman" w:hAnsi="Times New Roman"/>
          <w:i/>
          <w:sz w:val="24"/>
          <w:szCs w:val="24"/>
        </w:rPr>
        <w:t>et al.</w:t>
      </w:r>
      <w:r>
        <w:rPr>
          <w:rFonts w:ascii="Times New Roman" w:hAnsi="Times New Roman"/>
          <w:sz w:val="24"/>
          <w:szCs w:val="24"/>
        </w:rPr>
        <w:t xml:space="preserve">, 2025). Kumar </w:t>
      </w:r>
      <w:r>
        <w:rPr>
          <w:rFonts w:ascii="Times New Roman" w:hAnsi="Times New Roman"/>
          <w:i/>
          <w:sz w:val="24"/>
          <w:szCs w:val="24"/>
        </w:rPr>
        <w:t>et al.,</w:t>
      </w:r>
      <w:r>
        <w:rPr>
          <w:rFonts w:ascii="Times New Roman" w:hAnsi="Times New Roman"/>
          <w:sz w:val="24"/>
          <w:szCs w:val="24"/>
        </w:rPr>
        <w:t xml:space="preserve"> (2024) emphasized that heavy metals can accumulate in fish tissues and interfere with physiological and biochemical processes, including antioxidant </w:t>
      </w:r>
      <w:proofErr w:type="spellStart"/>
      <w:r>
        <w:rPr>
          <w:rFonts w:ascii="Times New Roman" w:hAnsi="Times New Roman"/>
          <w:sz w:val="24"/>
          <w:szCs w:val="24"/>
        </w:rPr>
        <w:t>defence</w:t>
      </w:r>
      <w:proofErr w:type="spellEnd"/>
      <w:r>
        <w:rPr>
          <w:rFonts w:ascii="Times New Roman" w:hAnsi="Times New Roman"/>
          <w:sz w:val="24"/>
          <w:szCs w:val="24"/>
        </w:rPr>
        <w:t xml:space="preserve"> and normal cellular functions which may therefore have implications for both fish health and the safety of fish intended for human consumption.</w:t>
      </w:r>
    </w:p>
    <w:p w14:paraId="5CE80A42"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Bioaccumulation occurs when the uptake of a substance by an organism exceeds its rate of elimination, resulting in an increasing concentration within its tissues (Musa, 2025). Fish can acquire metals from their surrounding water, sediments, and food, and the accumulated elements may become distributed among tissues such as muscle, liver, kidney, gills, and other organs. Olayinka-Olagunju </w:t>
      </w:r>
      <w:r>
        <w:rPr>
          <w:rFonts w:ascii="Times New Roman" w:hAnsi="Times New Roman"/>
          <w:i/>
          <w:sz w:val="24"/>
          <w:szCs w:val="24"/>
        </w:rPr>
        <w:t>et al.,</w:t>
      </w:r>
      <w:r>
        <w:rPr>
          <w:rFonts w:ascii="Times New Roman" w:hAnsi="Times New Roman"/>
          <w:sz w:val="24"/>
          <w:szCs w:val="24"/>
        </w:rPr>
        <w:t xml:space="preserve"> (2021) demonstrated differences in heavy metal accumulation among fish species and emphasized the importance of tissue accumulation in evaluating contamination of aquatic environments. Similarly, research involving </w:t>
      </w:r>
      <w:r>
        <w:rPr>
          <w:rFonts w:ascii="Times New Roman" w:hAnsi="Times New Roman"/>
          <w:i/>
          <w:sz w:val="24"/>
          <w:szCs w:val="24"/>
        </w:rPr>
        <w:t>C. gariepinus</w:t>
      </w:r>
      <w:r>
        <w:rPr>
          <w:rFonts w:ascii="Times New Roman" w:hAnsi="Times New Roman"/>
          <w:sz w:val="24"/>
          <w:szCs w:val="24"/>
        </w:rPr>
        <w:t xml:space="preserve"> in Nigeria has shown that metals may accumulate in fish tissues at varying concentrations depending on the environmental conditions and exposure sources (Musa, 2025).</w:t>
      </w:r>
    </w:p>
    <w:p w14:paraId="4CDE5E3E"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Moreover, the occurrence of heavy metals in cultured fish is particularly important because fish constitute a major component of the human diet in Nigeria. Metals accumulated in edible fish tissues may be transferred to consumers through regular consumption, making the evaluation of fish contamination relevant to food safety and public health (Kumar </w:t>
      </w:r>
      <w:r>
        <w:rPr>
          <w:rFonts w:ascii="Times New Roman" w:hAnsi="Times New Roman"/>
          <w:i/>
          <w:sz w:val="24"/>
          <w:szCs w:val="24"/>
        </w:rPr>
        <w:t>et al.,</w:t>
      </w:r>
      <w:r>
        <w:rPr>
          <w:rFonts w:ascii="Times New Roman" w:hAnsi="Times New Roman"/>
          <w:sz w:val="24"/>
          <w:szCs w:val="24"/>
        </w:rPr>
        <w:t xml:space="preserve"> 2024). Recent investigations of </w:t>
      </w:r>
      <w:r>
        <w:rPr>
          <w:rFonts w:ascii="Times New Roman" w:hAnsi="Times New Roman"/>
          <w:i/>
          <w:sz w:val="24"/>
          <w:szCs w:val="24"/>
        </w:rPr>
        <w:t>C. gariepinus</w:t>
      </w:r>
      <w:r>
        <w:rPr>
          <w:rFonts w:ascii="Times New Roman" w:hAnsi="Times New Roman"/>
          <w:sz w:val="24"/>
          <w:szCs w:val="24"/>
        </w:rPr>
        <w:t xml:space="preserve"> from Nigerian aquaculture systems have reported the presence of metals such as zinc, chromium, cadmium, and lead in fish muscle and associated pond water, demonstrating the need for continued monitoring of cultured fish (Okocha </w:t>
      </w:r>
      <w:r>
        <w:rPr>
          <w:rFonts w:ascii="Times New Roman" w:hAnsi="Times New Roman"/>
          <w:i/>
          <w:sz w:val="24"/>
          <w:szCs w:val="24"/>
        </w:rPr>
        <w:t>et al.</w:t>
      </w:r>
      <w:r>
        <w:rPr>
          <w:rFonts w:ascii="Times New Roman" w:hAnsi="Times New Roman"/>
          <w:sz w:val="24"/>
          <w:szCs w:val="24"/>
        </w:rPr>
        <w:t xml:space="preserve">, 2025). Although the presence of a metal does not necessarily indicate an immediate health risk, its concentration, persistence, and accumulation pattern are important considerations when evaluating the quality and safety of fish (Okocha </w:t>
      </w:r>
      <w:r>
        <w:rPr>
          <w:rFonts w:ascii="Times New Roman" w:hAnsi="Times New Roman"/>
          <w:i/>
          <w:sz w:val="24"/>
          <w:szCs w:val="24"/>
        </w:rPr>
        <w:t>et al.</w:t>
      </w:r>
      <w:r>
        <w:rPr>
          <w:rFonts w:ascii="Times New Roman" w:hAnsi="Times New Roman"/>
          <w:sz w:val="24"/>
          <w:szCs w:val="24"/>
        </w:rPr>
        <w:t>, 2025).</w:t>
      </w:r>
    </w:p>
    <w:p w14:paraId="09D24951" w14:textId="77777777" w:rsidR="00BC0C81" w:rsidRDefault="00BC0C81" w:rsidP="00BC0C81">
      <w:pPr>
        <w:jc w:val="both"/>
        <w:rPr>
          <w:rFonts w:ascii="Times New Roman" w:hAnsi="Times New Roman"/>
          <w:sz w:val="24"/>
          <w:szCs w:val="24"/>
        </w:rPr>
      </w:pPr>
      <w:r>
        <w:rPr>
          <w:rFonts w:ascii="Times New Roman" w:hAnsi="Times New Roman"/>
          <w:sz w:val="24"/>
          <w:szCs w:val="24"/>
        </w:rPr>
        <w:lastRenderedPageBreak/>
        <w:t xml:space="preserve">The nutritional and contaminant profiles of cultured fish may vary according to the production environment. Factors such as pond construction material, water source, feed composition, stocking density, management practices, and environmental conditions can influence the availability of trace elements and potentially toxic metals to fish (Okocha </w:t>
      </w:r>
      <w:r>
        <w:rPr>
          <w:rFonts w:ascii="Times New Roman" w:hAnsi="Times New Roman"/>
          <w:i/>
          <w:sz w:val="24"/>
          <w:szCs w:val="24"/>
        </w:rPr>
        <w:t>et al.</w:t>
      </w:r>
      <w:r>
        <w:rPr>
          <w:rFonts w:ascii="Times New Roman" w:hAnsi="Times New Roman"/>
          <w:sz w:val="24"/>
          <w:szCs w:val="24"/>
        </w:rPr>
        <w:t>, 2025). Differences in pond systems may consequently result in variations in the concentration of essential trace elements as well as the accumulation of undesirable metals in fish tissues (Musa, 2025). Therefore, the comparative assessment of fish from different pond systems is useful for determining whether the type of production environment is associated with differences in nutritional mineral composition and metal bioaccumulation.</w:t>
      </w:r>
    </w:p>
    <w:p w14:paraId="63536544"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Furthermore, Calabar Metropolis provides an important setting for such an assessment because aquaculture is practiced using different pond systems within the metropolis. Previous research conducted in Cross River State has demonstrated that cultured </w:t>
      </w:r>
      <w:r>
        <w:rPr>
          <w:rFonts w:ascii="Times New Roman" w:hAnsi="Times New Roman"/>
          <w:i/>
          <w:sz w:val="24"/>
          <w:szCs w:val="24"/>
        </w:rPr>
        <w:t>C. gariepinus</w:t>
      </w:r>
      <w:r>
        <w:rPr>
          <w:rFonts w:ascii="Times New Roman" w:hAnsi="Times New Roman"/>
          <w:sz w:val="24"/>
          <w:szCs w:val="24"/>
        </w:rPr>
        <w:t xml:space="preserve"> possesses appreciable nutritional value, while differences have been observed between cultured and wild fish in their nutrient composition (Okonkwo </w:t>
      </w:r>
      <w:r>
        <w:rPr>
          <w:rFonts w:ascii="Times New Roman" w:hAnsi="Times New Roman"/>
          <w:i/>
          <w:sz w:val="24"/>
          <w:szCs w:val="24"/>
        </w:rPr>
        <w:t>et al.</w:t>
      </w:r>
      <w:r>
        <w:rPr>
          <w:rFonts w:ascii="Times New Roman" w:hAnsi="Times New Roman"/>
          <w:sz w:val="24"/>
          <w:szCs w:val="24"/>
        </w:rPr>
        <w:t xml:space="preserve">, 2020). </w:t>
      </w:r>
    </w:p>
    <w:p w14:paraId="1160CE6D" w14:textId="3FA3F406" w:rsidR="00953144" w:rsidRDefault="00902823" w:rsidP="00BC0C81">
      <w:pPr>
        <w:jc w:val="both"/>
        <w:outlineLvl w:val="1"/>
        <w:rPr>
          <w:rFonts w:ascii="Arial" w:hAnsi="Arial" w:cs="Arial"/>
        </w:rPr>
      </w:pPr>
      <w:r>
        <w:rPr>
          <w:rFonts w:ascii="Arial" w:hAnsi="Arial" w:cs="Arial"/>
        </w:rPr>
        <w:t xml:space="preserve">2. </w:t>
      </w:r>
      <w:r w:rsidR="00953144">
        <w:rPr>
          <w:rFonts w:ascii="Arial" w:hAnsi="Arial" w:cs="Arial"/>
        </w:rPr>
        <w:t>Material</w:t>
      </w:r>
      <w:r>
        <w:rPr>
          <w:rFonts w:ascii="Arial" w:hAnsi="Arial" w:cs="Arial"/>
        </w:rPr>
        <w:t xml:space="preserve"> and method</w:t>
      </w:r>
      <w:r w:rsidR="00000F8F">
        <w:rPr>
          <w:rFonts w:ascii="Arial" w:hAnsi="Arial" w:cs="Arial"/>
        </w:rPr>
        <w:t xml:space="preserve">s </w:t>
      </w:r>
    </w:p>
    <w:p w14:paraId="49DBF494" w14:textId="77777777" w:rsidR="00BC0C81" w:rsidRDefault="00BC0C81" w:rsidP="00BC0C81">
      <w:pPr>
        <w:jc w:val="both"/>
        <w:outlineLvl w:val="1"/>
        <w:rPr>
          <w:rFonts w:ascii="Times New Roman" w:hAnsi="Times New Roman"/>
          <w:b/>
          <w:bCs/>
          <w:sz w:val="24"/>
          <w:szCs w:val="24"/>
        </w:rPr>
      </w:pPr>
      <w:r>
        <w:rPr>
          <w:rFonts w:ascii="Times New Roman" w:hAnsi="Times New Roman"/>
          <w:b/>
          <w:bCs/>
          <w:sz w:val="24"/>
          <w:szCs w:val="24"/>
        </w:rPr>
        <w:t>2.1 Study Area</w:t>
      </w:r>
    </w:p>
    <w:p w14:paraId="1642A876"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This study was conducted in </w:t>
      </w:r>
      <w:r>
        <w:rPr>
          <w:rFonts w:ascii="Times New Roman" w:hAnsi="Times New Roman"/>
          <w:bCs/>
          <w:sz w:val="24"/>
          <w:szCs w:val="24"/>
        </w:rPr>
        <w:t>Calabar Metropolis</w:t>
      </w:r>
      <w:r>
        <w:rPr>
          <w:rFonts w:ascii="Times New Roman" w:hAnsi="Times New Roman"/>
          <w:sz w:val="24"/>
          <w:szCs w:val="24"/>
        </w:rPr>
        <w:t xml:space="preserve">, Cross River State, Nigeria. Calabar Metropolis comprises </w:t>
      </w:r>
      <w:r>
        <w:rPr>
          <w:rFonts w:ascii="Times New Roman" w:hAnsi="Times New Roman"/>
          <w:bCs/>
          <w:sz w:val="24"/>
          <w:szCs w:val="24"/>
        </w:rPr>
        <w:t>Calabar Municipality and Calabar South Local Government Areas</w:t>
      </w:r>
      <w:r>
        <w:rPr>
          <w:rFonts w:ascii="Times New Roman" w:hAnsi="Times New Roman"/>
          <w:sz w:val="24"/>
          <w:szCs w:val="24"/>
        </w:rPr>
        <w:t xml:space="preserve"> and lies between latitude </w:t>
      </w:r>
      <w:r>
        <w:rPr>
          <w:rFonts w:ascii="Times New Roman" w:hAnsi="Times New Roman"/>
          <w:bCs/>
          <w:sz w:val="24"/>
          <w:szCs w:val="24"/>
        </w:rPr>
        <w:t>4°57′N and 5°05′N</w:t>
      </w:r>
      <w:r>
        <w:rPr>
          <w:rFonts w:ascii="Times New Roman" w:hAnsi="Times New Roman"/>
          <w:sz w:val="24"/>
          <w:szCs w:val="24"/>
        </w:rPr>
        <w:t xml:space="preserve"> and longitude </w:t>
      </w:r>
      <w:r>
        <w:rPr>
          <w:rFonts w:ascii="Times New Roman" w:hAnsi="Times New Roman"/>
          <w:bCs/>
          <w:sz w:val="24"/>
          <w:szCs w:val="24"/>
        </w:rPr>
        <w:t>8°18′E and 8°24′E</w:t>
      </w:r>
      <w:r>
        <w:rPr>
          <w:rFonts w:ascii="Times New Roman" w:hAnsi="Times New Roman"/>
          <w:sz w:val="24"/>
          <w:szCs w:val="24"/>
        </w:rPr>
        <w:t xml:space="preserve">. The metropolis experiences a tropical rainforest climate characterized by high annual rainfall ranging from approximately </w:t>
      </w:r>
      <w:r>
        <w:rPr>
          <w:rFonts w:ascii="Times New Roman" w:hAnsi="Times New Roman"/>
          <w:bCs/>
          <w:sz w:val="24"/>
          <w:szCs w:val="24"/>
        </w:rPr>
        <w:t>2,500 to 3,500 mm</w:t>
      </w:r>
      <w:r>
        <w:rPr>
          <w:rFonts w:ascii="Times New Roman" w:hAnsi="Times New Roman"/>
          <w:sz w:val="24"/>
          <w:szCs w:val="24"/>
        </w:rPr>
        <w:t xml:space="preserve">, relative humidity between </w:t>
      </w:r>
      <w:r>
        <w:rPr>
          <w:rFonts w:ascii="Times New Roman" w:hAnsi="Times New Roman"/>
          <w:bCs/>
          <w:sz w:val="24"/>
          <w:szCs w:val="24"/>
        </w:rPr>
        <w:t>80 and 90%</w:t>
      </w:r>
      <w:r>
        <w:rPr>
          <w:rFonts w:ascii="Times New Roman" w:hAnsi="Times New Roman"/>
          <w:sz w:val="24"/>
          <w:szCs w:val="24"/>
        </w:rPr>
        <w:t xml:space="preserve">, and an average annual temperature of </w:t>
      </w:r>
      <w:r>
        <w:rPr>
          <w:rFonts w:ascii="Times New Roman" w:hAnsi="Times New Roman"/>
          <w:bCs/>
          <w:sz w:val="24"/>
          <w:szCs w:val="24"/>
        </w:rPr>
        <w:t>26–30°C</w:t>
      </w:r>
      <w:r>
        <w:rPr>
          <w:rFonts w:ascii="Times New Roman" w:hAnsi="Times New Roman"/>
          <w:sz w:val="24"/>
          <w:szCs w:val="24"/>
        </w:rPr>
        <w:t>.</w:t>
      </w:r>
    </w:p>
    <w:p w14:paraId="1645706A" w14:textId="77777777" w:rsidR="00BC0C81" w:rsidRDefault="00BC0C81" w:rsidP="00BC0C81">
      <w:pPr>
        <w:jc w:val="both"/>
        <w:rPr>
          <w:rFonts w:ascii="Times New Roman" w:hAnsi="Times New Roman"/>
          <w:sz w:val="24"/>
          <w:szCs w:val="24"/>
        </w:rPr>
      </w:pPr>
      <w:r>
        <w:rPr>
          <w:rFonts w:ascii="Times New Roman" w:hAnsi="Times New Roman"/>
          <w:sz w:val="24"/>
          <w:szCs w:val="24"/>
        </w:rPr>
        <w:t>Calabar is endowed with numerous commercial fish farms utilizing different aquaculture production systems, including earthen, concrete, and tarpaulin ponds. These pond systems differ in construction materials, water sources, sediment interactions, and management practices, factors that may influence the accumulation of heavy metals and the nutritional composition of cultured fish. The area was selected because of its increasing aquaculture activities and the availability of African catfish (</w:t>
      </w:r>
      <w:r>
        <w:rPr>
          <w:rFonts w:ascii="Times New Roman" w:hAnsi="Times New Roman"/>
          <w:i/>
          <w:iCs/>
          <w:sz w:val="24"/>
          <w:szCs w:val="24"/>
        </w:rPr>
        <w:t>C. gariepinus</w:t>
      </w:r>
      <w:r>
        <w:rPr>
          <w:rFonts w:ascii="Times New Roman" w:hAnsi="Times New Roman"/>
          <w:sz w:val="24"/>
          <w:szCs w:val="24"/>
        </w:rPr>
        <w:t>) cultured under different pond systems. The selected farm areas are New Airport, Iyonde and Magnus.</w:t>
      </w:r>
    </w:p>
    <w:p w14:paraId="00F6592B" w14:textId="77777777" w:rsidR="00BC0C81" w:rsidRDefault="00BC0C81" w:rsidP="00BC0C81">
      <w:pPr>
        <w:jc w:val="both"/>
        <w:outlineLvl w:val="1"/>
        <w:rPr>
          <w:rFonts w:ascii="Times New Roman" w:hAnsi="Times New Roman"/>
          <w:b/>
          <w:bCs/>
          <w:sz w:val="24"/>
          <w:szCs w:val="24"/>
        </w:rPr>
      </w:pPr>
      <w:r>
        <w:rPr>
          <w:rFonts w:ascii="Times New Roman" w:hAnsi="Times New Roman"/>
          <w:b/>
          <w:bCs/>
          <w:sz w:val="24"/>
          <w:szCs w:val="24"/>
        </w:rPr>
        <w:t>2.2 Research Design</w:t>
      </w:r>
    </w:p>
    <w:p w14:paraId="05C7851D"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The study adopted an </w:t>
      </w:r>
      <w:r>
        <w:rPr>
          <w:rFonts w:ascii="Times New Roman" w:hAnsi="Times New Roman"/>
          <w:bCs/>
          <w:sz w:val="24"/>
          <w:szCs w:val="24"/>
        </w:rPr>
        <w:t>experimental, comparative and cross-sectional design</w:t>
      </w:r>
      <w:r>
        <w:rPr>
          <w:rFonts w:ascii="Times New Roman" w:hAnsi="Times New Roman"/>
          <w:sz w:val="24"/>
          <w:szCs w:val="24"/>
        </w:rPr>
        <w:t xml:space="preserve"> to assess the accumulation of selected heavy metals and nutritional trace elements in </w:t>
      </w:r>
      <w:r>
        <w:rPr>
          <w:rFonts w:ascii="Times New Roman" w:hAnsi="Times New Roman"/>
          <w:i/>
          <w:iCs/>
          <w:sz w:val="24"/>
          <w:szCs w:val="24"/>
        </w:rPr>
        <w:t>C. gariepinus</w:t>
      </w:r>
      <w:r>
        <w:rPr>
          <w:rFonts w:ascii="Times New Roman" w:hAnsi="Times New Roman"/>
          <w:sz w:val="24"/>
          <w:szCs w:val="24"/>
        </w:rPr>
        <w:t xml:space="preserve"> reared under different pond production systems in Calabar Metropolis, Cross River State, Nigeria. The study investigated fish obtained from </w:t>
      </w:r>
      <w:r>
        <w:rPr>
          <w:rFonts w:ascii="Times New Roman" w:hAnsi="Times New Roman"/>
          <w:bCs/>
          <w:sz w:val="24"/>
          <w:szCs w:val="24"/>
        </w:rPr>
        <w:t>three selected fish farms</w:t>
      </w:r>
      <w:r>
        <w:rPr>
          <w:rFonts w:ascii="Times New Roman" w:hAnsi="Times New Roman"/>
          <w:sz w:val="24"/>
          <w:szCs w:val="24"/>
        </w:rPr>
        <w:t xml:space="preserve">, namely NEW AIRPORT Farm, University of Cross River State (IYONDE) Farm, and MAGNUS Farm. At each farm, fish were obtained from three pond types: </w:t>
      </w:r>
      <w:r>
        <w:rPr>
          <w:rFonts w:ascii="Times New Roman" w:hAnsi="Times New Roman"/>
          <w:bCs/>
          <w:sz w:val="24"/>
          <w:szCs w:val="24"/>
        </w:rPr>
        <w:t>earthen, concrete and tarpaulin ponds</w:t>
      </w:r>
      <w:r>
        <w:rPr>
          <w:rFonts w:ascii="Times New Roman" w:hAnsi="Times New Roman"/>
          <w:sz w:val="24"/>
          <w:szCs w:val="24"/>
        </w:rPr>
        <w:t xml:space="preserve">. Thus, the experimental design consisted of a </w:t>
      </w:r>
      <w:r>
        <w:rPr>
          <w:rFonts w:ascii="Times New Roman" w:hAnsi="Times New Roman"/>
          <w:bCs/>
          <w:sz w:val="24"/>
          <w:szCs w:val="24"/>
        </w:rPr>
        <w:t>3 × 3 factorial arrangement</w:t>
      </w:r>
      <w:r>
        <w:rPr>
          <w:rFonts w:ascii="Times New Roman" w:hAnsi="Times New Roman"/>
          <w:sz w:val="24"/>
          <w:szCs w:val="24"/>
        </w:rPr>
        <w:t xml:space="preserve">, with farm and pond type as the principal factors. Fish were sampled from each pond type and dissected into three tissues </w:t>
      </w:r>
      <w:r>
        <w:rPr>
          <w:rFonts w:ascii="Times New Roman" w:hAnsi="Times New Roman"/>
          <w:bCs/>
          <w:sz w:val="24"/>
          <w:szCs w:val="24"/>
        </w:rPr>
        <w:t>muscle, gills and</w:t>
      </w:r>
      <w:r>
        <w:rPr>
          <w:rFonts w:ascii="Times New Roman" w:hAnsi="Times New Roman"/>
          <w:b/>
          <w:bCs/>
          <w:sz w:val="24"/>
          <w:szCs w:val="24"/>
        </w:rPr>
        <w:t xml:space="preserve"> </w:t>
      </w:r>
      <w:r>
        <w:rPr>
          <w:rFonts w:ascii="Times New Roman" w:hAnsi="Times New Roman"/>
          <w:bCs/>
          <w:sz w:val="24"/>
          <w:szCs w:val="24"/>
        </w:rPr>
        <w:t>liver</w:t>
      </w:r>
      <w:r>
        <w:rPr>
          <w:rFonts w:ascii="Times New Roman" w:hAnsi="Times New Roman"/>
          <w:sz w:val="24"/>
          <w:szCs w:val="24"/>
        </w:rPr>
        <w:t xml:space="preserve"> for the determination of selected metals. The metals investigated included </w:t>
      </w:r>
      <w:r>
        <w:rPr>
          <w:rFonts w:ascii="Times New Roman" w:hAnsi="Times New Roman"/>
          <w:bCs/>
          <w:sz w:val="24"/>
          <w:szCs w:val="24"/>
        </w:rPr>
        <w:t>iron (Fe), lead</w:t>
      </w:r>
      <w:r>
        <w:rPr>
          <w:rFonts w:ascii="Times New Roman" w:hAnsi="Times New Roman"/>
          <w:b/>
          <w:bCs/>
          <w:sz w:val="24"/>
          <w:szCs w:val="24"/>
        </w:rPr>
        <w:t xml:space="preserve"> </w:t>
      </w:r>
      <w:r>
        <w:rPr>
          <w:rFonts w:ascii="Times New Roman" w:hAnsi="Times New Roman"/>
          <w:bCs/>
          <w:sz w:val="24"/>
          <w:szCs w:val="24"/>
        </w:rPr>
        <w:t>(Pb),</w:t>
      </w:r>
      <w:r>
        <w:rPr>
          <w:rFonts w:ascii="Times New Roman" w:hAnsi="Times New Roman"/>
          <w:b/>
          <w:bCs/>
          <w:sz w:val="24"/>
          <w:szCs w:val="24"/>
        </w:rPr>
        <w:t xml:space="preserve"> </w:t>
      </w:r>
      <w:r>
        <w:rPr>
          <w:rFonts w:ascii="Times New Roman" w:hAnsi="Times New Roman"/>
          <w:bCs/>
          <w:sz w:val="24"/>
          <w:szCs w:val="24"/>
        </w:rPr>
        <w:t>cadmium (Cd), copper (Cu) and zinc (Zn)</w:t>
      </w:r>
      <w:r>
        <w:rPr>
          <w:rFonts w:ascii="Times New Roman" w:hAnsi="Times New Roman"/>
          <w:sz w:val="24"/>
          <w:szCs w:val="24"/>
        </w:rPr>
        <w:t xml:space="preserve">. </w:t>
      </w:r>
    </w:p>
    <w:p w14:paraId="524A6FBE" w14:textId="77777777" w:rsidR="00BC0C81" w:rsidRDefault="00BC0C81" w:rsidP="00BC0C81">
      <w:pPr>
        <w:jc w:val="both"/>
        <w:rPr>
          <w:rFonts w:ascii="Times New Roman" w:hAnsi="Times New Roman"/>
          <w:b/>
          <w:bCs/>
          <w:sz w:val="24"/>
          <w:szCs w:val="24"/>
        </w:rPr>
      </w:pPr>
      <w:r>
        <w:rPr>
          <w:rFonts w:ascii="Times New Roman" w:hAnsi="Times New Roman"/>
          <w:b/>
          <w:bCs/>
          <w:sz w:val="24"/>
          <w:szCs w:val="24"/>
        </w:rPr>
        <w:t xml:space="preserve">2.2.1 </w:t>
      </w:r>
      <w:r>
        <w:rPr>
          <w:rFonts w:ascii="Times New Roman" w:hAnsi="Times New Roman"/>
          <w:b/>
          <w:bCs/>
          <w:sz w:val="24"/>
          <w:szCs w:val="24"/>
        </w:rPr>
        <w:tab/>
        <w:t>Sampling Design</w:t>
      </w:r>
    </w:p>
    <w:p w14:paraId="0CADB8EE"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A </w:t>
      </w:r>
      <w:r>
        <w:rPr>
          <w:rFonts w:ascii="Times New Roman" w:hAnsi="Times New Roman"/>
          <w:bCs/>
          <w:sz w:val="24"/>
          <w:szCs w:val="24"/>
        </w:rPr>
        <w:t>multistage sampling procedure</w:t>
      </w:r>
      <w:r>
        <w:rPr>
          <w:rFonts w:ascii="Times New Roman" w:hAnsi="Times New Roman"/>
          <w:sz w:val="24"/>
          <w:szCs w:val="24"/>
        </w:rPr>
        <w:t xml:space="preserve"> was used.</w:t>
      </w:r>
    </w:p>
    <w:p w14:paraId="7F9C4212" w14:textId="77777777" w:rsidR="00BC0C81" w:rsidRDefault="00BC0C81" w:rsidP="00BC0C81">
      <w:pPr>
        <w:jc w:val="both"/>
        <w:outlineLvl w:val="2"/>
        <w:rPr>
          <w:rFonts w:ascii="Times New Roman" w:hAnsi="Times New Roman"/>
          <w:b/>
          <w:bCs/>
          <w:sz w:val="24"/>
          <w:szCs w:val="24"/>
        </w:rPr>
      </w:pPr>
      <w:r>
        <w:rPr>
          <w:rFonts w:ascii="Times New Roman" w:hAnsi="Times New Roman"/>
          <w:b/>
          <w:bCs/>
          <w:sz w:val="24"/>
          <w:szCs w:val="24"/>
        </w:rPr>
        <w:t>Stage One: Selection of Farms</w:t>
      </w:r>
    </w:p>
    <w:p w14:paraId="289FB4E9" w14:textId="77777777" w:rsidR="00BC0C81" w:rsidRDefault="00BC0C81" w:rsidP="00BC0C81">
      <w:pPr>
        <w:jc w:val="both"/>
        <w:rPr>
          <w:rFonts w:ascii="Times New Roman" w:hAnsi="Times New Roman"/>
          <w:sz w:val="24"/>
          <w:szCs w:val="24"/>
        </w:rPr>
      </w:pPr>
      <w:r>
        <w:rPr>
          <w:rFonts w:ascii="Times New Roman" w:hAnsi="Times New Roman"/>
          <w:sz w:val="24"/>
          <w:szCs w:val="24"/>
        </w:rPr>
        <w:t>Three fish farms within Calabar Metropolis were purposively selected based on the presence of the three pond systems under investigation.</w:t>
      </w:r>
    </w:p>
    <w:p w14:paraId="11EC189A" w14:textId="77777777" w:rsidR="00BC0C81" w:rsidRDefault="00BC0C81" w:rsidP="00BC0C81">
      <w:pPr>
        <w:jc w:val="both"/>
        <w:rPr>
          <w:rFonts w:ascii="Times New Roman" w:hAnsi="Times New Roman"/>
          <w:sz w:val="24"/>
          <w:szCs w:val="24"/>
        </w:rPr>
      </w:pPr>
      <w:r>
        <w:rPr>
          <w:rFonts w:ascii="Times New Roman" w:hAnsi="Times New Roman"/>
          <w:sz w:val="24"/>
          <w:szCs w:val="24"/>
        </w:rPr>
        <w:t>The selected farms were:</w:t>
      </w:r>
    </w:p>
    <w:tbl>
      <w:tblPr>
        <w:tblW w:w="6069" w:type="dxa"/>
        <w:jc w:val="center"/>
        <w:tblCellSpacing w:w="15" w:type="dxa"/>
        <w:tblLook w:val="04A0" w:firstRow="1" w:lastRow="0" w:firstColumn="1" w:lastColumn="0" w:noHBand="0" w:noVBand="1"/>
      </w:tblPr>
      <w:tblGrid>
        <w:gridCol w:w="3275"/>
        <w:gridCol w:w="2794"/>
      </w:tblGrid>
      <w:tr w:rsidR="00BC0C81" w14:paraId="226C7B0A" w14:textId="77777777" w:rsidTr="00BC0C81">
        <w:trPr>
          <w:trHeight w:val="377"/>
          <w:tblHeader/>
          <w:tblCellSpacing w:w="15" w:type="dxa"/>
          <w:jc w:val="center"/>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9788A23" w14:textId="77777777" w:rsidR="00BC0C81" w:rsidRDefault="00BC0C81">
            <w:pPr>
              <w:jc w:val="both"/>
              <w:rPr>
                <w:rFonts w:ascii="Times New Roman" w:hAnsi="Times New Roman"/>
                <w:b/>
                <w:bCs/>
                <w:sz w:val="24"/>
                <w:szCs w:val="24"/>
              </w:rPr>
            </w:pPr>
            <w:r>
              <w:rPr>
                <w:rFonts w:ascii="Times New Roman" w:hAnsi="Times New Roman"/>
                <w:b/>
                <w:bCs/>
                <w:sz w:val="24"/>
                <w:szCs w:val="24"/>
              </w:rPr>
              <w:t>Farm</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058316A" w14:textId="77777777" w:rsidR="00BC0C81" w:rsidRDefault="00BC0C81">
            <w:pPr>
              <w:jc w:val="both"/>
              <w:rPr>
                <w:rFonts w:ascii="Times New Roman" w:hAnsi="Times New Roman"/>
                <w:b/>
                <w:bCs/>
                <w:sz w:val="24"/>
                <w:szCs w:val="24"/>
              </w:rPr>
            </w:pPr>
            <w:r>
              <w:rPr>
                <w:rFonts w:ascii="Times New Roman" w:hAnsi="Times New Roman"/>
                <w:b/>
                <w:bCs/>
                <w:sz w:val="24"/>
                <w:szCs w:val="24"/>
              </w:rPr>
              <w:t>Pond type</w:t>
            </w:r>
          </w:p>
        </w:tc>
      </w:tr>
      <w:tr w:rsidR="00BC0C81" w14:paraId="38049B9C" w14:textId="77777777" w:rsidTr="00BC0C81">
        <w:trPr>
          <w:trHeight w:val="284"/>
          <w:tblCellSpacing w:w="15" w:type="dxa"/>
          <w:jc w:val="center"/>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6B8E5B5" w14:textId="77777777" w:rsidR="00BC0C81" w:rsidRDefault="00BC0C81">
            <w:pPr>
              <w:jc w:val="both"/>
              <w:rPr>
                <w:rFonts w:ascii="Times New Roman" w:hAnsi="Times New Roman"/>
                <w:sz w:val="24"/>
                <w:szCs w:val="24"/>
              </w:rPr>
            </w:pPr>
            <w:r>
              <w:rPr>
                <w:rFonts w:ascii="Times New Roman" w:hAnsi="Times New Roman"/>
                <w:sz w:val="24"/>
                <w:szCs w:val="24"/>
              </w:rPr>
              <w:t>New Airport</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E5117A2" w14:textId="77777777" w:rsidR="00BC0C81" w:rsidRDefault="00BC0C81">
            <w:pPr>
              <w:jc w:val="both"/>
              <w:rPr>
                <w:rFonts w:ascii="Times New Roman" w:hAnsi="Times New Roman"/>
                <w:sz w:val="24"/>
                <w:szCs w:val="24"/>
              </w:rPr>
            </w:pPr>
            <w:r>
              <w:rPr>
                <w:rFonts w:ascii="Times New Roman" w:hAnsi="Times New Roman"/>
                <w:sz w:val="24"/>
                <w:szCs w:val="24"/>
              </w:rPr>
              <w:t>Concrete</w:t>
            </w:r>
          </w:p>
        </w:tc>
      </w:tr>
      <w:tr w:rsidR="00BC0C81" w14:paraId="190CCE54" w14:textId="77777777" w:rsidTr="00BC0C81">
        <w:trPr>
          <w:trHeight w:val="186"/>
          <w:tblCellSpacing w:w="15" w:type="dxa"/>
          <w:jc w:val="center"/>
        </w:trPr>
        <w:tc>
          <w:tcPr>
            <w:tcW w:w="0" w:type="auto"/>
            <w:tcMar>
              <w:top w:w="15" w:type="dxa"/>
              <w:left w:w="15" w:type="dxa"/>
              <w:bottom w:w="15" w:type="dxa"/>
              <w:right w:w="15" w:type="dxa"/>
            </w:tcMar>
            <w:vAlign w:val="center"/>
            <w:hideMark/>
          </w:tcPr>
          <w:p w14:paraId="23D28FF5" w14:textId="77777777" w:rsidR="00BC0C81" w:rsidRDefault="00BC0C81">
            <w:pPr>
              <w:rPr>
                <w:rFonts w:ascii="Times New Roman" w:hAnsi="Times New Roman"/>
                <w:sz w:val="24"/>
                <w:szCs w:val="24"/>
              </w:rPr>
            </w:pPr>
          </w:p>
        </w:tc>
        <w:tc>
          <w:tcPr>
            <w:tcW w:w="0" w:type="auto"/>
            <w:tcMar>
              <w:top w:w="15" w:type="dxa"/>
              <w:left w:w="15" w:type="dxa"/>
              <w:bottom w:w="15" w:type="dxa"/>
              <w:right w:w="15" w:type="dxa"/>
            </w:tcMar>
            <w:vAlign w:val="center"/>
            <w:hideMark/>
          </w:tcPr>
          <w:p w14:paraId="5FE96D23" w14:textId="77777777" w:rsidR="00BC0C81" w:rsidRDefault="00BC0C81">
            <w:pPr>
              <w:jc w:val="both"/>
              <w:rPr>
                <w:rFonts w:ascii="Times New Roman" w:hAnsi="Times New Roman"/>
                <w:sz w:val="24"/>
                <w:szCs w:val="24"/>
              </w:rPr>
            </w:pPr>
            <w:r>
              <w:rPr>
                <w:rFonts w:ascii="Times New Roman" w:hAnsi="Times New Roman"/>
                <w:sz w:val="24"/>
                <w:szCs w:val="24"/>
              </w:rPr>
              <w:t>Tarpaulin</w:t>
            </w:r>
          </w:p>
        </w:tc>
      </w:tr>
      <w:tr w:rsidR="00BC0C81" w14:paraId="30A5F13D" w14:textId="77777777" w:rsidTr="00BC0C81">
        <w:trPr>
          <w:trHeight w:val="177"/>
          <w:tblCellSpacing w:w="15" w:type="dxa"/>
          <w:jc w:val="center"/>
        </w:trPr>
        <w:tc>
          <w:tcPr>
            <w:tcW w:w="0" w:type="auto"/>
            <w:tcMar>
              <w:top w:w="15" w:type="dxa"/>
              <w:left w:w="15" w:type="dxa"/>
              <w:bottom w:w="15" w:type="dxa"/>
              <w:right w:w="15" w:type="dxa"/>
            </w:tcMar>
            <w:vAlign w:val="center"/>
            <w:hideMark/>
          </w:tcPr>
          <w:p w14:paraId="1B543499" w14:textId="77777777" w:rsidR="00BC0C81" w:rsidRDefault="00BC0C81">
            <w:pPr>
              <w:rPr>
                <w:rFonts w:ascii="Times New Roman" w:hAnsi="Times New Roman"/>
                <w:sz w:val="24"/>
                <w:szCs w:val="24"/>
              </w:rPr>
            </w:pPr>
          </w:p>
        </w:tc>
        <w:tc>
          <w:tcPr>
            <w:tcW w:w="0" w:type="auto"/>
            <w:tcMar>
              <w:top w:w="15" w:type="dxa"/>
              <w:left w:w="15" w:type="dxa"/>
              <w:bottom w:w="15" w:type="dxa"/>
              <w:right w:w="15" w:type="dxa"/>
            </w:tcMar>
            <w:vAlign w:val="center"/>
            <w:hideMark/>
          </w:tcPr>
          <w:p w14:paraId="0872A162" w14:textId="77777777" w:rsidR="00BC0C81" w:rsidRDefault="00BC0C81">
            <w:pPr>
              <w:jc w:val="both"/>
              <w:rPr>
                <w:rFonts w:ascii="Times New Roman" w:hAnsi="Times New Roman"/>
                <w:sz w:val="24"/>
                <w:szCs w:val="24"/>
              </w:rPr>
            </w:pPr>
            <w:r>
              <w:rPr>
                <w:rFonts w:ascii="Times New Roman" w:hAnsi="Times New Roman"/>
                <w:sz w:val="24"/>
                <w:szCs w:val="24"/>
              </w:rPr>
              <w:t>Earthen</w:t>
            </w:r>
          </w:p>
        </w:tc>
      </w:tr>
      <w:tr w:rsidR="00BC0C81" w14:paraId="7439FA6C" w14:textId="77777777" w:rsidTr="00BC0C81">
        <w:trPr>
          <w:trHeight w:val="69"/>
          <w:tblCellSpacing w:w="15" w:type="dxa"/>
          <w:jc w:val="center"/>
        </w:trPr>
        <w:tc>
          <w:tcPr>
            <w:tcW w:w="0" w:type="auto"/>
            <w:tcMar>
              <w:top w:w="15" w:type="dxa"/>
              <w:left w:w="15" w:type="dxa"/>
              <w:bottom w:w="15" w:type="dxa"/>
              <w:right w:w="15" w:type="dxa"/>
            </w:tcMar>
            <w:vAlign w:val="center"/>
            <w:hideMark/>
          </w:tcPr>
          <w:p w14:paraId="69247352" w14:textId="77777777" w:rsidR="00BC0C81" w:rsidRDefault="00BC0C81">
            <w:pPr>
              <w:jc w:val="both"/>
              <w:rPr>
                <w:rFonts w:ascii="Times New Roman" w:hAnsi="Times New Roman"/>
                <w:sz w:val="24"/>
                <w:szCs w:val="24"/>
              </w:rPr>
            </w:pPr>
            <w:r>
              <w:rPr>
                <w:rFonts w:ascii="Times New Roman" w:hAnsi="Times New Roman"/>
                <w:sz w:val="24"/>
                <w:szCs w:val="24"/>
              </w:rPr>
              <w:t>IYONDE</w:t>
            </w:r>
          </w:p>
        </w:tc>
        <w:tc>
          <w:tcPr>
            <w:tcW w:w="0" w:type="auto"/>
            <w:tcMar>
              <w:top w:w="15" w:type="dxa"/>
              <w:left w:w="15" w:type="dxa"/>
              <w:bottom w:w="15" w:type="dxa"/>
              <w:right w:w="15" w:type="dxa"/>
            </w:tcMar>
            <w:vAlign w:val="center"/>
            <w:hideMark/>
          </w:tcPr>
          <w:p w14:paraId="3668F98A" w14:textId="77777777" w:rsidR="00BC0C81" w:rsidRDefault="00BC0C81">
            <w:pPr>
              <w:jc w:val="both"/>
              <w:rPr>
                <w:rFonts w:ascii="Times New Roman" w:hAnsi="Times New Roman"/>
                <w:sz w:val="24"/>
                <w:szCs w:val="24"/>
              </w:rPr>
            </w:pPr>
            <w:r>
              <w:rPr>
                <w:rFonts w:ascii="Times New Roman" w:hAnsi="Times New Roman"/>
                <w:sz w:val="24"/>
                <w:szCs w:val="24"/>
              </w:rPr>
              <w:t>Concrete</w:t>
            </w:r>
          </w:p>
        </w:tc>
      </w:tr>
      <w:tr w:rsidR="00BC0C81" w14:paraId="260A0DA5" w14:textId="77777777" w:rsidTr="00BC0C81">
        <w:trPr>
          <w:trHeight w:val="53"/>
          <w:tblCellSpacing w:w="15" w:type="dxa"/>
          <w:jc w:val="center"/>
        </w:trPr>
        <w:tc>
          <w:tcPr>
            <w:tcW w:w="0" w:type="auto"/>
            <w:tcMar>
              <w:top w:w="15" w:type="dxa"/>
              <w:left w:w="15" w:type="dxa"/>
              <w:bottom w:w="15" w:type="dxa"/>
              <w:right w:w="15" w:type="dxa"/>
            </w:tcMar>
            <w:vAlign w:val="center"/>
            <w:hideMark/>
          </w:tcPr>
          <w:p w14:paraId="6F48F286" w14:textId="77777777" w:rsidR="00BC0C81" w:rsidRDefault="00BC0C81">
            <w:pPr>
              <w:rPr>
                <w:rFonts w:ascii="Times New Roman" w:hAnsi="Times New Roman"/>
                <w:sz w:val="24"/>
                <w:szCs w:val="24"/>
              </w:rPr>
            </w:pPr>
          </w:p>
        </w:tc>
        <w:tc>
          <w:tcPr>
            <w:tcW w:w="0" w:type="auto"/>
            <w:tcMar>
              <w:top w:w="15" w:type="dxa"/>
              <w:left w:w="15" w:type="dxa"/>
              <w:bottom w:w="15" w:type="dxa"/>
              <w:right w:w="15" w:type="dxa"/>
            </w:tcMar>
            <w:vAlign w:val="center"/>
            <w:hideMark/>
          </w:tcPr>
          <w:p w14:paraId="5C8CF118" w14:textId="77777777" w:rsidR="00BC0C81" w:rsidRDefault="00BC0C81">
            <w:pPr>
              <w:jc w:val="both"/>
              <w:rPr>
                <w:rFonts w:ascii="Times New Roman" w:hAnsi="Times New Roman"/>
                <w:sz w:val="24"/>
                <w:szCs w:val="24"/>
              </w:rPr>
            </w:pPr>
            <w:r>
              <w:rPr>
                <w:rFonts w:ascii="Times New Roman" w:hAnsi="Times New Roman"/>
                <w:sz w:val="24"/>
                <w:szCs w:val="24"/>
              </w:rPr>
              <w:t>Tarpaulin</w:t>
            </w:r>
          </w:p>
        </w:tc>
      </w:tr>
      <w:tr w:rsidR="00BC0C81" w14:paraId="26EED784" w14:textId="77777777" w:rsidTr="00BC0C81">
        <w:trPr>
          <w:trHeight w:val="204"/>
          <w:tblCellSpacing w:w="15" w:type="dxa"/>
          <w:jc w:val="center"/>
        </w:trPr>
        <w:tc>
          <w:tcPr>
            <w:tcW w:w="0" w:type="auto"/>
            <w:tcMar>
              <w:top w:w="15" w:type="dxa"/>
              <w:left w:w="15" w:type="dxa"/>
              <w:bottom w:w="15" w:type="dxa"/>
              <w:right w:w="15" w:type="dxa"/>
            </w:tcMar>
            <w:vAlign w:val="center"/>
            <w:hideMark/>
          </w:tcPr>
          <w:p w14:paraId="6ABA4A4E" w14:textId="77777777" w:rsidR="00BC0C81" w:rsidRDefault="00BC0C81">
            <w:pPr>
              <w:rPr>
                <w:rFonts w:ascii="Times New Roman" w:hAnsi="Times New Roman"/>
                <w:sz w:val="24"/>
                <w:szCs w:val="24"/>
              </w:rPr>
            </w:pPr>
          </w:p>
        </w:tc>
        <w:tc>
          <w:tcPr>
            <w:tcW w:w="0" w:type="auto"/>
            <w:tcMar>
              <w:top w:w="15" w:type="dxa"/>
              <w:left w:w="15" w:type="dxa"/>
              <w:bottom w:w="15" w:type="dxa"/>
              <w:right w:w="15" w:type="dxa"/>
            </w:tcMar>
            <w:vAlign w:val="center"/>
            <w:hideMark/>
          </w:tcPr>
          <w:p w14:paraId="07C18A99" w14:textId="77777777" w:rsidR="00BC0C81" w:rsidRDefault="00BC0C81">
            <w:pPr>
              <w:jc w:val="both"/>
              <w:rPr>
                <w:rFonts w:ascii="Times New Roman" w:hAnsi="Times New Roman"/>
                <w:sz w:val="24"/>
                <w:szCs w:val="24"/>
              </w:rPr>
            </w:pPr>
            <w:r>
              <w:rPr>
                <w:rFonts w:ascii="Times New Roman" w:hAnsi="Times New Roman"/>
                <w:sz w:val="24"/>
                <w:szCs w:val="24"/>
              </w:rPr>
              <w:t>Earthen</w:t>
            </w:r>
          </w:p>
        </w:tc>
      </w:tr>
      <w:tr w:rsidR="00BC0C81" w14:paraId="1EF94A40" w14:textId="77777777" w:rsidTr="00BC0C81">
        <w:trPr>
          <w:trHeight w:val="276"/>
          <w:tblCellSpacing w:w="15" w:type="dxa"/>
          <w:jc w:val="center"/>
        </w:trPr>
        <w:tc>
          <w:tcPr>
            <w:tcW w:w="0" w:type="auto"/>
            <w:tcMar>
              <w:top w:w="15" w:type="dxa"/>
              <w:left w:w="15" w:type="dxa"/>
              <w:bottom w:w="15" w:type="dxa"/>
              <w:right w:w="15" w:type="dxa"/>
            </w:tcMar>
            <w:vAlign w:val="center"/>
            <w:hideMark/>
          </w:tcPr>
          <w:p w14:paraId="33CEA4D1" w14:textId="77777777" w:rsidR="00BC0C81" w:rsidRDefault="00BC0C81">
            <w:pPr>
              <w:jc w:val="both"/>
              <w:rPr>
                <w:rFonts w:ascii="Times New Roman" w:hAnsi="Times New Roman"/>
                <w:sz w:val="24"/>
                <w:szCs w:val="24"/>
              </w:rPr>
            </w:pPr>
            <w:r>
              <w:rPr>
                <w:rFonts w:ascii="Times New Roman" w:hAnsi="Times New Roman"/>
                <w:sz w:val="24"/>
                <w:szCs w:val="24"/>
              </w:rPr>
              <w:lastRenderedPageBreak/>
              <w:t>MAGNUS</w:t>
            </w:r>
          </w:p>
        </w:tc>
        <w:tc>
          <w:tcPr>
            <w:tcW w:w="0" w:type="auto"/>
            <w:tcMar>
              <w:top w:w="15" w:type="dxa"/>
              <w:left w:w="15" w:type="dxa"/>
              <w:bottom w:w="15" w:type="dxa"/>
              <w:right w:w="15" w:type="dxa"/>
            </w:tcMar>
            <w:vAlign w:val="center"/>
            <w:hideMark/>
          </w:tcPr>
          <w:p w14:paraId="1995B2CE" w14:textId="77777777" w:rsidR="00BC0C81" w:rsidRDefault="00BC0C81">
            <w:pPr>
              <w:jc w:val="both"/>
              <w:rPr>
                <w:rFonts w:ascii="Times New Roman" w:hAnsi="Times New Roman"/>
                <w:sz w:val="24"/>
                <w:szCs w:val="24"/>
              </w:rPr>
            </w:pPr>
            <w:r>
              <w:rPr>
                <w:rFonts w:ascii="Times New Roman" w:hAnsi="Times New Roman"/>
                <w:sz w:val="24"/>
                <w:szCs w:val="24"/>
              </w:rPr>
              <w:t>Concrete</w:t>
            </w:r>
          </w:p>
        </w:tc>
      </w:tr>
      <w:tr w:rsidR="00BC0C81" w14:paraId="038C2EE2" w14:textId="77777777" w:rsidTr="00BC0C81">
        <w:trPr>
          <w:trHeight w:val="168"/>
          <w:tblCellSpacing w:w="15" w:type="dxa"/>
          <w:jc w:val="center"/>
        </w:trPr>
        <w:tc>
          <w:tcPr>
            <w:tcW w:w="0" w:type="auto"/>
            <w:tcMar>
              <w:top w:w="15" w:type="dxa"/>
              <w:left w:w="15" w:type="dxa"/>
              <w:bottom w:w="15" w:type="dxa"/>
              <w:right w:w="15" w:type="dxa"/>
            </w:tcMar>
            <w:vAlign w:val="center"/>
            <w:hideMark/>
          </w:tcPr>
          <w:p w14:paraId="5CA242AE" w14:textId="77777777" w:rsidR="00BC0C81" w:rsidRDefault="00BC0C81">
            <w:pPr>
              <w:rPr>
                <w:rFonts w:ascii="Times New Roman" w:hAnsi="Times New Roman"/>
                <w:sz w:val="24"/>
                <w:szCs w:val="24"/>
              </w:rPr>
            </w:pPr>
          </w:p>
        </w:tc>
        <w:tc>
          <w:tcPr>
            <w:tcW w:w="0" w:type="auto"/>
            <w:tcMar>
              <w:top w:w="15" w:type="dxa"/>
              <w:left w:w="15" w:type="dxa"/>
              <w:bottom w:w="15" w:type="dxa"/>
              <w:right w:w="15" w:type="dxa"/>
            </w:tcMar>
            <w:vAlign w:val="center"/>
            <w:hideMark/>
          </w:tcPr>
          <w:p w14:paraId="57E4E759" w14:textId="77777777" w:rsidR="00BC0C81" w:rsidRDefault="00BC0C81">
            <w:pPr>
              <w:jc w:val="both"/>
              <w:rPr>
                <w:rFonts w:ascii="Times New Roman" w:hAnsi="Times New Roman"/>
                <w:sz w:val="24"/>
                <w:szCs w:val="24"/>
              </w:rPr>
            </w:pPr>
            <w:r>
              <w:rPr>
                <w:rFonts w:ascii="Times New Roman" w:hAnsi="Times New Roman"/>
                <w:sz w:val="24"/>
                <w:szCs w:val="24"/>
              </w:rPr>
              <w:t>Tarpaulin</w:t>
            </w:r>
          </w:p>
        </w:tc>
      </w:tr>
      <w:tr w:rsidR="00BC0C81" w14:paraId="35CE88CA" w14:textId="77777777" w:rsidTr="00BC0C81">
        <w:trPr>
          <w:trHeight w:val="51"/>
          <w:tblCellSpacing w:w="15" w:type="dxa"/>
          <w:jc w:val="center"/>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3EF36A5" w14:textId="77777777" w:rsidR="00BC0C81" w:rsidRDefault="00BC0C81">
            <w:pPr>
              <w:rPr>
                <w:rFonts w:ascii="Times New Roman" w:hAnsi="Times New Roman"/>
                <w:sz w:val="24"/>
                <w:szCs w:val="24"/>
              </w:rPr>
            </w:pP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B1027A9" w14:textId="77777777" w:rsidR="00BC0C81" w:rsidRDefault="00BC0C81">
            <w:pPr>
              <w:jc w:val="both"/>
              <w:rPr>
                <w:rFonts w:ascii="Times New Roman" w:hAnsi="Times New Roman"/>
                <w:sz w:val="24"/>
                <w:szCs w:val="24"/>
              </w:rPr>
            </w:pPr>
            <w:r>
              <w:rPr>
                <w:rFonts w:ascii="Times New Roman" w:hAnsi="Times New Roman"/>
                <w:sz w:val="24"/>
                <w:szCs w:val="24"/>
              </w:rPr>
              <w:t>Earthen</w:t>
            </w:r>
          </w:p>
        </w:tc>
      </w:tr>
    </w:tbl>
    <w:p w14:paraId="4F6273BD" w14:textId="77777777" w:rsidR="00BC0C81" w:rsidRDefault="00BC0C81" w:rsidP="00BC0C81">
      <w:pPr>
        <w:jc w:val="both"/>
        <w:rPr>
          <w:rFonts w:ascii="Times New Roman" w:hAnsi="Times New Roman"/>
          <w:sz w:val="24"/>
          <w:szCs w:val="24"/>
        </w:rPr>
      </w:pPr>
    </w:p>
    <w:p w14:paraId="0EFF0902" w14:textId="77777777" w:rsidR="00BC0C81" w:rsidRDefault="00BC0C81" w:rsidP="00BC0C81">
      <w:pPr>
        <w:jc w:val="both"/>
        <w:outlineLvl w:val="2"/>
        <w:rPr>
          <w:rFonts w:ascii="Times New Roman" w:hAnsi="Times New Roman"/>
          <w:b/>
          <w:bCs/>
          <w:sz w:val="24"/>
          <w:szCs w:val="24"/>
        </w:rPr>
      </w:pPr>
      <w:r>
        <w:rPr>
          <w:rFonts w:ascii="Times New Roman" w:hAnsi="Times New Roman"/>
          <w:b/>
          <w:bCs/>
          <w:sz w:val="24"/>
          <w:szCs w:val="24"/>
        </w:rPr>
        <w:t>Stage Two: Selection of Pond Types</w:t>
      </w:r>
    </w:p>
    <w:p w14:paraId="6909420E" w14:textId="77777777" w:rsidR="00BC0C81" w:rsidRDefault="00BC0C81" w:rsidP="00BC0C81">
      <w:pPr>
        <w:jc w:val="both"/>
        <w:rPr>
          <w:rFonts w:ascii="Times New Roman" w:hAnsi="Times New Roman"/>
          <w:sz w:val="24"/>
          <w:szCs w:val="24"/>
        </w:rPr>
      </w:pPr>
      <w:r>
        <w:rPr>
          <w:rFonts w:ascii="Times New Roman" w:hAnsi="Times New Roman"/>
          <w:sz w:val="24"/>
          <w:szCs w:val="24"/>
        </w:rPr>
        <w:t>At each farm, one representative:</w:t>
      </w:r>
    </w:p>
    <w:p w14:paraId="2337F2FF" w14:textId="77777777" w:rsidR="00BC0C81" w:rsidRDefault="00BC0C81" w:rsidP="00BC0C81">
      <w:pPr>
        <w:numPr>
          <w:ilvl w:val="0"/>
          <w:numId w:val="31"/>
        </w:numPr>
        <w:spacing w:line="276" w:lineRule="auto"/>
        <w:jc w:val="both"/>
        <w:rPr>
          <w:rFonts w:ascii="Times New Roman" w:hAnsi="Times New Roman"/>
          <w:sz w:val="24"/>
          <w:szCs w:val="24"/>
        </w:rPr>
      </w:pPr>
      <w:r>
        <w:rPr>
          <w:rFonts w:ascii="Times New Roman" w:hAnsi="Times New Roman"/>
          <w:sz w:val="24"/>
          <w:szCs w:val="24"/>
        </w:rPr>
        <w:t xml:space="preserve">Earthen pond, </w:t>
      </w:r>
    </w:p>
    <w:p w14:paraId="3471E74C" w14:textId="77777777" w:rsidR="00BC0C81" w:rsidRDefault="00BC0C81" w:rsidP="00BC0C81">
      <w:pPr>
        <w:numPr>
          <w:ilvl w:val="0"/>
          <w:numId w:val="31"/>
        </w:numPr>
        <w:spacing w:line="276" w:lineRule="auto"/>
        <w:jc w:val="both"/>
        <w:rPr>
          <w:rFonts w:ascii="Times New Roman" w:hAnsi="Times New Roman"/>
          <w:sz w:val="24"/>
          <w:szCs w:val="24"/>
        </w:rPr>
      </w:pPr>
      <w:r>
        <w:rPr>
          <w:rFonts w:ascii="Times New Roman" w:hAnsi="Times New Roman"/>
          <w:sz w:val="24"/>
          <w:szCs w:val="24"/>
        </w:rPr>
        <w:t xml:space="preserve">Concrete pond, and </w:t>
      </w:r>
    </w:p>
    <w:p w14:paraId="10C30D1A" w14:textId="77777777" w:rsidR="00BC0C81" w:rsidRDefault="00BC0C81" w:rsidP="00BC0C81">
      <w:pPr>
        <w:numPr>
          <w:ilvl w:val="0"/>
          <w:numId w:val="31"/>
        </w:numPr>
        <w:spacing w:line="276" w:lineRule="auto"/>
        <w:jc w:val="both"/>
        <w:rPr>
          <w:rFonts w:ascii="Times New Roman" w:hAnsi="Times New Roman"/>
          <w:sz w:val="24"/>
          <w:szCs w:val="24"/>
        </w:rPr>
      </w:pPr>
      <w:r>
        <w:rPr>
          <w:rFonts w:ascii="Times New Roman" w:hAnsi="Times New Roman"/>
          <w:sz w:val="24"/>
          <w:szCs w:val="24"/>
        </w:rPr>
        <w:t xml:space="preserve">Tarpaulin pond </w:t>
      </w:r>
    </w:p>
    <w:p w14:paraId="25DA64A8" w14:textId="77777777" w:rsidR="00BC0C81" w:rsidRDefault="00BC0C81" w:rsidP="00BC0C81">
      <w:pPr>
        <w:jc w:val="both"/>
        <w:rPr>
          <w:rFonts w:ascii="Times New Roman" w:hAnsi="Times New Roman"/>
          <w:sz w:val="24"/>
          <w:szCs w:val="24"/>
        </w:rPr>
      </w:pPr>
      <w:r>
        <w:rPr>
          <w:rFonts w:ascii="Times New Roman" w:hAnsi="Times New Roman"/>
          <w:sz w:val="24"/>
          <w:szCs w:val="24"/>
        </w:rPr>
        <w:t>This produced nine experimental pond groups:</w:t>
      </w:r>
    </w:p>
    <w:p w14:paraId="46543C13" w14:textId="77777777" w:rsidR="00BC0C81" w:rsidRDefault="00BC0C81" w:rsidP="00BC0C81">
      <w:pPr>
        <w:jc w:val="both"/>
        <w:outlineLvl w:val="2"/>
        <w:rPr>
          <w:rFonts w:ascii="Times New Roman" w:hAnsi="Times New Roman"/>
          <w:b/>
          <w:bCs/>
          <w:sz w:val="24"/>
          <w:szCs w:val="24"/>
        </w:rPr>
      </w:pPr>
      <w:r>
        <w:rPr>
          <w:rFonts w:ascii="Times New Roman" w:hAnsi="Times New Roman"/>
          <w:b/>
          <w:bCs/>
          <w:sz w:val="24"/>
          <w:szCs w:val="24"/>
        </w:rPr>
        <w:t>Stage Three: Fish Selection</w:t>
      </w:r>
    </w:p>
    <w:p w14:paraId="289183D7" w14:textId="77777777" w:rsidR="00BC0C81" w:rsidRDefault="00BC0C81" w:rsidP="00BC0C81">
      <w:pPr>
        <w:jc w:val="both"/>
        <w:rPr>
          <w:rFonts w:ascii="Times New Roman" w:hAnsi="Times New Roman"/>
          <w:sz w:val="24"/>
          <w:szCs w:val="24"/>
        </w:rPr>
      </w:pPr>
      <w:r>
        <w:rPr>
          <w:rFonts w:ascii="Times New Roman" w:hAnsi="Times New Roman"/>
          <w:sz w:val="24"/>
          <w:szCs w:val="24"/>
        </w:rPr>
        <w:t>Fish were randomly selected from each experimental pond. Fish of relatively comparable size and apparent health status were selected to minimize biological variation.</w:t>
      </w:r>
    </w:p>
    <w:p w14:paraId="717B87E6"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For each experimental group, fish were collected as independent biological replicates. Where six fish were used per experimental group, the total number of fish examined was: </w:t>
      </w:r>
      <w:r>
        <w:rPr>
          <w:rFonts w:ascii="Times New Roman" w:hAnsi="Times New Roman"/>
          <w:bCs/>
          <w:sz w:val="24"/>
          <w:szCs w:val="24"/>
        </w:rPr>
        <w:t>3 farms × 3 pond type’s × 18 fish = 54 fish.</w:t>
      </w:r>
    </w:p>
    <w:p w14:paraId="2B19769F" w14:textId="77777777" w:rsidR="00BC0C81" w:rsidRDefault="00BC0C81" w:rsidP="00BC0C81">
      <w:pPr>
        <w:jc w:val="both"/>
        <w:outlineLvl w:val="0"/>
        <w:rPr>
          <w:rFonts w:ascii="Times New Roman" w:hAnsi="Times New Roman"/>
          <w:b/>
          <w:bCs/>
          <w:kern w:val="36"/>
          <w:sz w:val="24"/>
          <w:szCs w:val="24"/>
        </w:rPr>
      </w:pPr>
      <w:r>
        <w:rPr>
          <w:rFonts w:ascii="Times New Roman" w:hAnsi="Times New Roman"/>
          <w:b/>
          <w:bCs/>
          <w:kern w:val="36"/>
          <w:sz w:val="24"/>
          <w:szCs w:val="24"/>
        </w:rPr>
        <w:t>2.2.3 Experimental Design</w:t>
      </w:r>
    </w:p>
    <w:p w14:paraId="0AE8732D" w14:textId="77777777" w:rsidR="00BC0C81" w:rsidRDefault="00BC0C81" w:rsidP="00BC0C81">
      <w:pPr>
        <w:jc w:val="both"/>
        <w:outlineLvl w:val="0"/>
        <w:rPr>
          <w:rFonts w:ascii="Times New Roman" w:hAnsi="Times New Roman"/>
          <w:b/>
          <w:bCs/>
          <w:kern w:val="36"/>
          <w:sz w:val="24"/>
          <w:szCs w:val="24"/>
        </w:rPr>
      </w:pPr>
      <w:r>
        <w:rPr>
          <w:rFonts w:ascii="Times New Roman" w:hAnsi="Times New Roman"/>
          <w:sz w:val="24"/>
          <w:szCs w:val="24"/>
        </w:rPr>
        <w:t>The experimental layout was:</w:t>
      </w:r>
    </w:p>
    <w:tbl>
      <w:tblPr>
        <w:tblW w:w="7987" w:type="dxa"/>
        <w:jc w:val="center"/>
        <w:tblCellSpacing w:w="15" w:type="dxa"/>
        <w:tblLook w:val="04A0" w:firstRow="1" w:lastRow="0" w:firstColumn="1" w:lastColumn="0" w:noHBand="0" w:noVBand="1"/>
      </w:tblPr>
      <w:tblGrid>
        <w:gridCol w:w="1934"/>
        <w:gridCol w:w="1345"/>
        <w:gridCol w:w="1486"/>
        <w:gridCol w:w="1649"/>
        <w:gridCol w:w="1573"/>
      </w:tblGrid>
      <w:tr w:rsidR="00BC0C81" w14:paraId="308B17EF" w14:textId="77777777" w:rsidTr="00BC0C81">
        <w:trPr>
          <w:trHeight w:val="615"/>
          <w:tblHeader/>
          <w:tblCellSpacing w:w="15" w:type="dxa"/>
          <w:jc w:val="center"/>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2974EC8" w14:textId="77777777" w:rsidR="00BC0C81" w:rsidRDefault="00BC0C81">
            <w:pPr>
              <w:jc w:val="both"/>
              <w:rPr>
                <w:rFonts w:ascii="Times New Roman" w:hAnsi="Times New Roman"/>
                <w:b/>
                <w:bCs/>
                <w:sz w:val="24"/>
                <w:szCs w:val="24"/>
              </w:rPr>
            </w:pPr>
            <w:r>
              <w:rPr>
                <w:rFonts w:ascii="Times New Roman" w:hAnsi="Times New Roman"/>
                <w:b/>
                <w:bCs/>
                <w:sz w:val="24"/>
                <w:szCs w:val="24"/>
              </w:rPr>
              <w:t>Farm</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51B6026E" w14:textId="77777777" w:rsidR="00BC0C81" w:rsidRDefault="00BC0C81">
            <w:pPr>
              <w:jc w:val="both"/>
              <w:rPr>
                <w:rFonts w:ascii="Times New Roman" w:hAnsi="Times New Roman"/>
                <w:b/>
                <w:bCs/>
                <w:sz w:val="24"/>
                <w:szCs w:val="24"/>
              </w:rPr>
            </w:pPr>
            <w:r>
              <w:rPr>
                <w:rFonts w:ascii="Times New Roman" w:hAnsi="Times New Roman"/>
                <w:b/>
                <w:bCs/>
                <w:sz w:val="24"/>
                <w:szCs w:val="24"/>
              </w:rPr>
              <w:t>Earthen</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4E882381" w14:textId="77777777" w:rsidR="00BC0C81" w:rsidRDefault="00BC0C81">
            <w:pPr>
              <w:jc w:val="both"/>
              <w:rPr>
                <w:rFonts w:ascii="Times New Roman" w:hAnsi="Times New Roman"/>
                <w:b/>
                <w:bCs/>
                <w:sz w:val="24"/>
                <w:szCs w:val="24"/>
              </w:rPr>
            </w:pPr>
            <w:r>
              <w:rPr>
                <w:rFonts w:ascii="Times New Roman" w:hAnsi="Times New Roman"/>
                <w:b/>
                <w:bCs/>
                <w:sz w:val="24"/>
                <w:szCs w:val="24"/>
              </w:rPr>
              <w:t>Concrete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57C6FB21" w14:textId="77777777" w:rsidR="00BC0C81" w:rsidRDefault="00BC0C81">
            <w:pPr>
              <w:jc w:val="both"/>
              <w:rPr>
                <w:rFonts w:ascii="Times New Roman" w:hAnsi="Times New Roman"/>
                <w:b/>
                <w:bCs/>
                <w:sz w:val="24"/>
                <w:szCs w:val="24"/>
              </w:rPr>
            </w:pPr>
            <w:r>
              <w:rPr>
                <w:rFonts w:ascii="Times New Roman" w:hAnsi="Times New Roman"/>
                <w:b/>
                <w:bCs/>
                <w:sz w:val="24"/>
                <w:szCs w:val="24"/>
              </w:rPr>
              <w:t>Tarpaulin</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079D1714" w14:textId="77777777" w:rsidR="00BC0C81" w:rsidRDefault="00BC0C81">
            <w:pPr>
              <w:jc w:val="both"/>
              <w:rPr>
                <w:rFonts w:ascii="Times New Roman" w:hAnsi="Times New Roman"/>
                <w:b/>
                <w:bCs/>
                <w:sz w:val="24"/>
                <w:szCs w:val="24"/>
              </w:rPr>
            </w:pPr>
            <w:r>
              <w:rPr>
                <w:rFonts w:ascii="Times New Roman" w:hAnsi="Times New Roman"/>
                <w:b/>
                <w:bCs/>
                <w:sz w:val="24"/>
                <w:szCs w:val="24"/>
              </w:rPr>
              <w:t>Total fish</w:t>
            </w:r>
          </w:p>
        </w:tc>
      </w:tr>
      <w:tr w:rsidR="00BC0C81" w14:paraId="534DD4CE" w14:textId="77777777" w:rsidTr="00BC0C81">
        <w:trPr>
          <w:trHeight w:val="348"/>
          <w:tblCellSpacing w:w="15" w:type="dxa"/>
          <w:jc w:val="center"/>
        </w:trPr>
        <w:tc>
          <w:tcPr>
            <w:tcW w:w="0" w:type="auto"/>
            <w:tcMar>
              <w:top w:w="15" w:type="dxa"/>
              <w:left w:w="15" w:type="dxa"/>
              <w:bottom w:w="15" w:type="dxa"/>
              <w:right w:w="15" w:type="dxa"/>
            </w:tcMar>
            <w:vAlign w:val="center"/>
            <w:hideMark/>
          </w:tcPr>
          <w:p w14:paraId="6321F21B" w14:textId="77777777" w:rsidR="00BC0C81" w:rsidRDefault="00BC0C81">
            <w:pPr>
              <w:jc w:val="both"/>
              <w:rPr>
                <w:rFonts w:ascii="Times New Roman" w:hAnsi="Times New Roman"/>
                <w:sz w:val="24"/>
                <w:szCs w:val="24"/>
              </w:rPr>
            </w:pPr>
            <w:r>
              <w:rPr>
                <w:rFonts w:ascii="Times New Roman" w:hAnsi="Times New Roman"/>
                <w:sz w:val="24"/>
                <w:szCs w:val="24"/>
              </w:rPr>
              <w:t>New Airport</w:t>
            </w:r>
          </w:p>
        </w:tc>
        <w:tc>
          <w:tcPr>
            <w:tcW w:w="0" w:type="auto"/>
            <w:tcMar>
              <w:top w:w="15" w:type="dxa"/>
              <w:left w:w="15" w:type="dxa"/>
              <w:bottom w:w="15" w:type="dxa"/>
              <w:right w:w="15" w:type="dxa"/>
            </w:tcMar>
            <w:vAlign w:val="center"/>
            <w:hideMark/>
          </w:tcPr>
          <w:p w14:paraId="2851DE2F" w14:textId="77777777" w:rsidR="00BC0C81" w:rsidRDefault="00BC0C81">
            <w:pPr>
              <w:jc w:val="both"/>
              <w:rPr>
                <w:rFonts w:ascii="Times New Roman" w:hAnsi="Times New Roman"/>
                <w:sz w:val="24"/>
                <w:szCs w:val="24"/>
              </w:rPr>
            </w:pPr>
            <w:r>
              <w:rPr>
                <w:rFonts w:ascii="Times New Roman" w:hAnsi="Times New Roman"/>
                <w:sz w:val="24"/>
                <w:szCs w:val="24"/>
              </w:rPr>
              <w:t>6</w:t>
            </w:r>
          </w:p>
        </w:tc>
        <w:tc>
          <w:tcPr>
            <w:tcW w:w="0" w:type="auto"/>
            <w:tcMar>
              <w:top w:w="15" w:type="dxa"/>
              <w:left w:w="15" w:type="dxa"/>
              <w:bottom w:w="15" w:type="dxa"/>
              <w:right w:w="15" w:type="dxa"/>
            </w:tcMar>
            <w:vAlign w:val="center"/>
            <w:hideMark/>
          </w:tcPr>
          <w:p w14:paraId="67C58BE3" w14:textId="77777777" w:rsidR="00BC0C81" w:rsidRDefault="00BC0C81">
            <w:pPr>
              <w:jc w:val="both"/>
              <w:rPr>
                <w:rFonts w:ascii="Times New Roman" w:hAnsi="Times New Roman"/>
                <w:sz w:val="24"/>
                <w:szCs w:val="24"/>
              </w:rPr>
            </w:pPr>
            <w:r>
              <w:rPr>
                <w:rFonts w:ascii="Times New Roman" w:hAnsi="Times New Roman"/>
                <w:sz w:val="24"/>
                <w:szCs w:val="24"/>
              </w:rPr>
              <w:t>6</w:t>
            </w:r>
          </w:p>
        </w:tc>
        <w:tc>
          <w:tcPr>
            <w:tcW w:w="0" w:type="auto"/>
            <w:tcMar>
              <w:top w:w="15" w:type="dxa"/>
              <w:left w:w="15" w:type="dxa"/>
              <w:bottom w:w="15" w:type="dxa"/>
              <w:right w:w="15" w:type="dxa"/>
            </w:tcMar>
            <w:vAlign w:val="center"/>
            <w:hideMark/>
          </w:tcPr>
          <w:p w14:paraId="20946300" w14:textId="77777777" w:rsidR="00BC0C81" w:rsidRDefault="00BC0C81">
            <w:pPr>
              <w:jc w:val="both"/>
              <w:rPr>
                <w:rFonts w:ascii="Times New Roman" w:hAnsi="Times New Roman"/>
                <w:sz w:val="24"/>
                <w:szCs w:val="24"/>
              </w:rPr>
            </w:pPr>
            <w:r>
              <w:rPr>
                <w:rFonts w:ascii="Times New Roman" w:hAnsi="Times New Roman"/>
                <w:sz w:val="24"/>
                <w:szCs w:val="24"/>
              </w:rPr>
              <w:t>6</w:t>
            </w:r>
          </w:p>
        </w:tc>
        <w:tc>
          <w:tcPr>
            <w:tcW w:w="0" w:type="auto"/>
            <w:tcMar>
              <w:top w:w="15" w:type="dxa"/>
              <w:left w:w="15" w:type="dxa"/>
              <w:bottom w:w="15" w:type="dxa"/>
              <w:right w:w="15" w:type="dxa"/>
            </w:tcMar>
            <w:vAlign w:val="center"/>
            <w:hideMark/>
          </w:tcPr>
          <w:p w14:paraId="77A6C12D" w14:textId="77777777" w:rsidR="00BC0C81" w:rsidRDefault="00BC0C81">
            <w:pPr>
              <w:jc w:val="both"/>
              <w:rPr>
                <w:rFonts w:ascii="Times New Roman" w:hAnsi="Times New Roman"/>
                <w:sz w:val="24"/>
                <w:szCs w:val="24"/>
              </w:rPr>
            </w:pPr>
            <w:r>
              <w:rPr>
                <w:rFonts w:ascii="Times New Roman" w:hAnsi="Times New Roman"/>
                <w:sz w:val="24"/>
                <w:szCs w:val="24"/>
              </w:rPr>
              <w:t>18</w:t>
            </w:r>
          </w:p>
        </w:tc>
      </w:tr>
      <w:tr w:rsidR="00BC0C81" w14:paraId="002BBE06" w14:textId="77777777" w:rsidTr="00BC0C81">
        <w:trPr>
          <w:trHeight w:val="303"/>
          <w:tblCellSpacing w:w="15" w:type="dxa"/>
          <w:jc w:val="center"/>
        </w:trPr>
        <w:tc>
          <w:tcPr>
            <w:tcW w:w="0" w:type="auto"/>
            <w:tcMar>
              <w:top w:w="15" w:type="dxa"/>
              <w:left w:w="15" w:type="dxa"/>
              <w:bottom w:w="15" w:type="dxa"/>
              <w:right w:w="15" w:type="dxa"/>
            </w:tcMar>
            <w:vAlign w:val="center"/>
            <w:hideMark/>
          </w:tcPr>
          <w:p w14:paraId="6BE9CD9B" w14:textId="77777777" w:rsidR="00BC0C81" w:rsidRDefault="00BC0C81">
            <w:pPr>
              <w:jc w:val="both"/>
              <w:rPr>
                <w:rFonts w:ascii="Times New Roman" w:hAnsi="Times New Roman"/>
                <w:sz w:val="24"/>
                <w:szCs w:val="24"/>
              </w:rPr>
            </w:pPr>
            <w:r>
              <w:rPr>
                <w:rFonts w:ascii="Times New Roman" w:hAnsi="Times New Roman"/>
                <w:sz w:val="24"/>
                <w:szCs w:val="24"/>
              </w:rPr>
              <w:t>IYONDE</w:t>
            </w:r>
          </w:p>
        </w:tc>
        <w:tc>
          <w:tcPr>
            <w:tcW w:w="0" w:type="auto"/>
            <w:tcMar>
              <w:top w:w="15" w:type="dxa"/>
              <w:left w:w="15" w:type="dxa"/>
              <w:bottom w:w="15" w:type="dxa"/>
              <w:right w:w="15" w:type="dxa"/>
            </w:tcMar>
            <w:vAlign w:val="center"/>
            <w:hideMark/>
          </w:tcPr>
          <w:p w14:paraId="0381AD4C" w14:textId="77777777" w:rsidR="00BC0C81" w:rsidRDefault="00BC0C81">
            <w:pPr>
              <w:jc w:val="both"/>
              <w:rPr>
                <w:rFonts w:ascii="Times New Roman" w:hAnsi="Times New Roman"/>
                <w:sz w:val="24"/>
                <w:szCs w:val="24"/>
              </w:rPr>
            </w:pPr>
            <w:r>
              <w:rPr>
                <w:rFonts w:ascii="Times New Roman" w:hAnsi="Times New Roman"/>
                <w:sz w:val="24"/>
                <w:szCs w:val="24"/>
              </w:rPr>
              <w:t>6</w:t>
            </w:r>
          </w:p>
        </w:tc>
        <w:tc>
          <w:tcPr>
            <w:tcW w:w="0" w:type="auto"/>
            <w:tcMar>
              <w:top w:w="15" w:type="dxa"/>
              <w:left w:w="15" w:type="dxa"/>
              <w:bottom w:w="15" w:type="dxa"/>
              <w:right w:w="15" w:type="dxa"/>
            </w:tcMar>
            <w:vAlign w:val="center"/>
            <w:hideMark/>
          </w:tcPr>
          <w:p w14:paraId="20E1E4FF" w14:textId="77777777" w:rsidR="00BC0C81" w:rsidRDefault="00BC0C81">
            <w:pPr>
              <w:jc w:val="both"/>
              <w:rPr>
                <w:rFonts w:ascii="Times New Roman" w:hAnsi="Times New Roman"/>
                <w:sz w:val="24"/>
                <w:szCs w:val="24"/>
              </w:rPr>
            </w:pPr>
            <w:r>
              <w:rPr>
                <w:rFonts w:ascii="Times New Roman" w:hAnsi="Times New Roman"/>
                <w:sz w:val="24"/>
                <w:szCs w:val="24"/>
              </w:rPr>
              <w:t>6</w:t>
            </w:r>
          </w:p>
        </w:tc>
        <w:tc>
          <w:tcPr>
            <w:tcW w:w="0" w:type="auto"/>
            <w:tcMar>
              <w:top w:w="15" w:type="dxa"/>
              <w:left w:w="15" w:type="dxa"/>
              <w:bottom w:w="15" w:type="dxa"/>
              <w:right w:w="15" w:type="dxa"/>
            </w:tcMar>
            <w:vAlign w:val="center"/>
            <w:hideMark/>
          </w:tcPr>
          <w:p w14:paraId="151AE0CF" w14:textId="77777777" w:rsidR="00BC0C81" w:rsidRDefault="00BC0C81">
            <w:pPr>
              <w:jc w:val="both"/>
              <w:rPr>
                <w:rFonts w:ascii="Times New Roman" w:hAnsi="Times New Roman"/>
                <w:sz w:val="24"/>
                <w:szCs w:val="24"/>
              </w:rPr>
            </w:pPr>
            <w:r>
              <w:rPr>
                <w:rFonts w:ascii="Times New Roman" w:hAnsi="Times New Roman"/>
                <w:sz w:val="24"/>
                <w:szCs w:val="24"/>
              </w:rPr>
              <w:t>6</w:t>
            </w:r>
          </w:p>
        </w:tc>
        <w:tc>
          <w:tcPr>
            <w:tcW w:w="0" w:type="auto"/>
            <w:tcMar>
              <w:top w:w="15" w:type="dxa"/>
              <w:left w:w="15" w:type="dxa"/>
              <w:bottom w:w="15" w:type="dxa"/>
              <w:right w:w="15" w:type="dxa"/>
            </w:tcMar>
            <w:vAlign w:val="center"/>
            <w:hideMark/>
          </w:tcPr>
          <w:p w14:paraId="432F1454" w14:textId="77777777" w:rsidR="00BC0C81" w:rsidRDefault="00BC0C81">
            <w:pPr>
              <w:jc w:val="both"/>
              <w:rPr>
                <w:rFonts w:ascii="Times New Roman" w:hAnsi="Times New Roman"/>
                <w:sz w:val="24"/>
                <w:szCs w:val="24"/>
              </w:rPr>
            </w:pPr>
            <w:r>
              <w:rPr>
                <w:rFonts w:ascii="Times New Roman" w:hAnsi="Times New Roman"/>
                <w:sz w:val="24"/>
                <w:szCs w:val="24"/>
              </w:rPr>
              <w:t>18</w:t>
            </w:r>
          </w:p>
        </w:tc>
      </w:tr>
      <w:tr w:rsidR="00BC0C81" w14:paraId="68999010" w14:textId="77777777" w:rsidTr="00BC0C81">
        <w:trPr>
          <w:trHeight w:val="267"/>
          <w:tblCellSpacing w:w="15" w:type="dxa"/>
          <w:jc w:val="center"/>
        </w:trPr>
        <w:tc>
          <w:tcPr>
            <w:tcW w:w="0" w:type="auto"/>
            <w:tcMar>
              <w:top w:w="15" w:type="dxa"/>
              <w:left w:w="15" w:type="dxa"/>
              <w:bottom w:w="15" w:type="dxa"/>
              <w:right w:w="15" w:type="dxa"/>
            </w:tcMar>
            <w:vAlign w:val="center"/>
            <w:hideMark/>
          </w:tcPr>
          <w:p w14:paraId="2925A80D" w14:textId="77777777" w:rsidR="00BC0C81" w:rsidRDefault="00BC0C81">
            <w:pPr>
              <w:jc w:val="both"/>
              <w:rPr>
                <w:rFonts w:ascii="Times New Roman" w:hAnsi="Times New Roman"/>
                <w:sz w:val="24"/>
                <w:szCs w:val="24"/>
              </w:rPr>
            </w:pPr>
            <w:r>
              <w:rPr>
                <w:rFonts w:ascii="Times New Roman" w:hAnsi="Times New Roman"/>
                <w:sz w:val="24"/>
                <w:szCs w:val="24"/>
              </w:rPr>
              <w:t>MAGNUS</w:t>
            </w:r>
          </w:p>
        </w:tc>
        <w:tc>
          <w:tcPr>
            <w:tcW w:w="0" w:type="auto"/>
            <w:tcMar>
              <w:top w:w="15" w:type="dxa"/>
              <w:left w:w="15" w:type="dxa"/>
              <w:bottom w:w="15" w:type="dxa"/>
              <w:right w:w="15" w:type="dxa"/>
            </w:tcMar>
            <w:vAlign w:val="center"/>
            <w:hideMark/>
          </w:tcPr>
          <w:p w14:paraId="24ACB339" w14:textId="77777777" w:rsidR="00BC0C81" w:rsidRDefault="00BC0C81">
            <w:pPr>
              <w:jc w:val="both"/>
              <w:rPr>
                <w:rFonts w:ascii="Times New Roman" w:hAnsi="Times New Roman"/>
                <w:sz w:val="24"/>
                <w:szCs w:val="24"/>
              </w:rPr>
            </w:pPr>
            <w:r>
              <w:rPr>
                <w:rFonts w:ascii="Times New Roman" w:hAnsi="Times New Roman"/>
                <w:sz w:val="24"/>
                <w:szCs w:val="24"/>
              </w:rPr>
              <w:t>6</w:t>
            </w:r>
          </w:p>
        </w:tc>
        <w:tc>
          <w:tcPr>
            <w:tcW w:w="0" w:type="auto"/>
            <w:tcMar>
              <w:top w:w="15" w:type="dxa"/>
              <w:left w:w="15" w:type="dxa"/>
              <w:bottom w:w="15" w:type="dxa"/>
              <w:right w:w="15" w:type="dxa"/>
            </w:tcMar>
            <w:vAlign w:val="center"/>
            <w:hideMark/>
          </w:tcPr>
          <w:p w14:paraId="106451EC" w14:textId="77777777" w:rsidR="00BC0C81" w:rsidRDefault="00BC0C81">
            <w:pPr>
              <w:jc w:val="both"/>
              <w:rPr>
                <w:rFonts w:ascii="Times New Roman" w:hAnsi="Times New Roman"/>
                <w:sz w:val="24"/>
                <w:szCs w:val="24"/>
              </w:rPr>
            </w:pPr>
            <w:r>
              <w:rPr>
                <w:rFonts w:ascii="Times New Roman" w:hAnsi="Times New Roman"/>
                <w:sz w:val="24"/>
                <w:szCs w:val="24"/>
              </w:rPr>
              <w:t>6</w:t>
            </w:r>
          </w:p>
        </w:tc>
        <w:tc>
          <w:tcPr>
            <w:tcW w:w="0" w:type="auto"/>
            <w:tcMar>
              <w:top w:w="15" w:type="dxa"/>
              <w:left w:w="15" w:type="dxa"/>
              <w:bottom w:w="15" w:type="dxa"/>
              <w:right w:w="15" w:type="dxa"/>
            </w:tcMar>
            <w:vAlign w:val="center"/>
            <w:hideMark/>
          </w:tcPr>
          <w:p w14:paraId="73A797C2" w14:textId="77777777" w:rsidR="00BC0C81" w:rsidRDefault="00BC0C81">
            <w:pPr>
              <w:jc w:val="both"/>
              <w:rPr>
                <w:rFonts w:ascii="Times New Roman" w:hAnsi="Times New Roman"/>
                <w:sz w:val="24"/>
                <w:szCs w:val="24"/>
              </w:rPr>
            </w:pPr>
            <w:r>
              <w:rPr>
                <w:rFonts w:ascii="Times New Roman" w:hAnsi="Times New Roman"/>
                <w:sz w:val="24"/>
                <w:szCs w:val="24"/>
              </w:rPr>
              <w:t>6</w:t>
            </w:r>
          </w:p>
        </w:tc>
        <w:tc>
          <w:tcPr>
            <w:tcW w:w="0" w:type="auto"/>
            <w:tcMar>
              <w:top w:w="15" w:type="dxa"/>
              <w:left w:w="15" w:type="dxa"/>
              <w:bottom w:w="15" w:type="dxa"/>
              <w:right w:w="15" w:type="dxa"/>
            </w:tcMar>
            <w:vAlign w:val="center"/>
            <w:hideMark/>
          </w:tcPr>
          <w:p w14:paraId="7F75E32F" w14:textId="77777777" w:rsidR="00BC0C81" w:rsidRDefault="00BC0C81">
            <w:pPr>
              <w:jc w:val="both"/>
              <w:rPr>
                <w:rFonts w:ascii="Times New Roman" w:hAnsi="Times New Roman"/>
                <w:sz w:val="24"/>
                <w:szCs w:val="24"/>
              </w:rPr>
            </w:pPr>
            <w:r>
              <w:rPr>
                <w:rFonts w:ascii="Times New Roman" w:hAnsi="Times New Roman"/>
                <w:sz w:val="24"/>
                <w:szCs w:val="24"/>
              </w:rPr>
              <w:t>18</w:t>
            </w:r>
          </w:p>
        </w:tc>
      </w:tr>
      <w:tr w:rsidR="00BC0C81" w14:paraId="1EDDD082" w14:textId="77777777" w:rsidTr="00BC0C81">
        <w:trPr>
          <w:trHeight w:val="258"/>
          <w:tblCellSpacing w:w="15" w:type="dxa"/>
          <w:jc w:val="center"/>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63897BE" w14:textId="77777777" w:rsidR="00BC0C81" w:rsidRDefault="00BC0C81">
            <w:pPr>
              <w:jc w:val="both"/>
              <w:rPr>
                <w:rFonts w:ascii="Times New Roman" w:hAnsi="Times New Roman"/>
                <w:sz w:val="24"/>
                <w:szCs w:val="24"/>
              </w:rPr>
            </w:pPr>
            <w:r>
              <w:rPr>
                <w:rFonts w:ascii="Times New Roman" w:hAnsi="Times New Roman"/>
                <w:b/>
                <w:bCs/>
                <w:sz w:val="24"/>
                <w:szCs w:val="24"/>
              </w:rPr>
              <w:t>Total</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4223D60" w14:textId="77777777" w:rsidR="00BC0C81" w:rsidRDefault="00BC0C81">
            <w:pPr>
              <w:jc w:val="both"/>
              <w:rPr>
                <w:rFonts w:ascii="Times New Roman" w:hAnsi="Times New Roman"/>
                <w:sz w:val="24"/>
                <w:szCs w:val="24"/>
              </w:rPr>
            </w:pPr>
            <w:r>
              <w:rPr>
                <w:rFonts w:ascii="Times New Roman" w:hAnsi="Times New Roman"/>
                <w:sz w:val="24"/>
                <w:szCs w:val="24"/>
              </w:rPr>
              <w:t>18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0994E30" w14:textId="77777777" w:rsidR="00BC0C81" w:rsidRDefault="00BC0C81">
            <w:pPr>
              <w:jc w:val="both"/>
              <w:rPr>
                <w:rFonts w:ascii="Times New Roman" w:hAnsi="Times New Roman"/>
                <w:sz w:val="24"/>
                <w:szCs w:val="24"/>
              </w:rPr>
            </w:pPr>
            <w:r>
              <w:rPr>
                <w:rFonts w:ascii="Times New Roman" w:hAnsi="Times New Roman"/>
                <w:sz w:val="24"/>
                <w:szCs w:val="24"/>
              </w:rPr>
              <w:t>18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45957C3" w14:textId="77777777" w:rsidR="00BC0C81" w:rsidRDefault="00BC0C81">
            <w:pPr>
              <w:jc w:val="both"/>
              <w:rPr>
                <w:rFonts w:ascii="Times New Roman" w:hAnsi="Times New Roman"/>
                <w:sz w:val="24"/>
                <w:szCs w:val="24"/>
              </w:rPr>
            </w:pPr>
            <w:r>
              <w:rPr>
                <w:rFonts w:ascii="Times New Roman" w:hAnsi="Times New Roman"/>
                <w:sz w:val="24"/>
                <w:szCs w:val="24"/>
              </w:rPr>
              <w:t xml:space="preserve">18  </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288A2E4" w14:textId="77777777" w:rsidR="00BC0C81" w:rsidRDefault="00BC0C81">
            <w:pPr>
              <w:jc w:val="both"/>
              <w:rPr>
                <w:rFonts w:ascii="Times New Roman" w:hAnsi="Times New Roman"/>
                <w:sz w:val="24"/>
                <w:szCs w:val="24"/>
              </w:rPr>
            </w:pPr>
            <w:r>
              <w:rPr>
                <w:rFonts w:ascii="Times New Roman" w:hAnsi="Times New Roman"/>
                <w:sz w:val="24"/>
                <w:szCs w:val="24"/>
              </w:rPr>
              <w:t>54</w:t>
            </w:r>
          </w:p>
        </w:tc>
      </w:tr>
    </w:tbl>
    <w:p w14:paraId="3E94D03C"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The study employed a </w:t>
      </w:r>
      <w:r>
        <w:rPr>
          <w:rFonts w:ascii="Times New Roman" w:hAnsi="Times New Roman"/>
          <w:bCs/>
          <w:sz w:val="24"/>
          <w:szCs w:val="24"/>
        </w:rPr>
        <w:t>3 × 3 factorial design in a completely randomized sampling arrangement</w:t>
      </w:r>
      <w:r>
        <w:rPr>
          <w:rFonts w:ascii="Times New Roman" w:hAnsi="Times New Roman"/>
          <w:sz w:val="24"/>
          <w:szCs w:val="24"/>
        </w:rPr>
        <w:t>, with:</w:t>
      </w:r>
    </w:p>
    <w:p w14:paraId="6E0572CC" w14:textId="77777777" w:rsidR="00BC0C81" w:rsidRDefault="00BC0C81" w:rsidP="00BC0C81">
      <w:pPr>
        <w:numPr>
          <w:ilvl w:val="0"/>
          <w:numId w:val="32"/>
        </w:numPr>
        <w:spacing w:line="276" w:lineRule="auto"/>
        <w:jc w:val="both"/>
        <w:rPr>
          <w:rFonts w:ascii="Times New Roman" w:hAnsi="Times New Roman"/>
          <w:sz w:val="24"/>
          <w:szCs w:val="24"/>
        </w:rPr>
      </w:pPr>
      <w:r>
        <w:rPr>
          <w:rFonts w:ascii="Times New Roman" w:hAnsi="Times New Roman"/>
          <w:sz w:val="24"/>
          <w:szCs w:val="24"/>
        </w:rPr>
        <w:t xml:space="preserve">Factor A = Farm (3 levels) </w:t>
      </w:r>
    </w:p>
    <w:p w14:paraId="6211F69E" w14:textId="77777777" w:rsidR="00BC0C81" w:rsidRDefault="00BC0C81" w:rsidP="00BC0C81">
      <w:pPr>
        <w:numPr>
          <w:ilvl w:val="0"/>
          <w:numId w:val="32"/>
        </w:numPr>
        <w:spacing w:line="276" w:lineRule="auto"/>
        <w:jc w:val="both"/>
        <w:rPr>
          <w:rFonts w:ascii="Times New Roman" w:hAnsi="Times New Roman"/>
          <w:sz w:val="24"/>
          <w:szCs w:val="24"/>
        </w:rPr>
      </w:pPr>
      <w:r>
        <w:rPr>
          <w:rFonts w:ascii="Times New Roman" w:hAnsi="Times New Roman"/>
          <w:sz w:val="24"/>
          <w:szCs w:val="24"/>
        </w:rPr>
        <w:t xml:space="preserve">Factor B = Pond type (3 levels) </w:t>
      </w:r>
    </w:p>
    <w:p w14:paraId="662EE4A3"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The experimental combinations were therefore: </w:t>
      </w:r>
      <w:r>
        <w:rPr>
          <w:rFonts w:ascii="Times New Roman" w:hAnsi="Times New Roman"/>
          <w:bCs/>
          <w:sz w:val="24"/>
          <w:szCs w:val="24"/>
        </w:rPr>
        <w:t>3 farms × 3 pond types = 9 treatment combinations.</w:t>
      </w:r>
      <w:r>
        <w:rPr>
          <w:rFonts w:ascii="Times New Roman" w:hAnsi="Times New Roman"/>
          <w:sz w:val="24"/>
          <w:szCs w:val="24"/>
        </w:rPr>
        <w:t xml:space="preserve"> Six independent fish were analyzed per treatment combination, giving: </w:t>
      </w:r>
      <w:r>
        <w:rPr>
          <w:rFonts w:ascii="Times New Roman" w:hAnsi="Times New Roman"/>
          <w:bCs/>
          <w:sz w:val="24"/>
          <w:szCs w:val="24"/>
        </w:rPr>
        <w:t>18 treatment combinations × 3 ponds = 54 fish.</w:t>
      </w:r>
      <w:r>
        <w:rPr>
          <w:rFonts w:ascii="Times New Roman" w:hAnsi="Times New Roman"/>
          <w:sz w:val="24"/>
          <w:szCs w:val="24"/>
        </w:rPr>
        <w:t xml:space="preserve"> Each fish was considered an experimental replicate for tissue analysis. </w:t>
      </w:r>
    </w:p>
    <w:p w14:paraId="300627DE" w14:textId="77777777" w:rsidR="00BC0C81" w:rsidRDefault="00BC0C81" w:rsidP="00BC0C81">
      <w:pPr>
        <w:jc w:val="both"/>
        <w:rPr>
          <w:rFonts w:ascii="Times New Roman" w:hAnsi="Times New Roman"/>
          <w:sz w:val="24"/>
          <w:szCs w:val="24"/>
        </w:rPr>
      </w:pPr>
      <w:r>
        <w:rPr>
          <w:rFonts w:ascii="Times New Roman" w:hAnsi="Times New Roman"/>
          <w:sz w:val="24"/>
          <w:szCs w:val="24"/>
        </w:rPr>
        <w:t>For each fish, muscle, gill and liver tissues were separately analyzed.</w:t>
      </w:r>
    </w:p>
    <w:p w14:paraId="773443A4" w14:textId="77777777" w:rsidR="00BC0C81" w:rsidRDefault="00BC0C81" w:rsidP="00BC0C81">
      <w:pPr>
        <w:jc w:val="both"/>
        <w:outlineLvl w:val="0"/>
        <w:rPr>
          <w:rFonts w:ascii="Times New Roman" w:hAnsi="Times New Roman"/>
          <w:b/>
          <w:bCs/>
          <w:kern w:val="36"/>
          <w:sz w:val="24"/>
          <w:szCs w:val="24"/>
        </w:rPr>
      </w:pPr>
      <w:r>
        <w:rPr>
          <w:rFonts w:ascii="Times New Roman" w:hAnsi="Times New Roman"/>
          <w:b/>
          <w:bCs/>
          <w:kern w:val="36"/>
          <w:sz w:val="24"/>
          <w:szCs w:val="24"/>
        </w:rPr>
        <w:t>2.3 Reagents and Chemicals</w:t>
      </w:r>
    </w:p>
    <w:p w14:paraId="2B13DC2C"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All chemicals used in this study were of </w:t>
      </w:r>
      <w:r>
        <w:rPr>
          <w:rFonts w:ascii="Times New Roman" w:hAnsi="Times New Roman"/>
          <w:bCs/>
          <w:sz w:val="24"/>
          <w:szCs w:val="24"/>
        </w:rPr>
        <w:t>analytical reagent (AR) grade</w:t>
      </w:r>
      <w:r>
        <w:rPr>
          <w:rFonts w:ascii="Times New Roman" w:hAnsi="Times New Roman"/>
          <w:sz w:val="24"/>
          <w:szCs w:val="24"/>
        </w:rPr>
        <w:t>.</w:t>
      </w:r>
    </w:p>
    <w:p w14:paraId="33F2458C" w14:textId="77777777" w:rsidR="00BC0C81" w:rsidRDefault="00BC0C81" w:rsidP="00BC0C81">
      <w:pPr>
        <w:jc w:val="both"/>
        <w:rPr>
          <w:rFonts w:ascii="Times New Roman" w:hAnsi="Times New Roman"/>
          <w:sz w:val="24"/>
          <w:szCs w:val="24"/>
        </w:rPr>
      </w:pPr>
      <w:r>
        <w:rPr>
          <w:rFonts w:ascii="Times New Roman" w:hAnsi="Times New Roman"/>
          <w:sz w:val="24"/>
          <w:szCs w:val="24"/>
        </w:rPr>
        <w:t>The reagents included:</w:t>
      </w:r>
    </w:p>
    <w:p w14:paraId="7062E339" w14:textId="77777777" w:rsidR="00BC0C81" w:rsidRDefault="00BC0C81" w:rsidP="00BC0C81">
      <w:pPr>
        <w:jc w:val="both"/>
        <w:rPr>
          <w:rFonts w:ascii="Times New Roman" w:hAnsi="Times New Roman"/>
          <w:sz w:val="24"/>
          <w:szCs w:val="24"/>
        </w:rPr>
      </w:pPr>
      <w:r>
        <w:rPr>
          <w:rFonts w:ascii="Times New Roman" w:hAnsi="Times New Roman"/>
          <w:sz w:val="24"/>
          <w:szCs w:val="24"/>
        </w:rPr>
        <w:t>Nitric acid (HNO</w:t>
      </w:r>
      <w:r>
        <w:rPr>
          <w:rFonts w:ascii="Times New Roman" w:hAnsi="Cambria Math"/>
          <w:sz w:val="24"/>
          <w:szCs w:val="24"/>
        </w:rPr>
        <w:t>₃</w:t>
      </w:r>
      <w:r>
        <w:rPr>
          <w:rFonts w:ascii="Times New Roman" w:hAnsi="Times New Roman"/>
          <w:sz w:val="24"/>
          <w:szCs w:val="24"/>
        </w:rPr>
        <w:t>, 65%), Perchloric acid (</w:t>
      </w:r>
      <w:proofErr w:type="spellStart"/>
      <w:r>
        <w:rPr>
          <w:rFonts w:ascii="Times New Roman" w:hAnsi="Times New Roman"/>
          <w:sz w:val="24"/>
          <w:szCs w:val="24"/>
        </w:rPr>
        <w:t>HClO</w:t>
      </w:r>
      <w:proofErr w:type="spellEnd"/>
      <w:r>
        <w:rPr>
          <w:rFonts w:ascii="Times New Roman" w:hAnsi="Times New Roman"/>
          <w:sz w:val="24"/>
          <w:szCs w:val="24"/>
        </w:rPr>
        <w:t>₄, 70%), Hydrochloric acid (HCl)</w:t>
      </w:r>
      <w:r w:rsidR="00264791">
        <w:rPr>
          <w:rFonts w:ascii="Times New Roman" w:hAnsi="Times New Roman"/>
          <w:sz w:val="24"/>
          <w:szCs w:val="24"/>
        </w:rPr>
        <w:t xml:space="preserve">, </w:t>
      </w:r>
      <w:proofErr w:type="spellStart"/>
      <w:r w:rsidR="00264791">
        <w:rPr>
          <w:rFonts w:ascii="Times New Roman" w:hAnsi="Times New Roman"/>
          <w:sz w:val="24"/>
          <w:szCs w:val="24"/>
        </w:rPr>
        <w:t>sulphuric</w:t>
      </w:r>
      <w:proofErr w:type="spellEnd"/>
      <w:r>
        <w:rPr>
          <w:rFonts w:ascii="Times New Roman" w:hAnsi="Times New Roman"/>
          <w:sz w:val="24"/>
          <w:szCs w:val="24"/>
        </w:rPr>
        <w:t xml:space="preserve"> acid (H₂SO₄)</w:t>
      </w:r>
      <w:r w:rsidR="00264791">
        <w:rPr>
          <w:rFonts w:ascii="Times New Roman" w:hAnsi="Times New Roman"/>
          <w:sz w:val="24"/>
          <w:szCs w:val="24"/>
        </w:rPr>
        <w:t>, hydrogen</w:t>
      </w:r>
      <w:r>
        <w:rPr>
          <w:rFonts w:ascii="Times New Roman" w:hAnsi="Times New Roman"/>
          <w:sz w:val="24"/>
          <w:szCs w:val="24"/>
        </w:rPr>
        <w:t xml:space="preserve"> peroxide (H₂O₂)</w:t>
      </w:r>
      <w:r w:rsidR="00264791">
        <w:rPr>
          <w:rFonts w:ascii="Times New Roman" w:hAnsi="Times New Roman"/>
          <w:sz w:val="24"/>
          <w:szCs w:val="24"/>
        </w:rPr>
        <w:t>, and standard</w:t>
      </w:r>
      <w:r>
        <w:rPr>
          <w:rFonts w:ascii="Times New Roman" w:hAnsi="Times New Roman"/>
          <w:sz w:val="24"/>
          <w:szCs w:val="24"/>
        </w:rPr>
        <w:t xml:space="preserve"> stock solutions (1000 mg/L) of Pb, Cd, Cu, Zn, and Fe. Deionized water was used throughout the analyses.</w:t>
      </w:r>
    </w:p>
    <w:p w14:paraId="1CB3F9F8" w14:textId="77777777" w:rsidR="00BC0C81" w:rsidRDefault="00BC0C81" w:rsidP="00BC0C81">
      <w:pPr>
        <w:jc w:val="both"/>
        <w:outlineLvl w:val="0"/>
        <w:rPr>
          <w:rFonts w:ascii="Times New Roman" w:hAnsi="Times New Roman"/>
          <w:b/>
          <w:bCs/>
          <w:kern w:val="36"/>
          <w:sz w:val="24"/>
          <w:szCs w:val="24"/>
        </w:rPr>
      </w:pPr>
      <w:r>
        <w:rPr>
          <w:rFonts w:ascii="Times New Roman" w:hAnsi="Times New Roman"/>
          <w:b/>
          <w:bCs/>
          <w:kern w:val="36"/>
          <w:sz w:val="24"/>
          <w:szCs w:val="24"/>
        </w:rPr>
        <w:t>2.4 Apparatus and Equipment</w:t>
      </w:r>
    </w:p>
    <w:p w14:paraId="3F89671A" w14:textId="77777777" w:rsidR="00BC0C81" w:rsidRDefault="00BC0C81" w:rsidP="00BC0C81">
      <w:pPr>
        <w:jc w:val="both"/>
        <w:rPr>
          <w:rFonts w:ascii="Times New Roman" w:hAnsi="Times New Roman"/>
          <w:sz w:val="24"/>
          <w:szCs w:val="24"/>
        </w:rPr>
      </w:pPr>
      <w:r>
        <w:rPr>
          <w:rFonts w:ascii="Times New Roman" w:hAnsi="Times New Roman"/>
          <w:sz w:val="24"/>
          <w:szCs w:val="24"/>
        </w:rPr>
        <w:t>The following laboratory equipment was used:</w:t>
      </w:r>
    </w:p>
    <w:p w14:paraId="15451947" w14:textId="77777777" w:rsidR="00BC0C81" w:rsidRDefault="00BC0C81" w:rsidP="00BC0C81">
      <w:pPr>
        <w:jc w:val="both"/>
        <w:rPr>
          <w:rFonts w:ascii="Times New Roman" w:hAnsi="Times New Roman"/>
          <w:sz w:val="24"/>
          <w:szCs w:val="24"/>
        </w:rPr>
      </w:pPr>
      <w:r>
        <w:rPr>
          <w:rFonts w:ascii="Times New Roman" w:hAnsi="Times New Roman"/>
          <w:sz w:val="24"/>
          <w:szCs w:val="24"/>
        </w:rPr>
        <w:t>Atomic Absorption Spectrophotometer (AAS) Analytical weighing balance Muffle furnace Hot plate digestion system Microwave digestion vessels (where applicable) Volumetric flasks Beakers Pipettes Conical</w:t>
      </w:r>
      <w:r w:rsidR="00264791">
        <w:rPr>
          <w:rFonts w:ascii="Times New Roman" w:hAnsi="Times New Roman"/>
          <w:sz w:val="24"/>
          <w:szCs w:val="24"/>
        </w:rPr>
        <w:t xml:space="preserve"> </w:t>
      </w:r>
      <w:proofErr w:type="gramStart"/>
      <w:r>
        <w:rPr>
          <w:rFonts w:ascii="Times New Roman" w:hAnsi="Times New Roman"/>
          <w:sz w:val="24"/>
          <w:szCs w:val="24"/>
        </w:rPr>
        <w:t>flasks</w:t>
      </w:r>
      <w:proofErr w:type="gramEnd"/>
      <w:r>
        <w:rPr>
          <w:rFonts w:ascii="Times New Roman" w:hAnsi="Times New Roman"/>
          <w:sz w:val="24"/>
          <w:szCs w:val="24"/>
        </w:rPr>
        <w:t xml:space="preserve"> Polyethylene sample bottles Whatman No. 42 filter paper Laboratory blender Drying oven Desiccator Measuring board Stainless steel dissecting instruments </w:t>
      </w:r>
    </w:p>
    <w:p w14:paraId="16E7818D" w14:textId="77777777" w:rsidR="00BC0C81" w:rsidRDefault="00BC0C81" w:rsidP="00BC0C81">
      <w:pPr>
        <w:jc w:val="both"/>
        <w:rPr>
          <w:rFonts w:ascii="Times New Roman" w:hAnsi="Times New Roman"/>
          <w:sz w:val="24"/>
          <w:szCs w:val="24"/>
        </w:rPr>
      </w:pPr>
      <w:r>
        <w:rPr>
          <w:rFonts w:ascii="Times New Roman" w:hAnsi="Times New Roman"/>
          <w:b/>
          <w:bCs/>
          <w:sz w:val="24"/>
          <w:szCs w:val="24"/>
        </w:rPr>
        <w:t>2.5 Sample Collection</w:t>
      </w:r>
    </w:p>
    <w:p w14:paraId="4A61C002" w14:textId="77777777" w:rsidR="00BC0C81" w:rsidRDefault="00BC0C81" w:rsidP="00BC0C81">
      <w:pPr>
        <w:jc w:val="both"/>
        <w:rPr>
          <w:rFonts w:ascii="Times New Roman" w:hAnsi="Times New Roman"/>
          <w:sz w:val="24"/>
          <w:szCs w:val="24"/>
        </w:rPr>
      </w:pPr>
      <w:r>
        <w:rPr>
          <w:rFonts w:ascii="Times New Roman" w:hAnsi="Times New Roman"/>
          <w:sz w:val="24"/>
          <w:szCs w:val="24"/>
        </w:rPr>
        <w:t>Fish samples were collected from the selected ponds using appropriate fishing nets. Immediately after collection, each fish was placed in a clean, labelled polyethylene sample bag.</w:t>
      </w:r>
    </w:p>
    <w:p w14:paraId="230FF900" w14:textId="77777777" w:rsidR="00BC0C81" w:rsidRDefault="00BC0C81" w:rsidP="00BC0C81">
      <w:pPr>
        <w:jc w:val="both"/>
        <w:rPr>
          <w:rFonts w:ascii="Times New Roman" w:hAnsi="Times New Roman"/>
          <w:sz w:val="24"/>
          <w:szCs w:val="24"/>
        </w:rPr>
      </w:pPr>
      <w:r>
        <w:rPr>
          <w:rFonts w:ascii="Times New Roman" w:hAnsi="Times New Roman"/>
          <w:sz w:val="24"/>
          <w:szCs w:val="24"/>
        </w:rPr>
        <w:lastRenderedPageBreak/>
        <w:t>The samples were labelled according to:</w:t>
      </w:r>
    </w:p>
    <w:p w14:paraId="36D03A89" w14:textId="77777777" w:rsidR="00BC0C81" w:rsidRDefault="00BC0C81" w:rsidP="00BC0C81">
      <w:pPr>
        <w:numPr>
          <w:ilvl w:val="0"/>
          <w:numId w:val="33"/>
        </w:numPr>
        <w:spacing w:line="276" w:lineRule="auto"/>
        <w:jc w:val="both"/>
        <w:rPr>
          <w:rFonts w:ascii="Times New Roman" w:hAnsi="Times New Roman"/>
          <w:sz w:val="24"/>
          <w:szCs w:val="24"/>
        </w:rPr>
      </w:pPr>
      <w:r>
        <w:rPr>
          <w:rFonts w:ascii="Times New Roman" w:hAnsi="Times New Roman"/>
          <w:sz w:val="24"/>
          <w:szCs w:val="24"/>
        </w:rPr>
        <w:t xml:space="preserve">farm; </w:t>
      </w:r>
    </w:p>
    <w:p w14:paraId="6D6262D2" w14:textId="77777777" w:rsidR="00BC0C81" w:rsidRDefault="00BC0C81" w:rsidP="00BC0C81">
      <w:pPr>
        <w:numPr>
          <w:ilvl w:val="0"/>
          <w:numId w:val="33"/>
        </w:numPr>
        <w:spacing w:line="276" w:lineRule="auto"/>
        <w:jc w:val="both"/>
        <w:rPr>
          <w:rFonts w:ascii="Times New Roman" w:hAnsi="Times New Roman"/>
          <w:sz w:val="24"/>
          <w:szCs w:val="24"/>
        </w:rPr>
      </w:pPr>
      <w:r>
        <w:rPr>
          <w:rFonts w:ascii="Times New Roman" w:hAnsi="Times New Roman"/>
          <w:sz w:val="24"/>
          <w:szCs w:val="24"/>
        </w:rPr>
        <w:t xml:space="preserve">pond type; </w:t>
      </w:r>
    </w:p>
    <w:p w14:paraId="7276164F" w14:textId="77777777" w:rsidR="00BC0C81" w:rsidRDefault="00BC0C81" w:rsidP="00BC0C81">
      <w:pPr>
        <w:numPr>
          <w:ilvl w:val="0"/>
          <w:numId w:val="33"/>
        </w:numPr>
        <w:spacing w:line="276" w:lineRule="auto"/>
        <w:jc w:val="both"/>
        <w:rPr>
          <w:rFonts w:ascii="Times New Roman" w:hAnsi="Times New Roman"/>
          <w:sz w:val="24"/>
          <w:szCs w:val="24"/>
        </w:rPr>
      </w:pPr>
      <w:r>
        <w:rPr>
          <w:rFonts w:ascii="Times New Roman" w:hAnsi="Times New Roman"/>
          <w:sz w:val="24"/>
          <w:szCs w:val="24"/>
        </w:rPr>
        <w:t xml:space="preserve">fish identification number; </w:t>
      </w:r>
    </w:p>
    <w:p w14:paraId="3742D700" w14:textId="77777777" w:rsidR="00BC0C81" w:rsidRDefault="00BC0C81" w:rsidP="00BC0C81">
      <w:pPr>
        <w:numPr>
          <w:ilvl w:val="0"/>
          <w:numId w:val="33"/>
        </w:numPr>
        <w:spacing w:line="276" w:lineRule="auto"/>
        <w:jc w:val="both"/>
        <w:rPr>
          <w:rFonts w:ascii="Times New Roman" w:hAnsi="Times New Roman"/>
          <w:sz w:val="24"/>
          <w:szCs w:val="24"/>
        </w:rPr>
      </w:pPr>
      <w:r>
        <w:rPr>
          <w:rFonts w:ascii="Times New Roman" w:hAnsi="Times New Roman"/>
          <w:sz w:val="24"/>
          <w:szCs w:val="24"/>
        </w:rPr>
        <w:t xml:space="preserve">date of collection; and </w:t>
      </w:r>
    </w:p>
    <w:p w14:paraId="1A3EF00C" w14:textId="77777777" w:rsidR="00BC0C81" w:rsidRDefault="00BC0C81" w:rsidP="00BC0C81">
      <w:pPr>
        <w:numPr>
          <w:ilvl w:val="0"/>
          <w:numId w:val="33"/>
        </w:numPr>
        <w:spacing w:line="276" w:lineRule="auto"/>
        <w:jc w:val="both"/>
        <w:rPr>
          <w:rFonts w:ascii="Times New Roman" w:hAnsi="Times New Roman"/>
          <w:sz w:val="24"/>
          <w:szCs w:val="24"/>
        </w:rPr>
      </w:pPr>
      <w:r>
        <w:rPr>
          <w:rFonts w:ascii="Times New Roman" w:hAnsi="Times New Roman"/>
          <w:sz w:val="24"/>
          <w:szCs w:val="24"/>
        </w:rPr>
        <w:t xml:space="preserve">tissue to be analyzed. </w:t>
      </w:r>
    </w:p>
    <w:p w14:paraId="7B8BB60D" w14:textId="77777777" w:rsidR="00BC0C81" w:rsidRDefault="00BC0C81" w:rsidP="00BC0C81">
      <w:pPr>
        <w:jc w:val="both"/>
        <w:rPr>
          <w:rFonts w:ascii="Times New Roman" w:hAnsi="Times New Roman"/>
          <w:sz w:val="24"/>
          <w:szCs w:val="24"/>
        </w:rPr>
      </w:pPr>
      <w:r>
        <w:rPr>
          <w:rFonts w:ascii="Times New Roman" w:hAnsi="Times New Roman"/>
          <w:sz w:val="24"/>
          <w:szCs w:val="24"/>
        </w:rPr>
        <w:t>Samples were transported to the laboratory in insulated cooler containing ice packs to minimize biochemical degradation and changes in metal distribution. Care was taken to prevent contamination of the samples by metallic objects, dirty containers, dust or other external sources.</w:t>
      </w:r>
    </w:p>
    <w:p w14:paraId="39D40BAE" w14:textId="77777777" w:rsidR="00BC0C81" w:rsidRDefault="00BC0C81" w:rsidP="00BC0C81">
      <w:pPr>
        <w:jc w:val="both"/>
        <w:outlineLvl w:val="0"/>
        <w:rPr>
          <w:rFonts w:ascii="Times New Roman" w:hAnsi="Times New Roman"/>
          <w:b/>
          <w:bCs/>
          <w:kern w:val="36"/>
          <w:sz w:val="24"/>
          <w:szCs w:val="24"/>
        </w:rPr>
      </w:pPr>
      <w:r>
        <w:rPr>
          <w:rFonts w:ascii="Times New Roman" w:hAnsi="Times New Roman"/>
          <w:b/>
          <w:bCs/>
          <w:kern w:val="36"/>
          <w:sz w:val="24"/>
          <w:szCs w:val="24"/>
        </w:rPr>
        <w:t>2.6 Sample Preparation</w:t>
      </w:r>
    </w:p>
    <w:p w14:paraId="16D0EEE6" w14:textId="77777777" w:rsidR="00BC0C81" w:rsidRDefault="00BC0C81" w:rsidP="00BC0C81">
      <w:pPr>
        <w:jc w:val="both"/>
        <w:rPr>
          <w:rFonts w:ascii="Times New Roman" w:hAnsi="Times New Roman"/>
          <w:sz w:val="24"/>
          <w:szCs w:val="24"/>
        </w:rPr>
      </w:pPr>
      <w:r>
        <w:rPr>
          <w:rFonts w:ascii="Times New Roman" w:hAnsi="Times New Roman"/>
          <w:sz w:val="24"/>
          <w:szCs w:val="24"/>
        </w:rPr>
        <w:t>In the laboratory, the fish samples were rinsed with de-ionized water to remove adhering particles and external contaminants. Each fish was identified and dissected using acid-washed stainless-steel instruments. The muscle, gills and liver were carefully removed separately.</w:t>
      </w:r>
    </w:p>
    <w:p w14:paraId="6869BB7A"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Approximately equal portions of each tissue were collected from each fish. The tissues were placed in previously cleaned and labelled containers. The samples were oven-dried at approximately </w:t>
      </w:r>
      <w:r>
        <w:rPr>
          <w:rFonts w:ascii="Times New Roman" w:hAnsi="Times New Roman"/>
          <w:bCs/>
          <w:sz w:val="24"/>
          <w:szCs w:val="24"/>
        </w:rPr>
        <w:t>70–80°C</w:t>
      </w:r>
      <w:r>
        <w:rPr>
          <w:rFonts w:ascii="Times New Roman" w:hAnsi="Times New Roman"/>
          <w:sz w:val="24"/>
          <w:szCs w:val="24"/>
        </w:rPr>
        <w:t xml:space="preserve"> until constant weight was obtained. The dried samples were cooled in a desiccator and homogenized using a clean laboratory mortar and pestle or appropriate homogenizing equipment. The homogenized samples were stored in labelled airtight containers until digestion.</w:t>
      </w:r>
    </w:p>
    <w:p w14:paraId="3B4A33ED" w14:textId="77777777" w:rsidR="00BC0C81" w:rsidRDefault="00BC0C81" w:rsidP="00BC0C81">
      <w:pPr>
        <w:jc w:val="both"/>
        <w:outlineLvl w:val="0"/>
        <w:rPr>
          <w:rFonts w:ascii="Times New Roman" w:hAnsi="Times New Roman"/>
          <w:b/>
          <w:bCs/>
          <w:kern w:val="36"/>
          <w:sz w:val="24"/>
          <w:szCs w:val="24"/>
        </w:rPr>
      </w:pPr>
      <w:r>
        <w:rPr>
          <w:rFonts w:ascii="Times New Roman" w:hAnsi="Times New Roman"/>
          <w:b/>
          <w:bCs/>
          <w:kern w:val="36"/>
          <w:sz w:val="24"/>
          <w:szCs w:val="24"/>
        </w:rPr>
        <w:t>2.7 Acid Digestion of Fish Tissue Samples</w:t>
      </w:r>
    </w:p>
    <w:p w14:paraId="28B6E790" w14:textId="77777777" w:rsidR="00BC0C81" w:rsidRDefault="00BC0C81" w:rsidP="00BC0C81">
      <w:pPr>
        <w:jc w:val="both"/>
        <w:rPr>
          <w:rFonts w:ascii="Times New Roman" w:hAnsi="Times New Roman"/>
          <w:sz w:val="24"/>
          <w:szCs w:val="24"/>
        </w:rPr>
      </w:pPr>
      <w:r>
        <w:rPr>
          <w:rFonts w:ascii="Times New Roman" w:hAnsi="Times New Roman"/>
          <w:sz w:val="24"/>
          <w:szCs w:val="24"/>
        </w:rPr>
        <w:t>A wet-digestion procedure was used for the preparation of fish tissues for heavy-metal determination.</w:t>
      </w:r>
    </w:p>
    <w:p w14:paraId="0BDE3856"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Approximately </w:t>
      </w:r>
      <w:r>
        <w:rPr>
          <w:rFonts w:ascii="Times New Roman" w:hAnsi="Times New Roman"/>
          <w:bCs/>
          <w:sz w:val="24"/>
          <w:szCs w:val="24"/>
        </w:rPr>
        <w:t>1.0 g</w:t>
      </w:r>
      <w:r>
        <w:rPr>
          <w:rFonts w:ascii="Times New Roman" w:hAnsi="Times New Roman"/>
          <w:sz w:val="24"/>
          <w:szCs w:val="24"/>
        </w:rPr>
        <w:t xml:space="preserve"> of homogenized dried tissue was accurately weighed into a digestion flask. 10ml of Concentrated nitric acid (HNO</w:t>
      </w:r>
      <w:r>
        <w:rPr>
          <w:rFonts w:ascii="Cambria Math" w:hAnsi="Times New Roman"/>
          <w:sz w:val="24"/>
          <w:szCs w:val="24"/>
        </w:rPr>
        <w:t>₃</w:t>
      </w:r>
      <w:r>
        <w:rPr>
          <w:rFonts w:ascii="Times New Roman" w:hAnsi="Times New Roman"/>
          <w:sz w:val="24"/>
          <w:szCs w:val="24"/>
        </w:rPr>
        <w:t>) was added to the sample and allowed to stand for preliminary digestion. Where required by the analytical protocol, hydrogen peroxide (H</w:t>
      </w:r>
      <w:r>
        <w:rPr>
          <w:rFonts w:ascii="Cambria Math" w:hAnsi="Times New Roman"/>
          <w:sz w:val="24"/>
          <w:szCs w:val="24"/>
        </w:rPr>
        <w:t>₂</w:t>
      </w:r>
      <w:r>
        <w:rPr>
          <w:rFonts w:ascii="Times New Roman" w:hAnsi="Times New Roman"/>
          <w:sz w:val="24"/>
          <w:szCs w:val="24"/>
        </w:rPr>
        <w:t>O</w:t>
      </w:r>
      <w:r>
        <w:rPr>
          <w:rFonts w:ascii="Cambria Math" w:hAnsi="Times New Roman"/>
          <w:sz w:val="24"/>
          <w:szCs w:val="24"/>
        </w:rPr>
        <w:t>₂</w:t>
      </w:r>
      <w:r>
        <w:rPr>
          <w:rFonts w:ascii="Times New Roman" w:hAnsi="Times New Roman"/>
          <w:sz w:val="24"/>
          <w:szCs w:val="24"/>
        </w:rPr>
        <w:t>) was subsequently added to facilitate oxidation of organic matter. The mixture was heated gently on a hot plate until digestion was complete and a clear solution was obtained. After cooling, the digest was filtered and transferred into a volumetric flask. The volume was made up to a known volume with deionized water. A reagent blank was prepared using the same procedure but without fish tissue. The resulting solutions were used for metal determination.</w:t>
      </w:r>
    </w:p>
    <w:p w14:paraId="6723F77C" w14:textId="77777777" w:rsidR="00BC0C81" w:rsidRDefault="00BC0C81" w:rsidP="00BC0C81">
      <w:pPr>
        <w:jc w:val="both"/>
        <w:rPr>
          <w:rFonts w:ascii="Times New Roman" w:hAnsi="Times New Roman"/>
          <w:sz w:val="24"/>
          <w:szCs w:val="24"/>
        </w:rPr>
      </w:pPr>
      <w:r>
        <w:rPr>
          <w:rFonts w:ascii="Times New Roman" w:hAnsi="Times New Roman"/>
          <w:b/>
          <w:bCs/>
          <w:kern w:val="36"/>
          <w:sz w:val="24"/>
          <w:szCs w:val="24"/>
        </w:rPr>
        <w:t>2.8 Determination of Heavy Metals</w:t>
      </w:r>
    </w:p>
    <w:p w14:paraId="69DA2B62"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The concentrations of Fe, Pb, Cd, Cu and Zn were determined using </w:t>
      </w:r>
      <w:r>
        <w:rPr>
          <w:rFonts w:ascii="Times New Roman" w:hAnsi="Times New Roman"/>
          <w:bCs/>
          <w:sz w:val="24"/>
          <w:szCs w:val="24"/>
        </w:rPr>
        <w:t>Atomic Absorption</w:t>
      </w:r>
      <w:r>
        <w:rPr>
          <w:rFonts w:ascii="Times New Roman" w:hAnsi="Times New Roman"/>
          <w:b/>
          <w:bCs/>
          <w:sz w:val="24"/>
          <w:szCs w:val="24"/>
        </w:rPr>
        <w:t xml:space="preserve"> </w:t>
      </w:r>
      <w:r>
        <w:rPr>
          <w:rFonts w:ascii="Times New Roman" w:hAnsi="Times New Roman"/>
          <w:bCs/>
          <w:sz w:val="24"/>
          <w:szCs w:val="24"/>
        </w:rPr>
        <w:t>Spectrophotometry (AAS)</w:t>
      </w:r>
      <w:r>
        <w:rPr>
          <w:rFonts w:ascii="Times New Roman" w:hAnsi="Times New Roman"/>
          <w:sz w:val="24"/>
          <w:szCs w:val="24"/>
        </w:rPr>
        <w:t xml:space="preserve"> or an equivalent validated instrumental method available in the analytical laboratory.</w:t>
      </w:r>
    </w:p>
    <w:p w14:paraId="71BF388C" w14:textId="77777777" w:rsidR="00BC0C81" w:rsidRDefault="00BC0C81" w:rsidP="00BC0C81">
      <w:pPr>
        <w:jc w:val="both"/>
        <w:rPr>
          <w:rFonts w:ascii="Times New Roman" w:hAnsi="Times New Roman"/>
          <w:sz w:val="24"/>
          <w:szCs w:val="24"/>
        </w:rPr>
      </w:pPr>
      <w:r>
        <w:rPr>
          <w:rFonts w:ascii="Times New Roman" w:hAnsi="Times New Roman"/>
          <w:sz w:val="24"/>
          <w:szCs w:val="24"/>
        </w:rPr>
        <w:t>Appropriate wavelength, lamp current, slit width and calibration conditions were established for each element according to the manufacturer's operating procedure.</w:t>
      </w:r>
    </w:p>
    <w:p w14:paraId="4FE94CEB"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Calibration standards were prepared from certified stock solutions covering the expected concentration range of the samples. The concentration of each metal in the digested sample was obtained from the corresponding calibration curve. Results were expressed as </w:t>
      </w:r>
      <w:r>
        <w:rPr>
          <w:rFonts w:ascii="Times New Roman" w:hAnsi="Times New Roman"/>
          <w:bCs/>
          <w:sz w:val="24"/>
          <w:szCs w:val="24"/>
        </w:rPr>
        <w:t>mg/L of digest</w:t>
      </w:r>
      <w:r>
        <w:rPr>
          <w:rFonts w:ascii="Times New Roman" w:hAnsi="Times New Roman"/>
          <w:sz w:val="24"/>
          <w:szCs w:val="24"/>
        </w:rPr>
        <w:t xml:space="preserve"> and, where appropriate for biological interpretation, converted to </w:t>
      </w:r>
      <w:r>
        <w:rPr>
          <w:rFonts w:ascii="Times New Roman" w:hAnsi="Times New Roman"/>
          <w:bCs/>
          <w:sz w:val="24"/>
          <w:szCs w:val="24"/>
        </w:rPr>
        <w:t>mg/kg dry weight of fish tissue</w:t>
      </w:r>
      <w:r>
        <w:rPr>
          <w:rFonts w:ascii="Times New Roman" w:hAnsi="Times New Roman"/>
          <w:sz w:val="24"/>
          <w:szCs w:val="24"/>
        </w:rPr>
        <w:t xml:space="preserve"> based on the sample mass and final digest volume.</w:t>
      </w:r>
    </w:p>
    <w:p w14:paraId="4438A92A" w14:textId="77777777" w:rsidR="00BC0C81" w:rsidRDefault="00BC0C81" w:rsidP="00BC0C81">
      <w:pPr>
        <w:jc w:val="both"/>
        <w:outlineLvl w:val="1"/>
        <w:rPr>
          <w:rFonts w:ascii="Times New Roman" w:hAnsi="Times New Roman"/>
          <w:b/>
          <w:bCs/>
          <w:sz w:val="24"/>
          <w:szCs w:val="24"/>
        </w:rPr>
      </w:pPr>
      <w:r>
        <w:rPr>
          <w:rFonts w:ascii="Times New Roman" w:hAnsi="Times New Roman"/>
          <w:b/>
          <w:bCs/>
          <w:sz w:val="24"/>
          <w:szCs w:val="24"/>
        </w:rPr>
        <w:t>2.8.1 Determination of Lead (Pb)</w:t>
      </w:r>
    </w:p>
    <w:p w14:paraId="4CBE8946"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The concentration of lead (Pb) in the digested fish samples was determined using an Atomic Absorption Spectrophotometer (AAS) following the AOAC (2023) method. The instrument was calibrated with standard lead solutions prepared from a certified 1000 mg/L stock solution. Blank solutions were first aspirated to zero the instrument before the digested samples were analyzed at a wavelength of </w:t>
      </w:r>
      <w:r>
        <w:rPr>
          <w:rFonts w:ascii="Times New Roman" w:hAnsi="Times New Roman"/>
          <w:bCs/>
          <w:sz w:val="24"/>
          <w:szCs w:val="24"/>
        </w:rPr>
        <w:t>217.0 nm</w:t>
      </w:r>
      <w:r>
        <w:rPr>
          <w:rFonts w:ascii="Times New Roman" w:hAnsi="Times New Roman"/>
          <w:sz w:val="24"/>
          <w:szCs w:val="24"/>
        </w:rPr>
        <w:t>. The absorbance obtained was converted to concentration (mg/kg) using the calibration curve generated from the standard solutions.</w:t>
      </w:r>
    </w:p>
    <w:p w14:paraId="44A5142D" w14:textId="77777777" w:rsidR="00BC0C81" w:rsidRDefault="00BC0C81" w:rsidP="00BC0C81">
      <w:pPr>
        <w:jc w:val="both"/>
        <w:outlineLvl w:val="1"/>
        <w:rPr>
          <w:rFonts w:ascii="Times New Roman" w:hAnsi="Times New Roman"/>
          <w:b/>
          <w:bCs/>
          <w:sz w:val="24"/>
          <w:szCs w:val="24"/>
        </w:rPr>
      </w:pPr>
      <w:r>
        <w:rPr>
          <w:rFonts w:ascii="Times New Roman" w:hAnsi="Times New Roman"/>
          <w:b/>
          <w:bCs/>
          <w:sz w:val="24"/>
          <w:szCs w:val="24"/>
        </w:rPr>
        <w:t>2.8.2 Determination of Cadmium (Cd)</w:t>
      </w:r>
    </w:p>
    <w:p w14:paraId="0C03E2B5"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Cadmium concentration was determined using Atomic Absorption Spectrophotometry according to AOAC (2023). Standard cadmium solutions were prepared for calibration, after which the digested samples were aspirated into the flame. Absorbance was measured at </w:t>
      </w:r>
      <w:r>
        <w:rPr>
          <w:rFonts w:ascii="Times New Roman" w:hAnsi="Times New Roman"/>
          <w:bCs/>
          <w:sz w:val="24"/>
          <w:szCs w:val="24"/>
        </w:rPr>
        <w:t>228.8 nm</w:t>
      </w:r>
      <w:r>
        <w:rPr>
          <w:rFonts w:ascii="Times New Roman" w:hAnsi="Times New Roman"/>
          <w:sz w:val="24"/>
          <w:szCs w:val="24"/>
        </w:rPr>
        <w:t xml:space="preserve">, and cadmium concentrations were calculated from the calibration curve and expressed as </w:t>
      </w:r>
      <w:r>
        <w:rPr>
          <w:rFonts w:ascii="Times New Roman" w:hAnsi="Times New Roman"/>
          <w:bCs/>
          <w:sz w:val="24"/>
          <w:szCs w:val="24"/>
        </w:rPr>
        <w:t>mg/kg dry weight</w:t>
      </w:r>
      <w:r>
        <w:rPr>
          <w:rFonts w:ascii="Times New Roman" w:hAnsi="Times New Roman"/>
          <w:sz w:val="24"/>
          <w:szCs w:val="24"/>
        </w:rPr>
        <w:t>.</w:t>
      </w:r>
    </w:p>
    <w:p w14:paraId="0C1D03DD" w14:textId="77777777" w:rsidR="00BC0C81" w:rsidRDefault="00BC0C81" w:rsidP="00BC0C81">
      <w:pPr>
        <w:jc w:val="both"/>
        <w:outlineLvl w:val="1"/>
        <w:rPr>
          <w:rFonts w:ascii="Times New Roman" w:hAnsi="Times New Roman"/>
          <w:b/>
          <w:bCs/>
          <w:sz w:val="24"/>
          <w:szCs w:val="24"/>
        </w:rPr>
      </w:pPr>
      <w:r>
        <w:rPr>
          <w:rFonts w:ascii="Times New Roman" w:hAnsi="Times New Roman"/>
          <w:b/>
          <w:bCs/>
          <w:sz w:val="24"/>
          <w:szCs w:val="24"/>
        </w:rPr>
        <w:t>2.8.3 Determination of Iron (Fe)</w:t>
      </w:r>
    </w:p>
    <w:p w14:paraId="5029DB0C" w14:textId="77777777" w:rsidR="00BC0C81" w:rsidRDefault="00BC0C81" w:rsidP="00BC0C81">
      <w:pPr>
        <w:jc w:val="both"/>
        <w:rPr>
          <w:rFonts w:ascii="Times New Roman" w:hAnsi="Times New Roman"/>
          <w:sz w:val="24"/>
          <w:szCs w:val="24"/>
        </w:rPr>
      </w:pPr>
      <w:r>
        <w:rPr>
          <w:rFonts w:ascii="Times New Roman" w:hAnsi="Times New Roman"/>
          <w:sz w:val="24"/>
          <w:szCs w:val="24"/>
        </w:rPr>
        <w:lastRenderedPageBreak/>
        <w:t xml:space="preserve">Iron concentration was determined using Atomic Absorption Spectrophotometry after calibration with standard iron solutions. The digested samples were aspirated into the instrument, and absorbance was measured at </w:t>
      </w:r>
      <w:r>
        <w:rPr>
          <w:rFonts w:ascii="Times New Roman" w:hAnsi="Times New Roman"/>
          <w:bCs/>
          <w:sz w:val="24"/>
          <w:szCs w:val="24"/>
        </w:rPr>
        <w:t>248.3 nm</w:t>
      </w:r>
      <w:r>
        <w:rPr>
          <w:rFonts w:ascii="Times New Roman" w:hAnsi="Times New Roman"/>
          <w:sz w:val="24"/>
          <w:szCs w:val="24"/>
        </w:rPr>
        <w:t xml:space="preserve">. The concentration of iron was calculated from the calibration curve and expressed as </w:t>
      </w:r>
      <w:r>
        <w:rPr>
          <w:rFonts w:ascii="Times New Roman" w:hAnsi="Times New Roman"/>
          <w:bCs/>
          <w:sz w:val="24"/>
          <w:szCs w:val="24"/>
        </w:rPr>
        <w:t>mg/kg</w:t>
      </w:r>
      <w:r>
        <w:rPr>
          <w:rFonts w:ascii="Times New Roman" w:hAnsi="Times New Roman"/>
          <w:sz w:val="24"/>
          <w:szCs w:val="24"/>
        </w:rPr>
        <w:t>.</w:t>
      </w:r>
    </w:p>
    <w:p w14:paraId="70C54A2D" w14:textId="77777777" w:rsidR="00BC0C81" w:rsidRDefault="00BC0C81" w:rsidP="00BC0C81">
      <w:pPr>
        <w:jc w:val="both"/>
        <w:outlineLvl w:val="1"/>
        <w:rPr>
          <w:rFonts w:ascii="Times New Roman" w:hAnsi="Times New Roman"/>
          <w:b/>
          <w:bCs/>
          <w:sz w:val="24"/>
          <w:szCs w:val="24"/>
        </w:rPr>
      </w:pPr>
      <w:r>
        <w:rPr>
          <w:rFonts w:ascii="Times New Roman" w:hAnsi="Times New Roman"/>
          <w:b/>
          <w:bCs/>
          <w:sz w:val="24"/>
          <w:szCs w:val="24"/>
        </w:rPr>
        <w:t>2.8.4 Determination of Zinc (Zn)</w:t>
      </w:r>
    </w:p>
    <w:p w14:paraId="5BBB92FD"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Zinc concentration was determined using Atomic Absorption Spectrophotometry according to AOAC (2023). Standard zinc solutions were prepared for calibration before sample analysis. The digested samples were analyzed at </w:t>
      </w:r>
      <w:r>
        <w:rPr>
          <w:rFonts w:ascii="Times New Roman" w:hAnsi="Times New Roman"/>
          <w:bCs/>
          <w:sz w:val="24"/>
          <w:szCs w:val="24"/>
        </w:rPr>
        <w:t>213.9 nm</w:t>
      </w:r>
      <w:r>
        <w:rPr>
          <w:rFonts w:ascii="Times New Roman" w:hAnsi="Times New Roman"/>
          <w:sz w:val="24"/>
          <w:szCs w:val="24"/>
        </w:rPr>
        <w:t>, and zinc concentrations were obtained from the standard calibration curve.</w:t>
      </w:r>
    </w:p>
    <w:p w14:paraId="4602CA74" w14:textId="77777777" w:rsidR="00BC0C81" w:rsidRDefault="00BC0C81" w:rsidP="00BC0C81">
      <w:pPr>
        <w:jc w:val="both"/>
        <w:outlineLvl w:val="1"/>
        <w:rPr>
          <w:rFonts w:ascii="Times New Roman" w:hAnsi="Times New Roman"/>
          <w:b/>
          <w:bCs/>
          <w:sz w:val="24"/>
          <w:szCs w:val="24"/>
        </w:rPr>
      </w:pPr>
      <w:r>
        <w:rPr>
          <w:rFonts w:ascii="Times New Roman" w:hAnsi="Times New Roman"/>
          <w:b/>
          <w:bCs/>
          <w:sz w:val="24"/>
          <w:szCs w:val="24"/>
        </w:rPr>
        <w:t>2.8.5 Determination of Copper (Cu)</w:t>
      </w:r>
    </w:p>
    <w:p w14:paraId="741D961C"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Copper concentration was determined using an Atomic Absorption Spectrophotometer calibrated with certified copper standards. The digested samples were aspirated into the flame, and absorbance was measured at </w:t>
      </w:r>
      <w:r>
        <w:rPr>
          <w:rFonts w:ascii="Times New Roman" w:hAnsi="Times New Roman"/>
          <w:bCs/>
          <w:sz w:val="24"/>
          <w:szCs w:val="24"/>
        </w:rPr>
        <w:t>324.8 nm</w:t>
      </w:r>
      <w:r>
        <w:rPr>
          <w:rFonts w:ascii="Times New Roman" w:hAnsi="Times New Roman"/>
          <w:sz w:val="24"/>
          <w:szCs w:val="24"/>
        </w:rPr>
        <w:t xml:space="preserve">. Copper concentration was subsequently calculated and expressed in </w:t>
      </w:r>
      <w:r>
        <w:rPr>
          <w:rFonts w:ascii="Times New Roman" w:hAnsi="Times New Roman"/>
          <w:bCs/>
          <w:sz w:val="24"/>
          <w:szCs w:val="24"/>
        </w:rPr>
        <w:t>mg/kg</w:t>
      </w:r>
      <w:r>
        <w:rPr>
          <w:rFonts w:ascii="Times New Roman" w:hAnsi="Times New Roman"/>
          <w:sz w:val="24"/>
          <w:szCs w:val="24"/>
        </w:rPr>
        <w:t>.</w:t>
      </w:r>
    </w:p>
    <w:p w14:paraId="2E14A570" w14:textId="77777777" w:rsidR="00BC0C81" w:rsidRDefault="00BC0C81" w:rsidP="00BC0C81">
      <w:pPr>
        <w:jc w:val="both"/>
        <w:outlineLvl w:val="2"/>
        <w:rPr>
          <w:rFonts w:ascii="Times New Roman" w:hAnsi="Times New Roman"/>
          <w:b/>
          <w:bCs/>
          <w:sz w:val="24"/>
          <w:szCs w:val="24"/>
        </w:rPr>
      </w:pPr>
      <w:r>
        <w:rPr>
          <w:rFonts w:ascii="Times New Roman" w:hAnsi="Times New Roman"/>
          <w:b/>
          <w:bCs/>
          <w:sz w:val="24"/>
          <w:szCs w:val="24"/>
        </w:rPr>
        <w:t>General Calculation for All Metals and Trace Elements</w:t>
      </w:r>
    </w:p>
    <w:p w14:paraId="691B7780" w14:textId="77777777" w:rsidR="00BC0C81" w:rsidRDefault="00BC0C81" w:rsidP="00BC0C81">
      <w:pPr>
        <w:jc w:val="both"/>
        <w:rPr>
          <w:rFonts w:ascii="Times New Roman" w:hAnsi="Times New Roman"/>
          <w:sz w:val="24"/>
          <w:szCs w:val="24"/>
        </w:rPr>
      </w:pPr>
      <w:r>
        <w:rPr>
          <w:rFonts w:ascii="Times New Roman" w:hAnsi="Times New Roman"/>
          <w:sz w:val="24"/>
          <w:szCs w:val="24"/>
        </w:rPr>
        <w:t>The concentration of each metal or trace element was calculated using:</w:t>
      </w:r>
    </w:p>
    <w:p w14:paraId="5DC46415" w14:textId="77777777" w:rsidR="00BC0C81" w:rsidRDefault="00BC0C81" w:rsidP="00BC0C81">
      <w:pPr>
        <w:jc w:val="both"/>
        <w:rPr>
          <w:rFonts w:ascii="Times New Roman" w:hAnsi="Times New Roman"/>
          <w:sz w:val="24"/>
          <w:szCs w:val="24"/>
        </w:rPr>
      </w:pPr>
      <w:r>
        <w:rPr>
          <w:rFonts w:ascii="Times New Roman" w:hAnsi="Times New Roman"/>
          <w:sz w:val="24"/>
          <w:szCs w:val="24"/>
        </w:rPr>
        <w:t xml:space="preserve">Concentration (mg/kg) = WC×V​ </w:t>
      </w:r>
    </w:p>
    <w:p w14:paraId="524059C3" w14:textId="77777777" w:rsidR="00BC0C81" w:rsidRDefault="00BC0C81" w:rsidP="00BC0C81">
      <w:pPr>
        <w:jc w:val="both"/>
        <w:rPr>
          <w:rFonts w:ascii="Times New Roman" w:hAnsi="Times New Roman"/>
          <w:sz w:val="24"/>
          <w:szCs w:val="24"/>
        </w:rPr>
      </w:pPr>
      <w:r>
        <w:rPr>
          <w:rFonts w:ascii="Times New Roman" w:hAnsi="Times New Roman"/>
          <w:sz w:val="24"/>
          <w:szCs w:val="24"/>
        </w:rPr>
        <w:t>Where:</w:t>
      </w:r>
    </w:p>
    <w:p w14:paraId="09C06968" w14:textId="77777777" w:rsidR="00BC0C81" w:rsidRDefault="00BC0C81" w:rsidP="00BC0C81">
      <w:pPr>
        <w:spacing w:line="276" w:lineRule="auto"/>
        <w:ind w:left="360"/>
        <w:jc w:val="both"/>
        <w:rPr>
          <w:rFonts w:ascii="Times New Roman" w:hAnsi="Times New Roman"/>
          <w:sz w:val="24"/>
          <w:szCs w:val="24"/>
        </w:rPr>
      </w:pPr>
      <w:r>
        <w:rPr>
          <w:rFonts w:ascii="Times New Roman" w:hAnsi="Times New Roman"/>
          <w:b/>
          <w:bCs/>
          <w:sz w:val="24"/>
          <w:szCs w:val="24"/>
        </w:rPr>
        <w:t>C</w:t>
      </w:r>
      <w:r>
        <w:rPr>
          <w:rFonts w:ascii="Times New Roman" w:hAnsi="Times New Roman"/>
          <w:sz w:val="24"/>
          <w:szCs w:val="24"/>
        </w:rPr>
        <w:t xml:space="preserve"> = Concentration obtained from the instrument (mg/L) </w:t>
      </w:r>
    </w:p>
    <w:p w14:paraId="35986CE9" w14:textId="77777777" w:rsidR="00BC0C81" w:rsidRDefault="00BC0C81" w:rsidP="00BC0C81">
      <w:pPr>
        <w:spacing w:line="276" w:lineRule="auto"/>
        <w:ind w:left="360"/>
        <w:jc w:val="both"/>
        <w:rPr>
          <w:rFonts w:ascii="Times New Roman" w:hAnsi="Times New Roman"/>
          <w:sz w:val="24"/>
          <w:szCs w:val="24"/>
        </w:rPr>
      </w:pPr>
      <w:r>
        <w:rPr>
          <w:rFonts w:ascii="Times New Roman" w:hAnsi="Times New Roman"/>
          <w:b/>
          <w:bCs/>
          <w:sz w:val="24"/>
          <w:szCs w:val="24"/>
        </w:rPr>
        <w:t>V</w:t>
      </w:r>
      <w:r>
        <w:rPr>
          <w:rFonts w:ascii="Times New Roman" w:hAnsi="Times New Roman"/>
          <w:sz w:val="24"/>
          <w:szCs w:val="24"/>
        </w:rPr>
        <w:t xml:space="preserve"> = Final volume of the digested sample (L) </w:t>
      </w:r>
    </w:p>
    <w:p w14:paraId="3396EDFA" w14:textId="77777777" w:rsidR="00BC0C81" w:rsidRDefault="00BC0C81" w:rsidP="00BC0C81">
      <w:pPr>
        <w:spacing w:line="276" w:lineRule="auto"/>
        <w:ind w:left="360"/>
        <w:jc w:val="both"/>
        <w:rPr>
          <w:rFonts w:ascii="Times New Roman" w:hAnsi="Times New Roman"/>
          <w:sz w:val="24"/>
          <w:szCs w:val="24"/>
        </w:rPr>
      </w:pPr>
      <w:r>
        <w:rPr>
          <w:rFonts w:ascii="Times New Roman" w:hAnsi="Times New Roman"/>
          <w:b/>
          <w:bCs/>
          <w:sz w:val="24"/>
          <w:szCs w:val="24"/>
        </w:rPr>
        <w:t>W</w:t>
      </w:r>
      <w:r>
        <w:rPr>
          <w:rFonts w:ascii="Times New Roman" w:hAnsi="Times New Roman"/>
          <w:sz w:val="24"/>
          <w:szCs w:val="24"/>
        </w:rPr>
        <w:t xml:space="preserve"> = Weight of the dry sample digested (kg) </w:t>
      </w:r>
    </w:p>
    <w:p w14:paraId="403466AA" w14:textId="77777777" w:rsidR="00AA74E0" w:rsidRDefault="00AA74E0" w:rsidP="00BC0C81">
      <w:pPr>
        <w:pStyle w:val="AbstHead"/>
        <w:spacing w:after="0"/>
        <w:jc w:val="both"/>
        <w:rPr>
          <w:rFonts w:ascii="Arial" w:hAnsi="Arial" w:cs="Arial"/>
        </w:rPr>
      </w:pPr>
    </w:p>
    <w:p w14:paraId="35534F3E" w14:textId="77777777" w:rsidR="00790ADA" w:rsidRPr="00FB3A86" w:rsidRDefault="00790ADA" w:rsidP="00441B6F">
      <w:pPr>
        <w:pStyle w:val="Body"/>
        <w:spacing w:after="0"/>
        <w:rPr>
          <w:rFonts w:ascii="Arial" w:hAnsi="Arial" w:cs="Arial"/>
        </w:rPr>
      </w:pPr>
    </w:p>
    <w:p w14:paraId="5813BBF0"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081DCBCB" w14:textId="77777777" w:rsidR="00790ADA" w:rsidRPr="00FB3A86" w:rsidRDefault="00790ADA" w:rsidP="00441B6F">
      <w:pPr>
        <w:pStyle w:val="Head1"/>
        <w:spacing w:after="0"/>
        <w:jc w:val="both"/>
        <w:rPr>
          <w:rFonts w:ascii="Arial" w:hAnsi="Arial" w:cs="Arial"/>
        </w:rPr>
      </w:pPr>
    </w:p>
    <w:p w14:paraId="7A1FE9E8" w14:textId="77777777" w:rsidR="00CB397B" w:rsidRDefault="00CB397B" w:rsidP="00CB397B">
      <w:pPr>
        <w:pStyle w:val="Heading2"/>
        <w:spacing w:before="0" w:line="276" w:lineRule="auto"/>
        <w:jc w:val="both"/>
        <w:rPr>
          <w:rFonts w:ascii="Times New Roman" w:hAnsi="Times New Roman"/>
          <w:sz w:val="24"/>
          <w:szCs w:val="24"/>
        </w:rPr>
      </w:pPr>
      <w:r>
        <w:rPr>
          <w:sz w:val="24"/>
          <w:szCs w:val="24"/>
        </w:rPr>
        <w:t xml:space="preserve">3.1 Concentration of Heavy Metals in </w:t>
      </w:r>
      <w:r>
        <w:rPr>
          <w:rStyle w:val="Emphasis"/>
          <w:rFonts w:eastAsia="SimSun"/>
        </w:rPr>
        <w:t xml:space="preserve">Clarias </w:t>
      </w:r>
      <w:proofErr w:type="spellStart"/>
      <w:r>
        <w:rPr>
          <w:rStyle w:val="Emphasis"/>
          <w:rFonts w:eastAsia="SimSun"/>
        </w:rPr>
        <w:t>gariepinus</w:t>
      </w:r>
      <w:proofErr w:type="spellEnd"/>
      <w:r>
        <w:rPr>
          <w:sz w:val="24"/>
          <w:szCs w:val="24"/>
        </w:rPr>
        <w:t xml:space="preserve"> from Different Farms and Pond Types</w:t>
      </w:r>
    </w:p>
    <w:p w14:paraId="355D6E34" w14:textId="77777777" w:rsidR="00CB397B" w:rsidRDefault="00CB397B" w:rsidP="00CB397B">
      <w:pPr>
        <w:pStyle w:val="NormalWeb"/>
        <w:spacing w:before="0" w:beforeAutospacing="0" w:after="0" w:afterAutospacing="0" w:line="276" w:lineRule="auto"/>
        <w:jc w:val="both"/>
      </w:pPr>
      <w:r>
        <w:t xml:space="preserve">The concentrations of iron (Fe), lead (Pb), cadmium (Cd), copper (Cu), and zinc (Zn) in the muscle, gills, and liver of </w:t>
      </w:r>
      <w:r>
        <w:rPr>
          <w:rStyle w:val="Emphasis"/>
          <w:rFonts w:eastAsia="SimSun"/>
        </w:rPr>
        <w:t>C. gariepinus</w:t>
      </w:r>
      <w:r>
        <w:t xml:space="preserve"> obtained from New Airport, IYONDE, and MAGNUS farms and reared in concrete, tarpaulin, and earthen ponds are presented in Tables. Results are expressed as mean ± standard deviation (SD), based on three replicate determinations (n = 3).</w:t>
      </w:r>
    </w:p>
    <w:p w14:paraId="5C59A3B8" w14:textId="77777777" w:rsidR="00CB397B" w:rsidRDefault="00CB397B" w:rsidP="00CB397B">
      <w:pPr>
        <w:pStyle w:val="NormalWeb"/>
        <w:spacing w:before="0" w:beforeAutospacing="0" w:after="0" w:afterAutospacing="0" w:line="276" w:lineRule="auto"/>
        <w:jc w:val="both"/>
        <w:rPr>
          <w:b/>
        </w:rPr>
      </w:pPr>
      <w:r>
        <w:rPr>
          <w:b/>
        </w:rPr>
        <w:t>3.1.1 Iron (Fe)</w:t>
      </w:r>
    </w:p>
    <w:p w14:paraId="75EABA15" w14:textId="77777777" w:rsidR="00CB397B" w:rsidRDefault="00CB397B" w:rsidP="00CB397B">
      <w:pPr>
        <w:pStyle w:val="NormalWeb"/>
        <w:spacing w:before="0" w:beforeAutospacing="0" w:after="0" w:afterAutospacing="0" w:line="276" w:lineRule="auto"/>
        <w:jc w:val="both"/>
      </w:pPr>
      <w:r>
        <w:t>The results showed substantial differences in Fe concentrations among the farm–pond combinations across the three tissues. In the muscle, New Airport–Concrete recorded a relatively high concentration (0.0955 mg/L), while MAGNUS–Earthen recorded the lowest concentration (0.0680 mg/L). The different homogeneous groups indicate that most of the farm–pond combinations differed significantly from one another.</w:t>
      </w:r>
    </w:p>
    <w:p w14:paraId="48F1BB94" w14:textId="77777777" w:rsidR="00CB397B" w:rsidRDefault="00CB397B" w:rsidP="00CB397B">
      <w:pPr>
        <w:pStyle w:val="NormalWeb"/>
        <w:spacing w:before="0" w:beforeAutospacing="0" w:after="0" w:afterAutospacing="0" w:line="276" w:lineRule="auto"/>
        <w:jc w:val="both"/>
      </w:pPr>
      <w:r>
        <w:t>In the gills, New Airport–Concrete had the highest Fe concentration (0.1340 mg/L), whereas MAGNUS–Earthen had the lowest (0.0711 mg/L). The clear separation between these groups indicates significant differences in Fe accumulation. The liver also showed considerable variation, with New Airport–Concrete having a high concentration of 0.1190 mg/L and MAGNUS–Concrete recording 0.0792 mg/L.</w:t>
      </w:r>
    </w:p>
    <w:p w14:paraId="7CB5F1A8" w14:textId="77777777" w:rsidR="00CB397B" w:rsidRDefault="00CB397B" w:rsidP="00CB397B">
      <w:pPr>
        <w:pStyle w:val="Heading3"/>
        <w:spacing w:before="0" w:line="276" w:lineRule="auto"/>
        <w:jc w:val="both"/>
      </w:pPr>
      <w:r>
        <w:t xml:space="preserve">Table 1: Mean Concentration of Iron (Fe) [mg/L] in Tissues of </w:t>
      </w:r>
      <w:r>
        <w:rPr>
          <w:rStyle w:val="Emphasis"/>
          <w:rFonts w:eastAsia="SimSun"/>
        </w:rPr>
        <w:t xml:space="preserve">Clarias </w:t>
      </w:r>
      <w:proofErr w:type="spellStart"/>
      <w:r>
        <w:rPr>
          <w:rStyle w:val="Emphasis"/>
          <w:rFonts w:eastAsia="SimSun"/>
        </w:rPr>
        <w:t>gariepinus</w:t>
      </w:r>
      <w:proofErr w:type="spellEnd"/>
    </w:p>
    <w:tbl>
      <w:tblPr>
        <w:tblW w:w="5000" w:type="pct"/>
        <w:tblCellSpacing w:w="15" w:type="dxa"/>
        <w:tblLook w:val="04A0" w:firstRow="1" w:lastRow="0" w:firstColumn="1" w:lastColumn="0" w:noHBand="0" w:noVBand="1"/>
      </w:tblPr>
      <w:tblGrid>
        <w:gridCol w:w="754"/>
        <w:gridCol w:w="1630"/>
        <w:gridCol w:w="1394"/>
        <w:gridCol w:w="2328"/>
        <w:gridCol w:w="2186"/>
        <w:gridCol w:w="2186"/>
        <w:gridCol w:w="322"/>
      </w:tblGrid>
      <w:tr w:rsidR="00CB397B" w14:paraId="1C6FD365" w14:textId="77777777" w:rsidTr="007E4E4A">
        <w:trPr>
          <w:gridBefore w:val="1"/>
          <w:gridAfter w:val="1"/>
          <w:wBefore w:w="334" w:type="pct"/>
          <w:wAfter w:w="45" w:type="pct"/>
          <w:trHeight w:val="309"/>
          <w:tblHeader/>
          <w:tblCellSpacing w:w="15" w:type="dxa"/>
        </w:trPr>
        <w:tc>
          <w:tcPr>
            <w:tcW w:w="754"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6B04B283"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642"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2E414ECA"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1082"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1A787753" w14:textId="77777777" w:rsidR="00CB397B" w:rsidRDefault="00CB397B">
            <w:pPr>
              <w:jc w:val="both"/>
              <w:rPr>
                <w:rFonts w:ascii="Times New Roman" w:hAnsi="Times New Roman"/>
                <w:b/>
                <w:bCs/>
                <w:sz w:val="24"/>
                <w:szCs w:val="24"/>
              </w:rPr>
            </w:pPr>
            <w:r>
              <w:rPr>
                <w:rFonts w:ascii="Times New Roman" w:hAnsi="Times New Roman"/>
                <w:b/>
                <w:bCs/>
                <w:sz w:val="24"/>
                <w:szCs w:val="24"/>
              </w:rPr>
              <w:t>Muscle</w:t>
            </w:r>
          </w:p>
        </w:tc>
        <w:tc>
          <w:tcPr>
            <w:tcW w:w="1015"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1A8659C3" w14:textId="77777777" w:rsidR="00CB397B" w:rsidRDefault="00CB397B">
            <w:pPr>
              <w:jc w:val="both"/>
              <w:rPr>
                <w:rFonts w:ascii="Times New Roman" w:hAnsi="Times New Roman"/>
                <w:b/>
                <w:bCs/>
                <w:sz w:val="24"/>
                <w:szCs w:val="24"/>
              </w:rPr>
            </w:pPr>
            <w:r>
              <w:rPr>
                <w:rFonts w:ascii="Times New Roman" w:hAnsi="Times New Roman"/>
                <w:b/>
                <w:bCs/>
                <w:sz w:val="24"/>
                <w:szCs w:val="24"/>
              </w:rPr>
              <w:t>Gills</w:t>
            </w:r>
          </w:p>
        </w:tc>
        <w:tc>
          <w:tcPr>
            <w:tcW w:w="1015"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2F2E4091" w14:textId="77777777" w:rsidR="00CB397B" w:rsidRDefault="00CB397B">
            <w:pPr>
              <w:jc w:val="both"/>
              <w:rPr>
                <w:rFonts w:ascii="Times New Roman" w:hAnsi="Times New Roman"/>
                <w:b/>
                <w:bCs/>
                <w:sz w:val="24"/>
                <w:szCs w:val="24"/>
              </w:rPr>
            </w:pPr>
            <w:r>
              <w:rPr>
                <w:rFonts w:ascii="Times New Roman" w:hAnsi="Times New Roman"/>
                <w:b/>
                <w:bCs/>
                <w:sz w:val="24"/>
                <w:szCs w:val="24"/>
              </w:rPr>
              <w:t>Liver</w:t>
            </w:r>
          </w:p>
        </w:tc>
      </w:tr>
      <w:tr w:rsidR="00CB397B" w14:paraId="31C6C6D2" w14:textId="77777777" w:rsidTr="007E4E4A">
        <w:trPr>
          <w:gridBefore w:val="1"/>
          <w:gridAfter w:val="1"/>
          <w:wBefore w:w="334" w:type="pct"/>
          <w:wAfter w:w="45" w:type="pct"/>
          <w:trHeight w:val="386"/>
          <w:tblCellSpacing w:w="15" w:type="dxa"/>
        </w:trPr>
        <w:tc>
          <w:tcPr>
            <w:tcW w:w="754" w:type="pct"/>
            <w:tcMar>
              <w:top w:w="15" w:type="dxa"/>
              <w:left w:w="15" w:type="dxa"/>
              <w:bottom w:w="15" w:type="dxa"/>
              <w:right w:w="15" w:type="dxa"/>
            </w:tcMar>
            <w:vAlign w:val="center"/>
            <w:hideMark/>
          </w:tcPr>
          <w:p w14:paraId="090D7F92"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642" w:type="pct"/>
            <w:tcMar>
              <w:top w:w="15" w:type="dxa"/>
              <w:left w:w="15" w:type="dxa"/>
              <w:bottom w:w="15" w:type="dxa"/>
              <w:right w:w="15" w:type="dxa"/>
            </w:tcMar>
            <w:vAlign w:val="center"/>
            <w:hideMark/>
          </w:tcPr>
          <w:p w14:paraId="65E3A827"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082" w:type="pct"/>
            <w:tcMar>
              <w:top w:w="15" w:type="dxa"/>
              <w:left w:w="15" w:type="dxa"/>
              <w:bottom w:w="15" w:type="dxa"/>
              <w:right w:w="15" w:type="dxa"/>
            </w:tcMar>
            <w:vAlign w:val="center"/>
            <w:hideMark/>
          </w:tcPr>
          <w:p w14:paraId="69B6CF22" w14:textId="77777777" w:rsidR="00CB397B" w:rsidRDefault="00CB397B">
            <w:pPr>
              <w:jc w:val="both"/>
              <w:rPr>
                <w:rFonts w:ascii="Times New Roman" w:hAnsi="Times New Roman"/>
                <w:sz w:val="24"/>
                <w:szCs w:val="24"/>
              </w:rPr>
            </w:pPr>
            <w:r>
              <w:rPr>
                <w:rFonts w:ascii="Times New Roman" w:hAnsi="Times New Roman"/>
                <w:sz w:val="24"/>
                <w:szCs w:val="24"/>
              </w:rPr>
              <w:t>0. ± 0. 0955 0002</w:t>
            </w:r>
            <w:r>
              <w:rPr>
                <w:rFonts w:ascii="Times New Roman" w:hAnsi="Times New Roman"/>
                <w:sz w:val="24"/>
                <w:szCs w:val="24"/>
                <w:vertAlign w:val="superscript"/>
              </w:rPr>
              <w:t>a</w:t>
            </w:r>
          </w:p>
        </w:tc>
        <w:tc>
          <w:tcPr>
            <w:tcW w:w="1015" w:type="pct"/>
            <w:tcMar>
              <w:top w:w="15" w:type="dxa"/>
              <w:left w:w="15" w:type="dxa"/>
              <w:bottom w:w="15" w:type="dxa"/>
              <w:right w:w="15" w:type="dxa"/>
            </w:tcMar>
            <w:vAlign w:val="center"/>
            <w:hideMark/>
          </w:tcPr>
          <w:p w14:paraId="25354BEE" w14:textId="77777777" w:rsidR="00CB397B" w:rsidRDefault="00CB397B">
            <w:pPr>
              <w:jc w:val="both"/>
              <w:rPr>
                <w:rFonts w:ascii="Times New Roman" w:hAnsi="Times New Roman"/>
                <w:sz w:val="24"/>
                <w:szCs w:val="24"/>
              </w:rPr>
            </w:pPr>
            <w:r>
              <w:rPr>
                <w:rFonts w:ascii="Times New Roman" w:hAnsi="Times New Roman"/>
                <w:sz w:val="24"/>
                <w:szCs w:val="24"/>
              </w:rPr>
              <w:t>0.1340 ± 0.0001</w:t>
            </w:r>
            <w:r>
              <w:rPr>
                <w:rFonts w:ascii="Times New Roman" w:hAnsi="Times New Roman"/>
                <w:sz w:val="24"/>
                <w:szCs w:val="24"/>
                <w:vertAlign w:val="superscript"/>
              </w:rPr>
              <w:t>a</w:t>
            </w:r>
          </w:p>
        </w:tc>
        <w:tc>
          <w:tcPr>
            <w:tcW w:w="1015" w:type="pct"/>
            <w:tcMar>
              <w:top w:w="15" w:type="dxa"/>
              <w:left w:w="15" w:type="dxa"/>
              <w:bottom w:w="15" w:type="dxa"/>
              <w:right w:w="15" w:type="dxa"/>
            </w:tcMar>
            <w:vAlign w:val="center"/>
            <w:hideMark/>
          </w:tcPr>
          <w:p w14:paraId="08AEB79D" w14:textId="77777777" w:rsidR="00CB397B" w:rsidRDefault="00CB397B">
            <w:pPr>
              <w:jc w:val="both"/>
              <w:rPr>
                <w:rFonts w:ascii="Times New Roman" w:hAnsi="Times New Roman"/>
                <w:sz w:val="24"/>
                <w:szCs w:val="24"/>
              </w:rPr>
            </w:pPr>
            <w:r>
              <w:rPr>
                <w:rFonts w:ascii="Times New Roman" w:hAnsi="Times New Roman"/>
                <w:sz w:val="24"/>
                <w:szCs w:val="24"/>
              </w:rPr>
              <w:t>0.1190 ± 0.0001</w:t>
            </w:r>
            <w:r>
              <w:rPr>
                <w:rFonts w:ascii="Times New Roman" w:hAnsi="Times New Roman"/>
                <w:sz w:val="24"/>
                <w:szCs w:val="24"/>
                <w:vertAlign w:val="superscript"/>
              </w:rPr>
              <w:t>b</w:t>
            </w:r>
          </w:p>
        </w:tc>
      </w:tr>
      <w:tr w:rsidR="00CB397B" w14:paraId="3C7D95CB" w14:textId="77777777" w:rsidTr="007E4E4A">
        <w:trPr>
          <w:gridBefore w:val="1"/>
          <w:gridAfter w:val="1"/>
          <w:wBefore w:w="334" w:type="pct"/>
          <w:wAfter w:w="45" w:type="pct"/>
          <w:trHeight w:val="300"/>
          <w:tblCellSpacing w:w="15" w:type="dxa"/>
        </w:trPr>
        <w:tc>
          <w:tcPr>
            <w:tcW w:w="754" w:type="pct"/>
            <w:tcMar>
              <w:top w:w="15" w:type="dxa"/>
              <w:left w:w="15" w:type="dxa"/>
              <w:bottom w:w="15" w:type="dxa"/>
              <w:right w:w="15" w:type="dxa"/>
            </w:tcMar>
            <w:vAlign w:val="center"/>
            <w:hideMark/>
          </w:tcPr>
          <w:p w14:paraId="31C63663" w14:textId="77777777" w:rsidR="00CB397B" w:rsidRDefault="00CB397B"/>
        </w:tc>
        <w:tc>
          <w:tcPr>
            <w:tcW w:w="642" w:type="pct"/>
            <w:tcMar>
              <w:top w:w="15" w:type="dxa"/>
              <w:left w:w="15" w:type="dxa"/>
              <w:bottom w:w="15" w:type="dxa"/>
              <w:right w:w="15" w:type="dxa"/>
            </w:tcMar>
            <w:vAlign w:val="center"/>
            <w:hideMark/>
          </w:tcPr>
          <w:p w14:paraId="1C21547A"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082" w:type="pct"/>
            <w:tcMar>
              <w:top w:w="15" w:type="dxa"/>
              <w:left w:w="15" w:type="dxa"/>
              <w:bottom w:w="15" w:type="dxa"/>
              <w:right w:w="15" w:type="dxa"/>
            </w:tcMar>
            <w:vAlign w:val="center"/>
            <w:hideMark/>
          </w:tcPr>
          <w:p w14:paraId="45B27DFF" w14:textId="77777777" w:rsidR="00CB397B" w:rsidRDefault="00CB397B">
            <w:pPr>
              <w:jc w:val="both"/>
              <w:rPr>
                <w:rFonts w:ascii="Times New Roman" w:hAnsi="Times New Roman"/>
                <w:sz w:val="24"/>
                <w:szCs w:val="24"/>
              </w:rPr>
            </w:pPr>
            <w:r>
              <w:rPr>
                <w:rFonts w:ascii="Times New Roman" w:hAnsi="Times New Roman"/>
                <w:sz w:val="24"/>
                <w:szCs w:val="24"/>
              </w:rPr>
              <w:t>0.0933 ± 0.0001</w:t>
            </w:r>
            <w:r>
              <w:rPr>
                <w:rFonts w:ascii="Times New Roman" w:hAnsi="Times New Roman"/>
                <w:sz w:val="24"/>
                <w:szCs w:val="24"/>
                <w:vertAlign w:val="superscript"/>
              </w:rPr>
              <w:t>b</w:t>
            </w:r>
          </w:p>
        </w:tc>
        <w:tc>
          <w:tcPr>
            <w:tcW w:w="1015" w:type="pct"/>
            <w:tcMar>
              <w:top w:w="15" w:type="dxa"/>
              <w:left w:w="15" w:type="dxa"/>
              <w:bottom w:w="15" w:type="dxa"/>
              <w:right w:w="15" w:type="dxa"/>
            </w:tcMar>
            <w:vAlign w:val="center"/>
            <w:hideMark/>
          </w:tcPr>
          <w:p w14:paraId="6B9889E2" w14:textId="77777777" w:rsidR="00CB397B" w:rsidRDefault="00CB397B">
            <w:pPr>
              <w:jc w:val="both"/>
              <w:rPr>
                <w:rFonts w:ascii="Times New Roman" w:hAnsi="Times New Roman"/>
                <w:sz w:val="24"/>
                <w:szCs w:val="24"/>
              </w:rPr>
            </w:pPr>
            <w:r>
              <w:rPr>
                <w:rFonts w:ascii="Times New Roman" w:hAnsi="Times New Roman"/>
                <w:sz w:val="24"/>
                <w:szCs w:val="24"/>
              </w:rPr>
              <w:t>0.1061 ± 0.0002</w:t>
            </w:r>
            <w:r>
              <w:rPr>
                <w:rFonts w:ascii="Times New Roman" w:hAnsi="Times New Roman"/>
                <w:sz w:val="24"/>
                <w:szCs w:val="24"/>
                <w:vertAlign w:val="superscript"/>
              </w:rPr>
              <w:t>b</w:t>
            </w:r>
          </w:p>
        </w:tc>
        <w:tc>
          <w:tcPr>
            <w:tcW w:w="1015" w:type="pct"/>
            <w:tcMar>
              <w:top w:w="15" w:type="dxa"/>
              <w:left w:w="15" w:type="dxa"/>
              <w:bottom w:w="15" w:type="dxa"/>
              <w:right w:w="15" w:type="dxa"/>
            </w:tcMar>
            <w:vAlign w:val="center"/>
            <w:hideMark/>
          </w:tcPr>
          <w:p w14:paraId="55EE92AB" w14:textId="77777777" w:rsidR="00CB397B" w:rsidRDefault="00CB397B">
            <w:pPr>
              <w:jc w:val="both"/>
              <w:rPr>
                <w:rFonts w:ascii="Times New Roman" w:hAnsi="Times New Roman"/>
                <w:sz w:val="24"/>
                <w:szCs w:val="24"/>
              </w:rPr>
            </w:pPr>
            <w:r>
              <w:rPr>
                <w:rFonts w:ascii="Times New Roman" w:hAnsi="Times New Roman"/>
                <w:sz w:val="24"/>
                <w:szCs w:val="24"/>
              </w:rPr>
              <w:t>0.0941 ± 0.0002</w:t>
            </w:r>
            <w:r>
              <w:rPr>
                <w:rFonts w:ascii="Times New Roman" w:hAnsi="Times New Roman"/>
                <w:sz w:val="24"/>
                <w:szCs w:val="24"/>
                <w:vertAlign w:val="superscript"/>
              </w:rPr>
              <w:t>a</w:t>
            </w:r>
          </w:p>
        </w:tc>
      </w:tr>
      <w:tr w:rsidR="00CB397B" w14:paraId="13684FE7" w14:textId="77777777" w:rsidTr="007E4E4A">
        <w:trPr>
          <w:gridBefore w:val="1"/>
          <w:gridAfter w:val="1"/>
          <w:wBefore w:w="334" w:type="pct"/>
          <w:wAfter w:w="45" w:type="pct"/>
          <w:trHeight w:val="322"/>
          <w:tblCellSpacing w:w="15" w:type="dxa"/>
        </w:trPr>
        <w:tc>
          <w:tcPr>
            <w:tcW w:w="754" w:type="pct"/>
            <w:tcMar>
              <w:top w:w="15" w:type="dxa"/>
              <w:left w:w="15" w:type="dxa"/>
              <w:bottom w:w="15" w:type="dxa"/>
              <w:right w:w="15" w:type="dxa"/>
            </w:tcMar>
            <w:vAlign w:val="center"/>
            <w:hideMark/>
          </w:tcPr>
          <w:p w14:paraId="38E86743" w14:textId="77777777" w:rsidR="00CB397B" w:rsidRDefault="00CB397B"/>
        </w:tc>
        <w:tc>
          <w:tcPr>
            <w:tcW w:w="642" w:type="pct"/>
            <w:tcMar>
              <w:top w:w="15" w:type="dxa"/>
              <w:left w:w="15" w:type="dxa"/>
              <w:bottom w:w="15" w:type="dxa"/>
              <w:right w:w="15" w:type="dxa"/>
            </w:tcMar>
            <w:vAlign w:val="center"/>
            <w:hideMark/>
          </w:tcPr>
          <w:p w14:paraId="46CE3900"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082" w:type="pct"/>
            <w:tcMar>
              <w:top w:w="15" w:type="dxa"/>
              <w:left w:w="15" w:type="dxa"/>
              <w:bottom w:w="15" w:type="dxa"/>
              <w:right w:w="15" w:type="dxa"/>
            </w:tcMar>
            <w:vAlign w:val="center"/>
            <w:hideMark/>
          </w:tcPr>
          <w:p w14:paraId="706D8FA9" w14:textId="77777777" w:rsidR="00CB397B" w:rsidRDefault="00CB397B">
            <w:pPr>
              <w:jc w:val="both"/>
              <w:rPr>
                <w:rFonts w:ascii="Times New Roman" w:hAnsi="Times New Roman"/>
                <w:sz w:val="24"/>
                <w:szCs w:val="24"/>
              </w:rPr>
            </w:pPr>
            <w:r>
              <w:rPr>
                <w:rFonts w:ascii="Times New Roman" w:hAnsi="Times New Roman"/>
                <w:sz w:val="24"/>
                <w:szCs w:val="24"/>
              </w:rPr>
              <w:t>0.0743 ± 0.0001</w:t>
            </w:r>
            <w:r>
              <w:rPr>
                <w:rFonts w:ascii="Times New Roman" w:hAnsi="Times New Roman"/>
                <w:sz w:val="24"/>
                <w:szCs w:val="24"/>
                <w:vertAlign w:val="superscript"/>
              </w:rPr>
              <w:t>c</w:t>
            </w:r>
          </w:p>
        </w:tc>
        <w:tc>
          <w:tcPr>
            <w:tcW w:w="1015" w:type="pct"/>
            <w:tcMar>
              <w:top w:w="15" w:type="dxa"/>
              <w:left w:w="15" w:type="dxa"/>
              <w:bottom w:w="15" w:type="dxa"/>
              <w:right w:w="15" w:type="dxa"/>
            </w:tcMar>
            <w:vAlign w:val="center"/>
            <w:hideMark/>
          </w:tcPr>
          <w:p w14:paraId="362D3E5B" w14:textId="77777777" w:rsidR="00CB397B" w:rsidRDefault="00CB397B">
            <w:pPr>
              <w:jc w:val="both"/>
              <w:rPr>
                <w:rFonts w:ascii="Times New Roman" w:hAnsi="Times New Roman"/>
                <w:sz w:val="24"/>
                <w:szCs w:val="24"/>
              </w:rPr>
            </w:pPr>
            <w:r>
              <w:rPr>
                <w:rFonts w:ascii="Times New Roman" w:hAnsi="Times New Roman"/>
                <w:sz w:val="24"/>
                <w:szCs w:val="24"/>
              </w:rPr>
              <w:t>0.0776 ± 0.0001</w:t>
            </w:r>
            <w:r>
              <w:rPr>
                <w:rFonts w:ascii="Times New Roman" w:hAnsi="Times New Roman"/>
                <w:sz w:val="24"/>
                <w:szCs w:val="24"/>
                <w:vertAlign w:val="superscript"/>
              </w:rPr>
              <w:t>c</w:t>
            </w:r>
          </w:p>
        </w:tc>
        <w:tc>
          <w:tcPr>
            <w:tcW w:w="1015" w:type="pct"/>
            <w:tcMar>
              <w:top w:w="15" w:type="dxa"/>
              <w:left w:w="15" w:type="dxa"/>
              <w:bottom w:w="15" w:type="dxa"/>
              <w:right w:w="15" w:type="dxa"/>
            </w:tcMar>
            <w:vAlign w:val="center"/>
            <w:hideMark/>
          </w:tcPr>
          <w:p w14:paraId="00BDFB8F" w14:textId="77777777" w:rsidR="00CB397B" w:rsidRDefault="00CB397B">
            <w:pPr>
              <w:jc w:val="both"/>
              <w:rPr>
                <w:rFonts w:ascii="Times New Roman" w:hAnsi="Times New Roman"/>
                <w:sz w:val="24"/>
                <w:szCs w:val="24"/>
              </w:rPr>
            </w:pPr>
            <w:r>
              <w:rPr>
                <w:rFonts w:ascii="Times New Roman" w:hAnsi="Times New Roman"/>
                <w:sz w:val="24"/>
                <w:szCs w:val="24"/>
              </w:rPr>
              <w:t>0.1035 ± 0.0000</w:t>
            </w:r>
            <w:r>
              <w:rPr>
                <w:rFonts w:ascii="Times New Roman" w:hAnsi="Times New Roman"/>
                <w:sz w:val="24"/>
                <w:szCs w:val="24"/>
                <w:vertAlign w:val="superscript"/>
              </w:rPr>
              <w:t>c</w:t>
            </w:r>
          </w:p>
        </w:tc>
      </w:tr>
      <w:tr w:rsidR="00CB397B" w14:paraId="12DC54FE" w14:textId="77777777" w:rsidTr="007E4E4A">
        <w:trPr>
          <w:gridBefore w:val="1"/>
          <w:gridAfter w:val="1"/>
          <w:wBefore w:w="334" w:type="pct"/>
          <w:wAfter w:w="45" w:type="pct"/>
          <w:trHeight w:val="358"/>
          <w:tblCellSpacing w:w="15" w:type="dxa"/>
        </w:trPr>
        <w:tc>
          <w:tcPr>
            <w:tcW w:w="754" w:type="pct"/>
            <w:tcMar>
              <w:top w:w="15" w:type="dxa"/>
              <w:left w:w="15" w:type="dxa"/>
              <w:bottom w:w="15" w:type="dxa"/>
              <w:right w:w="15" w:type="dxa"/>
            </w:tcMar>
            <w:vAlign w:val="center"/>
            <w:hideMark/>
          </w:tcPr>
          <w:p w14:paraId="23CE182E"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642" w:type="pct"/>
            <w:tcMar>
              <w:top w:w="15" w:type="dxa"/>
              <w:left w:w="15" w:type="dxa"/>
              <w:bottom w:w="15" w:type="dxa"/>
              <w:right w:w="15" w:type="dxa"/>
            </w:tcMar>
            <w:vAlign w:val="center"/>
            <w:hideMark/>
          </w:tcPr>
          <w:p w14:paraId="348251B9"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082" w:type="pct"/>
            <w:tcMar>
              <w:top w:w="15" w:type="dxa"/>
              <w:left w:w="15" w:type="dxa"/>
              <w:bottom w:w="15" w:type="dxa"/>
              <w:right w:w="15" w:type="dxa"/>
            </w:tcMar>
            <w:vAlign w:val="center"/>
            <w:hideMark/>
          </w:tcPr>
          <w:p w14:paraId="06860076" w14:textId="77777777" w:rsidR="00CB397B" w:rsidRDefault="00CB397B">
            <w:pPr>
              <w:jc w:val="both"/>
              <w:rPr>
                <w:rFonts w:ascii="Times New Roman" w:hAnsi="Times New Roman"/>
                <w:sz w:val="24"/>
                <w:szCs w:val="24"/>
              </w:rPr>
            </w:pPr>
            <w:r>
              <w:rPr>
                <w:rFonts w:ascii="Times New Roman" w:hAnsi="Times New Roman"/>
                <w:sz w:val="24"/>
                <w:szCs w:val="24"/>
              </w:rPr>
              <w:t>0.0919 ± 0.0001</w:t>
            </w:r>
            <w:r>
              <w:rPr>
                <w:rFonts w:ascii="Times New Roman" w:hAnsi="Times New Roman"/>
                <w:sz w:val="24"/>
                <w:szCs w:val="24"/>
                <w:vertAlign w:val="superscript"/>
              </w:rPr>
              <w:t>d</w:t>
            </w:r>
          </w:p>
        </w:tc>
        <w:tc>
          <w:tcPr>
            <w:tcW w:w="1015" w:type="pct"/>
            <w:tcMar>
              <w:top w:w="15" w:type="dxa"/>
              <w:left w:w="15" w:type="dxa"/>
              <w:bottom w:w="15" w:type="dxa"/>
              <w:right w:w="15" w:type="dxa"/>
            </w:tcMar>
            <w:vAlign w:val="center"/>
            <w:hideMark/>
          </w:tcPr>
          <w:p w14:paraId="5DCC6D52" w14:textId="77777777" w:rsidR="00CB397B" w:rsidRDefault="00CB397B">
            <w:pPr>
              <w:jc w:val="both"/>
              <w:rPr>
                <w:rFonts w:ascii="Times New Roman" w:hAnsi="Times New Roman"/>
                <w:sz w:val="24"/>
                <w:szCs w:val="24"/>
              </w:rPr>
            </w:pPr>
            <w:r>
              <w:rPr>
                <w:rFonts w:ascii="Times New Roman" w:hAnsi="Times New Roman"/>
                <w:sz w:val="24"/>
                <w:szCs w:val="24"/>
              </w:rPr>
              <w:t>0.1210 ± 0.0002</w:t>
            </w:r>
            <w:r>
              <w:rPr>
                <w:rFonts w:ascii="Times New Roman" w:hAnsi="Times New Roman"/>
                <w:sz w:val="24"/>
                <w:szCs w:val="24"/>
                <w:vertAlign w:val="superscript"/>
              </w:rPr>
              <w:t>d</w:t>
            </w:r>
          </w:p>
        </w:tc>
        <w:tc>
          <w:tcPr>
            <w:tcW w:w="1015" w:type="pct"/>
            <w:tcMar>
              <w:top w:w="15" w:type="dxa"/>
              <w:left w:w="15" w:type="dxa"/>
              <w:bottom w:w="15" w:type="dxa"/>
              <w:right w:w="15" w:type="dxa"/>
            </w:tcMar>
            <w:vAlign w:val="center"/>
            <w:hideMark/>
          </w:tcPr>
          <w:p w14:paraId="068AB8B3" w14:textId="77777777" w:rsidR="00CB397B" w:rsidRDefault="00CB397B">
            <w:pPr>
              <w:jc w:val="both"/>
              <w:rPr>
                <w:rFonts w:ascii="Times New Roman" w:hAnsi="Times New Roman"/>
                <w:sz w:val="24"/>
                <w:szCs w:val="24"/>
              </w:rPr>
            </w:pPr>
            <w:r>
              <w:rPr>
                <w:rFonts w:ascii="Times New Roman" w:hAnsi="Times New Roman"/>
                <w:sz w:val="24"/>
                <w:szCs w:val="24"/>
              </w:rPr>
              <w:t>0.1075 ± 0.0001</w:t>
            </w:r>
            <w:r>
              <w:rPr>
                <w:rFonts w:ascii="Times New Roman" w:hAnsi="Times New Roman"/>
                <w:sz w:val="24"/>
                <w:szCs w:val="24"/>
                <w:vertAlign w:val="superscript"/>
              </w:rPr>
              <w:t>d</w:t>
            </w:r>
          </w:p>
        </w:tc>
      </w:tr>
      <w:tr w:rsidR="00CB397B" w14:paraId="65DABF3A" w14:textId="77777777" w:rsidTr="007E4E4A">
        <w:trPr>
          <w:gridBefore w:val="1"/>
          <w:gridAfter w:val="1"/>
          <w:wBefore w:w="334" w:type="pct"/>
          <w:wAfter w:w="45" w:type="pct"/>
          <w:trHeight w:val="177"/>
          <w:tblCellSpacing w:w="15" w:type="dxa"/>
        </w:trPr>
        <w:tc>
          <w:tcPr>
            <w:tcW w:w="754" w:type="pct"/>
            <w:tcMar>
              <w:top w:w="15" w:type="dxa"/>
              <w:left w:w="15" w:type="dxa"/>
              <w:bottom w:w="15" w:type="dxa"/>
              <w:right w:w="15" w:type="dxa"/>
            </w:tcMar>
            <w:vAlign w:val="center"/>
            <w:hideMark/>
          </w:tcPr>
          <w:p w14:paraId="29B53CF6" w14:textId="77777777" w:rsidR="00CB397B" w:rsidRDefault="00CB397B"/>
        </w:tc>
        <w:tc>
          <w:tcPr>
            <w:tcW w:w="642" w:type="pct"/>
            <w:tcMar>
              <w:top w:w="15" w:type="dxa"/>
              <w:left w:w="15" w:type="dxa"/>
              <w:bottom w:w="15" w:type="dxa"/>
              <w:right w:w="15" w:type="dxa"/>
            </w:tcMar>
            <w:vAlign w:val="center"/>
            <w:hideMark/>
          </w:tcPr>
          <w:p w14:paraId="28F0750C"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082" w:type="pct"/>
            <w:tcMar>
              <w:top w:w="15" w:type="dxa"/>
              <w:left w:w="15" w:type="dxa"/>
              <w:bottom w:w="15" w:type="dxa"/>
              <w:right w:w="15" w:type="dxa"/>
            </w:tcMar>
            <w:vAlign w:val="center"/>
            <w:hideMark/>
          </w:tcPr>
          <w:p w14:paraId="2BC7125F" w14:textId="77777777" w:rsidR="00CB397B" w:rsidRDefault="00CB397B">
            <w:pPr>
              <w:jc w:val="both"/>
              <w:rPr>
                <w:rFonts w:ascii="Times New Roman" w:hAnsi="Times New Roman"/>
                <w:sz w:val="24"/>
                <w:szCs w:val="24"/>
              </w:rPr>
            </w:pPr>
            <w:r>
              <w:rPr>
                <w:rFonts w:ascii="Times New Roman" w:hAnsi="Times New Roman"/>
                <w:sz w:val="24"/>
                <w:szCs w:val="24"/>
              </w:rPr>
              <w:t>0.1008 ± 0.0002</w:t>
            </w:r>
            <w:r>
              <w:rPr>
                <w:rFonts w:ascii="Times New Roman" w:hAnsi="Times New Roman"/>
                <w:sz w:val="24"/>
                <w:szCs w:val="24"/>
                <w:vertAlign w:val="superscript"/>
              </w:rPr>
              <w:t>e</w:t>
            </w:r>
          </w:p>
        </w:tc>
        <w:tc>
          <w:tcPr>
            <w:tcW w:w="1015" w:type="pct"/>
            <w:tcMar>
              <w:top w:w="15" w:type="dxa"/>
              <w:left w:w="15" w:type="dxa"/>
              <w:bottom w:w="15" w:type="dxa"/>
              <w:right w:w="15" w:type="dxa"/>
            </w:tcMar>
            <w:vAlign w:val="center"/>
            <w:hideMark/>
          </w:tcPr>
          <w:p w14:paraId="0F188528" w14:textId="77777777" w:rsidR="00CB397B" w:rsidRDefault="00CB397B">
            <w:pPr>
              <w:jc w:val="both"/>
              <w:rPr>
                <w:rFonts w:ascii="Times New Roman" w:hAnsi="Times New Roman"/>
                <w:sz w:val="24"/>
                <w:szCs w:val="24"/>
              </w:rPr>
            </w:pPr>
            <w:r>
              <w:rPr>
                <w:rFonts w:ascii="Times New Roman" w:hAnsi="Times New Roman"/>
                <w:sz w:val="24"/>
                <w:szCs w:val="24"/>
              </w:rPr>
              <w:t>0.1239 ± 0.0001</w:t>
            </w:r>
            <w:r>
              <w:rPr>
                <w:rFonts w:ascii="Times New Roman" w:hAnsi="Times New Roman"/>
                <w:sz w:val="24"/>
                <w:szCs w:val="24"/>
                <w:vertAlign w:val="superscript"/>
              </w:rPr>
              <w:t>e</w:t>
            </w:r>
          </w:p>
        </w:tc>
        <w:tc>
          <w:tcPr>
            <w:tcW w:w="1015" w:type="pct"/>
            <w:tcMar>
              <w:top w:w="15" w:type="dxa"/>
              <w:left w:w="15" w:type="dxa"/>
              <w:bottom w:w="15" w:type="dxa"/>
              <w:right w:w="15" w:type="dxa"/>
            </w:tcMar>
            <w:vAlign w:val="center"/>
            <w:hideMark/>
          </w:tcPr>
          <w:p w14:paraId="3AB8FD50" w14:textId="77777777" w:rsidR="00CB397B" w:rsidRDefault="00CB397B">
            <w:pPr>
              <w:jc w:val="both"/>
              <w:rPr>
                <w:rFonts w:ascii="Times New Roman" w:hAnsi="Times New Roman"/>
                <w:sz w:val="24"/>
                <w:szCs w:val="24"/>
              </w:rPr>
            </w:pPr>
            <w:r>
              <w:rPr>
                <w:rFonts w:ascii="Times New Roman" w:hAnsi="Times New Roman"/>
                <w:sz w:val="24"/>
                <w:szCs w:val="24"/>
              </w:rPr>
              <w:t>0.0942 ± 0.0001</w:t>
            </w:r>
            <w:r>
              <w:rPr>
                <w:rFonts w:ascii="Times New Roman" w:hAnsi="Times New Roman"/>
                <w:sz w:val="24"/>
                <w:szCs w:val="24"/>
                <w:vertAlign w:val="superscript"/>
              </w:rPr>
              <w:t>a</w:t>
            </w:r>
          </w:p>
        </w:tc>
      </w:tr>
      <w:tr w:rsidR="00CB397B" w14:paraId="4D63B46A" w14:textId="77777777" w:rsidTr="007E4E4A">
        <w:trPr>
          <w:gridBefore w:val="1"/>
          <w:gridAfter w:val="1"/>
          <w:wBefore w:w="334" w:type="pct"/>
          <w:wAfter w:w="45" w:type="pct"/>
          <w:trHeight w:val="358"/>
          <w:tblCellSpacing w:w="15" w:type="dxa"/>
        </w:trPr>
        <w:tc>
          <w:tcPr>
            <w:tcW w:w="754" w:type="pct"/>
            <w:tcMar>
              <w:top w:w="15" w:type="dxa"/>
              <w:left w:w="15" w:type="dxa"/>
              <w:bottom w:w="15" w:type="dxa"/>
              <w:right w:w="15" w:type="dxa"/>
            </w:tcMar>
            <w:vAlign w:val="center"/>
            <w:hideMark/>
          </w:tcPr>
          <w:p w14:paraId="13E6F3C2" w14:textId="77777777" w:rsidR="00CB397B" w:rsidRDefault="00CB397B"/>
        </w:tc>
        <w:tc>
          <w:tcPr>
            <w:tcW w:w="642" w:type="pct"/>
            <w:tcMar>
              <w:top w:w="15" w:type="dxa"/>
              <w:left w:w="15" w:type="dxa"/>
              <w:bottom w:w="15" w:type="dxa"/>
              <w:right w:w="15" w:type="dxa"/>
            </w:tcMar>
            <w:vAlign w:val="center"/>
            <w:hideMark/>
          </w:tcPr>
          <w:p w14:paraId="1E220B3B"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082" w:type="pct"/>
            <w:tcMar>
              <w:top w:w="15" w:type="dxa"/>
              <w:left w:w="15" w:type="dxa"/>
              <w:bottom w:w="15" w:type="dxa"/>
              <w:right w:w="15" w:type="dxa"/>
            </w:tcMar>
            <w:vAlign w:val="center"/>
            <w:hideMark/>
          </w:tcPr>
          <w:p w14:paraId="1B15A14A" w14:textId="77777777" w:rsidR="00CB397B" w:rsidRDefault="00CB397B">
            <w:pPr>
              <w:jc w:val="both"/>
              <w:rPr>
                <w:rFonts w:ascii="Times New Roman" w:hAnsi="Times New Roman"/>
                <w:sz w:val="24"/>
                <w:szCs w:val="24"/>
              </w:rPr>
            </w:pPr>
            <w:r>
              <w:rPr>
                <w:rFonts w:ascii="Times New Roman" w:hAnsi="Times New Roman"/>
                <w:sz w:val="24"/>
                <w:szCs w:val="24"/>
              </w:rPr>
              <w:t>0.0693 ± 0.0001</w:t>
            </w:r>
            <w:r>
              <w:rPr>
                <w:rFonts w:ascii="Times New Roman" w:hAnsi="Times New Roman"/>
                <w:sz w:val="24"/>
                <w:szCs w:val="24"/>
                <w:vertAlign w:val="subscript"/>
              </w:rPr>
              <w:t>f</w:t>
            </w:r>
          </w:p>
        </w:tc>
        <w:tc>
          <w:tcPr>
            <w:tcW w:w="1015" w:type="pct"/>
            <w:tcMar>
              <w:top w:w="15" w:type="dxa"/>
              <w:left w:w="15" w:type="dxa"/>
              <w:bottom w:w="15" w:type="dxa"/>
              <w:right w:w="15" w:type="dxa"/>
            </w:tcMar>
            <w:vAlign w:val="center"/>
            <w:hideMark/>
          </w:tcPr>
          <w:p w14:paraId="27D958F8" w14:textId="77777777" w:rsidR="00CB397B" w:rsidRDefault="00CB397B">
            <w:pPr>
              <w:jc w:val="both"/>
              <w:rPr>
                <w:rFonts w:ascii="Times New Roman" w:hAnsi="Times New Roman"/>
                <w:sz w:val="24"/>
                <w:szCs w:val="24"/>
              </w:rPr>
            </w:pPr>
            <w:r>
              <w:rPr>
                <w:rFonts w:ascii="Times New Roman" w:hAnsi="Times New Roman"/>
                <w:sz w:val="24"/>
                <w:szCs w:val="24"/>
              </w:rPr>
              <w:t>0.0734 ± 0.0001</w:t>
            </w:r>
            <w:r>
              <w:rPr>
                <w:rFonts w:ascii="Times New Roman" w:hAnsi="Times New Roman"/>
                <w:sz w:val="24"/>
                <w:szCs w:val="24"/>
                <w:vertAlign w:val="superscript"/>
              </w:rPr>
              <w:t>f</w:t>
            </w:r>
          </w:p>
        </w:tc>
        <w:tc>
          <w:tcPr>
            <w:tcW w:w="1015" w:type="pct"/>
            <w:tcMar>
              <w:top w:w="15" w:type="dxa"/>
              <w:left w:w="15" w:type="dxa"/>
              <w:bottom w:w="15" w:type="dxa"/>
              <w:right w:w="15" w:type="dxa"/>
            </w:tcMar>
            <w:vAlign w:val="center"/>
            <w:hideMark/>
          </w:tcPr>
          <w:p w14:paraId="5836E7B3" w14:textId="77777777" w:rsidR="00CB397B" w:rsidRDefault="00CB397B">
            <w:pPr>
              <w:jc w:val="both"/>
              <w:rPr>
                <w:rFonts w:ascii="Times New Roman" w:hAnsi="Times New Roman"/>
                <w:sz w:val="24"/>
                <w:szCs w:val="24"/>
              </w:rPr>
            </w:pPr>
            <w:r>
              <w:rPr>
                <w:rFonts w:ascii="Times New Roman" w:hAnsi="Times New Roman"/>
                <w:sz w:val="24"/>
                <w:szCs w:val="24"/>
              </w:rPr>
              <w:t>0.1008 ± 0.0001</w:t>
            </w:r>
            <w:r>
              <w:rPr>
                <w:rFonts w:ascii="Times New Roman" w:hAnsi="Times New Roman"/>
                <w:sz w:val="24"/>
                <w:szCs w:val="24"/>
                <w:vertAlign w:val="superscript"/>
              </w:rPr>
              <w:t>e</w:t>
            </w:r>
          </w:p>
        </w:tc>
      </w:tr>
      <w:tr w:rsidR="00CB397B" w14:paraId="222937DA" w14:textId="77777777" w:rsidTr="007E4E4A">
        <w:trPr>
          <w:gridBefore w:val="1"/>
          <w:gridAfter w:val="1"/>
          <w:wBefore w:w="334" w:type="pct"/>
          <w:wAfter w:w="45" w:type="pct"/>
          <w:trHeight w:val="228"/>
          <w:tblCellSpacing w:w="15" w:type="dxa"/>
        </w:trPr>
        <w:tc>
          <w:tcPr>
            <w:tcW w:w="754" w:type="pct"/>
            <w:tcMar>
              <w:top w:w="15" w:type="dxa"/>
              <w:left w:w="15" w:type="dxa"/>
              <w:bottom w:w="15" w:type="dxa"/>
              <w:right w:w="15" w:type="dxa"/>
            </w:tcMar>
            <w:vAlign w:val="center"/>
            <w:hideMark/>
          </w:tcPr>
          <w:p w14:paraId="050D200D" w14:textId="77777777" w:rsidR="00CB397B" w:rsidRDefault="00CB397B">
            <w:pPr>
              <w:jc w:val="both"/>
              <w:rPr>
                <w:rFonts w:ascii="Times New Roman" w:hAnsi="Times New Roman"/>
                <w:sz w:val="24"/>
                <w:szCs w:val="24"/>
              </w:rPr>
            </w:pPr>
            <w:r>
              <w:rPr>
                <w:rFonts w:ascii="Times New Roman" w:hAnsi="Times New Roman"/>
                <w:sz w:val="24"/>
                <w:szCs w:val="24"/>
              </w:rPr>
              <w:lastRenderedPageBreak/>
              <w:t>MAGNUS</w:t>
            </w:r>
          </w:p>
        </w:tc>
        <w:tc>
          <w:tcPr>
            <w:tcW w:w="642" w:type="pct"/>
            <w:tcMar>
              <w:top w:w="15" w:type="dxa"/>
              <w:left w:w="15" w:type="dxa"/>
              <w:bottom w:w="15" w:type="dxa"/>
              <w:right w:w="15" w:type="dxa"/>
            </w:tcMar>
            <w:vAlign w:val="center"/>
            <w:hideMark/>
          </w:tcPr>
          <w:p w14:paraId="63934885"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082" w:type="pct"/>
            <w:tcMar>
              <w:top w:w="15" w:type="dxa"/>
              <w:left w:w="15" w:type="dxa"/>
              <w:bottom w:w="15" w:type="dxa"/>
              <w:right w:w="15" w:type="dxa"/>
            </w:tcMar>
            <w:vAlign w:val="center"/>
            <w:hideMark/>
          </w:tcPr>
          <w:p w14:paraId="24520031" w14:textId="77777777" w:rsidR="00CB397B" w:rsidRDefault="00CB397B">
            <w:pPr>
              <w:jc w:val="both"/>
              <w:rPr>
                <w:rFonts w:ascii="Times New Roman" w:hAnsi="Times New Roman"/>
                <w:sz w:val="24"/>
                <w:szCs w:val="24"/>
              </w:rPr>
            </w:pPr>
            <w:r>
              <w:rPr>
                <w:rFonts w:ascii="Times New Roman" w:hAnsi="Times New Roman"/>
                <w:sz w:val="24"/>
                <w:szCs w:val="24"/>
              </w:rPr>
              <w:t>0.0853 ± 0.0001</w:t>
            </w:r>
            <w:r>
              <w:rPr>
                <w:rFonts w:ascii="Times New Roman" w:hAnsi="Times New Roman"/>
                <w:sz w:val="24"/>
                <w:szCs w:val="24"/>
                <w:vertAlign w:val="superscript"/>
              </w:rPr>
              <w:t>g</w:t>
            </w:r>
          </w:p>
        </w:tc>
        <w:tc>
          <w:tcPr>
            <w:tcW w:w="1015" w:type="pct"/>
            <w:tcMar>
              <w:top w:w="15" w:type="dxa"/>
              <w:left w:w="15" w:type="dxa"/>
              <w:bottom w:w="15" w:type="dxa"/>
              <w:right w:w="15" w:type="dxa"/>
            </w:tcMar>
            <w:vAlign w:val="center"/>
            <w:hideMark/>
          </w:tcPr>
          <w:p w14:paraId="78DE2486" w14:textId="77777777" w:rsidR="00CB397B" w:rsidRDefault="00CB397B">
            <w:pPr>
              <w:jc w:val="both"/>
              <w:rPr>
                <w:rFonts w:ascii="Times New Roman" w:hAnsi="Times New Roman"/>
                <w:sz w:val="24"/>
                <w:szCs w:val="24"/>
              </w:rPr>
            </w:pPr>
            <w:r>
              <w:rPr>
                <w:rFonts w:ascii="Times New Roman" w:hAnsi="Times New Roman"/>
                <w:sz w:val="24"/>
                <w:szCs w:val="24"/>
              </w:rPr>
              <w:t>0.1123 ± 0.0001</w:t>
            </w:r>
            <w:r>
              <w:rPr>
                <w:rFonts w:ascii="Times New Roman" w:hAnsi="Times New Roman"/>
                <w:sz w:val="24"/>
                <w:szCs w:val="24"/>
                <w:vertAlign w:val="superscript"/>
              </w:rPr>
              <w:t>g</w:t>
            </w:r>
          </w:p>
        </w:tc>
        <w:tc>
          <w:tcPr>
            <w:tcW w:w="1015" w:type="pct"/>
            <w:tcMar>
              <w:top w:w="15" w:type="dxa"/>
              <w:left w:w="15" w:type="dxa"/>
              <w:bottom w:w="15" w:type="dxa"/>
              <w:right w:w="15" w:type="dxa"/>
            </w:tcMar>
            <w:vAlign w:val="center"/>
            <w:hideMark/>
          </w:tcPr>
          <w:p w14:paraId="7D2C28E1" w14:textId="77777777" w:rsidR="00CB397B" w:rsidRDefault="00CB397B">
            <w:pPr>
              <w:jc w:val="both"/>
              <w:rPr>
                <w:rFonts w:ascii="Times New Roman" w:hAnsi="Times New Roman"/>
                <w:sz w:val="24"/>
                <w:szCs w:val="24"/>
              </w:rPr>
            </w:pPr>
            <w:r>
              <w:rPr>
                <w:rFonts w:ascii="Times New Roman" w:hAnsi="Times New Roman"/>
                <w:sz w:val="24"/>
                <w:szCs w:val="24"/>
              </w:rPr>
              <w:t>0.0792 ± 0.0001</w:t>
            </w:r>
            <w:r>
              <w:rPr>
                <w:rFonts w:ascii="Times New Roman" w:hAnsi="Times New Roman"/>
                <w:sz w:val="24"/>
                <w:szCs w:val="24"/>
                <w:vertAlign w:val="superscript"/>
              </w:rPr>
              <w:t>f</w:t>
            </w:r>
          </w:p>
        </w:tc>
      </w:tr>
      <w:tr w:rsidR="00CB397B" w14:paraId="27601539" w14:textId="77777777" w:rsidTr="007E4E4A">
        <w:trPr>
          <w:gridBefore w:val="1"/>
          <w:gridAfter w:val="1"/>
          <w:wBefore w:w="334" w:type="pct"/>
          <w:wAfter w:w="45" w:type="pct"/>
          <w:trHeight w:val="394"/>
          <w:tblCellSpacing w:w="15" w:type="dxa"/>
        </w:trPr>
        <w:tc>
          <w:tcPr>
            <w:tcW w:w="754" w:type="pct"/>
            <w:tcMar>
              <w:top w:w="15" w:type="dxa"/>
              <w:left w:w="15" w:type="dxa"/>
              <w:bottom w:w="15" w:type="dxa"/>
              <w:right w:w="15" w:type="dxa"/>
            </w:tcMar>
            <w:vAlign w:val="center"/>
            <w:hideMark/>
          </w:tcPr>
          <w:p w14:paraId="22506044" w14:textId="77777777" w:rsidR="00CB397B" w:rsidRDefault="00CB397B"/>
        </w:tc>
        <w:tc>
          <w:tcPr>
            <w:tcW w:w="642" w:type="pct"/>
            <w:tcMar>
              <w:top w:w="15" w:type="dxa"/>
              <w:left w:w="15" w:type="dxa"/>
              <w:bottom w:w="15" w:type="dxa"/>
              <w:right w:w="15" w:type="dxa"/>
            </w:tcMar>
            <w:vAlign w:val="center"/>
            <w:hideMark/>
          </w:tcPr>
          <w:p w14:paraId="0089E1C8"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082" w:type="pct"/>
            <w:tcMar>
              <w:top w:w="15" w:type="dxa"/>
              <w:left w:w="15" w:type="dxa"/>
              <w:bottom w:w="15" w:type="dxa"/>
              <w:right w:w="15" w:type="dxa"/>
            </w:tcMar>
            <w:vAlign w:val="center"/>
            <w:hideMark/>
          </w:tcPr>
          <w:p w14:paraId="44A7574D" w14:textId="77777777" w:rsidR="00CB397B" w:rsidRDefault="00CB397B">
            <w:pPr>
              <w:jc w:val="both"/>
              <w:rPr>
                <w:rFonts w:ascii="Times New Roman" w:hAnsi="Times New Roman"/>
                <w:sz w:val="24"/>
                <w:szCs w:val="24"/>
              </w:rPr>
            </w:pPr>
            <w:r>
              <w:rPr>
                <w:rFonts w:ascii="Times New Roman" w:hAnsi="Times New Roman"/>
                <w:sz w:val="24"/>
                <w:szCs w:val="24"/>
              </w:rPr>
              <w:t>0.1040 ± 0.0003</w:t>
            </w:r>
            <w:r>
              <w:rPr>
                <w:rFonts w:ascii="Times New Roman" w:hAnsi="Times New Roman"/>
                <w:sz w:val="24"/>
                <w:szCs w:val="24"/>
                <w:vertAlign w:val="superscript"/>
              </w:rPr>
              <w:t>h</w:t>
            </w:r>
          </w:p>
        </w:tc>
        <w:tc>
          <w:tcPr>
            <w:tcW w:w="1015" w:type="pct"/>
            <w:tcMar>
              <w:top w:w="15" w:type="dxa"/>
              <w:left w:w="15" w:type="dxa"/>
              <w:bottom w:w="15" w:type="dxa"/>
              <w:right w:w="15" w:type="dxa"/>
            </w:tcMar>
            <w:vAlign w:val="center"/>
            <w:hideMark/>
          </w:tcPr>
          <w:p w14:paraId="62CCEDCD" w14:textId="77777777" w:rsidR="00CB397B" w:rsidRDefault="00CB397B">
            <w:pPr>
              <w:jc w:val="both"/>
              <w:rPr>
                <w:rFonts w:ascii="Times New Roman" w:hAnsi="Times New Roman"/>
                <w:sz w:val="24"/>
                <w:szCs w:val="24"/>
              </w:rPr>
            </w:pPr>
            <w:r>
              <w:rPr>
                <w:rFonts w:ascii="Times New Roman" w:hAnsi="Times New Roman"/>
                <w:sz w:val="24"/>
                <w:szCs w:val="24"/>
              </w:rPr>
              <w:t>0.1195 ± 0.0002</w:t>
            </w:r>
            <w:r>
              <w:rPr>
                <w:rFonts w:ascii="Times New Roman" w:hAnsi="Times New Roman"/>
                <w:sz w:val="24"/>
                <w:szCs w:val="24"/>
                <w:vertAlign w:val="superscript"/>
              </w:rPr>
              <w:t>h</w:t>
            </w:r>
          </w:p>
        </w:tc>
        <w:tc>
          <w:tcPr>
            <w:tcW w:w="1015" w:type="pct"/>
            <w:tcMar>
              <w:top w:w="15" w:type="dxa"/>
              <w:left w:w="15" w:type="dxa"/>
              <w:bottom w:w="15" w:type="dxa"/>
              <w:right w:w="15" w:type="dxa"/>
            </w:tcMar>
            <w:vAlign w:val="center"/>
            <w:hideMark/>
          </w:tcPr>
          <w:p w14:paraId="6ACBCC0E" w14:textId="77777777" w:rsidR="00CB397B" w:rsidRDefault="00CB397B">
            <w:pPr>
              <w:jc w:val="both"/>
              <w:rPr>
                <w:rFonts w:ascii="Times New Roman" w:hAnsi="Times New Roman"/>
                <w:sz w:val="24"/>
                <w:szCs w:val="24"/>
              </w:rPr>
            </w:pPr>
            <w:r>
              <w:rPr>
                <w:rFonts w:ascii="Times New Roman" w:hAnsi="Times New Roman"/>
                <w:sz w:val="24"/>
                <w:szCs w:val="24"/>
              </w:rPr>
              <w:t>0.0977 ± 0.0001</w:t>
            </w:r>
            <w:r>
              <w:rPr>
                <w:rFonts w:ascii="Times New Roman" w:hAnsi="Times New Roman"/>
                <w:sz w:val="24"/>
                <w:szCs w:val="24"/>
                <w:vertAlign w:val="superscript"/>
              </w:rPr>
              <w:t>g</w:t>
            </w:r>
          </w:p>
        </w:tc>
      </w:tr>
      <w:tr w:rsidR="00CB397B" w14:paraId="58AB5D45" w14:textId="77777777" w:rsidTr="007E4E4A">
        <w:trPr>
          <w:gridBefore w:val="1"/>
          <w:gridAfter w:val="1"/>
          <w:wBefore w:w="334" w:type="pct"/>
          <w:wAfter w:w="45" w:type="pct"/>
          <w:trHeight w:val="235"/>
          <w:tblCellSpacing w:w="15" w:type="dxa"/>
        </w:trPr>
        <w:tc>
          <w:tcPr>
            <w:tcW w:w="754" w:type="pct"/>
            <w:tcMar>
              <w:top w:w="15" w:type="dxa"/>
              <w:left w:w="15" w:type="dxa"/>
              <w:bottom w:w="15" w:type="dxa"/>
              <w:right w:w="15" w:type="dxa"/>
            </w:tcMar>
            <w:vAlign w:val="center"/>
            <w:hideMark/>
          </w:tcPr>
          <w:p w14:paraId="2C1AE0FC" w14:textId="77777777" w:rsidR="00CB397B" w:rsidRDefault="00CB397B"/>
        </w:tc>
        <w:tc>
          <w:tcPr>
            <w:tcW w:w="642" w:type="pct"/>
            <w:tcMar>
              <w:top w:w="15" w:type="dxa"/>
              <w:left w:w="15" w:type="dxa"/>
              <w:bottom w:w="15" w:type="dxa"/>
              <w:right w:w="15" w:type="dxa"/>
            </w:tcMar>
            <w:vAlign w:val="center"/>
            <w:hideMark/>
          </w:tcPr>
          <w:p w14:paraId="1E35DCA5"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082" w:type="pct"/>
            <w:tcMar>
              <w:top w:w="15" w:type="dxa"/>
              <w:left w:w="15" w:type="dxa"/>
              <w:bottom w:w="15" w:type="dxa"/>
              <w:right w:w="15" w:type="dxa"/>
            </w:tcMar>
            <w:vAlign w:val="center"/>
            <w:hideMark/>
          </w:tcPr>
          <w:p w14:paraId="135E6928" w14:textId="77777777" w:rsidR="00CB397B" w:rsidRDefault="00CB397B">
            <w:pPr>
              <w:jc w:val="both"/>
              <w:rPr>
                <w:rFonts w:ascii="Times New Roman" w:hAnsi="Times New Roman"/>
                <w:sz w:val="24"/>
                <w:szCs w:val="24"/>
              </w:rPr>
            </w:pPr>
            <w:r>
              <w:rPr>
                <w:rFonts w:ascii="Times New Roman" w:hAnsi="Times New Roman"/>
                <w:sz w:val="24"/>
                <w:szCs w:val="24"/>
              </w:rPr>
              <w:t>0.0680 ± 0.0001</w:t>
            </w:r>
            <w:r>
              <w:rPr>
                <w:rFonts w:ascii="Times New Roman" w:hAnsi="Times New Roman"/>
                <w:sz w:val="24"/>
                <w:szCs w:val="24"/>
                <w:vertAlign w:val="superscript"/>
              </w:rPr>
              <w:t>i</w:t>
            </w:r>
          </w:p>
        </w:tc>
        <w:tc>
          <w:tcPr>
            <w:tcW w:w="1015" w:type="pct"/>
            <w:tcMar>
              <w:top w:w="15" w:type="dxa"/>
              <w:left w:w="15" w:type="dxa"/>
              <w:bottom w:w="15" w:type="dxa"/>
              <w:right w:w="15" w:type="dxa"/>
            </w:tcMar>
            <w:vAlign w:val="center"/>
            <w:hideMark/>
          </w:tcPr>
          <w:p w14:paraId="27F4D463" w14:textId="77777777" w:rsidR="00CB397B" w:rsidRDefault="00CB397B">
            <w:pPr>
              <w:jc w:val="both"/>
              <w:rPr>
                <w:rFonts w:ascii="Times New Roman" w:hAnsi="Times New Roman"/>
                <w:sz w:val="24"/>
                <w:szCs w:val="24"/>
              </w:rPr>
            </w:pPr>
            <w:r>
              <w:rPr>
                <w:rFonts w:ascii="Times New Roman" w:hAnsi="Times New Roman"/>
                <w:sz w:val="24"/>
                <w:szCs w:val="24"/>
              </w:rPr>
              <w:t>0.0711 ± 0.0001</w:t>
            </w:r>
            <w:r>
              <w:rPr>
                <w:rFonts w:ascii="Times New Roman" w:hAnsi="Times New Roman"/>
                <w:sz w:val="24"/>
                <w:szCs w:val="24"/>
                <w:vertAlign w:val="superscript"/>
              </w:rPr>
              <w:t>i</w:t>
            </w:r>
          </w:p>
        </w:tc>
        <w:tc>
          <w:tcPr>
            <w:tcW w:w="1015" w:type="pct"/>
            <w:tcMar>
              <w:top w:w="15" w:type="dxa"/>
              <w:left w:w="15" w:type="dxa"/>
              <w:bottom w:w="15" w:type="dxa"/>
              <w:right w:w="15" w:type="dxa"/>
            </w:tcMar>
            <w:vAlign w:val="center"/>
            <w:hideMark/>
          </w:tcPr>
          <w:p w14:paraId="76849DEC" w14:textId="77777777" w:rsidR="00CB397B" w:rsidRDefault="00CB397B">
            <w:pPr>
              <w:jc w:val="both"/>
              <w:rPr>
                <w:rFonts w:ascii="Times New Roman" w:hAnsi="Times New Roman"/>
                <w:sz w:val="24"/>
                <w:szCs w:val="24"/>
                <w:vertAlign w:val="superscript"/>
              </w:rPr>
            </w:pPr>
            <w:r>
              <w:rPr>
                <w:rFonts w:ascii="Times New Roman" w:hAnsi="Times New Roman"/>
                <w:sz w:val="24"/>
                <w:szCs w:val="24"/>
              </w:rPr>
              <w:t>0.0998 ± 0.0001</w:t>
            </w:r>
            <w:r>
              <w:rPr>
                <w:rFonts w:ascii="Times New Roman" w:hAnsi="Times New Roman"/>
                <w:sz w:val="24"/>
                <w:szCs w:val="24"/>
                <w:vertAlign w:val="superscript"/>
              </w:rPr>
              <w:t>h</w:t>
            </w:r>
          </w:p>
        </w:tc>
      </w:tr>
      <w:tr w:rsidR="00CB397B" w14:paraId="6B01F328" w14:textId="77777777" w:rsidTr="007E4E4A">
        <w:trPr>
          <w:trHeight w:val="153"/>
          <w:tblCellSpacing w:w="15" w:type="dxa"/>
        </w:trPr>
        <w:tc>
          <w:tcPr>
            <w:tcW w:w="4972" w:type="pct"/>
            <w:gridSpan w:val="7"/>
            <w:hideMark/>
          </w:tcPr>
          <w:p w14:paraId="412607B1" w14:textId="77777777" w:rsidR="00CB397B" w:rsidRDefault="00CB397B">
            <w:pPr>
              <w:pStyle w:val="Heading3"/>
              <w:spacing w:before="0" w:line="276" w:lineRule="auto"/>
              <w:jc w:val="both"/>
            </w:pPr>
            <w:r>
              <w:t>______________________________________________________________________________________</w:t>
            </w:r>
          </w:p>
        </w:tc>
      </w:tr>
    </w:tbl>
    <w:p w14:paraId="44DA27EA" w14:textId="77777777" w:rsidR="00CB397B" w:rsidRDefault="00CB397B" w:rsidP="00CB397B">
      <w:pPr>
        <w:jc w:val="both"/>
        <w:rPr>
          <w:rFonts w:ascii="Times New Roman" w:hAnsi="Times New Roman"/>
          <w:i/>
          <w:sz w:val="24"/>
          <w:szCs w:val="24"/>
        </w:rPr>
      </w:pPr>
      <w:r>
        <w:rPr>
          <w:rFonts w:ascii="Times New Roman" w:hAnsi="Times New Roman"/>
          <w:i/>
          <w:sz w:val="24"/>
          <w:szCs w:val="24"/>
        </w:rPr>
        <w:t>Values are presented as mean ± SD</w:t>
      </w:r>
      <w:r w:rsidR="00264791">
        <w:rPr>
          <w:rFonts w:ascii="Times New Roman" w:hAnsi="Times New Roman"/>
          <w:i/>
          <w:sz w:val="24"/>
          <w:szCs w:val="24"/>
        </w:rPr>
        <w:t>.</w:t>
      </w:r>
      <w:r>
        <w:rPr>
          <w:rFonts w:ascii="Times New Roman" w:hAnsi="Times New Roman"/>
          <w:i/>
          <w:sz w:val="24"/>
          <w:szCs w:val="24"/>
        </w:rPr>
        <w:t xml:space="preserve"> Different letters indicate significant differences (</w:t>
      </w:r>
      <w:r>
        <w:rPr>
          <w:rFonts w:ascii="Times New Roman" w:hAnsi="Times New Roman"/>
          <w:i/>
          <w:iCs/>
          <w:sz w:val="24"/>
          <w:szCs w:val="24"/>
        </w:rPr>
        <w:t>p</w:t>
      </w:r>
      <w:r>
        <w:rPr>
          <w:rFonts w:ascii="Times New Roman" w:hAnsi="Times New Roman"/>
          <w:i/>
          <w:sz w:val="24"/>
          <w:szCs w:val="24"/>
        </w:rPr>
        <w:t xml:space="preserve"> &lt; 0.05).</w:t>
      </w:r>
    </w:p>
    <w:p w14:paraId="003A0285" w14:textId="77777777" w:rsidR="00CB397B" w:rsidRDefault="00CB397B" w:rsidP="00CB397B">
      <w:pPr>
        <w:pStyle w:val="Heading3"/>
        <w:spacing w:before="0" w:line="276" w:lineRule="auto"/>
        <w:jc w:val="both"/>
        <w:rPr>
          <w:rFonts w:ascii="Times New Roman" w:eastAsia="Times New Roman" w:hAnsi="Times New Roman" w:cs="Times New Roman"/>
        </w:rPr>
      </w:pPr>
      <w:r>
        <w:t>3.1.2 Lead (Pb)</w:t>
      </w:r>
    </w:p>
    <w:p w14:paraId="4C7F58DF" w14:textId="77777777" w:rsidR="00CB397B" w:rsidRDefault="00CB397B" w:rsidP="00CB397B">
      <w:pPr>
        <w:pStyle w:val="NormalWeb"/>
        <w:spacing w:before="0" w:beforeAutospacing="0" w:after="0" w:afterAutospacing="0" w:line="276" w:lineRule="auto"/>
        <w:jc w:val="both"/>
      </w:pPr>
      <w:r>
        <w:t>The results revealed significant differences in Pb concentration among several farm–pond combinations. In the muscle, IYONDE–Tarpaulin had the highest concentration (0.0315 mg/L), while MAGNUS–Earthen had the lowest (0.0203 mg/L). However, some groups shared homogeneous subsets, indicating that their mean concentrations were not significantly different.</w:t>
      </w:r>
    </w:p>
    <w:p w14:paraId="4C813176" w14:textId="77777777" w:rsidR="00CB397B" w:rsidRDefault="00CB397B" w:rsidP="00CB397B">
      <w:pPr>
        <w:pStyle w:val="NormalWeb"/>
        <w:spacing w:before="0" w:beforeAutospacing="0" w:after="0" w:afterAutospacing="0" w:line="276" w:lineRule="auto"/>
        <w:jc w:val="both"/>
      </w:pPr>
      <w:r>
        <w:t>The gills showed a particularly clear pattern. New Airport–Concrete recorded the highest Pb concentration (0.0422 mg/L), followed by IYONDE–Concrete (0.0384 mg/L) and IYONDE–Tarpaulin (0.0377 mg/L). MAGNUS–Earthen recorded the lowest concentration (0.0207 mg/L). The different post-hoc groupings demonstrate significant differences between the higher and lower concentration groups. For the liver, New Airport–Concrete had the highest Pb concentration (0.0349 mg/L), whereas MAGNUS–Concrete recorded 0.0247 mg/L.</w:t>
      </w:r>
    </w:p>
    <w:p w14:paraId="13536AEA" w14:textId="77777777" w:rsidR="00CB397B" w:rsidRDefault="00CB397B" w:rsidP="00CB397B">
      <w:pPr>
        <w:pStyle w:val="Heading3"/>
        <w:spacing w:before="0" w:line="276" w:lineRule="auto"/>
        <w:jc w:val="both"/>
      </w:pPr>
    </w:p>
    <w:p w14:paraId="02394DD5" w14:textId="77777777" w:rsidR="00CB397B" w:rsidRDefault="00CB397B" w:rsidP="00CB397B">
      <w:pPr>
        <w:pStyle w:val="Heading3"/>
        <w:spacing w:before="0" w:line="276" w:lineRule="auto"/>
        <w:jc w:val="both"/>
      </w:pPr>
    </w:p>
    <w:p w14:paraId="6B6B880B" w14:textId="77777777" w:rsidR="00CB397B" w:rsidRDefault="00CB397B" w:rsidP="00CB397B">
      <w:pPr>
        <w:pStyle w:val="Heading3"/>
        <w:spacing w:before="0" w:line="276" w:lineRule="auto"/>
        <w:jc w:val="both"/>
      </w:pPr>
      <w:r>
        <w:t xml:space="preserve">Table 2: Mean Concentration of Lead (Pb) [mg/L] in Tissues of </w:t>
      </w:r>
      <w:r>
        <w:rPr>
          <w:rStyle w:val="Emphasis"/>
          <w:rFonts w:eastAsia="SimSun"/>
        </w:rPr>
        <w:t xml:space="preserve">Clarias </w:t>
      </w:r>
      <w:proofErr w:type="spellStart"/>
      <w:r>
        <w:rPr>
          <w:rStyle w:val="Emphasis"/>
          <w:rFonts w:eastAsia="SimSun"/>
        </w:rPr>
        <w:t>gariepinus</w:t>
      </w:r>
      <w:proofErr w:type="spellEnd"/>
    </w:p>
    <w:tbl>
      <w:tblPr>
        <w:tblW w:w="5000" w:type="pct"/>
        <w:tblCellSpacing w:w="15" w:type="dxa"/>
        <w:tblLook w:val="04A0" w:firstRow="1" w:lastRow="0" w:firstColumn="1" w:lastColumn="0" w:noHBand="0" w:noVBand="1"/>
      </w:tblPr>
      <w:tblGrid>
        <w:gridCol w:w="1907"/>
        <w:gridCol w:w="1536"/>
        <w:gridCol w:w="2524"/>
        <w:gridCol w:w="2409"/>
        <w:gridCol w:w="2424"/>
      </w:tblGrid>
      <w:tr w:rsidR="00CB397B" w14:paraId="7E45B252" w14:textId="77777777" w:rsidTr="007E4E4A">
        <w:trPr>
          <w:trHeight w:val="242"/>
          <w:tblHeader/>
          <w:tblCellSpacing w:w="15" w:type="dxa"/>
        </w:trPr>
        <w:tc>
          <w:tcPr>
            <w:tcW w:w="860"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174EF986"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696"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4BC746E5"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1153"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36F7A864" w14:textId="77777777" w:rsidR="00CB397B" w:rsidRDefault="00CB397B">
            <w:pPr>
              <w:jc w:val="both"/>
              <w:rPr>
                <w:rFonts w:ascii="Times New Roman" w:hAnsi="Times New Roman"/>
                <w:b/>
                <w:bCs/>
                <w:sz w:val="24"/>
                <w:szCs w:val="24"/>
              </w:rPr>
            </w:pPr>
            <w:r>
              <w:rPr>
                <w:rFonts w:ascii="Times New Roman" w:hAnsi="Times New Roman"/>
                <w:b/>
                <w:bCs/>
                <w:sz w:val="24"/>
                <w:szCs w:val="24"/>
              </w:rPr>
              <w:t>Muscle</w:t>
            </w:r>
          </w:p>
        </w:tc>
        <w:tc>
          <w:tcPr>
            <w:tcW w:w="1100"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5603DF11" w14:textId="77777777" w:rsidR="00CB397B" w:rsidRDefault="00CB397B">
            <w:pPr>
              <w:jc w:val="both"/>
              <w:rPr>
                <w:rFonts w:ascii="Times New Roman" w:hAnsi="Times New Roman"/>
                <w:b/>
                <w:bCs/>
                <w:sz w:val="24"/>
                <w:szCs w:val="24"/>
              </w:rPr>
            </w:pPr>
            <w:r>
              <w:rPr>
                <w:rFonts w:ascii="Times New Roman" w:hAnsi="Times New Roman"/>
                <w:b/>
                <w:bCs/>
                <w:sz w:val="24"/>
                <w:szCs w:val="24"/>
              </w:rPr>
              <w:t>Gills</w:t>
            </w:r>
          </w:p>
        </w:tc>
        <w:tc>
          <w:tcPr>
            <w:tcW w:w="1100"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6D9167BD" w14:textId="77777777" w:rsidR="00CB397B" w:rsidRDefault="00CB397B">
            <w:pPr>
              <w:jc w:val="both"/>
              <w:rPr>
                <w:rFonts w:ascii="Times New Roman" w:hAnsi="Times New Roman"/>
                <w:b/>
                <w:bCs/>
                <w:sz w:val="24"/>
                <w:szCs w:val="24"/>
              </w:rPr>
            </w:pPr>
            <w:r>
              <w:rPr>
                <w:rFonts w:ascii="Times New Roman" w:hAnsi="Times New Roman"/>
                <w:b/>
                <w:bCs/>
                <w:sz w:val="24"/>
                <w:szCs w:val="24"/>
              </w:rPr>
              <w:t>Liver</w:t>
            </w:r>
          </w:p>
        </w:tc>
      </w:tr>
      <w:tr w:rsidR="00CB397B" w14:paraId="2F42A551" w14:textId="77777777" w:rsidTr="007E4E4A">
        <w:trPr>
          <w:trHeight w:val="285"/>
          <w:tblCellSpacing w:w="15" w:type="dxa"/>
        </w:trPr>
        <w:tc>
          <w:tcPr>
            <w:tcW w:w="860" w:type="pct"/>
            <w:tcMar>
              <w:top w:w="15" w:type="dxa"/>
              <w:left w:w="15" w:type="dxa"/>
              <w:bottom w:w="15" w:type="dxa"/>
              <w:right w:w="15" w:type="dxa"/>
            </w:tcMar>
            <w:vAlign w:val="center"/>
            <w:hideMark/>
          </w:tcPr>
          <w:p w14:paraId="52D6ECF3"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696" w:type="pct"/>
            <w:tcMar>
              <w:top w:w="15" w:type="dxa"/>
              <w:left w:w="15" w:type="dxa"/>
              <w:bottom w:w="15" w:type="dxa"/>
              <w:right w:w="15" w:type="dxa"/>
            </w:tcMar>
            <w:vAlign w:val="center"/>
            <w:hideMark/>
          </w:tcPr>
          <w:p w14:paraId="1A4CF52E"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153" w:type="pct"/>
            <w:tcMar>
              <w:top w:w="15" w:type="dxa"/>
              <w:left w:w="15" w:type="dxa"/>
              <w:bottom w:w="15" w:type="dxa"/>
              <w:right w:w="15" w:type="dxa"/>
            </w:tcMar>
            <w:vAlign w:val="center"/>
            <w:hideMark/>
          </w:tcPr>
          <w:p w14:paraId="1566A374" w14:textId="77777777" w:rsidR="00CB397B" w:rsidRDefault="00CB397B">
            <w:pPr>
              <w:jc w:val="both"/>
              <w:rPr>
                <w:rFonts w:ascii="Times New Roman" w:hAnsi="Times New Roman"/>
                <w:sz w:val="24"/>
                <w:szCs w:val="24"/>
                <w:vertAlign w:val="superscript"/>
              </w:rPr>
            </w:pPr>
            <w:r>
              <w:rPr>
                <w:rFonts w:ascii="Times New Roman" w:hAnsi="Times New Roman"/>
                <w:sz w:val="24"/>
                <w:szCs w:val="24"/>
              </w:rPr>
              <w:t>0.0198 ± 0.0034</w:t>
            </w:r>
            <w:r>
              <w:rPr>
                <w:rFonts w:ascii="Times New Roman" w:hAnsi="Times New Roman"/>
                <w:sz w:val="24"/>
                <w:szCs w:val="24"/>
                <w:vertAlign w:val="superscript"/>
              </w:rPr>
              <w:t>c</w:t>
            </w:r>
          </w:p>
        </w:tc>
        <w:tc>
          <w:tcPr>
            <w:tcW w:w="1100" w:type="pct"/>
            <w:tcMar>
              <w:top w:w="15" w:type="dxa"/>
              <w:left w:w="15" w:type="dxa"/>
              <w:bottom w:w="15" w:type="dxa"/>
              <w:right w:w="15" w:type="dxa"/>
            </w:tcMar>
            <w:vAlign w:val="center"/>
            <w:hideMark/>
          </w:tcPr>
          <w:p w14:paraId="1D996665" w14:textId="77777777" w:rsidR="00CB397B" w:rsidRDefault="00CB397B">
            <w:pPr>
              <w:jc w:val="both"/>
              <w:rPr>
                <w:rFonts w:ascii="Times New Roman" w:hAnsi="Times New Roman"/>
                <w:sz w:val="24"/>
                <w:szCs w:val="24"/>
              </w:rPr>
            </w:pPr>
            <w:r>
              <w:rPr>
                <w:rFonts w:ascii="Times New Roman" w:hAnsi="Times New Roman"/>
                <w:sz w:val="24"/>
                <w:szCs w:val="24"/>
              </w:rPr>
              <w:t>0.0422 ± 0.0001</w:t>
            </w:r>
            <w:r>
              <w:rPr>
                <w:rFonts w:ascii="Times New Roman" w:hAnsi="Times New Roman"/>
                <w:sz w:val="24"/>
                <w:szCs w:val="24"/>
                <w:vertAlign w:val="superscript"/>
              </w:rPr>
              <w:t>a</w:t>
            </w:r>
          </w:p>
        </w:tc>
        <w:tc>
          <w:tcPr>
            <w:tcW w:w="1100" w:type="pct"/>
            <w:tcMar>
              <w:top w:w="15" w:type="dxa"/>
              <w:left w:w="15" w:type="dxa"/>
              <w:bottom w:w="15" w:type="dxa"/>
              <w:right w:w="15" w:type="dxa"/>
            </w:tcMar>
            <w:vAlign w:val="center"/>
            <w:hideMark/>
          </w:tcPr>
          <w:p w14:paraId="20F9EE96" w14:textId="77777777" w:rsidR="00CB397B" w:rsidRDefault="00CB397B">
            <w:pPr>
              <w:jc w:val="both"/>
              <w:rPr>
                <w:rFonts w:ascii="Times New Roman" w:hAnsi="Times New Roman"/>
                <w:sz w:val="24"/>
                <w:szCs w:val="24"/>
              </w:rPr>
            </w:pPr>
            <w:r>
              <w:rPr>
                <w:rFonts w:ascii="Times New Roman" w:hAnsi="Times New Roman"/>
                <w:sz w:val="24"/>
                <w:szCs w:val="24"/>
              </w:rPr>
              <w:t>0.0349 ± 0.0001</w:t>
            </w:r>
            <w:r>
              <w:rPr>
                <w:rFonts w:ascii="Times New Roman" w:hAnsi="Times New Roman"/>
                <w:sz w:val="24"/>
                <w:szCs w:val="24"/>
                <w:vertAlign w:val="superscript"/>
              </w:rPr>
              <w:t>b</w:t>
            </w:r>
          </w:p>
        </w:tc>
      </w:tr>
      <w:tr w:rsidR="00CB397B" w14:paraId="65DC0E3E" w14:textId="77777777" w:rsidTr="007E4E4A">
        <w:trPr>
          <w:trHeight w:val="87"/>
          <w:tblCellSpacing w:w="15" w:type="dxa"/>
        </w:trPr>
        <w:tc>
          <w:tcPr>
            <w:tcW w:w="860" w:type="pct"/>
            <w:tcMar>
              <w:top w:w="15" w:type="dxa"/>
              <w:left w:w="15" w:type="dxa"/>
              <w:bottom w:w="15" w:type="dxa"/>
              <w:right w:w="15" w:type="dxa"/>
            </w:tcMar>
            <w:vAlign w:val="center"/>
            <w:hideMark/>
          </w:tcPr>
          <w:p w14:paraId="2ACCF070" w14:textId="77777777" w:rsidR="00CB397B" w:rsidRDefault="00CB397B">
            <w:pPr>
              <w:rPr>
                <w:rFonts w:ascii="Times New Roman" w:hAnsi="Times New Roman"/>
                <w:sz w:val="24"/>
                <w:szCs w:val="24"/>
              </w:rPr>
            </w:pPr>
          </w:p>
        </w:tc>
        <w:tc>
          <w:tcPr>
            <w:tcW w:w="696" w:type="pct"/>
            <w:tcMar>
              <w:top w:w="15" w:type="dxa"/>
              <w:left w:w="15" w:type="dxa"/>
              <w:bottom w:w="15" w:type="dxa"/>
              <w:right w:w="15" w:type="dxa"/>
            </w:tcMar>
            <w:vAlign w:val="center"/>
            <w:hideMark/>
          </w:tcPr>
          <w:p w14:paraId="1330D4A1"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153" w:type="pct"/>
            <w:tcMar>
              <w:top w:w="15" w:type="dxa"/>
              <w:left w:w="15" w:type="dxa"/>
              <w:bottom w:w="15" w:type="dxa"/>
              <w:right w:w="15" w:type="dxa"/>
            </w:tcMar>
            <w:vAlign w:val="center"/>
            <w:hideMark/>
          </w:tcPr>
          <w:p w14:paraId="5359D318" w14:textId="77777777" w:rsidR="00CB397B" w:rsidRDefault="00CB397B">
            <w:pPr>
              <w:jc w:val="both"/>
              <w:rPr>
                <w:rFonts w:ascii="Times New Roman" w:hAnsi="Times New Roman"/>
                <w:sz w:val="24"/>
                <w:szCs w:val="24"/>
              </w:rPr>
            </w:pPr>
            <w:r>
              <w:rPr>
                <w:rFonts w:ascii="Times New Roman" w:hAnsi="Times New Roman"/>
                <w:sz w:val="24"/>
                <w:szCs w:val="24"/>
              </w:rPr>
              <w:t>0.0279 ± 0.0001</w:t>
            </w:r>
            <w:r>
              <w:rPr>
                <w:rFonts w:ascii="Times New Roman" w:hAnsi="Times New Roman"/>
                <w:sz w:val="24"/>
                <w:szCs w:val="24"/>
                <w:vertAlign w:val="superscript"/>
              </w:rPr>
              <w:t>ab</w:t>
            </w:r>
          </w:p>
        </w:tc>
        <w:tc>
          <w:tcPr>
            <w:tcW w:w="1100" w:type="pct"/>
            <w:tcMar>
              <w:top w:w="15" w:type="dxa"/>
              <w:left w:w="15" w:type="dxa"/>
              <w:bottom w:w="15" w:type="dxa"/>
              <w:right w:w="15" w:type="dxa"/>
            </w:tcMar>
            <w:vAlign w:val="center"/>
            <w:hideMark/>
          </w:tcPr>
          <w:p w14:paraId="380418CF" w14:textId="77777777" w:rsidR="00CB397B" w:rsidRDefault="00CB397B">
            <w:pPr>
              <w:jc w:val="both"/>
              <w:rPr>
                <w:rFonts w:ascii="Times New Roman" w:hAnsi="Times New Roman"/>
                <w:sz w:val="24"/>
                <w:szCs w:val="24"/>
              </w:rPr>
            </w:pPr>
            <w:r>
              <w:rPr>
                <w:rFonts w:ascii="Times New Roman" w:hAnsi="Times New Roman"/>
                <w:sz w:val="24"/>
                <w:szCs w:val="24"/>
              </w:rPr>
              <w:t>0.0331 ± 0.0001</w:t>
            </w:r>
            <w:r>
              <w:rPr>
                <w:rFonts w:ascii="Times New Roman" w:hAnsi="Times New Roman"/>
                <w:sz w:val="24"/>
                <w:szCs w:val="24"/>
                <w:vertAlign w:val="superscript"/>
              </w:rPr>
              <w:t>b</w:t>
            </w:r>
          </w:p>
        </w:tc>
        <w:tc>
          <w:tcPr>
            <w:tcW w:w="1100" w:type="pct"/>
            <w:tcMar>
              <w:top w:w="15" w:type="dxa"/>
              <w:left w:w="15" w:type="dxa"/>
              <w:bottom w:w="15" w:type="dxa"/>
              <w:right w:w="15" w:type="dxa"/>
            </w:tcMar>
            <w:vAlign w:val="center"/>
            <w:hideMark/>
          </w:tcPr>
          <w:p w14:paraId="103895EB" w14:textId="77777777" w:rsidR="00CB397B" w:rsidRDefault="00CB397B">
            <w:pPr>
              <w:jc w:val="both"/>
              <w:rPr>
                <w:rFonts w:ascii="Times New Roman" w:hAnsi="Times New Roman"/>
                <w:sz w:val="24"/>
                <w:szCs w:val="24"/>
              </w:rPr>
            </w:pPr>
            <w:r>
              <w:rPr>
                <w:rFonts w:ascii="Times New Roman" w:hAnsi="Times New Roman"/>
                <w:sz w:val="24"/>
                <w:szCs w:val="24"/>
              </w:rPr>
              <w:t>0.0317 ± 0.0001</w:t>
            </w:r>
            <w:r>
              <w:rPr>
                <w:rFonts w:ascii="Times New Roman" w:hAnsi="Times New Roman"/>
                <w:sz w:val="24"/>
                <w:szCs w:val="24"/>
                <w:vertAlign w:val="superscript"/>
              </w:rPr>
              <w:t>a</w:t>
            </w:r>
          </w:p>
        </w:tc>
      </w:tr>
      <w:tr w:rsidR="00CB397B" w14:paraId="5E458561" w14:textId="77777777" w:rsidTr="007E4E4A">
        <w:trPr>
          <w:trHeight w:val="168"/>
          <w:tblCellSpacing w:w="15" w:type="dxa"/>
        </w:trPr>
        <w:tc>
          <w:tcPr>
            <w:tcW w:w="860" w:type="pct"/>
            <w:tcMar>
              <w:top w:w="15" w:type="dxa"/>
              <w:left w:w="15" w:type="dxa"/>
              <w:bottom w:w="15" w:type="dxa"/>
              <w:right w:w="15" w:type="dxa"/>
            </w:tcMar>
            <w:vAlign w:val="center"/>
            <w:hideMark/>
          </w:tcPr>
          <w:p w14:paraId="461B515E" w14:textId="77777777" w:rsidR="00CB397B" w:rsidRDefault="00CB397B">
            <w:pPr>
              <w:rPr>
                <w:rFonts w:ascii="Times New Roman" w:hAnsi="Times New Roman"/>
                <w:sz w:val="24"/>
                <w:szCs w:val="24"/>
              </w:rPr>
            </w:pPr>
          </w:p>
        </w:tc>
        <w:tc>
          <w:tcPr>
            <w:tcW w:w="696" w:type="pct"/>
            <w:tcMar>
              <w:top w:w="15" w:type="dxa"/>
              <w:left w:w="15" w:type="dxa"/>
              <w:bottom w:w="15" w:type="dxa"/>
              <w:right w:w="15" w:type="dxa"/>
            </w:tcMar>
            <w:vAlign w:val="center"/>
            <w:hideMark/>
          </w:tcPr>
          <w:p w14:paraId="210D4BC2"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153" w:type="pct"/>
            <w:tcMar>
              <w:top w:w="15" w:type="dxa"/>
              <w:left w:w="15" w:type="dxa"/>
              <w:bottom w:w="15" w:type="dxa"/>
              <w:right w:w="15" w:type="dxa"/>
            </w:tcMar>
            <w:vAlign w:val="center"/>
            <w:hideMark/>
          </w:tcPr>
          <w:p w14:paraId="16200554" w14:textId="77777777" w:rsidR="00CB397B" w:rsidRDefault="00CB397B">
            <w:pPr>
              <w:jc w:val="both"/>
              <w:rPr>
                <w:rFonts w:ascii="Times New Roman" w:hAnsi="Times New Roman"/>
                <w:sz w:val="24"/>
                <w:szCs w:val="24"/>
              </w:rPr>
            </w:pPr>
            <w:r>
              <w:rPr>
                <w:rFonts w:ascii="Times New Roman" w:hAnsi="Times New Roman"/>
                <w:sz w:val="24"/>
                <w:szCs w:val="24"/>
              </w:rPr>
              <w:t>0.0235 ± 0.0000</w:t>
            </w:r>
            <w:r>
              <w:rPr>
                <w:rFonts w:ascii="Times New Roman" w:hAnsi="Times New Roman"/>
                <w:sz w:val="24"/>
                <w:szCs w:val="24"/>
                <w:vertAlign w:val="superscript"/>
              </w:rPr>
              <w:t>cd</w:t>
            </w:r>
          </w:p>
        </w:tc>
        <w:tc>
          <w:tcPr>
            <w:tcW w:w="1100" w:type="pct"/>
            <w:tcMar>
              <w:top w:w="15" w:type="dxa"/>
              <w:left w:w="15" w:type="dxa"/>
              <w:bottom w:w="15" w:type="dxa"/>
              <w:right w:w="15" w:type="dxa"/>
            </w:tcMar>
            <w:vAlign w:val="center"/>
            <w:hideMark/>
          </w:tcPr>
          <w:p w14:paraId="657935AA" w14:textId="77777777" w:rsidR="00CB397B" w:rsidRDefault="00CB397B">
            <w:pPr>
              <w:jc w:val="both"/>
              <w:rPr>
                <w:rFonts w:ascii="Times New Roman" w:hAnsi="Times New Roman"/>
                <w:sz w:val="24"/>
                <w:szCs w:val="24"/>
              </w:rPr>
            </w:pPr>
            <w:r>
              <w:rPr>
                <w:rFonts w:ascii="Times New Roman" w:hAnsi="Times New Roman"/>
                <w:sz w:val="24"/>
                <w:szCs w:val="24"/>
              </w:rPr>
              <w:t>0.0234 ± 0.0001</w:t>
            </w:r>
            <w:r>
              <w:rPr>
                <w:rFonts w:ascii="Times New Roman" w:hAnsi="Times New Roman"/>
                <w:sz w:val="24"/>
                <w:szCs w:val="24"/>
                <w:vertAlign w:val="superscript"/>
              </w:rPr>
              <w:t>c</w:t>
            </w:r>
          </w:p>
        </w:tc>
        <w:tc>
          <w:tcPr>
            <w:tcW w:w="1100" w:type="pct"/>
            <w:tcMar>
              <w:top w:w="15" w:type="dxa"/>
              <w:left w:w="15" w:type="dxa"/>
              <w:bottom w:w="15" w:type="dxa"/>
              <w:right w:w="15" w:type="dxa"/>
            </w:tcMar>
            <w:vAlign w:val="center"/>
            <w:hideMark/>
          </w:tcPr>
          <w:p w14:paraId="760CA5E7" w14:textId="77777777" w:rsidR="00CB397B" w:rsidRDefault="00CB397B">
            <w:pPr>
              <w:jc w:val="both"/>
              <w:rPr>
                <w:rFonts w:ascii="Times New Roman" w:hAnsi="Times New Roman"/>
                <w:sz w:val="24"/>
                <w:szCs w:val="24"/>
              </w:rPr>
            </w:pPr>
            <w:r>
              <w:rPr>
                <w:rFonts w:ascii="Times New Roman" w:hAnsi="Times New Roman"/>
                <w:sz w:val="24"/>
                <w:szCs w:val="24"/>
              </w:rPr>
              <w:t>0.0323 ± 0.0000</w:t>
            </w:r>
            <w:r>
              <w:rPr>
                <w:rFonts w:ascii="Times New Roman" w:hAnsi="Times New Roman"/>
                <w:sz w:val="24"/>
                <w:szCs w:val="24"/>
                <w:vertAlign w:val="superscript"/>
              </w:rPr>
              <w:t>c</w:t>
            </w:r>
          </w:p>
        </w:tc>
      </w:tr>
      <w:tr w:rsidR="00CB397B" w14:paraId="3BDEE11A" w14:textId="77777777" w:rsidTr="007E4E4A">
        <w:trPr>
          <w:trHeight w:val="150"/>
          <w:tblCellSpacing w:w="15" w:type="dxa"/>
        </w:trPr>
        <w:tc>
          <w:tcPr>
            <w:tcW w:w="860" w:type="pct"/>
            <w:tcMar>
              <w:top w:w="15" w:type="dxa"/>
              <w:left w:w="15" w:type="dxa"/>
              <w:bottom w:w="15" w:type="dxa"/>
              <w:right w:w="15" w:type="dxa"/>
            </w:tcMar>
            <w:vAlign w:val="center"/>
            <w:hideMark/>
          </w:tcPr>
          <w:p w14:paraId="2C1ABAD3"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696" w:type="pct"/>
            <w:tcMar>
              <w:top w:w="15" w:type="dxa"/>
              <w:left w:w="15" w:type="dxa"/>
              <w:bottom w:w="15" w:type="dxa"/>
              <w:right w:w="15" w:type="dxa"/>
            </w:tcMar>
            <w:vAlign w:val="center"/>
            <w:hideMark/>
          </w:tcPr>
          <w:p w14:paraId="187DE94D"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153" w:type="pct"/>
            <w:tcMar>
              <w:top w:w="15" w:type="dxa"/>
              <w:left w:w="15" w:type="dxa"/>
              <w:bottom w:w="15" w:type="dxa"/>
              <w:right w:w="15" w:type="dxa"/>
            </w:tcMar>
            <w:vAlign w:val="center"/>
            <w:hideMark/>
          </w:tcPr>
          <w:p w14:paraId="316BEEBD" w14:textId="77777777" w:rsidR="00CB397B" w:rsidRDefault="00CB397B">
            <w:pPr>
              <w:jc w:val="both"/>
              <w:rPr>
                <w:rFonts w:ascii="Times New Roman" w:hAnsi="Times New Roman"/>
                <w:sz w:val="24"/>
                <w:szCs w:val="24"/>
              </w:rPr>
            </w:pPr>
            <w:r>
              <w:rPr>
                <w:rFonts w:ascii="Times New Roman" w:hAnsi="Times New Roman"/>
                <w:sz w:val="24"/>
                <w:szCs w:val="24"/>
              </w:rPr>
              <w:t>0.0298 ± 0.0001</w:t>
            </w:r>
            <w:r>
              <w:rPr>
                <w:rFonts w:ascii="Times New Roman" w:hAnsi="Times New Roman"/>
                <w:sz w:val="24"/>
                <w:szCs w:val="24"/>
                <w:vertAlign w:val="superscript"/>
              </w:rPr>
              <w:t>ab</w:t>
            </w:r>
          </w:p>
        </w:tc>
        <w:tc>
          <w:tcPr>
            <w:tcW w:w="1100" w:type="pct"/>
            <w:tcMar>
              <w:top w:w="15" w:type="dxa"/>
              <w:left w:w="15" w:type="dxa"/>
              <w:bottom w:w="15" w:type="dxa"/>
              <w:right w:w="15" w:type="dxa"/>
            </w:tcMar>
            <w:vAlign w:val="center"/>
            <w:hideMark/>
          </w:tcPr>
          <w:p w14:paraId="14B2923E" w14:textId="77777777" w:rsidR="00CB397B" w:rsidRDefault="00CB397B">
            <w:pPr>
              <w:jc w:val="both"/>
              <w:rPr>
                <w:rFonts w:ascii="Times New Roman" w:hAnsi="Times New Roman"/>
                <w:sz w:val="24"/>
                <w:szCs w:val="24"/>
              </w:rPr>
            </w:pPr>
            <w:r>
              <w:rPr>
                <w:rFonts w:ascii="Times New Roman" w:hAnsi="Times New Roman"/>
                <w:sz w:val="24"/>
                <w:szCs w:val="24"/>
              </w:rPr>
              <w:t>0.0384 ± 0.0001</w:t>
            </w:r>
            <w:r>
              <w:rPr>
                <w:rFonts w:ascii="Times New Roman" w:hAnsi="Times New Roman"/>
                <w:sz w:val="24"/>
                <w:szCs w:val="24"/>
                <w:vertAlign w:val="superscript"/>
              </w:rPr>
              <w:t>d</w:t>
            </w:r>
          </w:p>
        </w:tc>
        <w:tc>
          <w:tcPr>
            <w:tcW w:w="1100" w:type="pct"/>
            <w:tcMar>
              <w:top w:w="15" w:type="dxa"/>
              <w:left w:w="15" w:type="dxa"/>
              <w:bottom w:w="15" w:type="dxa"/>
              <w:right w:w="15" w:type="dxa"/>
            </w:tcMar>
            <w:vAlign w:val="center"/>
            <w:hideMark/>
          </w:tcPr>
          <w:p w14:paraId="21A1163D" w14:textId="77777777" w:rsidR="00CB397B" w:rsidRDefault="00CB397B">
            <w:pPr>
              <w:jc w:val="both"/>
              <w:rPr>
                <w:rFonts w:ascii="Times New Roman" w:hAnsi="Times New Roman"/>
                <w:sz w:val="24"/>
                <w:szCs w:val="24"/>
              </w:rPr>
            </w:pPr>
            <w:r>
              <w:rPr>
                <w:rFonts w:ascii="Times New Roman" w:hAnsi="Times New Roman"/>
                <w:sz w:val="24"/>
                <w:szCs w:val="24"/>
              </w:rPr>
              <w:t>0.0327 ± 0.0000</w:t>
            </w:r>
            <w:r>
              <w:rPr>
                <w:rFonts w:ascii="Times New Roman" w:hAnsi="Times New Roman"/>
                <w:sz w:val="24"/>
                <w:szCs w:val="24"/>
                <w:vertAlign w:val="superscript"/>
              </w:rPr>
              <w:t>d</w:t>
            </w:r>
          </w:p>
        </w:tc>
      </w:tr>
      <w:tr w:rsidR="00CB397B" w14:paraId="09D8CD48" w14:textId="77777777" w:rsidTr="007E4E4A">
        <w:trPr>
          <w:trHeight w:val="132"/>
          <w:tblCellSpacing w:w="15" w:type="dxa"/>
        </w:trPr>
        <w:tc>
          <w:tcPr>
            <w:tcW w:w="860" w:type="pct"/>
            <w:tcMar>
              <w:top w:w="15" w:type="dxa"/>
              <w:left w:w="15" w:type="dxa"/>
              <w:bottom w:w="15" w:type="dxa"/>
              <w:right w:w="15" w:type="dxa"/>
            </w:tcMar>
            <w:vAlign w:val="center"/>
            <w:hideMark/>
          </w:tcPr>
          <w:p w14:paraId="706E6C19" w14:textId="77777777" w:rsidR="00CB397B" w:rsidRDefault="00CB397B">
            <w:pPr>
              <w:rPr>
                <w:rFonts w:ascii="Times New Roman" w:hAnsi="Times New Roman"/>
                <w:sz w:val="24"/>
                <w:szCs w:val="24"/>
              </w:rPr>
            </w:pPr>
          </w:p>
        </w:tc>
        <w:tc>
          <w:tcPr>
            <w:tcW w:w="696" w:type="pct"/>
            <w:tcMar>
              <w:top w:w="15" w:type="dxa"/>
              <w:left w:w="15" w:type="dxa"/>
              <w:bottom w:w="15" w:type="dxa"/>
              <w:right w:w="15" w:type="dxa"/>
            </w:tcMar>
            <w:vAlign w:val="center"/>
            <w:hideMark/>
          </w:tcPr>
          <w:p w14:paraId="5735EA20"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153" w:type="pct"/>
            <w:tcMar>
              <w:top w:w="15" w:type="dxa"/>
              <w:left w:w="15" w:type="dxa"/>
              <w:bottom w:w="15" w:type="dxa"/>
              <w:right w:w="15" w:type="dxa"/>
            </w:tcMar>
            <w:vAlign w:val="center"/>
            <w:hideMark/>
          </w:tcPr>
          <w:p w14:paraId="4A63AEF5" w14:textId="77777777" w:rsidR="00CB397B" w:rsidRDefault="00CB397B">
            <w:pPr>
              <w:jc w:val="both"/>
              <w:rPr>
                <w:rFonts w:ascii="Times New Roman" w:hAnsi="Times New Roman"/>
                <w:sz w:val="24"/>
                <w:szCs w:val="24"/>
              </w:rPr>
            </w:pPr>
            <w:r>
              <w:rPr>
                <w:rFonts w:ascii="Times New Roman" w:hAnsi="Times New Roman"/>
                <w:sz w:val="24"/>
                <w:szCs w:val="24"/>
              </w:rPr>
              <w:t>0.0315 ± 0.0001</w:t>
            </w:r>
            <w:r>
              <w:rPr>
                <w:rFonts w:ascii="Times New Roman" w:hAnsi="Times New Roman"/>
                <w:sz w:val="24"/>
                <w:szCs w:val="24"/>
                <w:vertAlign w:val="superscript"/>
              </w:rPr>
              <w:t>a</w:t>
            </w:r>
          </w:p>
        </w:tc>
        <w:tc>
          <w:tcPr>
            <w:tcW w:w="1100" w:type="pct"/>
            <w:tcMar>
              <w:top w:w="15" w:type="dxa"/>
              <w:left w:w="15" w:type="dxa"/>
              <w:bottom w:w="15" w:type="dxa"/>
              <w:right w:w="15" w:type="dxa"/>
            </w:tcMar>
            <w:vAlign w:val="center"/>
            <w:hideMark/>
          </w:tcPr>
          <w:p w14:paraId="6D3BC4F8" w14:textId="77777777" w:rsidR="00CB397B" w:rsidRDefault="00CB397B">
            <w:pPr>
              <w:jc w:val="both"/>
              <w:rPr>
                <w:rFonts w:ascii="Times New Roman" w:hAnsi="Times New Roman"/>
                <w:sz w:val="24"/>
                <w:szCs w:val="24"/>
              </w:rPr>
            </w:pPr>
            <w:r>
              <w:rPr>
                <w:rFonts w:ascii="Times New Roman" w:hAnsi="Times New Roman"/>
                <w:sz w:val="24"/>
                <w:szCs w:val="24"/>
              </w:rPr>
              <w:t>0.0377 ± 0.0001</w:t>
            </w:r>
            <w:r>
              <w:rPr>
                <w:rFonts w:ascii="Times New Roman" w:hAnsi="Times New Roman"/>
                <w:sz w:val="24"/>
                <w:szCs w:val="24"/>
                <w:vertAlign w:val="superscript"/>
              </w:rPr>
              <w:t>e</w:t>
            </w:r>
          </w:p>
        </w:tc>
        <w:tc>
          <w:tcPr>
            <w:tcW w:w="1100" w:type="pct"/>
            <w:tcMar>
              <w:top w:w="15" w:type="dxa"/>
              <w:left w:w="15" w:type="dxa"/>
              <w:bottom w:w="15" w:type="dxa"/>
              <w:right w:w="15" w:type="dxa"/>
            </w:tcMar>
            <w:vAlign w:val="center"/>
            <w:hideMark/>
          </w:tcPr>
          <w:p w14:paraId="29004160" w14:textId="77777777" w:rsidR="00CB397B" w:rsidRDefault="00CB397B">
            <w:pPr>
              <w:jc w:val="both"/>
              <w:rPr>
                <w:rFonts w:ascii="Times New Roman" w:hAnsi="Times New Roman"/>
                <w:sz w:val="24"/>
                <w:szCs w:val="24"/>
              </w:rPr>
            </w:pPr>
            <w:r>
              <w:rPr>
                <w:rFonts w:ascii="Times New Roman" w:hAnsi="Times New Roman"/>
                <w:sz w:val="24"/>
                <w:szCs w:val="24"/>
              </w:rPr>
              <w:t>0.0287 ± 0.0001</w:t>
            </w:r>
            <w:r>
              <w:rPr>
                <w:rFonts w:ascii="Times New Roman" w:hAnsi="Times New Roman"/>
                <w:sz w:val="24"/>
                <w:szCs w:val="24"/>
                <w:vertAlign w:val="superscript"/>
              </w:rPr>
              <w:t>e</w:t>
            </w:r>
          </w:p>
        </w:tc>
      </w:tr>
      <w:tr w:rsidR="00CB397B" w14:paraId="73836179" w14:textId="77777777" w:rsidTr="007E4E4A">
        <w:trPr>
          <w:trHeight w:val="123"/>
          <w:tblCellSpacing w:w="15" w:type="dxa"/>
        </w:trPr>
        <w:tc>
          <w:tcPr>
            <w:tcW w:w="860" w:type="pct"/>
            <w:tcMar>
              <w:top w:w="15" w:type="dxa"/>
              <w:left w:w="15" w:type="dxa"/>
              <w:bottom w:w="15" w:type="dxa"/>
              <w:right w:w="15" w:type="dxa"/>
            </w:tcMar>
            <w:vAlign w:val="center"/>
            <w:hideMark/>
          </w:tcPr>
          <w:p w14:paraId="5D47E89E" w14:textId="77777777" w:rsidR="00CB397B" w:rsidRDefault="00CB397B">
            <w:pPr>
              <w:rPr>
                <w:rFonts w:ascii="Times New Roman" w:hAnsi="Times New Roman"/>
                <w:sz w:val="24"/>
                <w:szCs w:val="24"/>
              </w:rPr>
            </w:pPr>
          </w:p>
        </w:tc>
        <w:tc>
          <w:tcPr>
            <w:tcW w:w="696" w:type="pct"/>
            <w:tcMar>
              <w:top w:w="15" w:type="dxa"/>
              <w:left w:w="15" w:type="dxa"/>
              <w:bottom w:w="15" w:type="dxa"/>
              <w:right w:w="15" w:type="dxa"/>
            </w:tcMar>
            <w:vAlign w:val="center"/>
            <w:hideMark/>
          </w:tcPr>
          <w:p w14:paraId="2AB3EEB5"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153" w:type="pct"/>
            <w:tcMar>
              <w:top w:w="15" w:type="dxa"/>
              <w:left w:w="15" w:type="dxa"/>
              <w:bottom w:w="15" w:type="dxa"/>
              <w:right w:w="15" w:type="dxa"/>
            </w:tcMar>
            <w:vAlign w:val="center"/>
            <w:hideMark/>
          </w:tcPr>
          <w:p w14:paraId="53D97284" w14:textId="77777777" w:rsidR="00CB397B" w:rsidRDefault="00CB397B">
            <w:pPr>
              <w:jc w:val="both"/>
              <w:rPr>
                <w:rFonts w:ascii="Times New Roman" w:hAnsi="Times New Roman"/>
                <w:sz w:val="24"/>
                <w:szCs w:val="24"/>
              </w:rPr>
            </w:pPr>
            <w:r>
              <w:rPr>
                <w:rFonts w:ascii="Times New Roman" w:hAnsi="Times New Roman"/>
                <w:sz w:val="24"/>
                <w:szCs w:val="24"/>
              </w:rPr>
              <w:t>0.0221 ± 0.0000</w:t>
            </w:r>
            <w:r>
              <w:rPr>
                <w:rFonts w:ascii="Times New Roman" w:hAnsi="Times New Roman"/>
                <w:sz w:val="24"/>
                <w:szCs w:val="24"/>
                <w:vertAlign w:val="superscript"/>
              </w:rPr>
              <w:t>c</w:t>
            </w:r>
          </w:p>
        </w:tc>
        <w:tc>
          <w:tcPr>
            <w:tcW w:w="1100" w:type="pct"/>
            <w:tcMar>
              <w:top w:w="15" w:type="dxa"/>
              <w:left w:w="15" w:type="dxa"/>
              <w:bottom w:w="15" w:type="dxa"/>
              <w:right w:w="15" w:type="dxa"/>
            </w:tcMar>
            <w:vAlign w:val="center"/>
            <w:hideMark/>
          </w:tcPr>
          <w:p w14:paraId="580B06D9" w14:textId="77777777" w:rsidR="00CB397B" w:rsidRDefault="00CB397B">
            <w:pPr>
              <w:jc w:val="both"/>
              <w:rPr>
                <w:rFonts w:ascii="Times New Roman" w:hAnsi="Times New Roman"/>
                <w:sz w:val="24"/>
                <w:szCs w:val="24"/>
              </w:rPr>
            </w:pPr>
            <w:r>
              <w:rPr>
                <w:rFonts w:ascii="Times New Roman" w:hAnsi="Times New Roman"/>
                <w:sz w:val="24"/>
                <w:szCs w:val="24"/>
              </w:rPr>
              <w:t>0.0219 ± 0.0001</w:t>
            </w:r>
            <w:r>
              <w:rPr>
                <w:rFonts w:ascii="Times New Roman" w:hAnsi="Times New Roman"/>
                <w:sz w:val="24"/>
                <w:szCs w:val="24"/>
                <w:vertAlign w:val="superscript"/>
              </w:rPr>
              <w:t>f</w:t>
            </w:r>
          </w:p>
        </w:tc>
        <w:tc>
          <w:tcPr>
            <w:tcW w:w="1100" w:type="pct"/>
            <w:tcMar>
              <w:top w:w="15" w:type="dxa"/>
              <w:left w:w="15" w:type="dxa"/>
              <w:bottom w:w="15" w:type="dxa"/>
              <w:right w:w="15" w:type="dxa"/>
            </w:tcMar>
            <w:vAlign w:val="center"/>
            <w:hideMark/>
          </w:tcPr>
          <w:p w14:paraId="3A1284F4" w14:textId="77777777" w:rsidR="00CB397B" w:rsidRDefault="00CB397B">
            <w:pPr>
              <w:jc w:val="both"/>
              <w:rPr>
                <w:rFonts w:ascii="Times New Roman" w:hAnsi="Times New Roman"/>
                <w:sz w:val="24"/>
                <w:szCs w:val="24"/>
              </w:rPr>
            </w:pPr>
            <w:r>
              <w:rPr>
                <w:rFonts w:ascii="Times New Roman" w:hAnsi="Times New Roman"/>
                <w:sz w:val="24"/>
                <w:szCs w:val="24"/>
              </w:rPr>
              <w:t>0.0305 ± 0.0000</w:t>
            </w:r>
            <w:r>
              <w:rPr>
                <w:rFonts w:ascii="Times New Roman" w:hAnsi="Times New Roman"/>
                <w:sz w:val="24"/>
                <w:szCs w:val="24"/>
                <w:vertAlign w:val="superscript"/>
              </w:rPr>
              <w:t>f</w:t>
            </w:r>
          </w:p>
        </w:tc>
      </w:tr>
      <w:tr w:rsidR="00CB397B" w14:paraId="12D1E72D" w14:textId="77777777" w:rsidTr="007E4E4A">
        <w:trPr>
          <w:trHeight w:val="195"/>
          <w:tblCellSpacing w:w="15" w:type="dxa"/>
        </w:trPr>
        <w:tc>
          <w:tcPr>
            <w:tcW w:w="860" w:type="pct"/>
            <w:tcMar>
              <w:top w:w="15" w:type="dxa"/>
              <w:left w:w="15" w:type="dxa"/>
              <w:bottom w:w="15" w:type="dxa"/>
              <w:right w:w="15" w:type="dxa"/>
            </w:tcMar>
            <w:vAlign w:val="center"/>
            <w:hideMark/>
          </w:tcPr>
          <w:p w14:paraId="123F612F"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696" w:type="pct"/>
            <w:tcMar>
              <w:top w:w="15" w:type="dxa"/>
              <w:left w:w="15" w:type="dxa"/>
              <w:bottom w:w="15" w:type="dxa"/>
              <w:right w:w="15" w:type="dxa"/>
            </w:tcMar>
            <w:vAlign w:val="center"/>
            <w:hideMark/>
          </w:tcPr>
          <w:p w14:paraId="2480163A"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153" w:type="pct"/>
            <w:tcMar>
              <w:top w:w="15" w:type="dxa"/>
              <w:left w:w="15" w:type="dxa"/>
              <w:bottom w:w="15" w:type="dxa"/>
              <w:right w:w="15" w:type="dxa"/>
            </w:tcMar>
            <w:vAlign w:val="center"/>
            <w:hideMark/>
          </w:tcPr>
          <w:p w14:paraId="60E173DA" w14:textId="77777777" w:rsidR="00CB397B" w:rsidRDefault="00CB397B">
            <w:pPr>
              <w:jc w:val="both"/>
              <w:rPr>
                <w:rFonts w:ascii="Times New Roman" w:hAnsi="Times New Roman"/>
                <w:sz w:val="24"/>
                <w:szCs w:val="24"/>
              </w:rPr>
            </w:pPr>
            <w:r>
              <w:rPr>
                <w:rFonts w:ascii="Times New Roman" w:hAnsi="Times New Roman"/>
                <w:sz w:val="24"/>
                <w:szCs w:val="24"/>
              </w:rPr>
              <w:t>0.0272 ± 0.0000</w:t>
            </w:r>
            <w:r>
              <w:rPr>
                <w:rFonts w:ascii="Times New Roman" w:hAnsi="Times New Roman"/>
                <w:sz w:val="24"/>
                <w:szCs w:val="24"/>
                <w:vertAlign w:val="superscript"/>
              </w:rPr>
              <w:t>bd</w:t>
            </w:r>
          </w:p>
        </w:tc>
        <w:tc>
          <w:tcPr>
            <w:tcW w:w="1100" w:type="pct"/>
            <w:tcMar>
              <w:top w:w="15" w:type="dxa"/>
              <w:left w:w="15" w:type="dxa"/>
              <w:bottom w:w="15" w:type="dxa"/>
              <w:right w:w="15" w:type="dxa"/>
            </w:tcMar>
            <w:vAlign w:val="center"/>
            <w:hideMark/>
          </w:tcPr>
          <w:p w14:paraId="442668A8" w14:textId="77777777" w:rsidR="00CB397B" w:rsidRDefault="00CB397B">
            <w:pPr>
              <w:jc w:val="both"/>
              <w:rPr>
                <w:rFonts w:ascii="Times New Roman" w:hAnsi="Times New Roman"/>
                <w:sz w:val="24"/>
                <w:szCs w:val="24"/>
              </w:rPr>
            </w:pPr>
            <w:r>
              <w:rPr>
                <w:rFonts w:ascii="Times New Roman" w:hAnsi="Times New Roman"/>
                <w:sz w:val="24"/>
                <w:szCs w:val="24"/>
              </w:rPr>
              <w:t>0.0338 ± 0.0001</w:t>
            </w:r>
            <w:r>
              <w:rPr>
                <w:rFonts w:ascii="Times New Roman" w:hAnsi="Times New Roman"/>
                <w:sz w:val="24"/>
                <w:szCs w:val="24"/>
                <w:vertAlign w:val="superscript"/>
              </w:rPr>
              <w:t>g</w:t>
            </w:r>
          </w:p>
        </w:tc>
        <w:tc>
          <w:tcPr>
            <w:tcW w:w="1100" w:type="pct"/>
            <w:tcMar>
              <w:top w:w="15" w:type="dxa"/>
              <w:left w:w="15" w:type="dxa"/>
              <w:bottom w:w="15" w:type="dxa"/>
              <w:right w:w="15" w:type="dxa"/>
            </w:tcMar>
            <w:vAlign w:val="center"/>
            <w:hideMark/>
          </w:tcPr>
          <w:p w14:paraId="1089D58B" w14:textId="77777777" w:rsidR="00CB397B" w:rsidRDefault="00CB397B">
            <w:pPr>
              <w:jc w:val="both"/>
              <w:rPr>
                <w:rFonts w:ascii="Times New Roman" w:hAnsi="Times New Roman"/>
                <w:sz w:val="24"/>
                <w:szCs w:val="24"/>
              </w:rPr>
            </w:pPr>
            <w:r>
              <w:rPr>
                <w:rFonts w:ascii="Times New Roman" w:hAnsi="Times New Roman"/>
                <w:sz w:val="24"/>
                <w:szCs w:val="24"/>
              </w:rPr>
              <w:t>0.0247 ± 0.0000</w:t>
            </w:r>
            <w:r>
              <w:rPr>
                <w:rFonts w:ascii="Times New Roman" w:hAnsi="Times New Roman"/>
                <w:sz w:val="24"/>
                <w:szCs w:val="24"/>
                <w:vertAlign w:val="superscript"/>
              </w:rPr>
              <w:t>g</w:t>
            </w:r>
          </w:p>
        </w:tc>
      </w:tr>
      <w:tr w:rsidR="00CB397B" w14:paraId="7B0814DA" w14:textId="77777777" w:rsidTr="007E4E4A">
        <w:trPr>
          <w:trHeight w:val="159"/>
          <w:tblCellSpacing w:w="15" w:type="dxa"/>
        </w:trPr>
        <w:tc>
          <w:tcPr>
            <w:tcW w:w="860" w:type="pct"/>
            <w:tcMar>
              <w:top w:w="15" w:type="dxa"/>
              <w:left w:w="15" w:type="dxa"/>
              <w:bottom w:w="15" w:type="dxa"/>
              <w:right w:w="15" w:type="dxa"/>
            </w:tcMar>
            <w:vAlign w:val="center"/>
            <w:hideMark/>
          </w:tcPr>
          <w:p w14:paraId="199E6D3C" w14:textId="77777777" w:rsidR="00CB397B" w:rsidRDefault="00CB397B">
            <w:pPr>
              <w:rPr>
                <w:rFonts w:ascii="Times New Roman" w:hAnsi="Times New Roman"/>
                <w:sz w:val="24"/>
                <w:szCs w:val="24"/>
              </w:rPr>
            </w:pPr>
          </w:p>
        </w:tc>
        <w:tc>
          <w:tcPr>
            <w:tcW w:w="696" w:type="pct"/>
            <w:tcMar>
              <w:top w:w="15" w:type="dxa"/>
              <w:left w:w="15" w:type="dxa"/>
              <w:bottom w:w="15" w:type="dxa"/>
              <w:right w:w="15" w:type="dxa"/>
            </w:tcMar>
            <w:vAlign w:val="center"/>
            <w:hideMark/>
          </w:tcPr>
          <w:p w14:paraId="6DD16000"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153" w:type="pct"/>
            <w:tcMar>
              <w:top w:w="15" w:type="dxa"/>
              <w:left w:w="15" w:type="dxa"/>
              <w:bottom w:w="15" w:type="dxa"/>
              <w:right w:w="15" w:type="dxa"/>
            </w:tcMar>
            <w:vAlign w:val="center"/>
            <w:hideMark/>
          </w:tcPr>
          <w:p w14:paraId="145CCB9A" w14:textId="77777777" w:rsidR="00CB397B" w:rsidRDefault="00CB397B">
            <w:pPr>
              <w:jc w:val="both"/>
              <w:rPr>
                <w:rFonts w:ascii="Times New Roman" w:hAnsi="Times New Roman"/>
                <w:sz w:val="24"/>
                <w:szCs w:val="24"/>
              </w:rPr>
            </w:pPr>
            <w:r>
              <w:rPr>
                <w:rFonts w:ascii="Times New Roman" w:hAnsi="Times New Roman"/>
                <w:sz w:val="24"/>
                <w:szCs w:val="24"/>
              </w:rPr>
              <w:t>0.0310 ± 0.0000</w:t>
            </w:r>
            <w:r>
              <w:rPr>
                <w:rFonts w:ascii="Times New Roman" w:hAnsi="Times New Roman"/>
                <w:sz w:val="24"/>
                <w:szCs w:val="24"/>
                <w:vertAlign w:val="superscript"/>
              </w:rPr>
              <w:t>ab</w:t>
            </w:r>
          </w:p>
        </w:tc>
        <w:tc>
          <w:tcPr>
            <w:tcW w:w="1100" w:type="pct"/>
            <w:tcMar>
              <w:top w:w="15" w:type="dxa"/>
              <w:left w:w="15" w:type="dxa"/>
              <w:bottom w:w="15" w:type="dxa"/>
              <w:right w:w="15" w:type="dxa"/>
            </w:tcMar>
            <w:vAlign w:val="center"/>
            <w:hideMark/>
          </w:tcPr>
          <w:p w14:paraId="46FB8021" w14:textId="77777777" w:rsidR="00CB397B" w:rsidRDefault="00CB397B">
            <w:pPr>
              <w:jc w:val="both"/>
              <w:rPr>
                <w:rFonts w:ascii="Times New Roman" w:hAnsi="Times New Roman"/>
                <w:sz w:val="24"/>
                <w:szCs w:val="24"/>
              </w:rPr>
            </w:pPr>
            <w:r>
              <w:rPr>
                <w:rFonts w:ascii="Times New Roman" w:hAnsi="Times New Roman"/>
                <w:sz w:val="24"/>
                <w:szCs w:val="24"/>
              </w:rPr>
              <w:t>0.0354 ± 0.0000</w:t>
            </w:r>
            <w:r>
              <w:rPr>
                <w:rFonts w:ascii="Times New Roman" w:hAnsi="Times New Roman"/>
                <w:sz w:val="24"/>
                <w:szCs w:val="24"/>
                <w:vertAlign w:val="superscript"/>
              </w:rPr>
              <w:t>h</w:t>
            </w:r>
          </w:p>
        </w:tc>
        <w:tc>
          <w:tcPr>
            <w:tcW w:w="1100" w:type="pct"/>
            <w:tcMar>
              <w:top w:w="15" w:type="dxa"/>
              <w:left w:w="15" w:type="dxa"/>
              <w:bottom w:w="15" w:type="dxa"/>
              <w:right w:w="15" w:type="dxa"/>
            </w:tcMar>
            <w:vAlign w:val="center"/>
            <w:hideMark/>
          </w:tcPr>
          <w:p w14:paraId="396F39C5" w14:textId="77777777" w:rsidR="00CB397B" w:rsidRDefault="00CB397B">
            <w:pPr>
              <w:jc w:val="both"/>
              <w:rPr>
                <w:rFonts w:ascii="Times New Roman" w:hAnsi="Times New Roman"/>
                <w:sz w:val="24"/>
                <w:szCs w:val="24"/>
              </w:rPr>
            </w:pPr>
            <w:r>
              <w:rPr>
                <w:rFonts w:ascii="Times New Roman" w:hAnsi="Times New Roman"/>
                <w:sz w:val="24"/>
                <w:szCs w:val="24"/>
              </w:rPr>
              <w:t>0.0318 ± 0.0001</w:t>
            </w:r>
            <w:r>
              <w:rPr>
                <w:rFonts w:ascii="Times New Roman" w:hAnsi="Times New Roman"/>
                <w:sz w:val="24"/>
                <w:szCs w:val="24"/>
                <w:vertAlign w:val="superscript"/>
              </w:rPr>
              <w:t>a</w:t>
            </w:r>
          </w:p>
        </w:tc>
      </w:tr>
      <w:tr w:rsidR="00CB397B" w14:paraId="02C54F95" w14:textId="77777777" w:rsidTr="007E4E4A">
        <w:trPr>
          <w:trHeight w:val="60"/>
          <w:tblCellSpacing w:w="15" w:type="dxa"/>
        </w:trPr>
        <w:tc>
          <w:tcPr>
            <w:tcW w:w="860" w:type="pct"/>
            <w:tcBorders>
              <w:top w:val="nil"/>
              <w:left w:val="nil"/>
              <w:bottom w:val="single" w:sz="4" w:space="0" w:color="auto"/>
              <w:right w:val="nil"/>
            </w:tcBorders>
            <w:tcMar>
              <w:top w:w="15" w:type="dxa"/>
              <w:left w:w="15" w:type="dxa"/>
              <w:bottom w:w="15" w:type="dxa"/>
              <w:right w:w="15" w:type="dxa"/>
            </w:tcMar>
            <w:vAlign w:val="center"/>
            <w:hideMark/>
          </w:tcPr>
          <w:p w14:paraId="0014EAAE" w14:textId="77777777" w:rsidR="00CB397B" w:rsidRDefault="00CB397B">
            <w:pPr>
              <w:rPr>
                <w:rFonts w:ascii="Times New Roman" w:hAnsi="Times New Roman"/>
                <w:sz w:val="24"/>
                <w:szCs w:val="24"/>
              </w:rPr>
            </w:pPr>
          </w:p>
        </w:tc>
        <w:tc>
          <w:tcPr>
            <w:tcW w:w="696" w:type="pct"/>
            <w:tcBorders>
              <w:top w:val="nil"/>
              <w:left w:val="nil"/>
              <w:bottom w:val="single" w:sz="4" w:space="0" w:color="auto"/>
              <w:right w:val="nil"/>
            </w:tcBorders>
            <w:tcMar>
              <w:top w:w="15" w:type="dxa"/>
              <w:left w:w="15" w:type="dxa"/>
              <w:bottom w:w="15" w:type="dxa"/>
              <w:right w:w="15" w:type="dxa"/>
            </w:tcMar>
            <w:vAlign w:val="center"/>
            <w:hideMark/>
          </w:tcPr>
          <w:p w14:paraId="3D7BD5E0"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153" w:type="pct"/>
            <w:tcBorders>
              <w:top w:val="nil"/>
              <w:left w:val="nil"/>
              <w:bottom w:val="single" w:sz="4" w:space="0" w:color="auto"/>
              <w:right w:val="nil"/>
            </w:tcBorders>
            <w:tcMar>
              <w:top w:w="15" w:type="dxa"/>
              <w:left w:w="15" w:type="dxa"/>
              <w:bottom w:w="15" w:type="dxa"/>
              <w:right w:w="15" w:type="dxa"/>
            </w:tcMar>
            <w:vAlign w:val="center"/>
            <w:hideMark/>
          </w:tcPr>
          <w:p w14:paraId="52C8C2D9" w14:textId="77777777" w:rsidR="00CB397B" w:rsidRDefault="00CB397B">
            <w:pPr>
              <w:jc w:val="both"/>
              <w:rPr>
                <w:rFonts w:ascii="Times New Roman" w:hAnsi="Times New Roman"/>
                <w:sz w:val="24"/>
                <w:szCs w:val="24"/>
              </w:rPr>
            </w:pPr>
            <w:r>
              <w:rPr>
                <w:rFonts w:ascii="Times New Roman" w:hAnsi="Times New Roman"/>
                <w:sz w:val="24"/>
                <w:szCs w:val="24"/>
              </w:rPr>
              <w:t>0.0203 ± 0.0000</w:t>
            </w:r>
            <w:r>
              <w:rPr>
                <w:rFonts w:ascii="Times New Roman" w:hAnsi="Times New Roman"/>
                <w:sz w:val="24"/>
                <w:szCs w:val="24"/>
                <w:vertAlign w:val="superscript"/>
              </w:rPr>
              <w:t>c</w:t>
            </w:r>
          </w:p>
        </w:tc>
        <w:tc>
          <w:tcPr>
            <w:tcW w:w="1100" w:type="pct"/>
            <w:tcBorders>
              <w:top w:val="nil"/>
              <w:left w:val="nil"/>
              <w:bottom w:val="single" w:sz="4" w:space="0" w:color="auto"/>
              <w:right w:val="nil"/>
            </w:tcBorders>
            <w:tcMar>
              <w:top w:w="15" w:type="dxa"/>
              <w:left w:w="15" w:type="dxa"/>
              <w:bottom w:w="15" w:type="dxa"/>
              <w:right w:w="15" w:type="dxa"/>
            </w:tcMar>
            <w:vAlign w:val="center"/>
            <w:hideMark/>
          </w:tcPr>
          <w:p w14:paraId="7AE7E974" w14:textId="77777777" w:rsidR="00CB397B" w:rsidRDefault="00CB397B">
            <w:pPr>
              <w:jc w:val="both"/>
              <w:rPr>
                <w:rFonts w:ascii="Times New Roman" w:hAnsi="Times New Roman"/>
                <w:sz w:val="24"/>
                <w:szCs w:val="24"/>
              </w:rPr>
            </w:pPr>
            <w:r>
              <w:rPr>
                <w:rFonts w:ascii="Times New Roman" w:hAnsi="Times New Roman"/>
                <w:sz w:val="24"/>
                <w:szCs w:val="24"/>
              </w:rPr>
              <w:t>0.0207 ± 0.0001</w:t>
            </w:r>
            <w:r>
              <w:rPr>
                <w:rFonts w:ascii="Times New Roman" w:hAnsi="Times New Roman"/>
                <w:sz w:val="24"/>
                <w:szCs w:val="24"/>
                <w:vertAlign w:val="superscript"/>
              </w:rPr>
              <w:t>i</w:t>
            </w:r>
          </w:p>
        </w:tc>
        <w:tc>
          <w:tcPr>
            <w:tcW w:w="1100" w:type="pct"/>
            <w:tcBorders>
              <w:top w:val="nil"/>
              <w:left w:val="nil"/>
              <w:bottom w:val="single" w:sz="4" w:space="0" w:color="auto"/>
              <w:right w:val="nil"/>
            </w:tcBorders>
            <w:tcMar>
              <w:top w:w="15" w:type="dxa"/>
              <w:left w:w="15" w:type="dxa"/>
              <w:bottom w:w="15" w:type="dxa"/>
              <w:right w:w="15" w:type="dxa"/>
            </w:tcMar>
            <w:vAlign w:val="center"/>
            <w:hideMark/>
          </w:tcPr>
          <w:p w14:paraId="2DF3F330" w14:textId="77777777" w:rsidR="00CB397B" w:rsidRDefault="00CB397B">
            <w:pPr>
              <w:jc w:val="both"/>
              <w:rPr>
                <w:rFonts w:ascii="Times New Roman" w:hAnsi="Times New Roman"/>
                <w:sz w:val="24"/>
                <w:szCs w:val="24"/>
              </w:rPr>
            </w:pPr>
            <w:r>
              <w:rPr>
                <w:rFonts w:ascii="Times New Roman" w:hAnsi="Times New Roman"/>
                <w:sz w:val="24"/>
                <w:szCs w:val="24"/>
              </w:rPr>
              <w:t>0.0292 ± 0.0000</w:t>
            </w:r>
            <w:r>
              <w:rPr>
                <w:rFonts w:ascii="Times New Roman" w:hAnsi="Times New Roman"/>
                <w:sz w:val="24"/>
                <w:szCs w:val="24"/>
                <w:vertAlign w:val="superscript"/>
              </w:rPr>
              <w:t>h</w:t>
            </w:r>
          </w:p>
        </w:tc>
      </w:tr>
    </w:tbl>
    <w:p w14:paraId="668AC41E" w14:textId="77777777" w:rsidR="00CB397B" w:rsidRDefault="00CB397B" w:rsidP="00CB397B">
      <w:pPr>
        <w:jc w:val="both"/>
        <w:rPr>
          <w:rFonts w:ascii="Times New Roman" w:hAnsi="Times New Roman"/>
          <w:i/>
          <w:sz w:val="24"/>
          <w:szCs w:val="24"/>
        </w:rPr>
      </w:pPr>
      <w:r>
        <w:rPr>
          <w:rFonts w:ascii="Times New Roman" w:hAnsi="Times New Roman"/>
          <w:i/>
          <w:sz w:val="24"/>
          <w:szCs w:val="24"/>
        </w:rPr>
        <w:t>Values are presented as mean ± SD Different letters indicate significant differences (</w:t>
      </w:r>
      <w:r>
        <w:rPr>
          <w:rFonts w:ascii="Times New Roman" w:hAnsi="Times New Roman"/>
          <w:i/>
          <w:iCs/>
          <w:sz w:val="24"/>
          <w:szCs w:val="24"/>
        </w:rPr>
        <w:t>p</w:t>
      </w:r>
      <w:r>
        <w:rPr>
          <w:rFonts w:ascii="Times New Roman" w:hAnsi="Times New Roman"/>
          <w:i/>
          <w:sz w:val="24"/>
          <w:szCs w:val="24"/>
        </w:rPr>
        <w:t xml:space="preserve"> &lt; 0.05).</w:t>
      </w:r>
    </w:p>
    <w:p w14:paraId="7492AD8E" w14:textId="77777777" w:rsidR="00CB397B" w:rsidRDefault="00CB397B" w:rsidP="00CB397B">
      <w:pPr>
        <w:pStyle w:val="Heading3"/>
        <w:spacing w:before="0" w:line="276" w:lineRule="auto"/>
        <w:jc w:val="both"/>
        <w:rPr>
          <w:rFonts w:ascii="Times New Roman" w:eastAsia="Times New Roman" w:hAnsi="Times New Roman" w:cs="Times New Roman"/>
        </w:rPr>
      </w:pPr>
      <w:r>
        <w:t>3.1.3 Cadmium (Cd)</w:t>
      </w:r>
    </w:p>
    <w:p w14:paraId="3A191EB1" w14:textId="77777777" w:rsidR="00CB397B" w:rsidRDefault="00CB397B" w:rsidP="00CB397B">
      <w:pPr>
        <w:pStyle w:val="NormalWeb"/>
        <w:spacing w:before="0" w:beforeAutospacing="0" w:after="0" w:afterAutospacing="0" w:line="276" w:lineRule="auto"/>
        <w:jc w:val="both"/>
      </w:pPr>
      <w:r>
        <w:t>The results demonstrated significant differences in Cd concentration among the farm–pond combinations. In the muscle, IYONDE–Tarpaulin recorded the highest concentration (0.0058 mg/L), whereas MAGNUS–Earthen recorded the lowest (0.0037 mg/L). The differences between these groups demonstrate substantial variation in Cd accumulation.</w:t>
      </w:r>
    </w:p>
    <w:p w14:paraId="70BB3AC0" w14:textId="77777777" w:rsidR="00CB397B" w:rsidRDefault="00CB397B" w:rsidP="00CB397B">
      <w:pPr>
        <w:pStyle w:val="Heading3"/>
        <w:spacing w:before="0" w:line="276" w:lineRule="auto"/>
        <w:jc w:val="both"/>
      </w:pPr>
      <w:r>
        <w:t xml:space="preserve">Table 3: Mean Concentration of Cadmium (Cd) [mg/L] in Tissues of </w:t>
      </w:r>
      <w:r>
        <w:rPr>
          <w:rStyle w:val="Emphasis"/>
          <w:rFonts w:eastAsia="SimSun"/>
        </w:rPr>
        <w:t xml:space="preserve">Clarias </w:t>
      </w:r>
      <w:proofErr w:type="spellStart"/>
      <w:r>
        <w:rPr>
          <w:rStyle w:val="Emphasis"/>
          <w:rFonts w:eastAsia="SimSun"/>
        </w:rPr>
        <w:t>gariepinus</w:t>
      </w:r>
      <w:proofErr w:type="spellEnd"/>
    </w:p>
    <w:tbl>
      <w:tblPr>
        <w:tblW w:w="5000" w:type="pct"/>
        <w:tblCellSpacing w:w="15" w:type="dxa"/>
        <w:tblLook w:val="04A0" w:firstRow="1" w:lastRow="0" w:firstColumn="1" w:lastColumn="0" w:noHBand="0" w:noVBand="1"/>
      </w:tblPr>
      <w:tblGrid>
        <w:gridCol w:w="1749"/>
        <w:gridCol w:w="1483"/>
        <w:gridCol w:w="2485"/>
        <w:gridCol w:w="2583"/>
        <w:gridCol w:w="2500"/>
      </w:tblGrid>
      <w:tr w:rsidR="00CB397B" w14:paraId="70BDB905" w14:textId="77777777" w:rsidTr="007E4E4A">
        <w:trPr>
          <w:trHeight w:val="260"/>
          <w:tblHeader/>
          <w:tblCellSpacing w:w="15" w:type="dxa"/>
        </w:trPr>
        <w:tc>
          <w:tcPr>
            <w:tcW w:w="787" w:type="pct"/>
            <w:tcBorders>
              <w:top w:val="single" w:sz="4" w:space="0" w:color="auto"/>
              <w:left w:val="nil"/>
              <w:bottom w:val="nil"/>
              <w:right w:val="nil"/>
            </w:tcBorders>
            <w:tcMar>
              <w:top w:w="15" w:type="dxa"/>
              <w:left w:w="15" w:type="dxa"/>
              <w:bottom w:w="15" w:type="dxa"/>
              <w:right w:w="15" w:type="dxa"/>
            </w:tcMar>
            <w:vAlign w:val="center"/>
            <w:hideMark/>
          </w:tcPr>
          <w:p w14:paraId="59C9B868"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671" w:type="pct"/>
            <w:tcBorders>
              <w:top w:val="single" w:sz="4" w:space="0" w:color="auto"/>
              <w:left w:val="nil"/>
              <w:bottom w:val="nil"/>
              <w:right w:val="nil"/>
            </w:tcBorders>
            <w:tcMar>
              <w:top w:w="15" w:type="dxa"/>
              <w:left w:w="15" w:type="dxa"/>
              <w:bottom w:w="15" w:type="dxa"/>
              <w:right w:w="15" w:type="dxa"/>
            </w:tcMar>
            <w:vAlign w:val="center"/>
            <w:hideMark/>
          </w:tcPr>
          <w:p w14:paraId="2AB453E9"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1135" w:type="pct"/>
            <w:tcBorders>
              <w:top w:val="single" w:sz="4" w:space="0" w:color="auto"/>
              <w:left w:val="nil"/>
              <w:bottom w:val="nil"/>
              <w:right w:val="nil"/>
            </w:tcBorders>
            <w:tcMar>
              <w:top w:w="15" w:type="dxa"/>
              <w:left w:w="15" w:type="dxa"/>
              <w:bottom w:w="15" w:type="dxa"/>
              <w:right w:w="15" w:type="dxa"/>
            </w:tcMar>
            <w:vAlign w:val="center"/>
            <w:hideMark/>
          </w:tcPr>
          <w:p w14:paraId="6303DB39" w14:textId="77777777" w:rsidR="00CB397B" w:rsidRDefault="00CB397B">
            <w:pPr>
              <w:jc w:val="both"/>
              <w:rPr>
                <w:rFonts w:ascii="Times New Roman" w:hAnsi="Times New Roman"/>
                <w:b/>
                <w:bCs/>
                <w:sz w:val="24"/>
                <w:szCs w:val="24"/>
              </w:rPr>
            </w:pPr>
            <w:r>
              <w:rPr>
                <w:rFonts w:ascii="Times New Roman" w:hAnsi="Times New Roman"/>
                <w:b/>
                <w:bCs/>
                <w:sz w:val="24"/>
                <w:szCs w:val="24"/>
              </w:rPr>
              <w:t>Muscle</w:t>
            </w:r>
          </w:p>
        </w:tc>
        <w:tc>
          <w:tcPr>
            <w:tcW w:w="1180" w:type="pct"/>
            <w:tcBorders>
              <w:top w:val="single" w:sz="4" w:space="0" w:color="auto"/>
              <w:left w:val="nil"/>
              <w:bottom w:val="nil"/>
              <w:right w:val="nil"/>
            </w:tcBorders>
            <w:tcMar>
              <w:top w:w="15" w:type="dxa"/>
              <w:left w:w="15" w:type="dxa"/>
              <w:bottom w:w="15" w:type="dxa"/>
              <w:right w:w="15" w:type="dxa"/>
            </w:tcMar>
            <w:vAlign w:val="center"/>
            <w:hideMark/>
          </w:tcPr>
          <w:p w14:paraId="25FE01C9" w14:textId="77777777" w:rsidR="00CB397B" w:rsidRDefault="00CB397B">
            <w:pPr>
              <w:jc w:val="both"/>
              <w:rPr>
                <w:rFonts w:ascii="Times New Roman" w:hAnsi="Times New Roman"/>
                <w:b/>
                <w:bCs/>
                <w:sz w:val="24"/>
                <w:szCs w:val="24"/>
              </w:rPr>
            </w:pPr>
            <w:r>
              <w:rPr>
                <w:rFonts w:ascii="Times New Roman" w:hAnsi="Times New Roman"/>
                <w:b/>
                <w:bCs/>
                <w:sz w:val="24"/>
                <w:szCs w:val="24"/>
              </w:rPr>
              <w:t>Gills</w:t>
            </w:r>
          </w:p>
        </w:tc>
        <w:tc>
          <w:tcPr>
            <w:tcW w:w="1135" w:type="pct"/>
            <w:tcBorders>
              <w:top w:val="single" w:sz="4" w:space="0" w:color="auto"/>
              <w:left w:val="nil"/>
              <w:bottom w:val="nil"/>
              <w:right w:val="nil"/>
            </w:tcBorders>
            <w:tcMar>
              <w:top w:w="15" w:type="dxa"/>
              <w:left w:w="15" w:type="dxa"/>
              <w:bottom w:w="15" w:type="dxa"/>
              <w:right w:w="15" w:type="dxa"/>
            </w:tcMar>
            <w:vAlign w:val="center"/>
            <w:hideMark/>
          </w:tcPr>
          <w:p w14:paraId="1C973AF6" w14:textId="77777777" w:rsidR="00CB397B" w:rsidRDefault="00CB397B">
            <w:pPr>
              <w:jc w:val="both"/>
              <w:rPr>
                <w:rFonts w:ascii="Times New Roman" w:hAnsi="Times New Roman"/>
                <w:b/>
                <w:bCs/>
                <w:sz w:val="24"/>
                <w:szCs w:val="24"/>
              </w:rPr>
            </w:pPr>
            <w:r>
              <w:rPr>
                <w:rFonts w:ascii="Times New Roman" w:hAnsi="Times New Roman"/>
                <w:b/>
                <w:bCs/>
                <w:sz w:val="24"/>
                <w:szCs w:val="24"/>
              </w:rPr>
              <w:t>Liver</w:t>
            </w:r>
          </w:p>
        </w:tc>
      </w:tr>
      <w:tr w:rsidR="00CB397B" w14:paraId="5A1F4BCC" w14:textId="77777777" w:rsidTr="007E4E4A">
        <w:trPr>
          <w:trHeight w:val="320"/>
          <w:tblCellSpacing w:w="15" w:type="dxa"/>
        </w:trPr>
        <w:tc>
          <w:tcPr>
            <w:tcW w:w="787" w:type="pct"/>
            <w:tcBorders>
              <w:top w:val="single" w:sz="4" w:space="0" w:color="auto"/>
              <w:left w:val="nil"/>
              <w:bottom w:val="nil"/>
              <w:right w:val="nil"/>
            </w:tcBorders>
            <w:tcMar>
              <w:top w:w="15" w:type="dxa"/>
              <w:left w:w="15" w:type="dxa"/>
              <w:bottom w:w="15" w:type="dxa"/>
              <w:right w:w="15" w:type="dxa"/>
            </w:tcMar>
            <w:vAlign w:val="center"/>
            <w:hideMark/>
          </w:tcPr>
          <w:p w14:paraId="396FE3DC"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671" w:type="pct"/>
            <w:tcBorders>
              <w:top w:val="single" w:sz="4" w:space="0" w:color="auto"/>
              <w:left w:val="nil"/>
              <w:bottom w:val="nil"/>
              <w:right w:val="nil"/>
            </w:tcBorders>
            <w:tcMar>
              <w:top w:w="15" w:type="dxa"/>
              <w:left w:w="15" w:type="dxa"/>
              <w:bottom w:w="15" w:type="dxa"/>
              <w:right w:w="15" w:type="dxa"/>
            </w:tcMar>
            <w:vAlign w:val="center"/>
            <w:hideMark/>
          </w:tcPr>
          <w:p w14:paraId="14855042"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135" w:type="pct"/>
            <w:tcBorders>
              <w:top w:val="single" w:sz="4" w:space="0" w:color="auto"/>
              <w:left w:val="nil"/>
              <w:bottom w:val="nil"/>
              <w:right w:val="nil"/>
            </w:tcBorders>
            <w:tcMar>
              <w:top w:w="15" w:type="dxa"/>
              <w:left w:w="15" w:type="dxa"/>
              <w:bottom w:w="15" w:type="dxa"/>
              <w:right w:w="15" w:type="dxa"/>
            </w:tcMar>
            <w:vAlign w:val="center"/>
            <w:hideMark/>
          </w:tcPr>
          <w:p w14:paraId="5964A594" w14:textId="77777777" w:rsidR="00CB397B" w:rsidRDefault="00CB397B">
            <w:pPr>
              <w:jc w:val="both"/>
              <w:rPr>
                <w:rFonts w:ascii="Times New Roman" w:hAnsi="Times New Roman"/>
                <w:sz w:val="24"/>
                <w:szCs w:val="24"/>
              </w:rPr>
            </w:pPr>
            <w:r>
              <w:rPr>
                <w:rFonts w:ascii="Times New Roman" w:hAnsi="Times New Roman"/>
                <w:sz w:val="24"/>
                <w:szCs w:val="24"/>
              </w:rPr>
              <w:t>0.0055 ± 0.00002</w:t>
            </w:r>
            <w:r>
              <w:rPr>
                <w:rFonts w:ascii="Times New Roman" w:hAnsi="Times New Roman"/>
                <w:sz w:val="24"/>
                <w:szCs w:val="24"/>
                <w:vertAlign w:val="superscript"/>
              </w:rPr>
              <w:t>b</w:t>
            </w:r>
          </w:p>
        </w:tc>
        <w:tc>
          <w:tcPr>
            <w:tcW w:w="1180" w:type="pct"/>
            <w:tcBorders>
              <w:top w:val="single" w:sz="4" w:space="0" w:color="auto"/>
              <w:left w:val="nil"/>
              <w:bottom w:val="nil"/>
              <w:right w:val="nil"/>
            </w:tcBorders>
            <w:tcMar>
              <w:top w:w="15" w:type="dxa"/>
              <w:left w:w="15" w:type="dxa"/>
              <w:bottom w:w="15" w:type="dxa"/>
              <w:right w:w="15" w:type="dxa"/>
            </w:tcMar>
            <w:vAlign w:val="center"/>
            <w:hideMark/>
          </w:tcPr>
          <w:p w14:paraId="0531020D" w14:textId="77777777" w:rsidR="00CB397B" w:rsidRDefault="00CB397B">
            <w:pPr>
              <w:jc w:val="both"/>
              <w:rPr>
                <w:rFonts w:ascii="Times New Roman" w:hAnsi="Times New Roman"/>
                <w:sz w:val="24"/>
                <w:szCs w:val="24"/>
              </w:rPr>
            </w:pPr>
            <w:r>
              <w:rPr>
                <w:rFonts w:ascii="Times New Roman" w:hAnsi="Times New Roman"/>
                <w:sz w:val="24"/>
                <w:szCs w:val="24"/>
              </w:rPr>
              <w:t>0.0078 ± 0.00002</w:t>
            </w:r>
            <w:r>
              <w:rPr>
                <w:rFonts w:ascii="Times New Roman" w:hAnsi="Times New Roman"/>
                <w:sz w:val="24"/>
                <w:szCs w:val="24"/>
                <w:vertAlign w:val="superscript"/>
              </w:rPr>
              <w:t>b</w:t>
            </w:r>
          </w:p>
        </w:tc>
        <w:tc>
          <w:tcPr>
            <w:tcW w:w="1135" w:type="pct"/>
            <w:tcBorders>
              <w:top w:val="single" w:sz="4" w:space="0" w:color="auto"/>
              <w:left w:val="nil"/>
              <w:bottom w:val="nil"/>
              <w:right w:val="nil"/>
            </w:tcBorders>
            <w:tcMar>
              <w:top w:w="15" w:type="dxa"/>
              <w:left w:w="15" w:type="dxa"/>
              <w:bottom w:w="15" w:type="dxa"/>
              <w:right w:w="15" w:type="dxa"/>
            </w:tcMar>
            <w:vAlign w:val="center"/>
            <w:hideMark/>
          </w:tcPr>
          <w:p w14:paraId="442853AF" w14:textId="77777777" w:rsidR="00CB397B" w:rsidRDefault="00CB397B">
            <w:pPr>
              <w:jc w:val="both"/>
              <w:rPr>
                <w:rFonts w:ascii="Times New Roman" w:hAnsi="Times New Roman"/>
                <w:sz w:val="24"/>
                <w:szCs w:val="24"/>
              </w:rPr>
            </w:pPr>
            <w:r>
              <w:rPr>
                <w:rFonts w:ascii="Times New Roman" w:hAnsi="Times New Roman"/>
                <w:sz w:val="24"/>
                <w:szCs w:val="24"/>
              </w:rPr>
              <w:t>0.0066 ± 0.00004</w:t>
            </w:r>
            <w:r>
              <w:rPr>
                <w:rFonts w:ascii="Times New Roman" w:hAnsi="Times New Roman"/>
                <w:sz w:val="24"/>
                <w:szCs w:val="24"/>
                <w:vertAlign w:val="superscript"/>
              </w:rPr>
              <w:t>b</w:t>
            </w:r>
          </w:p>
        </w:tc>
      </w:tr>
      <w:tr w:rsidR="00CB397B" w14:paraId="378250A3" w14:textId="77777777" w:rsidTr="007E4E4A">
        <w:trPr>
          <w:trHeight w:val="53"/>
          <w:tblCellSpacing w:w="15" w:type="dxa"/>
        </w:trPr>
        <w:tc>
          <w:tcPr>
            <w:tcW w:w="787" w:type="pct"/>
            <w:tcMar>
              <w:top w:w="15" w:type="dxa"/>
              <w:left w:w="15" w:type="dxa"/>
              <w:bottom w:w="15" w:type="dxa"/>
              <w:right w:w="15" w:type="dxa"/>
            </w:tcMar>
            <w:vAlign w:val="center"/>
            <w:hideMark/>
          </w:tcPr>
          <w:p w14:paraId="7DABA82C" w14:textId="77777777" w:rsidR="00CB397B" w:rsidRDefault="00CB397B">
            <w:pPr>
              <w:rPr>
                <w:rFonts w:ascii="Times New Roman" w:hAnsi="Times New Roman"/>
                <w:sz w:val="24"/>
                <w:szCs w:val="24"/>
              </w:rPr>
            </w:pPr>
          </w:p>
        </w:tc>
        <w:tc>
          <w:tcPr>
            <w:tcW w:w="671" w:type="pct"/>
            <w:tcMar>
              <w:top w:w="15" w:type="dxa"/>
              <w:left w:w="15" w:type="dxa"/>
              <w:bottom w:w="15" w:type="dxa"/>
              <w:right w:w="15" w:type="dxa"/>
            </w:tcMar>
            <w:vAlign w:val="center"/>
            <w:hideMark/>
          </w:tcPr>
          <w:p w14:paraId="3D5FA2BC"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135" w:type="pct"/>
            <w:tcMar>
              <w:top w:w="15" w:type="dxa"/>
              <w:left w:w="15" w:type="dxa"/>
              <w:bottom w:w="15" w:type="dxa"/>
              <w:right w:w="15" w:type="dxa"/>
            </w:tcMar>
            <w:vAlign w:val="center"/>
            <w:hideMark/>
          </w:tcPr>
          <w:p w14:paraId="18F2DECA" w14:textId="77777777" w:rsidR="00CB397B" w:rsidRDefault="00CB397B">
            <w:pPr>
              <w:jc w:val="both"/>
              <w:rPr>
                <w:rFonts w:ascii="Times New Roman" w:hAnsi="Times New Roman"/>
                <w:sz w:val="24"/>
                <w:szCs w:val="24"/>
              </w:rPr>
            </w:pPr>
            <w:r>
              <w:rPr>
                <w:rFonts w:ascii="Times New Roman" w:hAnsi="Times New Roman"/>
                <w:sz w:val="24"/>
                <w:szCs w:val="24"/>
              </w:rPr>
              <w:t>0.0053 ± 0.00002</w:t>
            </w:r>
            <w:r>
              <w:rPr>
                <w:rFonts w:ascii="Times New Roman" w:hAnsi="Times New Roman"/>
                <w:sz w:val="24"/>
                <w:szCs w:val="24"/>
                <w:vertAlign w:val="superscript"/>
              </w:rPr>
              <w:t>c</w:t>
            </w:r>
          </w:p>
        </w:tc>
        <w:tc>
          <w:tcPr>
            <w:tcW w:w="1180" w:type="pct"/>
            <w:tcMar>
              <w:top w:w="15" w:type="dxa"/>
              <w:left w:w="15" w:type="dxa"/>
              <w:bottom w:w="15" w:type="dxa"/>
              <w:right w:w="15" w:type="dxa"/>
            </w:tcMar>
            <w:vAlign w:val="center"/>
            <w:hideMark/>
          </w:tcPr>
          <w:p w14:paraId="3859B2B7" w14:textId="77777777" w:rsidR="00CB397B" w:rsidRDefault="00CB397B">
            <w:pPr>
              <w:jc w:val="both"/>
              <w:rPr>
                <w:rFonts w:ascii="Times New Roman" w:hAnsi="Times New Roman"/>
                <w:sz w:val="24"/>
                <w:szCs w:val="24"/>
              </w:rPr>
            </w:pPr>
            <w:r>
              <w:rPr>
                <w:rFonts w:ascii="Times New Roman" w:hAnsi="Times New Roman"/>
                <w:sz w:val="24"/>
                <w:szCs w:val="24"/>
              </w:rPr>
              <w:t>0.0063 ± 0.00001</w:t>
            </w:r>
            <w:r>
              <w:rPr>
                <w:rFonts w:ascii="Times New Roman" w:hAnsi="Times New Roman"/>
                <w:sz w:val="24"/>
                <w:szCs w:val="24"/>
                <w:vertAlign w:val="superscript"/>
              </w:rPr>
              <w:t>a</w:t>
            </w:r>
          </w:p>
        </w:tc>
        <w:tc>
          <w:tcPr>
            <w:tcW w:w="1135" w:type="pct"/>
            <w:tcMar>
              <w:top w:w="15" w:type="dxa"/>
              <w:left w:w="15" w:type="dxa"/>
              <w:bottom w:w="15" w:type="dxa"/>
              <w:right w:w="15" w:type="dxa"/>
            </w:tcMar>
            <w:vAlign w:val="center"/>
            <w:hideMark/>
          </w:tcPr>
          <w:p w14:paraId="6429ED52" w14:textId="77777777" w:rsidR="00CB397B" w:rsidRDefault="00CB397B">
            <w:pPr>
              <w:jc w:val="both"/>
              <w:rPr>
                <w:rFonts w:ascii="Times New Roman" w:hAnsi="Times New Roman"/>
                <w:sz w:val="24"/>
                <w:szCs w:val="24"/>
              </w:rPr>
            </w:pPr>
            <w:r>
              <w:rPr>
                <w:rFonts w:ascii="Times New Roman" w:hAnsi="Times New Roman"/>
                <w:sz w:val="24"/>
                <w:szCs w:val="24"/>
              </w:rPr>
              <w:t>0.0060 ± 0.00002</w:t>
            </w:r>
            <w:r>
              <w:rPr>
                <w:rFonts w:ascii="Times New Roman" w:hAnsi="Times New Roman"/>
                <w:sz w:val="24"/>
                <w:szCs w:val="24"/>
                <w:vertAlign w:val="superscript"/>
              </w:rPr>
              <w:t>a</w:t>
            </w:r>
          </w:p>
        </w:tc>
      </w:tr>
      <w:tr w:rsidR="00CB397B" w14:paraId="015D971A" w14:textId="77777777" w:rsidTr="007E4E4A">
        <w:trPr>
          <w:trHeight w:val="53"/>
          <w:tblCellSpacing w:w="15" w:type="dxa"/>
        </w:trPr>
        <w:tc>
          <w:tcPr>
            <w:tcW w:w="787" w:type="pct"/>
            <w:tcMar>
              <w:top w:w="15" w:type="dxa"/>
              <w:left w:w="15" w:type="dxa"/>
              <w:bottom w:w="15" w:type="dxa"/>
              <w:right w:w="15" w:type="dxa"/>
            </w:tcMar>
            <w:vAlign w:val="center"/>
            <w:hideMark/>
          </w:tcPr>
          <w:p w14:paraId="1D5C3BA2" w14:textId="77777777" w:rsidR="00CB397B" w:rsidRDefault="00CB397B">
            <w:pPr>
              <w:rPr>
                <w:rFonts w:ascii="Times New Roman" w:hAnsi="Times New Roman"/>
                <w:sz w:val="24"/>
                <w:szCs w:val="24"/>
              </w:rPr>
            </w:pPr>
          </w:p>
        </w:tc>
        <w:tc>
          <w:tcPr>
            <w:tcW w:w="671" w:type="pct"/>
            <w:tcMar>
              <w:top w:w="15" w:type="dxa"/>
              <w:left w:w="15" w:type="dxa"/>
              <w:bottom w:w="15" w:type="dxa"/>
              <w:right w:w="15" w:type="dxa"/>
            </w:tcMar>
            <w:vAlign w:val="center"/>
            <w:hideMark/>
          </w:tcPr>
          <w:p w14:paraId="76687517"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135" w:type="pct"/>
            <w:tcMar>
              <w:top w:w="15" w:type="dxa"/>
              <w:left w:w="15" w:type="dxa"/>
              <w:bottom w:w="15" w:type="dxa"/>
              <w:right w:w="15" w:type="dxa"/>
            </w:tcMar>
            <w:vAlign w:val="center"/>
            <w:hideMark/>
          </w:tcPr>
          <w:p w14:paraId="2060D8E3" w14:textId="77777777" w:rsidR="00CB397B" w:rsidRDefault="00CB397B">
            <w:pPr>
              <w:jc w:val="both"/>
              <w:rPr>
                <w:rFonts w:ascii="Times New Roman" w:hAnsi="Times New Roman"/>
                <w:sz w:val="24"/>
                <w:szCs w:val="24"/>
              </w:rPr>
            </w:pPr>
            <w:r>
              <w:rPr>
                <w:rFonts w:ascii="Times New Roman" w:hAnsi="Times New Roman"/>
                <w:sz w:val="24"/>
                <w:szCs w:val="24"/>
              </w:rPr>
              <w:t>0.0045 ± 0.00002</w:t>
            </w:r>
            <w:r>
              <w:rPr>
                <w:rFonts w:ascii="Times New Roman" w:hAnsi="Times New Roman"/>
                <w:sz w:val="24"/>
                <w:szCs w:val="24"/>
                <w:vertAlign w:val="superscript"/>
              </w:rPr>
              <w:t>d</w:t>
            </w:r>
          </w:p>
        </w:tc>
        <w:tc>
          <w:tcPr>
            <w:tcW w:w="1180" w:type="pct"/>
            <w:tcMar>
              <w:top w:w="15" w:type="dxa"/>
              <w:left w:w="15" w:type="dxa"/>
              <w:bottom w:w="15" w:type="dxa"/>
              <w:right w:w="15" w:type="dxa"/>
            </w:tcMar>
            <w:vAlign w:val="center"/>
            <w:hideMark/>
          </w:tcPr>
          <w:p w14:paraId="3E6D34BD" w14:textId="77777777" w:rsidR="00CB397B" w:rsidRDefault="00CB397B">
            <w:pPr>
              <w:jc w:val="both"/>
              <w:rPr>
                <w:rFonts w:ascii="Times New Roman" w:hAnsi="Times New Roman"/>
                <w:sz w:val="24"/>
                <w:szCs w:val="24"/>
              </w:rPr>
            </w:pPr>
            <w:r>
              <w:rPr>
                <w:rFonts w:ascii="Times New Roman" w:hAnsi="Times New Roman"/>
                <w:sz w:val="24"/>
                <w:szCs w:val="24"/>
              </w:rPr>
              <w:t>0.0043 ± 0.00002</w:t>
            </w:r>
            <w:r>
              <w:rPr>
                <w:rFonts w:ascii="Times New Roman" w:hAnsi="Times New Roman"/>
                <w:sz w:val="24"/>
                <w:szCs w:val="24"/>
                <w:vertAlign w:val="superscript"/>
              </w:rPr>
              <w:t>cd</w:t>
            </w:r>
          </w:p>
        </w:tc>
        <w:tc>
          <w:tcPr>
            <w:tcW w:w="1135" w:type="pct"/>
            <w:tcMar>
              <w:top w:w="15" w:type="dxa"/>
              <w:left w:w="15" w:type="dxa"/>
              <w:bottom w:w="15" w:type="dxa"/>
              <w:right w:w="15" w:type="dxa"/>
            </w:tcMar>
            <w:vAlign w:val="center"/>
            <w:hideMark/>
          </w:tcPr>
          <w:p w14:paraId="7E8CF9F1" w14:textId="77777777" w:rsidR="00CB397B" w:rsidRDefault="00CB397B">
            <w:pPr>
              <w:jc w:val="both"/>
              <w:rPr>
                <w:rFonts w:ascii="Times New Roman" w:hAnsi="Times New Roman"/>
                <w:sz w:val="24"/>
                <w:szCs w:val="24"/>
              </w:rPr>
            </w:pPr>
            <w:r>
              <w:rPr>
                <w:rFonts w:ascii="Times New Roman" w:hAnsi="Times New Roman"/>
                <w:sz w:val="24"/>
                <w:szCs w:val="24"/>
              </w:rPr>
              <w:t>0.0058 ± 0.00002</w:t>
            </w:r>
            <w:r>
              <w:rPr>
                <w:rFonts w:ascii="Times New Roman" w:hAnsi="Times New Roman"/>
                <w:sz w:val="24"/>
                <w:szCs w:val="24"/>
                <w:vertAlign w:val="superscript"/>
              </w:rPr>
              <w:t>c</w:t>
            </w:r>
          </w:p>
        </w:tc>
      </w:tr>
      <w:tr w:rsidR="00CB397B" w14:paraId="067A3830" w14:textId="77777777" w:rsidTr="007E4E4A">
        <w:trPr>
          <w:trHeight w:val="53"/>
          <w:tblCellSpacing w:w="15" w:type="dxa"/>
        </w:trPr>
        <w:tc>
          <w:tcPr>
            <w:tcW w:w="787" w:type="pct"/>
            <w:tcMar>
              <w:top w:w="15" w:type="dxa"/>
              <w:left w:w="15" w:type="dxa"/>
              <w:bottom w:w="15" w:type="dxa"/>
              <w:right w:w="15" w:type="dxa"/>
            </w:tcMar>
            <w:vAlign w:val="center"/>
            <w:hideMark/>
          </w:tcPr>
          <w:p w14:paraId="7E7A805B" w14:textId="77777777" w:rsidR="00CB397B" w:rsidRDefault="00CB397B">
            <w:pPr>
              <w:jc w:val="both"/>
              <w:rPr>
                <w:rFonts w:ascii="Times New Roman" w:hAnsi="Times New Roman"/>
                <w:sz w:val="24"/>
                <w:szCs w:val="24"/>
              </w:rPr>
            </w:pPr>
            <w:r>
              <w:rPr>
                <w:rFonts w:ascii="Times New Roman" w:hAnsi="Times New Roman"/>
                <w:sz w:val="24"/>
                <w:szCs w:val="24"/>
              </w:rPr>
              <w:lastRenderedPageBreak/>
              <w:t>IYONDE</w:t>
            </w:r>
          </w:p>
        </w:tc>
        <w:tc>
          <w:tcPr>
            <w:tcW w:w="671" w:type="pct"/>
            <w:tcMar>
              <w:top w:w="15" w:type="dxa"/>
              <w:left w:w="15" w:type="dxa"/>
              <w:bottom w:w="15" w:type="dxa"/>
              <w:right w:w="15" w:type="dxa"/>
            </w:tcMar>
            <w:vAlign w:val="center"/>
            <w:hideMark/>
          </w:tcPr>
          <w:p w14:paraId="3C9B20F1"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135" w:type="pct"/>
            <w:tcMar>
              <w:top w:w="15" w:type="dxa"/>
              <w:left w:w="15" w:type="dxa"/>
              <w:bottom w:w="15" w:type="dxa"/>
              <w:right w:w="15" w:type="dxa"/>
            </w:tcMar>
            <w:vAlign w:val="center"/>
            <w:hideMark/>
          </w:tcPr>
          <w:p w14:paraId="264B8290" w14:textId="77777777" w:rsidR="00CB397B" w:rsidRDefault="00CB397B">
            <w:pPr>
              <w:jc w:val="both"/>
              <w:rPr>
                <w:rFonts w:ascii="Times New Roman" w:hAnsi="Times New Roman"/>
                <w:sz w:val="24"/>
                <w:szCs w:val="24"/>
              </w:rPr>
            </w:pPr>
            <w:r>
              <w:rPr>
                <w:rFonts w:ascii="Times New Roman" w:hAnsi="Times New Roman"/>
                <w:sz w:val="24"/>
                <w:szCs w:val="24"/>
              </w:rPr>
              <w:t>0.0056 ± 0.00001</w:t>
            </w:r>
            <w:r>
              <w:rPr>
                <w:rFonts w:ascii="Times New Roman" w:hAnsi="Times New Roman"/>
                <w:sz w:val="24"/>
                <w:szCs w:val="24"/>
                <w:vertAlign w:val="superscript"/>
              </w:rPr>
              <w:t>a</w:t>
            </w:r>
          </w:p>
        </w:tc>
        <w:tc>
          <w:tcPr>
            <w:tcW w:w="1180" w:type="pct"/>
            <w:tcMar>
              <w:top w:w="15" w:type="dxa"/>
              <w:left w:w="15" w:type="dxa"/>
              <w:bottom w:w="15" w:type="dxa"/>
              <w:right w:w="15" w:type="dxa"/>
            </w:tcMar>
            <w:vAlign w:val="center"/>
            <w:hideMark/>
          </w:tcPr>
          <w:p w14:paraId="39DC8CF4" w14:textId="77777777" w:rsidR="00CB397B" w:rsidRDefault="00CB397B">
            <w:pPr>
              <w:jc w:val="both"/>
              <w:rPr>
                <w:rFonts w:ascii="Times New Roman" w:hAnsi="Times New Roman"/>
                <w:sz w:val="24"/>
                <w:szCs w:val="24"/>
              </w:rPr>
            </w:pPr>
            <w:r>
              <w:rPr>
                <w:rFonts w:ascii="Times New Roman" w:hAnsi="Times New Roman"/>
                <w:sz w:val="24"/>
                <w:szCs w:val="24"/>
              </w:rPr>
              <w:t>0.0073 ± 0.00002</w:t>
            </w:r>
            <w:r>
              <w:rPr>
                <w:rFonts w:ascii="Times New Roman" w:hAnsi="Times New Roman"/>
                <w:sz w:val="24"/>
                <w:szCs w:val="24"/>
                <w:vertAlign w:val="superscript"/>
              </w:rPr>
              <w:t>e</w:t>
            </w:r>
          </w:p>
        </w:tc>
        <w:tc>
          <w:tcPr>
            <w:tcW w:w="1135" w:type="pct"/>
            <w:tcMar>
              <w:top w:w="15" w:type="dxa"/>
              <w:left w:w="15" w:type="dxa"/>
              <w:bottom w:w="15" w:type="dxa"/>
              <w:right w:w="15" w:type="dxa"/>
            </w:tcMar>
            <w:vAlign w:val="center"/>
            <w:hideMark/>
          </w:tcPr>
          <w:p w14:paraId="5D1840C9" w14:textId="77777777" w:rsidR="00CB397B" w:rsidRDefault="00CB397B">
            <w:pPr>
              <w:jc w:val="both"/>
              <w:rPr>
                <w:rFonts w:ascii="Times New Roman" w:hAnsi="Times New Roman"/>
                <w:sz w:val="24"/>
                <w:szCs w:val="24"/>
              </w:rPr>
            </w:pPr>
            <w:r>
              <w:rPr>
                <w:rFonts w:ascii="Times New Roman" w:hAnsi="Times New Roman"/>
                <w:sz w:val="24"/>
                <w:szCs w:val="24"/>
              </w:rPr>
              <w:t>0.0060 ± 0.00001</w:t>
            </w:r>
            <w:r>
              <w:rPr>
                <w:rFonts w:ascii="Times New Roman" w:hAnsi="Times New Roman"/>
                <w:sz w:val="24"/>
                <w:szCs w:val="24"/>
                <w:vertAlign w:val="superscript"/>
              </w:rPr>
              <w:t>a</w:t>
            </w:r>
          </w:p>
        </w:tc>
      </w:tr>
      <w:tr w:rsidR="00CB397B" w14:paraId="10CD153A" w14:textId="77777777" w:rsidTr="007E4E4A">
        <w:trPr>
          <w:trHeight w:val="69"/>
          <w:tblCellSpacing w:w="15" w:type="dxa"/>
        </w:trPr>
        <w:tc>
          <w:tcPr>
            <w:tcW w:w="787" w:type="pct"/>
            <w:tcMar>
              <w:top w:w="15" w:type="dxa"/>
              <w:left w:w="15" w:type="dxa"/>
              <w:bottom w:w="15" w:type="dxa"/>
              <w:right w:w="15" w:type="dxa"/>
            </w:tcMar>
            <w:vAlign w:val="center"/>
            <w:hideMark/>
          </w:tcPr>
          <w:p w14:paraId="19CA42C3" w14:textId="77777777" w:rsidR="00CB397B" w:rsidRDefault="00CB397B">
            <w:pPr>
              <w:rPr>
                <w:rFonts w:ascii="Times New Roman" w:hAnsi="Times New Roman"/>
                <w:sz w:val="24"/>
                <w:szCs w:val="24"/>
              </w:rPr>
            </w:pPr>
          </w:p>
        </w:tc>
        <w:tc>
          <w:tcPr>
            <w:tcW w:w="671" w:type="pct"/>
            <w:tcMar>
              <w:top w:w="15" w:type="dxa"/>
              <w:left w:w="15" w:type="dxa"/>
              <w:bottom w:w="15" w:type="dxa"/>
              <w:right w:w="15" w:type="dxa"/>
            </w:tcMar>
            <w:vAlign w:val="center"/>
            <w:hideMark/>
          </w:tcPr>
          <w:p w14:paraId="7F6FE497"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135" w:type="pct"/>
            <w:tcMar>
              <w:top w:w="15" w:type="dxa"/>
              <w:left w:w="15" w:type="dxa"/>
              <w:bottom w:w="15" w:type="dxa"/>
              <w:right w:w="15" w:type="dxa"/>
            </w:tcMar>
            <w:vAlign w:val="center"/>
            <w:hideMark/>
          </w:tcPr>
          <w:p w14:paraId="02A16614" w14:textId="77777777" w:rsidR="00CB397B" w:rsidRDefault="00CB397B">
            <w:pPr>
              <w:jc w:val="both"/>
              <w:rPr>
                <w:rFonts w:ascii="Times New Roman" w:hAnsi="Times New Roman"/>
                <w:sz w:val="24"/>
                <w:szCs w:val="24"/>
              </w:rPr>
            </w:pPr>
            <w:r>
              <w:rPr>
                <w:rFonts w:ascii="Times New Roman" w:hAnsi="Times New Roman"/>
                <w:sz w:val="24"/>
                <w:szCs w:val="24"/>
              </w:rPr>
              <w:t>0.0058 ± 0.00001</w:t>
            </w:r>
            <w:r>
              <w:rPr>
                <w:rFonts w:ascii="Times New Roman" w:hAnsi="Times New Roman"/>
                <w:sz w:val="24"/>
                <w:szCs w:val="24"/>
                <w:vertAlign w:val="superscript"/>
              </w:rPr>
              <w:t>e</w:t>
            </w:r>
          </w:p>
        </w:tc>
        <w:tc>
          <w:tcPr>
            <w:tcW w:w="1180" w:type="pct"/>
            <w:tcMar>
              <w:top w:w="15" w:type="dxa"/>
              <w:left w:w="15" w:type="dxa"/>
              <w:bottom w:w="15" w:type="dxa"/>
              <w:right w:w="15" w:type="dxa"/>
            </w:tcMar>
            <w:vAlign w:val="center"/>
            <w:hideMark/>
          </w:tcPr>
          <w:p w14:paraId="04D5AC11" w14:textId="77777777" w:rsidR="00CB397B" w:rsidRDefault="00CB397B">
            <w:pPr>
              <w:jc w:val="both"/>
              <w:rPr>
                <w:rFonts w:ascii="Times New Roman" w:hAnsi="Times New Roman"/>
                <w:sz w:val="24"/>
                <w:szCs w:val="24"/>
              </w:rPr>
            </w:pPr>
            <w:r>
              <w:rPr>
                <w:rFonts w:ascii="Times New Roman" w:hAnsi="Times New Roman"/>
                <w:sz w:val="24"/>
                <w:szCs w:val="24"/>
              </w:rPr>
              <w:t>0.0072 ± 0.00002</w:t>
            </w:r>
            <w:r>
              <w:rPr>
                <w:rFonts w:ascii="Times New Roman" w:hAnsi="Times New Roman"/>
                <w:sz w:val="24"/>
                <w:szCs w:val="24"/>
                <w:vertAlign w:val="superscript"/>
              </w:rPr>
              <w:t>f</w:t>
            </w:r>
          </w:p>
        </w:tc>
        <w:tc>
          <w:tcPr>
            <w:tcW w:w="1135" w:type="pct"/>
            <w:tcMar>
              <w:top w:w="15" w:type="dxa"/>
              <w:left w:w="15" w:type="dxa"/>
              <w:bottom w:w="15" w:type="dxa"/>
              <w:right w:w="15" w:type="dxa"/>
            </w:tcMar>
            <w:vAlign w:val="center"/>
            <w:hideMark/>
          </w:tcPr>
          <w:p w14:paraId="1436AE65" w14:textId="77777777" w:rsidR="00CB397B" w:rsidRDefault="00CB397B">
            <w:pPr>
              <w:jc w:val="both"/>
              <w:rPr>
                <w:rFonts w:ascii="Times New Roman" w:hAnsi="Times New Roman"/>
                <w:sz w:val="24"/>
                <w:szCs w:val="24"/>
              </w:rPr>
            </w:pPr>
            <w:r>
              <w:rPr>
                <w:rFonts w:ascii="Times New Roman" w:hAnsi="Times New Roman"/>
                <w:sz w:val="24"/>
                <w:szCs w:val="24"/>
              </w:rPr>
              <w:t>0.0055 ± 0.00003</w:t>
            </w:r>
            <w:r>
              <w:rPr>
                <w:rFonts w:ascii="Times New Roman" w:hAnsi="Times New Roman"/>
                <w:sz w:val="24"/>
                <w:szCs w:val="24"/>
                <w:vertAlign w:val="superscript"/>
              </w:rPr>
              <w:t>d</w:t>
            </w:r>
          </w:p>
        </w:tc>
      </w:tr>
      <w:tr w:rsidR="00CB397B" w14:paraId="4F68F688" w14:textId="77777777" w:rsidTr="007E4E4A">
        <w:trPr>
          <w:trHeight w:val="53"/>
          <w:tblCellSpacing w:w="15" w:type="dxa"/>
        </w:trPr>
        <w:tc>
          <w:tcPr>
            <w:tcW w:w="787" w:type="pct"/>
            <w:tcMar>
              <w:top w:w="15" w:type="dxa"/>
              <w:left w:w="15" w:type="dxa"/>
              <w:bottom w:w="15" w:type="dxa"/>
              <w:right w:w="15" w:type="dxa"/>
            </w:tcMar>
            <w:vAlign w:val="center"/>
            <w:hideMark/>
          </w:tcPr>
          <w:p w14:paraId="26B413AC" w14:textId="77777777" w:rsidR="00CB397B" w:rsidRDefault="00CB397B">
            <w:pPr>
              <w:rPr>
                <w:rFonts w:ascii="Times New Roman" w:hAnsi="Times New Roman"/>
                <w:sz w:val="24"/>
                <w:szCs w:val="24"/>
              </w:rPr>
            </w:pPr>
          </w:p>
        </w:tc>
        <w:tc>
          <w:tcPr>
            <w:tcW w:w="671" w:type="pct"/>
            <w:tcMar>
              <w:top w:w="15" w:type="dxa"/>
              <w:left w:w="15" w:type="dxa"/>
              <w:bottom w:w="15" w:type="dxa"/>
              <w:right w:w="15" w:type="dxa"/>
            </w:tcMar>
            <w:vAlign w:val="center"/>
            <w:hideMark/>
          </w:tcPr>
          <w:p w14:paraId="65637527"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135" w:type="pct"/>
            <w:tcMar>
              <w:top w:w="15" w:type="dxa"/>
              <w:left w:w="15" w:type="dxa"/>
              <w:bottom w:w="15" w:type="dxa"/>
              <w:right w:w="15" w:type="dxa"/>
            </w:tcMar>
            <w:vAlign w:val="center"/>
            <w:hideMark/>
          </w:tcPr>
          <w:p w14:paraId="33923C30" w14:textId="77777777" w:rsidR="00CB397B" w:rsidRDefault="00CB397B">
            <w:pPr>
              <w:jc w:val="both"/>
              <w:rPr>
                <w:rFonts w:ascii="Times New Roman" w:hAnsi="Times New Roman"/>
                <w:sz w:val="24"/>
                <w:szCs w:val="24"/>
              </w:rPr>
            </w:pPr>
            <w:r>
              <w:rPr>
                <w:rFonts w:ascii="Times New Roman" w:hAnsi="Times New Roman"/>
                <w:sz w:val="24"/>
                <w:szCs w:val="24"/>
              </w:rPr>
              <w:t>0.0040 ± 0.00002</w:t>
            </w:r>
            <w:r>
              <w:rPr>
                <w:rFonts w:ascii="Times New Roman" w:hAnsi="Times New Roman"/>
                <w:sz w:val="24"/>
                <w:szCs w:val="24"/>
                <w:vertAlign w:val="superscript"/>
              </w:rPr>
              <w:t>f</w:t>
            </w:r>
          </w:p>
        </w:tc>
        <w:tc>
          <w:tcPr>
            <w:tcW w:w="1180" w:type="pct"/>
            <w:tcMar>
              <w:top w:w="15" w:type="dxa"/>
              <w:left w:w="15" w:type="dxa"/>
              <w:bottom w:w="15" w:type="dxa"/>
              <w:right w:w="15" w:type="dxa"/>
            </w:tcMar>
            <w:vAlign w:val="center"/>
            <w:hideMark/>
          </w:tcPr>
          <w:p w14:paraId="0C1BC586" w14:textId="77777777" w:rsidR="00CB397B" w:rsidRDefault="00CB397B">
            <w:pPr>
              <w:jc w:val="both"/>
              <w:rPr>
                <w:rFonts w:ascii="Times New Roman" w:hAnsi="Times New Roman"/>
                <w:sz w:val="24"/>
                <w:szCs w:val="24"/>
              </w:rPr>
            </w:pPr>
            <w:r>
              <w:rPr>
                <w:rFonts w:ascii="Times New Roman" w:hAnsi="Times New Roman"/>
                <w:sz w:val="24"/>
                <w:szCs w:val="24"/>
              </w:rPr>
              <w:t>0.0039 ± 0.00002</w:t>
            </w:r>
            <w:r>
              <w:rPr>
                <w:rFonts w:ascii="Times New Roman" w:hAnsi="Times New Roman"/>
                <w:sz w:val="24"/>
                <w:szCs w:val="24"/>
                <w:vertAlign w:val="superscript"/>
              </w:rPr>
              <w:t>f</w:t>
            </w:r>
          </w:p>
        </w:tc>
        <w:tc>
          <w:tcPr>
            <w:tcW w:w="1135" w:type="pct"/>
            <w:tcMar>
              <w:top w:w="15" w:type="dxa"/>
              <w:left w:w="15" w:type="dxa"/>
              <w:bottom w:w="15" w:type="dxa"/>
              <w:right w:w="15" w:type="dxa"/>
            </w:tcMar>
            <w:vAlign w:val="center"/>
            <w:hideMark/>
          </w:tcPr>
          <w:p w14:paraId="20754F1E" w14:textId="77777777" w:rsidR="00CB397B" w:rsidRDefault="00CB397B">
            <w:pPr>
              <w:jc w:val="both"/>
              <w:rPr>
                <w:rFonts w:ascii="Times New Roman" w:hAnsi="Times New Roman"/>
                <w:sz w:val="24"/>
                <w:szCs w:val="24"/>
              </w:rPr>
            </w:pPr>
            <w:r>
              <w:rPr>
                <w:rFonts w:ascii="Times New Roman" w:hAnsi="Times New Roman"/>
                <w:sz w:val="24"/>
                <w:szCs w:val="24"/>
              </w:rPr>
              <w:t>0.0051 ± 0.00002</w:t>
            </w:r>
            <w:r>
              <w:rPr>
                <w:rFonts w:ascii="Times New Roman" w:hAnsi="Times New Roman"/>
                <w:sz w:val="24"/>
                <w:szCs w:val="24"/>
                <w:vertAlign w:val="superscript"/>
              </w:rPr>
              <w:t>e</w:t>
            </w:r>
          </w:p>
        </w:tc>
      </w:tr>
      <w:tr w:rsidR="00CB397B" w14:paraId="6BDF5210" w14:textId="77777777" w:rsidTr="007E4E4A">
        <w:trPr>
          <w:trHeight w:val="53"/>
          <w:tblCellSpacing w:w="15" w:type="dxa"/>
        </w:trPr>
        <w:tc>
          <w:tcPr>
            <w:tcW w:w="787" w:type="pct"/>
            <w:tcMar>
              <w:top w:w="15" w:type="dxa"/>
              <w:left w:w="15" w:type="dxa"/>
              <w:bottom w:w="15" w:type="dxa"/>
              <w:right w:w="15" w:type="dxa"/>
            </w:tcMar>
            <w:vAlign w:val="center"/>
            <w:hideMark/>
          </w:tcPr>
          <w:p w14:paraId="08C6A7EF"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671" w:type="pct"/>
            <w:tcMar>
              <w:top w:w="15" w:type="dxa"/>
              <w:left w:w="15" w:type="dxa"/>
              <w:bottom w:w="15" w:type="dxa"/>
              <w:right w:w="15" w:type="dxa"/>
            </w:tcMar>
            <w:vAlign w:val="center"/>
            <w:hideMark/>
          </w:tcPr>
          <w:p w14:paraId="48253E36"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135" w:type="pct"/>
            <w:tcMar>
              <w:top w:w="15" w:type="dxa"/>
              <w:left w:w="15" w:type="dxa"/>
              <w:bottom w:w="15" w:type="dxa"/>
              <w:right w:w="15" w:type="dxa"/>
            </w:tcMar>
            <w:vAlign w:val="center"/>
            <w:hideMark/>
          </w:tcPr>
          <w:p w14:paraId="57D074E8" w14:textId="77777777" w:rsidR="00CB397B" w:rsidRDefault="00CB397B">
            <w:pPr>
              <w:jc w:val="both"/>
              <w:rPr>
                <w:rFonts w:ascii="Times New Roman" w:hAnsi="Times New Roman"/>
                <w:sz w:val="24"/>
                <w:szCs w:val="24"/>
              </w:rPr>
            </w:pPr>
            <w:r>
              <w:rPr>
                <w:rFonts w:ascii="Times New Roman" w:hAnsi="Times New Roman"/>
                <w:sz w:val="24"/>
                <w:szCs w:val="24"/>
              </w:rPr>
              <w:t>0.0049 ± 0.00002</w:t>
            </w:r>
            <w:r>
              <w:rPr>
                <w:rFonts w:ascii="Times New Roman" w:hAnsi="Times New Roman"/>
                <w:sz w:val="24"/>
                <w:szCs w:val="24"/>
                <w:vertAlign w:val="superscript"/>
              </w:rPr>
              <w:t>g</w:t>
            </w:r>
          </w:p>
        </w:tc>
        <w:tc>
          <w:tcPr>
            <w:tcW w:w="1180" w:type="pct"/>
            <w:tcMar>
              <w:top w:w="15" w:type="dxa"/>
              <w:left w:w="15" w:type="dxa"/>
              <w:bottom w:w="15" w:type="dxa"/>
              <w:right w:w="15" w:type="dxa"/>
            </w:tcMar>
            <w:vAlign w:val="center"/>
            <w:hideMark/>
          </w:tcPr>
          <w:p w14:paraId="7321D992" w14:textId="77777777" w:rsidR="00CB397B" w:rsidRDefault="00CB397B">
            <w:pPr>
              <w:jc w:val="both"/>
              <w:rPr>
                <w:rFonts w:ascii="Times New Roman" w:hAnsi="Times New Roman"/>
                <w:sz w:val="24"/>
                <w:szCs w:val="24"/>
              </w:rPr>
            </w:pPr>
            <w:r>
              <w:rPr>
                <w:rFonts w:ascii="Times New Roman" w:hAnsi="Times New Roman"/>
                <w:sz w:val="24"/>
                <w:szCs w:val="24"/>
              </w:rPr>
              <w:t>0.0060 ± 0.00002</w:t>
            </w:r>
            <w:r>
              <w:rPr>
                <w:rFonts w:ascii="Times New Roman" w:hAnsi="Times New Roman"/>
                <w:sz w:val="24"/>
                <w:szCs w:val="24"/>
                <w:vertAlign w:val="superscript"/>
              </w:rPr>
              <w:t>g</w:t>
            </w:r>
          </w:p>
        </w:tc>
        <w:tc>
          <w:tcPr>
            <w:tcW w:w="1135" w:type="pct"/>
            <w:tcMar>
              <w:top w:w="15" w:type="dxa"/>
              <w:left w:w="15" w:type="dxa"/>
              <w:bottom w:w="15" w:type="dxa"/>
              <w:right w:w="15" w:type="dxa"/>
            </w:tcMar>
            <w:vAlign w:val="center"/>
            <w:hideMark/>
          </w:tcPr>
          <w:p w14:paraId="74A4A874" w14:textId="77777777" w:rsidR="00CB397B" w:rsidRDefault="00CB397B">
            <w:pPr>
              <w:jc w:val="both"/>
              <w:rPr>
                <w:rFonts w:ascii="Times New Roman" w:hAnsi="Times New Roman"/>
                <w:sz w:val="24"/>
                <w:szCs w:val="24"/>
              </w:rPr>
            </w:pPr>
            <w:r>
              <w:rPr>
                <w:rFonts w:ascii="Times New Roman" w:hAnsi="Times New Roman"/>
                <w:sz w:val="24"/>
                <w:szCs w:val="24"/>
              </w:rPr>
              <w:t>0.0044 ± 0.00002</w:t>
            </w:r>
            <w:r>
              <w:rPr>
                <w:rFonts w:ascii="Times New Roman" w:hAnsi="Times New Roman"/>
                <w:sz w:val="24"/>
                <w:szCs w:val="24"/>
                <w:vertAlign w:val="superscript"/>
              </w:rPr>
              <w:t>f</w:t>
            </w:r>
          </w:p>
        </w:tc>
      </w:tr>
      <w:tr w:rsidR="00CB397B" w14:paraId="151A8D2B" w14:textId="77777777" w:rsidTr="007E4E4A">
        <w:trPr>
          <w:trHeight w:val="53"/>
          <w:tblCellSpacing w:w="15" w:type="dxa"/>
        </w:trPr>
        <w:tc>
          <w:tcPr>
            <w:tcW w:w="787" w:type="pct"/>
            <w:tcMar>
              <w:top w:w="15" w:type="dxa"/>
              <w:left w:w="15" w:type="dxa"/>
              <w:bottom w:w="15" w:type="dxa"/>
              <w:right w:w="15" w:type="dxa"/>
            </w:tcMar>
            <w:vAlign w:val="center"/>
            <w:hideMark/>
          </w:tcPr>
          <w:p w14:paraId="715C2D9D" w14:textId="77777777" w:rsidR="00CB397B" w:rsidRDefault="00CB397B">
            <w:pPr>
              <w:rPr>
                <w:rFonts w:ascii="Times New Roman" w:hAnsi="Times New Roman"/>
                <w:sz w:val="24"/>
                <w:szCs w:val="24"/>
              </w:rPr>
            </w:pPr>
          </w:p>
        </w:tc>
        <w:tc>
          <w:tcPr>
            <w:tcW w:w="671" w:type="pct"/>
            <w:tcMar>
              <w:top w:w="15" w:type="dxa"/>
              <w:left w:w="15" w:type="dxa"/>
              <w:bottom w:w="15" w:type="dxa"/>
              <w:right w:w="15" w:type="dxa"/>
            </w:tcMar>
            <w:vAlign w:val="center"/>
            <w:hideMark/>
          </w:tcPr>
          <w:p w14:paraId="784EDF56"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135" w:type="pct"/>
            <w:tcMar>
              <w:top w:w="15" w:type="dxa"/>
              <w:left w:w="15" w:type="dxa"/>
              <w:bottom w:w="15" w:type="dxa"/>
              <w:right w:w="15" w:type="dxa"/>
            </w:tcMar>
            <w:vAlign w:val="center"/>
            <w:hideMark/>
          </w:tcPr>
          <w:p w14:paraId="04DAD776" w14:textId="77777777" w:rsidR="00CB397B" w:rsidRDefault="00CB397B">
            <w:pPr>
              <w:jc w:val="both"/>
              <w:rPr>
                <w:rFonts w:ascii="Times New Roman" w:hAnsi="Times New Roman"/>
                <w:sz w:val="24"/>
                <w:szCs w:val="24"/>
              </w:rPr>
            </w:pPr>
            <w:r>
              <w:rPr>
                <w:rFonts w:ascii="Times New Roman" w:hAnsi="Times New Roman"/>
                <w:sz w:val="24"/>
                <w:szCs w:val="24"/>
              </w:rPr>
              <w:t>0.0056 ± 0.00004</w:t>
            </w:r>
            <w:r>
              <w:rPr>
                <w:rFonts w:ascii="Times New Roman" w:hAnsi="Times New Roman"/>
                <w:sz w:val="24"/>
                <w:szCs w:val="24"/>
                <w:vertAlign w:val="superscript"/>
              </w:rPr>
              <w:t>a</w:t>
            </w:r>
          </w:p>
        </w:tc>
        <w:tc>
          <w:tcPr>
            <w:tcW w:w="1180" w:type="pct"/>
            <w:tcMar>
              <w:top w:w="15" w:type="dxa"/>
              <w:left w:w="15" w:type="dxa"/>
              <w:bottom w:w="15" w:type="dxa"/>
              <w:right w:w="15" w:type="dxa"/>
            </w:tcMar>
            <w:vAlign w:val="center"/>
            <w:hideMark/>
          </w:tcPr>
          <w:p w14:paraId="5A888F06" w14:textId="77777777" w:rsidR="00CB397B" w:rsidRDefault="00CB397B">
            <w:pPr>
              <w:jc w:val="both"/>
              <w:rPr>
                <w:rFonts w:ascii="Times New Roman" w:hAnsi="Times New Roman"/>
                <w:sz w:val="24"/>
                <w:szCs w:val="24"/>
              </w:rPr>
            </w:pPr>
            <w:r>
              <w:rPr>
                <w:rFonts w:ascii="Times New Roman" w:hAnsi="Times New Roman"/>
                <w:sz w:val="24"/>
                <w:szCs w:val="24"/>
              </w:rPr>
              <w:t>0.0063 ± 0.00002</w:t>
            </w:r>
            <w:r>
              <w:rPr>
                <w:rFonts w:ascii="Times New Roman" w:hAnsi="Times New Roman"/>
                <w:sz w:val="24"/>
                <w:szCs w:val="24"/>
                <w:vertAlign w:val="superscript"/>
              </w:rPr>
              <w:t>a</w:t>
            </w:r>
          </w:p>
        </w:tc>
        <w:tc>
          <w:tcPr>
            <w:tcW w:w="1135" w:type="pct"/>
            <w:tcMar>
              <w:top w:w="15" w:type="dxa"/>
              <w:left w:w="15" w:type="dxa"/>
              <w:bottom w:w="15" w:type="dxa"/>
              <w:right w:w="15" w:type="dxa"/>
            </w:tcMar>
            <w:vAlign w:val="center"/>
            <w:hideMark/>
          </w:tcPr>
          <w:p w14:paraId="43E3CC1F" w14:textId="77777777" w:rsidR="00CB397B" w:rsidRDefault="00CB397B">
            <w:pPr>
              <w:jc w:val="both"/>
              <w:rPr>
                <w:rFonts w:ascii="Times New Roman" w:hAnsi="Times New Roman"/>
                <w:sz w:val="24"/>
                <w:szCs w:val="24"/>
              </w:rPr>
            </w:pPr>
            <w:r>
              <w:rPr>
                <w:rFonts w:ascii="Times New Roman" w:hAnsi="Times New Roman"/>
                <w:sz w:val="24"/>
                <w:szCs w:val="24"/>
              </w:rPr>
              <w:t>0.0060 ± 0.00002</w:t>
            </w:r>
            <w:r>
              <w:rPr>
                <w:rFonts w:ascii="Times New Roman" w:hAnsi="Times New Roman"/>
                <w:sz w:val="24"/>
                <w:szCs w:val="24"/>
                <w:vertAlign w:val="superscript"/>
              </w:rPr>
              <w:t>a</w:t>
            </w:r>
          </w:p>
        </w:tc>
      </w:tr>
      <w:tr w:rsidR="00CB397B" w14:paraId="38DFB10E" w14:textId="77777777" w:rsidTr="007E4E4A">
        <w:trPr>
          <w:trHeight w:val="53"/>
          <w:tblCellSpacing w:w="15" w:type="dxa"/>
        </w:trPr>
        <w:tc>
          <w:tcPr>
            <w:tcW w:w="787" w:type="pct"/>
            <w:tcMar>
              <w:top w:w="15" w:type="dxa"/>
              <w:left w:w="15" w:type="dxa"/>
              <w:bottom w:w="15" w:type="dxa"/>
              <w:right w:w="15" w:type="dxa"/>
            </w:tcMar>
            <w:vAlign w:val="center"/>
          </w:tcPr>
          <w:p w14:paraId="36A65E2C" w14:textId="77777777" w:rsidR="00CB397B" w:rsidRDefault="00CB397B">
            <w:pPr>
              <w:jc w:val="both"/>
              <w:rPr>
                <w:rFonts w:ascii="Times New Roman" w:hAnsi="Times New Roman"/>
                <w:sz w:val="24"/>
                <w:szCs w:val="24"/>
              </w:rPr>
            </w:pPr>
          </w:p>
        </w:tc>
        <w:tc>
          <w:tcPr>
            <w:tcW w:w="671" w:type="pct"/>
            <w:tcMar>
              <w:top w:w="15" w:type="dxa"/>
              <w:left w:w="15" w:type="dxa"/>
              <w:bottom w:w="15" w:type="dxa"/>
              <w:right w:w="15" w:type="dxa"/>
            </w:tcMar>
            <w:vAlign w:val="center"/>
            <w:hideMark/>
          </w:tcPr>
          <w:p w14:paraId="277796A0"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135" w:type="pct"/>
            <w:tcMar>
              <w:top w:w="15" w:type="dxa"/>
              <w:left w:w="15" w:type="dxa"/>
              <w:bottom w:w="15" w:type="dxa"/>
              <w:right w:w="15" w:type="dxa"/>
            </w:tcMar>
            <w:vAlign w:val="center"/>
            <w:hideMark/>
          </w:tcPr>
          <w:p w14:paraId="31DA4D65" w14:textId="77777777" w:rsidR="00CB397B" w:rsidRDefault="00CB397B">
            <w:pPr>
              <w:jc w:val="both"/>
              <w:rPr>
                <w:rFonts w:ascii="Times New Roman" w:hAnsi="Times New Roman"/>
                <w:sz w:val="24"/>
                <w:szCs w:val="24"/>
              </w:rPr>
            </w:pPr>
            <w:r>
              <w:rPr>
                <w:rFonts w:ascii="Times New Roman" w:hAnsi="Times New Roman"/>
                <w:sz w:val="24"/>
                <w:szCs w:val="24"/>
              </w:rPr>
              <w:t>0.0037 ± 0.00002</w:t>
            </w:r>
            <w:r>
              <w:rPr>
                <w:rFonts w:ascii="Times New Roman" w:hAnsi="Times New Roman"/>
                <w:sz w:val="24"/>
                <w:szCs w:val="24"/>
                <w:vertAlign w:val="superscript"/>
              </w:rPr>
              <w:t>h</w:t>
            </w:r>
          </w:p>
        </w:tc>
        <w:tc>
          <w:tcPr>
            <w:tcW w:w="1180" w:type="pct"/>
            <w:tcMar>
              <w:top w:w="15" w:type="dxa"/>
              <w:left w:w="15" w:type="dxa"/>
              <w:bottom w:w="15" w:type="dxa"/>
              <w:right w:w="15" w:type="dxa"/>
            </w:tcMar>
            <w:vAlign w:val="center"/>
            <w:hideMark/>
          </w:tcPr>
          <w:p w14:paraId="1ED7EA4B" w14:textId="77777777" w:rsidR="00CB397B" w:rsidRDefault="00CB397B">
            <w:pPr>
              <w:jc w:val="both"/>
              <w:rPr>
                <w:rFonts w:ascii="Times New Roman" w:hAnsi="Times New Roman"/>
                <w:sz w:val="24"/>
                <w:szCs w:val="24"/>
              </w:rPr>
            </w:pPr>
            <w:r>
              <w:rPr>
                <w:rFonts w:ascii="Times New Roman" w:hAnsi="Times New Roman"/>
                <w:sz w:val="24"/>
                <w:szCs w:val="24"/>
              </w:rPr>
              <w:t>0.0034 ± 0.00002</w:t>
            </w:r>
            <w:r>
              <w:rPr>
                <w:rFonts w:ascii="Times New Roman" w:hAnsi="Times New Roman"/>
                <w:sz w:val="24"/>
                <w:szCs w:val="24"/>
                <w:vertAlign w:val="superscript"/>
              </w:rPr>
              <w:t>h</w:t>
            </w:r>
          </w:p>
        </w:tc>
        <w:tc>
          <w:tcPr>
            <w:tcW w:w="1135" w:type="pct"/>
            <w:tcMar>
              <w:top w:w="15" w:type="dxa"/>
              <w:left w:w="15" w:type="dxa"/>
              <w:bottom w:w="15" w:type="dxa"/>
              <w:right w:w="15" w:type="dxa"/>
            </w:tcMar>
            <w:vAlign w:val="center"/>
            <w:hideMark/>
          </w:tcPr>
          <w:p w14:paraId="5C44077A" w14:textId="77777777" w:rsidR="00CB397B" w:rsidRDefault="00CB397B">
            <w:pPr>
              <w:jc w:val="both"/>
              <w:rPr>
                <w:rFonts w:ascii="Times New Roman" w:hAnsi="Times New Roman"/>
                <w:sz w:val="24"/>
                <w:szCs w:val="24"/>
              </w:rPr>
            </w:pPr>
            <w:r>
              <w:rPr>
                <w:rFonts w:ascii="Times New Roman" w:hAnsi="Times New Roman"/>
                <w:sz w:val="24"/>
                <w:szCs w:val="24"/>
              </w:rPr>
              <w:t>0.0045 ± 0.00002</w:t>
            </w:r>
            <w:r>
              <w:rPr>
                <w:rFonts w:ascii="Times New Roman" w:hAnsi="Times New Roman"/>
                <w:sz w:val="24"/>
                <w:szCs w:val="24"/>
                <w:vertAlign w:val="superscript"/>
              </w:rPr>
              <w:t>g</w:t>
            </w:r>
          </w:p>
        </w:tc>
      </w:tr>
    </w:tbl>
    <w:p w14:paraId="789848D7" w14:textId="77777777" w:rsidR="00CB397B" w:rsidRDefault="00CB397B" w:rsidP="00CB397B">
      <w:pPr>
        <w:jc w:val="both"/>
        <w:rPr>
          <w:rFonts w:ascii="Times New Roman" w:hAnsi="Times New Roman"/>
          <w:i/>
          <w:sz w:val="24"/>
          <w:szCs w:val="24"/>
        </w:rPr>
      </w:pPr>
      <w:r>
        <w:rPr>
          <w:rFonts w:ascii="Times New Roman" w:hAnsi="Times New Roman"/>
          <w:i/>
          <w:sz w:val="24"/>
          <w:szCs w:val="24"/>
        </w:rPr>
        <w:t>Values are presented as mean ± SD Different letters indicate significant differences (</w:t>
      </w:r>
      <w:r>
        <w:rPr>
          <w:rFonts w:ascii="Times New Roman" w:hAnsi="Times New Roman"/>
          <w:i/>
          <w:iCs/>
          <w:sz w:val="24"/>
          <w:szCs w:val="24"/>
        </w:rPr>
        <w:t>p</w:t>
      </w:r>
      <w:r>
        <w:rPr>
          <w:rFonts w:ascii="Times New Roman" w:hAnsi="Times New Roman"/>
          <w:i/>
          <w:sz w:val="24"/>
          <w:szCs w:val="24"/>
        </w:rPr>
        <w:t xml:space="preserve"> &lt; 0.05).</w:t>
      </w:r>
    </w:p>
    <w:p w14:paraId="052F4962" w14:textId="77777777" w:rsidR="00CB397B" w:rsidRDefault="00CB397B" w:rsidP="00264791">
      <w:pPr>
        <w:pStyle w:val="NormalWeb"/>
        <w:spacing w:before="0" w:beforeAutospacing="0" w:after="0" w:afterAutospacing="0" w:line="276" w:lineRule="auto"/>
        <w:jc w:val="both"/>
      </w:pPr>
      <w:r>
        <w:t xml:space="preserve">For the gills, New Airport–Concrete recorded the highest Cd concentration (0.0078 mg/L), followed by IYONDE–Concrete (0.0073 mg/L) and IYONDE–Tarpaulin (0.0072 mg/L). MAGNUS–Earthen had the lowest value (0.0034 mg/L). This strong separation indicates significant differences in Cd accumulation between several production groups. In the liver, New Airport–Concrete recorded 0.0066 mg/L, whereas MAGNUS–Concrete had the lowest concentration of 0.0044 mg/L. </w:t>
      </w:r>
    </w:p>
    <w:p w14:paraId="021EF006" w14:textId="77777777" w:rsidR="00CB397B" w:rsidRDefault="00CB397B" w:rsidP="00CB397B">
      <w:pPr>
        <w:pStyle w:val="Heading3"/>
        <w:spacing w:before="0" w:line="276" w:lineRule="auto"/>
        <w:jc w:val="both"/>
      </w:pPr>
      <w:r>
        <w:t>3.1.4 Copper (Cu)</w:t>
      </w:r>
    </w:p>
    <w:p w14:paraId="77EACB3A" w14:textId="77777777" w:rsidR="00CB397B" w:rsidRDefault="00CB397B" w:rsidP="00CB397B">
      <w:pPr>
        <w:pStyle w:val="NormalWeb"/>
        <w:spacing w:before="0" w:beforeAutospacing="0" w:after="0" w:afterAutospacing="0" w:line="276" w:lineRule="auto"/>
        <w:jc w:val="both"/>
      </w:pPr>
      <w:r>
        <w:t>The results revealed significant differences in Cu concentrations among the farm–pond combinations. In the muscle, MAGNUS–Tarpaulin recorded the highest concentration (0.0164 mg/L), closely followed by IYONDE–Tarpaulin (0.0163 mg/L), while MAGNUS–Earthen had the lowest concentration (0.0111 mg/L). In the gills, New Airport–Concrete recorded the highest Cu concentration (0.0221 mg/L), while MAGNUS–Earthen had the lowest (0.0102 mg/L). The clear difference between these groups indicates significant variation in Cu accumulation. For the liver, New Airport–Concrete had the highest concentration (0.0185 mg/L), whereas MAGNUS–Concrete recorded the lowest (0.0131 mg/L).</w:t>
      </w:r>
    </w:p>
    <w:p w14:paraId="058360FE" w14:textId="77777777" w:rsidR="00CB397B" w:rsidRDefault="00CB397B" w:rsidP="00CB397B">
      <w:pPr>
        <w:pStyle w:val="Heading3"/>
        <w:spacing w:before="0" w:line="276" w:lineRule="auto"/>
        <w:jc w:val="both"/>
      </w:pPr>
      <w:r>
        <w:t xml:space="preserve">Table 4: Mean Concentration of Copper (Cu) [mg/L] in Tissues of </w:t>
      </w:r>
      <w:r>
        <w:rPr>
          <w:rStyle w:val="Emphasis"/>
          <w:rFonts w:eastAsia="SimSun"/>
        </w:rPr>
        <w:t xml:space="preserve">Clarias </w:t>
      </w:r>
      <w:proofErr w:type="spellStart"/>
      <w:r>
        <w:rPr>
          <w:rStyle w:val="Emphasis"/>
          <w:rFonts w:eastAsia="SimSun"/>
        </w:rPr>
        <w:t>gariepinus</w:t>
      </w:r>
      <w:proofErr w:type="spellEnd"/>
    </w:p>
    <w:tbl>
      <w:tblPr>
        <w:tblW w:w="5000" w:type="pct"/>
        <w:tblCellSpacing w:w="15" w:type="dxa"/>
        <w:tblLook w:val="04A0" w:firstRow="1" w:lastRow="0" w:firstColumn="1" w:lastColumn="0" w:noHBand="0" w:noVBand="1"/>
      </w:tblPr>
      <w:tblGrid>
        <w:gridCol w:w="1847"/>
        <w:gridCol w:w="1565"/>
        <w:gridCol w:w="2457"/>
        <w:gridCol w:w="2458"/>
        <w:gridCol w:w="2473"/>
      </w:tblGrid>
      <w:tr w:rsidR="00CB397B" w14:paraId="499F65E4" w14:textId="77777777" w:rsidTr="007E4E4A">
        <w:trPr>
          <w:trHeight w:val="224"/>
          <w:tblHeader/>
          <w:tblCellSpacing w:w="15" w:type="dxa"/>
        </w:trPr>
        <w:tc>
          <w:tcPr>
            <w:tcW w:w="834"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1C2CB07D"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710"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797B786F"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1122"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10C8300A" w14:textId="77777777" w:rsidR="00CB397B" w:rsidRDefault="00CB397B">
            <w:pPr>
              <w:jc w:val="both"/>
              <w:rPr>
                <w:rFonts w:ascii="Times New Roman" w:hAnsi="Times New Roman"/>
                <w:b/>
                <w:bCs/>
                <w:sz w:val="24"/>
                <w:szCs w:val="24"/>
              </w:rPr>
            </w:pPr>
            <w:r>
              <w:rPr>
                <w:rFonts w:ascii="Times New Roman" w:hAnsi="Times New Roman"/>
                <w:b/>
                <w:bCs/>
                <w:sz w:val="24"/>
                <w:szCs w:val="24"/>
              </w:rPr>
              <w:t>Muscle</w:t>
            </w:r>
          </w:p>
        </w:tc>
        <w:tc>
          <w:tcPr>
            <w:tcW w:w="1122"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6AE7B0E5" w14:textId="77777777" w:rsidR="00CB397B" w:rsidRDefault="00CB397B">
            <w:pPr>
              <w:jc w:val="both"/>
              <w:rPr>
                <w:rFonts w:ascii="Times New Roman" w:hAnsi="Times New Roman"/>
                <w:b/>
                <w:bCs/>
                <w:sz w:val="24"/>
                <w:szCs w:val="24"/>
              </w:rPr>
            </w:pPr>
            <w:r>
              <w:rPr>
                <w:rFonts w:ascii="Times New Roman" w:hAnsi="Times New Roman"/>
                <w:b/>
                <w:bCs/>
                <w:sz w:val="24"/>
                <w:szCs w:val="24"/>
              </w:rPr>
              <w:t>Gills</w:t>
            </w:r>
          </w:p>
        </w:tc>
        <w:tc>
          <w:tcPr>
            <w:tcW w:w="1122"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557A230C" w14:textId="77777777" w:rsidR="00CB397B" w:rsidRDefault="00CB397B">
            <w:pPr>
              <w:jc w:val="both"/>
              <w:rPr>
                <w:rFonts w:ascii="Times New Roman" w:hAnsi="Times New Roman"/>
                <w:b/>
                <w:bCs/>
                <w:sz w:val="24"/>
                <w:szCs w:val="24"/>
              </w:rPr>
            </w:pPr>
            <w:r>
              <w:rPr>
                <w:rFonts w:ascii="Times New Roman" w:hAnsi="Times New Roman"/>
                <w:b/>
                <w:bCs/>
                <w:sz w:val="24"/>
                <w:szCs w:val="24"/>
              </w:rPr>
              <w:t>Liver</w:t>
            </w:r>
          </w:p>
        </w:tc>
      </w:tr>
      <w:tr w:rsidR="00CB397B" w14:paraId="6B796051" w14:textId="77777777" w:rsidTr="007E4E4A">
        <w:trPr>
          <w:trHeight w:val="53"/>
          <w:tblCellSpacing w:w="15" w:type="dxa"/>
        </w:trPr>
        <w:tc>
          <w:tcPr>
            <w:tcW w:w="834" w:type="pct"/>
            <w:tcMar>
              <w:top w:w="15" w:type="dxa"/>
              <w:left w:w="15" w:type="dxa"/>
              <w:bottom w:w="15" w:type="dxa"/>
              <w:right w:w="15" w:type="dxa"/>
            </w:tcMar>
            <w:vAlign w:val="center"/>
            <w:hideMark/>
          </w:tcPr>
          <w:p w14:paraId="0314B034"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710" w:type="pct"/>
            <w:tcMar>
              <w:top w:w="15" w:type="dxa"/>
              <w:left w:w="15" w:type="dxa"/>
              <w:bottom w:w="15" w:type="dxa"/>
              <w:right w:w="15" w:type="dxa"/>
            </w:tcMar>
            <w:vAlign w:val="center"/>
            <w:hideMark/>
          </w:tcPr>
          <w:p w14:paraId="4BB85C3C"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122" w:type="pct"/>
            <w:tcMar>
              <w:top w:w="15" w:type="dxa"/>
              <w:left w:w="15" w:type="dxa"/>
              <w:bottom w:w="15" w:type="dxa"/>
              <w:right w:w="15" w:type="dxa"/>
            </w:tcMar>
            <w:vAlign w:val="center"/>
            <w:hideMark/>
          </w:tcPr>
          <w:p w14:paraId="7AB73D1E" w14:textId="77777777" w:rsidR="00CB397B" w:rsidRDefault="00CB397B">
            <w:pPr>
              <w:jc w:val="both"/>
              <w:rPr>
                <w:rFonts w:ascii="Times New Roman" w:hAnsi="Times New Roman"/>
                <w:sz w:val="24"/>
                <w:szCs w:val="24"/>
              </w:rPr>
            </w:pPr>
            <w:r>
              <w:rPr>
                <w:rFonts w:ascii="Times New Roman" w:hAnsi="Times New Roman"/>
                <w:sz w:val="24"/>
                <w:szCs w:val="24"/>
              </w:rPr>
              <w:t>0.0154 ± 0.0001</w:t>
            </w:r>
            <w:r>
              <w:rPr>
                <w:rFonts w:ascii="Times New Roman" w:hAnsi="Times New Roman"/>
                <w:sz w:val="24"/>
                <w:szCs w:val="24"/>
                <w:vertAlign w:val="superscript"/>
              </w:rPr>
              <w:t>b</w:t>
            </w:r>
          </w:p>
        </w:tc>
        <w:tc>
          <w:tcPr>
            <w:tcW w:w="1122" w:type="pct"/>
            <w:tcMar>
              <w:top w:w="15" w:type="dxa"/>
              <w:left w:w="15" w:type="dxa"/>
              <w:bottom w:w="15" w:type="dxa"/>
              <w:right w:w="15" w:type="dxa"/>
            </w:tcMar>
            <w:vAlign w:val="center"/>
            <w:hideMark/>
          </w:tcPr>
          <w:p w14:paraId="62B09824" w14:textId="77777777" w:rsidR="00CB397B" w:rsidRDefault="00CB397B">
            <w:pPr>
              <w:jc w:val="both"/>
              <w:rPr>
                <w:rFonts w:ascii="Times New Roman" w:hAnsi="Times New Roman"/>
                <w:sz w:val="24"/>
                <w:szCs w:val="24"/>
              </w:rPr>
            </w:pPr>
            <w:r>
              <w:rPr>
                <w:rFonts w:ascii="Times New Roman" w:hAnsi="Times New Roman"/>
                <w:sz w:val="24"/>
                <w:szCs w:val="24"/>
              </w:rPr>
              <w:t>0.0221 ± 0.0001</w:t>
            </w:r>
            <w:r>
              <w:rPr>
                <w:rFonts w:ascii="Times New Roman" w:hAnsi="Times New Roman"/>
                <w:sz w:val="24"/>
                <w:szCs w:val="24"/>
                <w:vertAlign w:val="superscript"/>
              </w:rPr>
              <w:t>a</w:t>
            </w:r>
          </w:p>
        </w:tc>
        <w:tc>
          <w:tcPr>
            <w:tcW w:w="1122" w:type="pct"/>
            <w:tcMar>
              <w:top w:w="15" w:type="dxa"/>
              <w:left w:w="15" w:type="dxa"/>
              <w:bottom w:w="15" w:type="dxa"/>
              <w:right w:w="15" w:type="dxa"/>
            </w:tcMar>
            <w:vAlign w:val="center"/>
            <w:hideMark/>
          </w:tcPr>
          <w:p w14:paraId="2BC97AD1" w14:textId="77777777" w:rsidR="00CB397B" w:rsidRDefault="00CB397B">
            <w:pPr>
              <w:jc w:val="both"/>
              <w:rPr>
                <w:rFonts w:ascii="Times New Roman" w:hAnsi="Times New Roman"/>
                <w:sz w:val="24"/>
                <w:szCs w:val="24"/>
              </w:rPr>
            </w:pPr>
            <w:r>
              <w:rPr>
                <w:rFonts w:ascii="Times New Roman" w:hAnsi="Times New Roman"/>
                <w:sz w:val="24"/>
                <w:szCs w:val="24"/>
              </w:rPr>
              <w:t>0.0185 ± 0.0000</w:t>
            </w:r>
            <w:r>
              <w:rPr>
                <w:rFonts w:ascii="Times New Roman" w:hAnsi="Times New Roman"/>
                <w:sz w:val="24"/>
                <w:szCs w:val="24"/>
                <w:vertAlign w:val="superscript"/>
              </w:rPr>
              <w:t>c</w:t>
            </w:r>
          </w:p>
        </w:tc>
      </w:tr>
      <w:tr w:rsidR="00CB397B" w14:paraId="7B796B33" w14:textId="77777777" w:rsidTr="007E4E4A">
        <w:trPr>
          <w:trHeight w:val="96"/>
          <w:tblCellSpacing w:w="15" w:type="dxa"/>
        </w:trPr>
        <w:tc>
          <w:tcPr>
            <w:tcW w:w="834" w:type="pct"/>
            <w:tcMar>
              <w:top w:w="15" w:type="dxa"/>
              <w:left w:w="15" w:type="dxa"/>
              <w:bottom w:w="15" w:type="dxa"/>
              <w:right w:w="15" w:type="dxa"/>
            </w:tcMar>
            <w:vAlign w:val="center"/>
            <w:hideMark/>
          </w:tcPr>
          <w:p w14:paraId="2A70ECB4" w14:textId="77777777" w:rsidR="00CB397B" w:rsidRDefault="00CB397B">
            <w:pPr>
              <w:rPr>
                <w:rFonts w:ascii="Times New Roman" w:hAnsi="Times New Roman"/>
                <w:sz w:val="24"/>
                <w:szCs w:val="24"/>
              </w:rPr>
            </w:pPr>
          </w:p>
        </w:tc>
        <w:tc>
          <w:tcPr>
            <w:tcW w:w="710" w:type="pct"/>
            <w:tcMar>
              <w:top w:w="15" w:type="dxa"/>
              <w:left w:w="15" w:type="dxa"/>
              <w:bottom w:w="15" w:type="dxa"/>
              <w:right w:w="15" w:type="dxa"/>
            </w:tcMar>
            <w:vAlign w:val="center"/>
            <w:hideMark/>
          </w:tcPr>
          <w:p w14:paraId="493570CF"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122" w:type="pct"/>
            <w:tcMar>
              <w:top w:w="15" w:type="dxa"/>
              <w:left w:w="15" w:type="dxa"/>
              <w:bottom w:w="15" w:type="dxa"/>
              <w:right w:w="15" w:type="dxa"/>
            </w:tcMar>
            <w:vAlign w:val="center"/>
            <w:hideMark/>
          </w:tcPr>
          <w:p w14:paraId="2235909D" w14:textId="77777777" w:rsidR="00CB397B" w:rsidRDefault="00CB397B">
            <w:pPr>
              <w:jc w:val="both"/>
              <w:rPr>
                <w:rFonts w:ascii="Times New Roman" w:hAnsi="Times New Roman"/>
                <w:sz w:val="24"/>
                <w:szCs w:val="24"/>
              </w:rPr>
            </w:pPr>
            <w:r>
              <w:rPr>
                <w:rFonts w:ascii="Times New Roman" w:hAnsi="Times New Roman"/>
                <w:sz w:val="24"/>
                <w:szCs w:val="24"/>
              </w:rPr>
              <w:t>0.0147 ± 0.0000</w:t>
            </w:r>
            <w:r>
              <w:rPr>
                <w:rFonts w:ascii="Times New Roman" w:hAnsi="Times New Roman"/>
                <w:sz w:val="24"/>
                <w:szCs w:val="24"/>
                <w:vertAlign w:val="superscript"/>
              </w:rPr>
              <w:t>c</w:t>
            </w:r>
          </w:p>
        </w:tc>
        <w:tc>
          <w:tcPr>
            <w:tcW w:w="1122" w:type="pct"/>
            <w:tcMar>
              <w:top w:w="15" w:type="dxa"/>
              <w:left w:w="15" w:type="dxa"/>
              <w:bottom w:w="15" w:type="dxa"/>
              <w:right w:w="15" w:type="dxa"/>
            </w:tcMar>
            <w:vAlign w:val="center"/>
            <w:hideMark/>
          </w:tcPr>
          <w:p w14:paraId="7BF9A196" w14:textId="77777777" w:rsidR="00CB397B" w:rsidRDefault="00CB397B">
            <w:pPr>
              <w:jc w:val="both"/>
              <w:rPr>
                <w:rFonts w:ascii="Times New Roman" w:hAnsi="Times New Roman"/>
                <w:sz w:val="24"/>
                <w:szCs w:val="24"/>
              </w:rPr>
            </w:pPr>
            <w:r>
              <w:rPr>
                <w:rFonts w:ascii="Times New Roman" w:hAnsi="Times New Roman"/>
                <w:sz w:val="24"/>
                <w:szCs w:val="24"/>
              </w:rPr>
              <w:t>0.0172 ± 0.0001</w:t>
            </w:r>
            <w:r>
              <w:rPr>
                <w:rFonts w:ascii="Times New Roman" w:hAnsi="Times New Roman"/>
                <w:sz w:val="24"/>
                <w:szCs w:val="24"/>
                <w:vertAlign w:val="superscript"/>
              </w:rPr>
              <w:t>b</w:t>
            </w:r>
          </w:p>
        </w:tc>
        <w:tc>
          <w:tcPr>
            <w:tcW w:w="1122" w:type="pct"/>
            <w:tcMar>
              <w:top w:w="15" w:type="dxa"/>
              <w:left w:w="15" w:type="dxa"/>
              <w:bottom w:w="15" w:type="dxa"/>
              <w:right w:w="15" w:type="dxa"/>
            </w:tcMar>
            <w:vAlign w:val="center"/>
            <w:hideMark/>
          </w:tcPr>
          <w:p w14:paraId="32B8ED6E" w14:textId="77777777" w:rsidR="00CB397B" w:rsidRDefault="00CB397B">
            <w:pPr>
              <w:jc w:val="both"/>
              <w:rPr>
                <w:rFonts w:ascii="Times New Roman" w:hAnsi="Times New Roman"/>
                <w:sz w:val="24"/>
                <w:szCs w:val="24"/>
              </w:rPr>
            </w:pPr>
            <w:r>
              <w:rPr>
                <w:rFonts w:ascii="Times New Roman" w:hAnsi="Times New Roman"/>
                <w:sz w:val="24"/>
                <w:szCs w:val="24"/>
              </w:rPr>
              <w:t>0.0164 ± 0.0001</w:t>
            </w:r>
            <w:r>
              <w:rPr>
                <w:rFonts w:ascii="Times New Roman" w:hAnsi="Times New Roman"/>
                <w:sz w:val="24"/>
                <w:szCs w:val="24"/>
                <w:vertAlign w:val="superscript"/>
              </w:rPr>
              <w:t>a</w:t>
            </w:r>
          </w:p>
        </w:tc>
      </w:tr>
      <w:tr w:rsidR="00CB397B" w14:paraId="3C29AB8E" w14:textId="77777777" w:rsidTr="007E4E4A">
        <w:trPr>
          <w:trHeight w:val="53"/>
          <w:tblCellSpacing w:w="15" w:type="dxa"/>
        </w:trPr>
        <w:tc>
          <w:tcPr>
            <w:tcW w:w="834" w:type="pct"/>
            <w:tcMar>
              <w:top w:w="15" w:type="dxa"/>
              <w:left w:w="15" w:type="dxa"/>
              <w:bottom w:w="15" w:type="dxa"/>
              <w:right w:w="15" w:type="dxa"/>
            </w:tcMar>
            <w:vAlign w:val="center"/>
            <w:hideMark/>
          </w:tcPr>
          <w:p w14:paraId="7C128659" w14:textId="77777777" w:rsidR="00CB397B" w:rsidRDefault="00CB397B">
            <w:pPr>
              <w:rPr>
                <w:rFonts w:ascii="Times New Roman" w:hAnsi="Times New Roman"/>
                <w:sz w:val="24"/>
                <w:szCs w:val="24"/>
              </w:rPr>
            </w:pPr>
          </w:p>
        </w:tc>
        <w:tc>
          <w:tcPr>
            <w:tcW w:w="710" w:type="pct"/>
            <w:tcMar>
              <w:top w:w="15" w:type="dxa"/>
              <w:left w:w="15" w:type="dxa"/>
              <w:bottom w:w="15" w:type="dxa"/>
              <w:right w:w="15" w:type="dxa"/>
            </w:tcMar>
            <w:vAlign w:val="center"/>
            <w:hideMark/>
          </w:tcPr>
          <w:p w14:paraId="6DB90A3A"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122" w:type="pct"/>
            <w:tcMar>
              <w:top w:w="15" w:type="dxa"/>
              <w:left w:w="15" w:type="dxa"/>
              <w:bottom w:w="15" w:type="dxa"/>
              <w:right w:w="15" w:type="dxa"/>
            </w:tcMar>
            <w:vAlign w:val="center"/>
            <w:hideMark/>
          </w:tcPr>
          <w:p w14:paraId="6ECA43AF" w14:textId="77777777" w:rsidR="00CB397B" w:rsidRDefault="00CB397B">
            <w:pPr>
              <w:jc w:val="both"/>
              <w:rPr>
                <w:rFonts w:ascii="Times New Roman" w:hAnsi="Times New Roman"/>
                <w:sz w:val="24"/>
                <w:szCs w:val="24"/>
              </w:rPr>
            </w:pPr>
            <w:r>
              <w:rPr>
                <w:rFonts w:ascii="Times New Roman" w:hAnsi="Times New Roman"/>
                <w:sz w:val="24"/>
                <w:szCs w:val="24"/>
              </w:rPr>
              <w:t>0.0121 ± 0.0000</w:t>
            </w:r>
            <w:r>
              <w:rPr>
                <w:rFonts w:ascii="Times New Roman" w:hAnsi="Times New Roman"/>
                <w:sz w:val="24"/>
                <w:szCs w:val="24"/>
                <w:vertAlign w:val="superscript"/>
              </w:rPr>
              <w:t>d</w:t>
            </w:r>
          </w:p>
        </w:tc>
        <w:tc>
          <w:tcPr>
            <w:tcW w:w="1122" w:type="pct"/>
            <w:tcMar>
              <w:top w:w="15" w:type="dxa"/>
              <w:left w:w="15" w:type="dxa"/>
              <w:bottom w:w="15" w:type="dxa"/>
              <w:right w:w="15" w:type="dxa"/>
            </w:tcMar>
            <w:vAlign w:val="center"/>
            <w:hideMark/>
          </w:tcPr>
          <w:p w14:paraId="60939113" w14:textId="77777777" w:rsidR="00CB397B" w:rsidRDefault="00CB397B">
            <w:pPr>
              <w:jc w:val="both"/>
              <w:rPr>
                <w:rFonts w:ascii="Times New Roman" w:hAnsi="Times New Roman"/>
                <w:sz w:val="24"/>
                <w:szCs w:val="24"/>
              </w:rPr>
            </w:pPr>
            <w:r>
              <w:rPr>
                <w:rFonts w:ascii="Times New Roman" w:hAnsi="Times New Roman"/>
                <w:sz w:val="24"/>
                <w:szCs w:val="24"/>
              </w:rPr>
              <w:t>0.0119 ± 0.0001</w:t>
            </w:r>
            <w:r>
              <w:rPr>
                <w:rFonts w:ascii="Times New Roman" w:hAnsi="Times New Roman"/>
                <w:sz w:val="24"/>
                <w:szCs w:val="24"/>
                <w:vertAlign w:val="superscript"/>
              </w:rPr>
              <w:t>c</w:t>
            </w:r>
          </w:p>
        </w:tc>
        <w:tc>
          <w:tcPr>
            <w:tcW w:w="1122" w:type="pct"/>
            <w:tcMar>
              <w:top w:w="15" w:type="dxa"/>
              <w:left w:w="15" w:type="dxa"/>
              <w:bottom w:w="15" w:type="dxa"/>
              <w:right w:w="15" w:type="dxa"/>
            </w:tcMar>
            <w:vAlign w:val="center"/>
            <w:hideMark/>
          </w:tcPr>
          <w:p w14:paraId="18317386" w14:textId="77777777" w:rsidR="00CB397B" w:rsidRDefault="00CB397B">
            <w:pPr>
              <w:jc w:val="both"/>
              <w:rPr>
                <w:rFonts w:ascii="Times New Roman" w:hAnsi="Times New Roman"/>
                <w:sz w:val="24"/>
                <w:szCs w:val="24"/>
              </w:rPr>
            </w:pPr>
            <w:r>
              <w:rPr>
                <w:rFonts w:ascii="Times New Roman" w:hAnsi="Times New Roman"/>
                <w:sz w:val="24"/>
                <w:szCs w:val="24"/>
              </w:rPr>
              <w:t>0.0164 ± 0.0001</w:t>
            </w:r>
            <w:r>
              <w:rPr>
                <w:rFonts w:ascii="Times New Roman" w:hAnsi="Times New Roman"/>
                <w:sz w:val="24"/>
                <w:szCs w:val="24"/>
                <w:vertAlign w:val="superscript"/>
              </w:rPr>
              <w:t>a</w:t>
            </w:r>
          </w:p>
        </w:tc>
      </w:tr>
      <w:tr w:rsidR="00CB397B" w14:paraId="47B2FDC4" w14:textId="77777777" w:rsidTr="007E4E4A">
        <w:trPr>
          <w:trHeight w:val="78"/>
          <w:tblCellSpacing w:w="15" w:type="dxa"/>
        </w:trPr>
        <w:tc>
          <w:tcPr>
            <w:tcW w:w="834" w:type="pct"/>
            <w:tcMar>
              <w:top w:w="15" w:type="dxa"/>
              <w:left w:w="15" w:type="dxa"/>
              <w:bottom w:w="15" w:type="dxa"/>
              <w:right w:w="15" w:type="dxa"/>
            </w:tcMar>
            <w:vAlign w:val="center"/>
            <w:hideMark/>
          </w:tcPr>
          <w:p w14:paraId="25A73231"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710" w:type="pct"/>
            <w:tcMar>
              <w:top w:w="15" w:type="dxa"/>
              <w:left w:w="15" w:type="dxa"/>
              <w:bottom w:w="15" w:type="dxa"/>
              <w:right w:w="15" w:type="dxa"/>
            </w:tcMar>
            <w:vAlign w:val="center"/>
            <w:hideMark/>
          </w:tcPr>
          <w:p w14:paraId="1A3D3FD8"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122" w:type="pct"/>
            <w:tcMar>
              <w:top w:w="15" w:type="dxa"/>
              <w:left w:w="15" w:type="dxa"/>
              <w:bottom w:w="15" w:type="dxa"/>
              <w:right w:w="15" w:type="dxa"/>
            </w:tcMar>
            <w:vAlign w:val="center"/>
            <w:hideMark/>
          </w:tcPr>
          <w:p w14:paraId="3AC7043B" w14:textId="77777777" w:rsidR="00CB397B" w:rsidRDefault="00CB397B">
            <w:pPr>
              <w:jc w:val="both"/>
              <w:rPr>
                <w:rFonts w:ascii="Times New Roman" w:hAnsi="Times New Roman"/>
                <w:sz w:val="24"/>
                <w:szCs w:val="24"/>
              </w:rPr>
            </w:pPr>
            <w:r>
              <w:rPr>
                <w:rFonts w:ascii="Times New Roman" w:hAnsi="Times New Roman"/>
                <w:sz w:val="24"/>
                <w:szCs w:val="24"/>
              </w:rPr>
              <w:t>0.0157 ± 0.0000</w:t>
            </w:r>
            <w:r>
              <w:rPr>
                <w:rFonts w:ascii="Times New Roman" w:hAnsi="Times New Roman"/>
                <w:sz w:val="24"/>
                <w:szCs w:val="24"/>
                <w:vertAlign w:val="superscript"/>
              </w:rPr>
              <w:t>e</w:t>
            </w:r>
          </w:p>
        </w:tc>
        <w:tc>
          <w:tcPr>
            <w:tcW w:w="1122" w:type="pct"/>
            <w:tcMar>
              <w:top w:w="15" w:type="dxa"/>
              <w:left w:w="15" w:type="dxa"/>
              <w:bottom w:w="15" w:type="dxa"/>
              <w:right w:w="15" w:type="dxa"/>
            </w:tcMar>
            <w:vAlign w:val="center"/>
            <w:hideMark/>
          </w:tcPr>
          <w:p w14:paraId="7FFA1F33" w14:textId="77777777" w:rsidR="00CB397B" w:rsidRDefault="00CB397B">
            <w:pPr>
              <w:jc w:val="both"/>
              <w:rPr>
                <w:rFonts w:ascii="Times New Roman" w:hAnsi="Times New Roman"/>
                <w:sz w:val="24"/>
                <w:szCs w:val="24"/>
              </w:rPr>
            </w:pPr>
            <w:r>
              <w:rPr>
                <w:rFonts w:ascii="Times New Roman" w:hAnsi="Times New Roman"/>
                <w:sz w:val="24"/>
                <w:szCs w:val="24"/>
              </w:rPr>
              <w:t>0.0201 ± 0.0001</w:t>
            </w:r>
            <w:r>
              <w:rPr>
                <w:rFonts w:ascii="Times New Roman" w:hAnsi="Times New Roman"/>
                <w:sz w:val="24"/>
                <w:szCs w:val="24"/>
                <w:vertAlign w:val="superscript"/>
              </w:rPr>
              <w:t>d</w:t>
            </w:r>
          </w:p>
        </w:tc>
        <w:tc>
          <w:tcPr>
            <w:tcW w:w="1122" w:type="pct"/>
            <w:tcMar>
              <w:top w:w="15" w:type="dxa"/>
              <w:left w:w="15" w:type="dxa"/>
              <w:bottom w:w="15" w:type="dxa"/>
              <w:right w:w="15" w:type="dxa"/>
            </w:tcMar>
            <w:vAlign w:val="center"/>
            <w:hideMark/>
          </w:tcPr>
          <w:p w14:paraId="398BEA94" w14:textId="77777777" w:rsidR="00CB397B" w:rsidRDefault="00CB397B">
            <w:pPr>
              <w:jc w:val="both"/>
              <w:rPr>
                <w:rFonts w:ascii="Times New Roman" w:hAnsi="Times New Roman"/>
                <w:sz w:val="24"/>
                <w:szCs w:val="24"/>
              </w:rPr>
            </w:pPr>
            <w:r>
              <w:rPr>
                <w:rFonts w:ascii="Times New Roman" w:hAnsi="Times New Roman"/>
                <w:sz w:val="24"/>
                <w:szCs w:val="24"/>
              </w:rPr>
              <w:t>0.0170 ± 0.0001</w:t>
            </w:r>
            <w:r>
              <w:rPr>
                <w:rFonts w:ascii="Times New Roman" w:hAnsi="Times New Roman"/>
                <w:sz w:val="24"/>
                <w:szCs w:val="24"/>
                <w:vertAlign w:val="superscript"/>
              </w:rPr>
              <w:t>d</w:t>
            </w:r>
          </w:p>
        </w:tc>
      </w:tr>
      <w:tr w:rsidR="00CB397B" w14:paraId="0B6223C3" w14:textId="77777777" w:rsidTr="007E4E4A">
        <w:trPr>
          <w:trHeight w:val="186"/>
          <w:tblCellSpacing w:w="15" w:type="dxa"/>
        </w:trPr>
        <w:tc>
          <w:tcPr>
            <w:tcW w:w="834" w:type="pct"/>
            <w:tcMar>
              <w:top w:w="15" w:type="dxa"/>
              <w:left w:w="15" w:type="dxa"/>
              <w:bottom w:w="15" w:type="dxa"/>
              <w:right w:w="15" w:type="dxa"/>
            </w:tcMar>
            <w:vAlign w:val="center"/>
            <w:hideMark/>
          </w:tcPr>
          <w:p w14:paraId="38BE256A" w14:textId="77777777" w:rsidR="00CB397B" w:rsidRDefault="00CB397B">
            <w:pPr>
              <w:rPr>
                <w:rFonts w:ascii="Times New Roman" w:hAnsi="Times New Roman"/>
                <w:sz w:val="24"/>
                <w:szCs w:val="24"/>
              </w:rPr>
            </w:pPr>
          </w:p>
        </w:tc>
        <w:tc>
          <w:tcPr>
            <w:tcW w:w="710" w:type="pct"/>
            <w:tcMar>
              <w:top w:w="15" w:type="dxa"/>
              <w:left w:w="15" w:type="dxa"/>
              <w:bottom w:w="15" w:type="dxa"/>
              <w:right w:w="15" w:type="dxa"/>
            </w:tcMar>
            <w:vAlign w:val="center"/>
            <w:hideMark/>
          </w:tcPr>
          <w:p w14:paraId="71AE2BD8"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122" w:type="pct"/>
            <w:tcMar>
              <w:top w:w="15" w:type="dxa"/>
              <w:left w:w="15" w:type="dxa"/>
              <w:bottom w:w="15" w:type="dxa"/>
              <w:right w:w="15" w:type="dxa"/>
            </w:tcMar>
            <w:vAlign w:val="center"/>
            <w:hideMark/>
          </w:tcPr>
          <w:p w14:paraId="41D50397" w14:textId="77777777" w:rsidR="00CB397B" w:rsidRDefault="00CB397B">
            <w:pPr>
              <w:jc w:val="both"/>
              <w:rPr>
                <w:rFonts w:ascii="Times New Roman" w:hAnsi="Times New Roman"/>
                <w:sz w:val="24"/>
                <w:szCs w:val="24"/>
              </w:rPr>
            </w:pPr>
            <w:r>
              <w:rPr>
                <w:rFonts w:ascii="Times New Roman" w:hAnsi="Times New Roman"/>
                <w:sz w:val="24"/>
                <w:szCs w:val="24"/>
              </w:rPr>
              <w:t>0.0163 ± 0.0001</w:t>
            </w:r>
            <w:r>
              <w:rPr>
                <w:rFonts w:ascii="Times New Roman" w:hAnsi="Times New Roman"/>
                <w:sz w:val="24"/>
                <w:szCs w:val="24"/>
                <w:vertAlign w:val="superscript"/>
              </w:rPr>
              <w:t>a</w:t>
            </w:r>
          </w:p>
        </w:tc>
        <w:tc>
          <w:tcPr>
            <w:tcW w:w="1122" w:type="pct"/>
            <w:tcMar>
              <w:top w:w="15" w:type="dxa"/>
              <w:left w:w="15" w:type="dxa"/>
              <w:bottom w:w="15" w:type="dxa"/>
              <w:right w:w="15" w:type="dxa"/>
            </w:tcMar>
            <w:vAlign w:val="center"/>
            <w:hideMark/>
          </w:tcPr>
          <w:p w14:paraId="23F79717" w14:textId="77777777" w:rsidR="00CB397B" w:rsidRDefault="00CB397B">
            <w:pPr>
              <w:jc w:val="both"/>
              <w:rPr>
                <w:rFonts w:ascii="Times New Roman" w:hAnsi="Times New Roman"/>
                <w:sz w:val="24"/>
                <w:szCs w:val="24"/>
              </w:rPr>
            </w:pPr>
            <w:r>
              <w:rPr>
                <w:rFonts w:ascii="Times New Roman" w:hAnsi="Times New Roman"/>
                <w:sz w:val="24"/>
                <w:szCs w:val="24"/>
              </w:rPr>
              <w:t>0.0196 ± 0.0001</w:t>
            </w:r>
            <w:r>
              <w:rPr>
                <w:rFonts w:ascii="Times New Roman" w:hAnsi="Times New Roman"/>
                <w:sz w:val="24"/>
                <w:szCs w:val="24"/>
                <w:vertAlign w:val="superscript"/>
              </w:rPr>
              <w:t>e</w:t>
            </w:r>
          </w:p>
        </w:tc>
        <w:tc>
          <w:tcPr>
            <w:tcW w:w="1122" w:type="pct"/>
            <w:tcMar>
              <w:top w:w="15" w:type="dxa"/>
              <w:left w:w="15" w:type="dxa"/>
              <w:bottom w:w="15" w:type="dxa"/>
              <w:right w:w="15" w:type="dxa"/>
            </w:tcMar>
            <w:vAlign w:val="center"/>
            <w:hideMark/>
          </w:tcPr>
          <w:p w14:paraId="6C6C2206" w14:textId="77777777" w:rsidR="00CB397B" w:rsidRDefault="00CB397B">
            <w:pPr>
              <w:jc w:val="both"/>
              <w:rPr>
                <w:rFonts w:ascii="Times New Roman" w:hAnsi="Times New Roman"/>
                <w:sz w:val="24"/>
                <w:szCs w:val="24"/>
              </w:rPr>
            </w:pPr>
            <w:r>
              <w:rPr>
                <w:rFonts w:ascii="Times New Roman" w:hAnsi="Times New Roman"/>
                <w:sz w:val="24"/>
                <w:szCs w:val="24"/>
              </w:rPr>
              <w:t>0.0153 ± 0.0000</w:t>
            </w:r>
            <w:r>
              <w:rPr>
                <w:rFonts w:ascii="Times New Roman" w:hAnsi="Times New Roman"/>
                <w:sz w:val="24"/>
                <w:szCs w:val="24"/>
                <w:vertAlign w:val="superscript"/>
              </w:rPr>
              <w:t>b</w:t>
            </w:r>
          </w:p>
        </w:tc>
      </w:tr>
      <w:tr w:rsidR="00CB397B" w14:paraId="471A3989" w14:textId="77777777" w:rsidTr="007E4E4A">
        <w:trPr>
          <w:trHeight w:val="204"/>
          <w:tblCellSpacing w:w="15" w:type="dxa"/>
        </w:trPr>
        <w:tc>
          <w:tcPr>
            <w:tcW w:w="834" w:type="pct"/>
            <w:tcMar>
              <w:top w:w="15" w:type="dxa"/>
              <w:left w:w="15" w:type="dxa"/>
              <w:bottom w:w="15" w:type="dxa"/>
              <w:right w:w="15" w:type="dxa"/>
            </w:tcMar>
            <w:vAlign w:val="center"/>
            <w:hideMark/>
          </w:tcPr>
          <w:p w14:paraId="4F02B2C0" w14:textId="77777777" w:rsidR="00CB397B" w:rsidRDefault="00CB397B">
            <w:pPr>
              <w:rPr>
                <w:rFonts w:ascii="Times New Roman" w:hAnsi="Times New Roman"/>
                <w:sz w:val="24"/>
                <w:szCs w:val="24"/>
              </w:rPr>
            </w:pPr>
          </w:p>
        </w:tc>
        <w:tc>
          <w:tcPr>
            <w:tcW w:w="710" w:type="pct"/>
            <w:tcMar>
              <w:top w:w="15" w:type="dxa"/>
              <w:left w:w="15" w:type="dxa"/>
              <w:bottom w:w="15" w:type="dxa"/>
              <w:right w:w="15" w:type="dxa"/>
            </w:tcMar>
            <w:vAlign w:val="center"/>
            <w:hideMark/>
          </w:tcPr>
          <w:p w14:paraId="35905175"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122" w:type="pct"/>
            <w:tcMar>
              <w:top w:w="15" w:type="dxa"/>
              <w:left w:w="15" w:type="dxa"/>
              <w:bottom w:w="15" w:type="dxa"/>
              <w:right w:w="15" w:type="dxa"/>
            </w:tcMar>
            <w:vAlign w:val="center"/>
            <w:hideMark/>
          </w:tcPr>
          <w:p w14:paraId="7C91C9F2" w14:textId="77777777" w:rsidR="00CB397B" w:rsidRDefault="00CB397B">
            <w:pPr>
              <w:jc w:val="both"/>
              <w:rPr>
                <w:rFonts w:ascii="Times New Roman" w:hAnsi="Times New Roman"/>
                <w:sz w:val="24"/>
                <w:szCs w:val="24"/>
              </w:rPr>
            </w:pPr>
            <w:r>
              <w:rPr>
                <w:rFonts w:ascii="Times New Roman" w:hAnsi="Times New Roman"/>
                <w:sz w:val="24"/>
                <w:szCs w:val="24"/>
              </w:rPr>
              <w:t>0.0118 ± 0.0000</w:t>
            </w:r>
            <w:r>
              <w:rPr>
                <w:rFonts w:ascii="Times New Roman" w:hAnsi="Times New Roman"/>
                <w:sz w:val="24"/>
                <w:szCs w:val="24"/>
                <w:vertAlign w:val="superscript"/>
              </w:rPr>
              <w:t>f</w:t>
            </w:r>
          </w:p>
        </w:tc>
        <w:tc>
          <w:tcPr>
            <w:tcW w:w="1122" w:type="pct"/>
            <w:tcMar>
              <w:top w:w="15" w:type="dxa"/>
              <w:left w:w="15" w:type="dxa"/>
              <w:bottom w:w="15" w:type="dxa"/>
              <w:right w:w="15" w:type="dxa"/>
            </w:tcMar>
            <w:vAlign w:val="center"/>
            <w:hideMark/>
          </w:tcPr>
          <w:p w14:paraId="7FFD3DF3" w14:textId="77777777" w:rsidR="00CB397B" w:rsidRDefault="00CB397B">
            <w:pPr>
              <w:jc w:val="both"/>
              <w:rPr>
                <w:rFonts w:ascii="Times New Roman" w:hAnsi="Times New Roman"/>
                <w:sz w:val="24"/>
                <w:szCs w:val="24"/>
              </w:rPr>
            </w:pPr>
            <w:r>
              <w:rPr>
                <w:rFonts w:ascii="Times New Roman" w:hAnsi="Times New Roman"/>
                <w:sz w:val="24"/>
                <w:szCs w:val="24"/>
              </w:rPr>
              <w:t>0.0114 ± 0.0001</w:t>
            </w:r>
            <w:r>
              <w:rPr>
                <w:rFonts w:ascii="Times New Roman" w:hAnsi="Times New Roman"/>
                <w:sz w:val="24"/>
                <w:szCs w:val="24"/>
                <w:vertAlign w:val="superscript"/>
              </w:rPr>
              <w:t>f</w:t>
            </w:r>
          </w:p>
        </w:tc>
        <w:tc>
          <w:tcPr>
            <w:tcW w:w="1122" w:type="pct"/>
            <w:tcMar>
              <w:top w:w="15" w:type="dxa"/>
              <w:left w:w="15" w:type="dxa"/>
              <w:bottom w:w="15" w:type="dxa"/>
              <w:right w:w="15" w:type="dxa"/>
            </w:tcMar>
            <w:vAlign w:val="center"/>
            <w:hideMark/>
          </w:tcPr>
          <w:p w14:paraId="313E88FE" w14:textId="77777777" w:rsidR="00CB397B" w:rsidRDefault="00CB397B">
            <w:pPr>
              <w:jc w:val="both"/>
              <w:rPr>
                <w:rFonts w:ascii="Times New Roman" w:hAnsi="Times New Roman"/>
                <w:sz w:val="24"/>
                <w:szCs w:val="24"/>
              </w:rPr>
            </w:pPr>
            <w:r>
              <w:rPr>
                <w:rFonts w:ascii="Times New Roman" w:hAnsi="Times New Roman"/>
                <w:sz w:val="24"/>
                <w:szCs w:val="24"/>
              </w:rPr>
              <w:t>0.0152 ± 0.0001</w:t>
            </w:r>
            <w:r>
              <w:rPr>
                <w:rFonts w:ascii="Times New Roman" w:hAnsi="Times New Roman"/>
                <w:sz w:val="24"/>
                <w:szCs w:val="24"/>
                <w:vertAlign w:val="superscript"/>
              </w:rPr>
              <w:t>b</w:t>
            </w:r>
          </w:p>
        </w:tc>
      </w:tr>
      <w:tr w:rsidR="00CB397B" w14:paraId="12976A6B" w14:textId="77777777" w:rsidTr="007E4E4A">
        <w:trPr>
          <w:trHeight w:val="312"/>
          <w:tblCellSpacing w:w="15" w:type="dxa"/>
        </w:trPr>
        <w:tc>
          <w:tcPr>
            <w:tcW w:w="834" w:type="pct"/>
            <w:tcMar>
              <w:top w:w="15" w:type="dxa"/>
              <w:left w:w="15" w:type="dxa"/>
              <w:bottom w:w="15" w:type="dxa"/>
              <w:right w:w="15" w:type="dxa"/>
            </w:tcMar>
            <w:vAlign w:val="center"/>
            <w:hideMark/>
          </w:tcPr>
          <w:p w14:paraId="541E1EA0"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710" w:type="pct"/>
            <w:tcMar>
              <w:top w:w="15" w:type="dxa"/>
              <w:left w:w="15" w:type="dxa"/>
              <w:bottom w:w="15" w:type="dxa"/>
              <w:right w:w="15" w:type="dxa"/>
            </w:tcMar>
            <w:vAlign w:val="center"/>
            <w:hideMark/>
          </w:tcPr>
          <w:p w14:paraId="2289C282"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122" w:type="pct"/>
            <w:tcMar>
              <w:top w:w="15" w:type="dxa"/>
              <w:left w:w="15" w:type="dxa"/>
              <w:bottom w:w="15" w:type="dxa"/>
              <w:right w:w="15" w:type="dxa"/>
            </w:tcMar>
            <w:vAlign w:val="center"/>
            <w:hideMark/>
          </w:tcPr>
          <w:p w14:paraId="19F7BBA9" w14:textId="77777777" w:rsidR="00CB397B" w:rsidRDefault="00CB397B">
            <w:pPr>
              <w:jc w:val="both"/>
              <w:rPr>
                <w:rFonts w:ascii="Times New Roman" w:hAnsi="Times New Roman"/>
                <w:sz w:val="24"/>
                <w:szCs w:val="24"/>
              </w:rPr>
            </w:pPr>
            <w:r>
              <w:rPr>
                <w:rFonts w:ascii="Times New Roman" w:hAnsi="Times New Roman"/>
                <w:sz w:val="24"/>
                <w:szCs w:val="24"/>
              </w:rPr>
              <w:t>0.0141 ± 0.0000</w:t>
            </w:r>
            <w:r>
              <w:rPr>
                <w:rFonts w:ascii="Times New Roman" w:hAnsi="Times New Roman"/>
                <w:sz w:val="24"/>
                <w:szCs w:val="24"/>
                <w:vertAlign w:val="superscript"/>
              </w:rPr>
              <w:t>g</w:t>
            </w:r>
          </w:p>
        </w:tc>
        <w:tc>
          <w:tcPr>
            <w:tcW w:w="1122" w:type="pct"/>
            <w:tcMar>
              <w:top w:w="15" w:type="dxa"/>
              <w:left w:w="15" w:type="dxa"/>
              <w:bottom w:w="15" w:type="dxa"/>
              <w:right w:w="15" w:type="dxa"/>
            </w:tcMar>
            <w:vAlign w:val="center"/>
            <w:hideMark/>
          </w:tcPr>
          <w:p w14:paraId="4FE71258" w14:textId="77777777" w:rsidR="00CB397B" w:rsidRDefault="00CB397B">
            <w:pPr>
              <w:jc w:val="both"/>
              <w:rPr>
                <w:rFonts w:ascii="Times New Roman" w:hAnsi="Times New Roman"/>
                <w:sz w:val="24"/>
                <w:szCs w:val="24"/>
              </w:rPr>
            </w:pPr>
            <w:r>
              <w:rPr>
                <w:rFonts w:ascii="Times New Roman" w:hAnsi="Times New Roman"/>
                <w:sz w:val="24"/>
                <w:szCs w:val="24"/>
              </w:rPr>
              <w:t>0.0176 ± 0.0001</w:t>
            </w:r>
            <w:r>
              <w:rPr>
                <w:rFonts w:ascii="Times New Roman" w:hAnsi="Times New Roman"/>
                <w:sz w:val="24"/>
                <w:szCs w:val="24"/>
                <w:vertAlign w:val="superscript"/>
              </w:rPr>
              <w:t>g</w:t>
            </w:r>
          </w:p>
        </w:tc>
        <w:tc>
          <w:tcPr>
            <w:tcW w:w="1122" w:type="pct"/>
            <w:tcMar>
              <w:top w:w="15" w:type="dxa"/>
              <w:left w:w="15" w:type="dxa"/>
              <w:bottom w:w="15" w:type="dxa"/>
              <w:right w:w="15" w:type="dxa"/>
            </w:tcMar>
            <w:vAlign w:val="center"/>
            <w:hideMark/>
          </w:tcPr>
          <w:p w14:paraId="6EB78C8A" w14:textId="77777777" w:rsidR="00CB397B" w:rsidRDefault="00CB397B">
            <w:pPr>
              <w:jc w:val="both"/>
              <w:rPr>
                <w:rFonts w:ascii="Times New Roman" w:hAnsi="Times New Roman"/>
                <w:sz w:val="24"/>
                <w:szCs w:val="24"/>
              </w:rPr>
            </w:pPr>
            <w:r>
              <w:rPr>
                <w:rFonts w:ascii="Times New Roman" w:hAnsi="Times New Roman"/>
                <w:sz w:val="24"/>
                <w:szCs w:val="24"/>
              </w:rPr>
              <w:t>0.0131 ± 0.0001</w:t>
            </w:r>
            <w:r>
              <w:rPr>
                <w:rFonts w:ascii="Times New Roman" w:hAnsi="Times New Roman"/>
                <w:sz w:val="24"/>
                <w:szCs w:val="24"/>
                <w:vertAlign w:val="superscript"/>
              </w:rPr>
              <w:t>e</w:t>
            </w:r>
          </w:p>
        </w:tc>
      </w:tr>
      <w:tr w:rsidR="00CB397B" w14:paraId="7B91EBC0" w14:textId="77777777" w:rsidTr="007E4E4A">
        <w:trPr>
          <w:trHeight w:val="53"/>
          <w:tblCellSpacing w:w="15" w:type="dxa"/>
        </w:trPr>
        <w:tc>
          <w:tcPr>
            <w:tcW w:w="834" w:type="pct"/>
            <w:tcMar>
              <w:top w:w="15" w:type="dxa"/>
              <w:left w:w="15" w:type="dxa"/>
              <w:bottom w:w="15" w:type="dxa"/>
              <w:right w:w="15" w:type="dxa"/>
            </w:tcMar>
            <w:vAlign w:val="center"/>
            <w:hideMark/>
          </w:tcPr>
          <w:p w14:paraId="55DA4E15" w14:textId="77777777" w:rsidR="00CB397B" w:rsidRDefault="00CB397B">
            <w:pPr>
              <w:rPr>
                <w:rFonts w:ascii="Times New Roman" w:hAnsi="Times New Roman"/>
                <w:sz w:val="24"/>
                <w:szCs w:val="24"/>
              </w:rPr>
            </w:pPr>
          </w:p>
        </w:tc>
        <w:tc>
          <w:tcPr>
            <w:tcW w:w="710" w:type="pct"/>
            <w:tcMar>
              <w:top w:w="15" w:type="dxa"/>
              <w:left w:w="15" w:type="dxa"/>
              <w:bottom w:w="15" w:type="dxa"/>
              <w:right w:w="15" w:type="dxa"/>
            </w:tcMar>
            <w:vAlign w:val="center"/>
            <w:hideMark/>
          </w:tcPr>
          <w:p w14:paraId="32F252D9"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122" w:type="pct"/>
            <w:tcMar>
              <w:top w:w="15" w:type="dxa"/>
              <w:left w:w="15" w:type="dxa"/>
              <w:bottom w:w="15" w:type="dxa"/>
              <w:right w:w="15" w:type="dxa"/>
            </w:tcMar>
            <w:vAlign w:val="center"/>
            <w:hideMark/>
          </w:tcPr>
          <w:p w14:paraId="156112CB" w14:textId="77777777" w:rsidR="00CB397B" w:rsidRDefault="00CB397B">
            <w:pPr>
              <w:jc w:val="both"/>
              <w:rPr>
                <w:rFonts w:ascii="Times New Roman" w:hAnsi="Times New Roman"/>
                <w:sz w:val="24"/>
                <w:szCs w:val="24"/>
              </w:rPr>
            </w:pPr>
            <w:r>
              <w:rPr>
                <w:rFonts w:ascii="Times New Roman" w:hAnsi="Times New Roman"/>
                <w:sz w:val="24"/>
                <w:szCs w:val="24"/>
              </w:rPr>
              <w:t>0.0164 ± 0.0001</w:t>
            </w:r>
            <w:r>
              <w:rPr>
                <w:rFonts w:ascii="Times New Roman" w:hAnsi="Times New Roman"/>
                <w:sz w:val="24"/>
                <w:szCs w:val="24"/>
                <w:vertAlign w:val="superscript"/>
              </w:rPr>
              <w:t>a</w:t>
            </w:r>
          </w:p>
        </w:tc>
        <w:tc>
          <w:tcPr>
            <w:tcW w:w="1122" w:type="pct"/>
            <w:tcMar>
              <w:top w:w="15" w:type="dxa"/>
              <w:left w:w="15" w:type="dxa"/>
              <w:bottom w:w="15" w:type="dxa"/>
              <w:right w:w="15" w:type="dxa"/>
            </w:tcMar>
            <w:vAlign w:val="center"/>
            <w:hideMark/>
          </w:tcPr>
          <w:p w14:paraId="481AC5EB" w14:textId="77777777" w:rsidR="00CB397B" w:rsidRDefault="00CB397B">
            <w:pPr>
              <w:jc w:val="both"/>
              <w:rPr>
                <w:rFonts w:ascii="Times New Roman" w:hAnsi="Times New Roman"/>
                <w:sz w:val="24"/>
                <w:szCs w:val="24"/>
              </w:rPr>
            </w:pPr>
            <w:r>
              <w:rPr>
                <w:rFonts w:ascii="Times New Roman" w:hAnsi="Times New Roman"/>
                <w:sz w:val="24"/>
                <w:szCs w:val="24"/>
              </w:rPr>
              <w:t>0.0185 ± 0.0001</w:t>
            </w:r>
            <w:r>
              <w:rPr>
                <w:rFonts w:ascii="Times New Roman" w:hAnsi="Times New Roman"/>
                <w:sz w:val="24"/>
                <w:szCs w:val="24"/>
                <w:vertAlign w:val="superscript"/>
              </w:rPr>
              <w:t>h</w:t>
            </w:r>
          </w:p>
        </w:tc>
        <w:tc>
          <w:tcPr>
            <w:tcW w:w="1122" w:type="pct"/>
            <w:tcMar>
              <w:top w:w="15" w:type="dxa"/>
              <w:left w:w="15" w:type="dxa"/>
              <w:bottom w:w="15" w:type="dxa"/>
              <w:right w:w="15" w:type="dxa"/>
            </w:tcMar>
            <w:vAlign w:val="center"/>
            <w:hideMark/>
          </w:tcPr>
          <w:p w14:paraId="4627AFD9" w14:textId="77777777" w:rsidR="00CB397B" w:rsidRDefault="00CB397B">
            <w:pPr>
              <w:jc w:val="both"/>
              <w:rPr>
                <w:rFonts w:ascii="Times New Roman" w:hAnsi="Times New Roman"/>
                <w:sz w:val="24"/>
                <w:szCs w:val="24"/>
              </w:rPr>
            </w:pPr>
            <w:r>
              <w:rPr>
                <w:rFonts w:ascii="Times New Roman" w:hAnsi="Times New Roman"/>
                <w:sz w:val="24"/>
                <w:szCs w:val="24"/>
              </w:rPr>
              <w:t>0.0164 ± 0.0001</w:t>
            </w:r>
            <w:r>
              <w:rPr>
                <w:rFonts w:ascii="Times New Roman" w:hAnsi="Times New Roman"/>
                <w:sz w:val="24"/>
                <w:szCs w:val="24"/>
                <w:vertAlign w:val="superscript"/>
              </w:rPr>
              <w:t>a</w:t>
            </w:r>
          </w:p>
        </w:tc>
      </w:tr>
      <w:tr w:rsidR="00CB397B" w14:paraId="7B04F8AC" w14:textId="77777777" w:rsidTr="007E4E4A">
        <w:trPr>
          <w:trHeight w:val="159"/>
          <w:tblCellSpacing w:w="15" w:type="dxa"/>
        </w:trPr>
        <w:tc>
          <w:tcPr>
            <w:tcW w:w="834" w:type="pct"/>
            <w:tcBorders>
              <w:top w:val="nil"/>
              <w:left w:val="nil"/>
              <w:bottom w:val="single" w:sz="4" w:space="0" w:color="auto"/>
              <w:right w:val="nil"/>
            </w:tcBorders>
            <w:tcMar>
              <w:top w:w="15" w:type="dxa"/>
              <w:left w:w="15" w:type="dxa"/>
              <w:bottom w:w="15" w:type="dxa"/>
              <w:right w:w="15" w:type="dxa"/>
            </w:tcMar>
            <w:vAlign w:val="center"/>
            <w:hideMark/>
          </w:tcPr>
          <w:p w14:paraId="280E0F60" w14:textId="77777777" w:rsidR="00CB397B" w:rsidRDefault="00CB397B">
            <w:pPr>
              <w:rPr>
                <w:rFonts w:ascii="Times New Roman" w:hAnsi="Times New Roman"/>
                <w:sz w:val="24"/>
                <w:szCs w:val="24"/>
              </w:rPr>
            </w:pPr>
          </w:p>
        </w:tc>
        <w:tc>
          <w:tcPr>
            <w:tcW w:w="710" w:type="pct"/>
            <w:tcBorders>
              <w:top w:val="nil"/>
              <w:left w:val="nil"/>
              <w:bottom w:val="single" w:sz="4" w:space="0" w:color="auto"/>
              <w:right w:val="nil"/>
            </w:tcBorders>
            <w:tcMar>
              <w:top w:w="15" w:type="dxa"/>
              <w:left w:w="15" w:type="dxa"/>
              <w:bottom w:w="15" w:type="dxa"/>
              <w:right w:w="15" w:type="dxa"/>
            </w:tcMar>
            <w:vAlign w:val="center"/>
            <w:hideMark/>
          </w:tcPr>
          <w:p w14:paraId="3E709BA2"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122" w:type="pct"/>
            <w:tcBorders>
              <w:top w:val="nil"/>
              <w:left w:val="nil"/>
              <w:bottom w:val="single" w:sz="4" w:space="0" w:color="auto"/>
              <w:right w:val="nil"/>
            </w:tcBorders>
            <w:tcMar>
              <w:top w:w="15" w:type="dxa"/>
              <w:left w:w="15" w:type="dxa"/>
              <w:bottom w:w="15" w:type="dxa"/>
              <w:right w:w="15" w:type="dxa"/>
            </w:tcMar>
            <w:vAlign w:val="center"/>
            <w:hideMark/>
          </w:tcPr>
          <w:p w14:paraId="010F73D1" w14:textId="77777777" w:rsidR="00CB397B" w:rsidRDefault="00CB397B">
            <w:pPr>
              <w:jc w:val="both"/>
              <w:rPr>
                <w:rFonts w:ascii="Times New Roman" w:hAnsi="Times New Roman"/>
                <w:sz w:val="24"/>
                <w:szCs w:val="24"/>
              </w:rPr>
            </w:pPr>
            <w:r>
              <w:rPr>
                <w:rFonts w:ascii="Times New Roman" w:hAnsi="Times New Roman"/>
                <w:sz w:val="24"/>
                <w:szCs w:val="24"/>
              </w:rPr>
              <w:t>0.0111 ± 0.0000</w:t>
            </w:r>
            <w:r>
              <w:rPr>
                <w:rFonts w:ascii="Times New Roman" w:hAnsi="Times New Roman"/>
                <w:sz w:val="24"/>
                <w:szCs w:val="24"/>
                <w:vertAlign w:val="superscript"/>
              </w:rPr>
              <w:t>h</w:t>
            </w:r>
          </w:p>
        </w:tc>
        <w:tc>
          <w:tcPr>
            <w:tcW w:w="1122" w:type="pct"/>
            <w:tcBorders>
              <w:top w:val="nil"/>
              <w:left w:val="nil"/>
              <w:bottom w:val="single" w:sz="4" w:space="0" w:color="auto"/>
              <w:right w:val="nil"/>
            </w:tcBorders>
            <w:tcMar>
              <w:top w:w="15" w:type="dxa"/>
              <w:left w:w="15" w:type="dxa"/>
              <w:bottom w:w="15" w:type="dxa"/>
              <w:right w:w="15" w:type="dxa"/>
            </w:tcMar>
            <w:vAlign w:val="center"/>
            <w:hideMark/>
          </w:tcPr>
          <w:p w14:paraId="48DAC3DC" w14:textId="77777777" w:rsidR="00CB397B" w:rsidRDefault="00CB397B">
            <w:pPr>
              <w:jc w:val="both"/>
              <w:rPr>
                <w:rFonts w:ascii="Times New Roman" w:hAnsi="Times New Roman"/>
                <w:sz w:val="24"/>
                <w:szCs w:val="24"/>
              </w:rPr>
            </w:pPr>
            <w:r>
              <w:rPr>
                <w:rFonts w:ascii="Times New Roman" w:hAnsi="Times New Roman"/>
                <w:sz w:val="24"/>
                <w:szCs w:val="24"/>
              </w:rPr>
              <w:t>0.0102 ± 0.0001</w:t>
            </w:r>
            <w:r>
              <w:rPr>
                <w:rFonts w:ascii="Times New Roman" w:hAnsi="Times New Roman"/>
                <w:sz w:val="24"/>
                <w:szCs w:val="24"/>
                <w:vertAlign w:val="superscript"/>
              </w:rPr>
              <w:t>i</w:t>
            </w:r>
          </w:p>
        </w:tc>
        <w:tc>
          <w:tcPr>
            <w:tcW w:w="1122" w:type="pct"/>
            <w:tcBorders>
              <w:top w:val="nil"/>
              <w:left w:val="nil"/>
              <w:bottom w:val="single" w:sz="4" w:space="0" w:color="auto"/>
              <w:right w:val="nil"/>
            </w:tcBorders>
            <w:tcMar>
              <w:top w:w="15" w:type="dxa"/>
              <w:left w:w="15" w:type="dxa"/>
              <w:bottom w:w="15" w:type="dxa"/>
              <w:right w:w="15" w:type="dxa"/>
            </w:tcMar>
            <w:vAlign w:val="center"/>
            <w:hideMark/>
          </w:tcPr>
          <w:p w14:paraId="0B98ABD6" w14:textId="77777777" w:rsidR="00CB397B" w:rsidRDefault="00CB397B">
            <w:pPr>
              <w:jc w:val="both"/>
              <w:rPr>
                <w:rFonts w:ascii="Times New Roman" w:hAnsi="Times New Roman"/>
                <w:sz w:val="24"/>
                <w:szCs w:val="24"/>
              </w:rPr>
            </w:pPr>
            <w:r>
              <w:rPr>
                <w:rFonts w:ascii="Times New Roman" w:hAnsi="Times New Roman"/>
                <w:sz w:val="24"/>
                <w:szCs w:val="24"/>
              </w:rPr>
              <w:t>0.0148 ± 0.0001</w:t>
            </w:r>
            <w:r>
              <w:rPr>
                <w:rFonts w:ascii="Times New Roman" w:hAnsi="Times New Roman"/>
                <w:sz w:val="24"/>
                <w:szCs w:val="24"/>
                <w:vertAlign w:val="superscript"/>
              </w:rPr>
              <w:t>f</w:t>
            </w:r>
          </w:p>
        </w:tc>
      </w:tr>
    </w:tbl>
    <w:p w14:paraId="08C4C6B7" w14:textId="77777777" w:rsidR="00CB397B" w:rsidRDefault="00CB397B" w:rsidP="00CB397B">
      <w:pPr>
        <w:jc w:val="both"/>
        <w:rPr>
          <w:rFonts w:ascii="Times New Roman" w:hAnsi="Times New Roman"/>
          <w:i/>
          <w:sz w:val="24"/>
          <w:szCs w:val="24"/>
        </w:rPr>
      </w:pPr>
      <w:r>
        <w:rPr>
          <w:rFonts w:ascii="Times New Roman" w:hAnsi="Times New Roman"/>
          <w:i/>
          <w:sz w:val="24"/>
          <w:szCs w:val="24"/>
        </w:rPr>
        <w:t>Values are presented as mean ± SD Different letters indicate significant differences (</w:t>
      </w:r>
      <w:r>
        <w:rPr>
          <w:rFonts w:ascii="Times New Roman" w:hAnsi="Times New Roman"/>
          <w:i/>
          <w:iCs/>
          <w:sz w:val="24"/>
          <w:szCs w:val="24"/>
        </w:rPr>
        <w:t>p</w:t>
      </w:r>
      <w:r>
        <w:rPr>
          <w:rFonts w:ascii="Times New Roman" w:hAnsi="Times New Roman"/>
          <w:i/>
          <w:sz w:val="24"/>
          <w:szCs w:val="24"/>
        </w:rPr>
        <w:t xml:space="preserve"> &lt; 0.05).</w:t>
      </w:r>
    </w:p>
    <w:p w14:paraId="00080113" w14:textId="77777777" w:rsidR="00CB397B" w:rsidRDefault="00CB397B" w:rsidP="00CB397B">
      <w:pPr>
        <w:pStyle w:val="Heading3"/>
        <w:spacing w:before="0" w:line="276" w:lineRule="auto"/>
        <w:jc w:val="both"/>
        <w:rPr>
          <w:rFonts w:ascii="Times New Roman" w:eastAsia="Times New Roman" w:hAnsi="Times New Roman" w:cs="Times New Roman"/>
        </w:rPr>
      </w:pPr>
      <w:r>
        <w:t>3.1.5 Zinc (Zn)</w:t>
      </w:r>
    </w:p>
    <w:p w14:paraId="4E1DD7EB" w14:textId="77777777" w:rsidR="00CB397B" w:rsidRDefault="00CB397B" w:rsidP="00CB397B">
      <w:pPr>
        <w:pStyle w:val="NormalWeb"/>
        <w:spacing w:before="0" w:beforeAutospacing="0" w:after="0" w:afterAutospacing="0" w:line="276" w:lineRule="auto"/>
        <w:jc w:val="both"/>
      </w:pPr>
      <w:r>
        <w:t xml:space="preserve">Zinc demonstrated a comparatively high level of accumulation across all the tissues examined. The Tukey HSD results showed significant differences among several farm–pond combinations. In the muscle, IYONDE–Tarpaulin had the highest Zn concentration (6.349 mg/L), followed by MAGNUS–Tarpaulin (6.271 mg/L), whereas MAGNUS–Earthen had the lowest concentration (3.810 mg/L). The gills recorded the highest Zn concentration among all the observations, with New Airport–Concrete recording 8.491 mg/L. This was followed by IYONDE–Concrete (7.748 mg/L), IYONDE–Tarpaulin (7.649 mg/L), and MAGNUS–Tarpaulin (7.145 mg/L). MAGNUS–Earthen had the lowest concentration (3.801 mg/L). The marked difference between the </w:t>
      </w:r>
      <w:r>
        <w:lastRenderedPageBreak/>
        <w:t xml:space="preserve">highest and lowest groups indicates substantial variation in Zn accumulation. In the liver, New Airport–Concrete recorded the highest concentration (7.063 mg/L), while MAGNUS–Concrete recorded the lowest (5.008 mg/L). </w:t>
      </w:r>
    </w:p>
    <w:p w14:paraId="69F13E0B" w14:textId="77777777" w:rsidR="00CB397B" w:rsidRDefault="00CB397B" w:rsidP="00953144">
      <w:pPr>
        <w:rPr>
          <w:rFonts w:ascii="Times New Roman" w:hAnsi="Times New Roman"/>
          <w:b/>
          <w:bCs/>
        </w:rPr>
      </w:pPr>
      <w:r>
        <w:rPr>
          <w:sz w:val="24"/>
          <w:szCs w:val="24"/>
        </w:rPr>
        <w:br w:type="page"/>
      </w:r>
      <w:r>
        <w:lastRenderedPageBreak/>
        <w:t xml:space="preserve">Table 5: Mean Concentration of Zinc (Zn) [mg/L] in Tissues of </w:t>
      </w:r>
      <w:r>
        <w:rPr>
          <w:rStyle w:val="Emphasis"/>
          <w:rFonts w:eastAsia="SimSun"/>
        </w:rPr>
        <w:t xml:space="preserve">Clarias </w:t>
      </w:r>
      <w:proofErr w:type="spellStart"/>
      <w:r>
        <w:rPr>
          <w:rStyle w:val="Emphasis"/>
          <w:rFonts w:eastAsia="SimSun"/>
        </w:rPr>
        <w:t>gariepinus</w:t>
      </w:r>
      <w:proofErr w:type="spellEnd"/>
    </w:p>
    <w:tbl>
      <w:tblPr>
        <w:tblW w:w="9592" w:type="dxa"/>
        <w:tblCellSpacing w:w="15" w:type="dxa"/>
        <w:tblLook w:val="04A0" w:firstRow="1" w:lastRow="0" w:firstColumn="1" w:lastColumn="0" w:noHBand="0" w:noVBand="1"/>
      </w:tblPr>
      <w:tblGrid>
        <w:gridCol w:w="1762"/>
        <w:gridCol w:w="1491"/>
        <w:gridCol w:w="2108"/>
        <w:gridCol w:w="2108"/>
        <w:gridCol w:w="2123"/>
      </w:tblGrid>
      <w:tr w:rsidR="00CB397B" w14:paraId="5E586F40" w14:textId="77777777" w:rsidTr="00CB397B">
        <w:trPr>
          <w:trHeight w:val="260"/>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6E61425"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39FBBB7"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1F12104" w14:textId="77777777" w:rsidR="00CB397B" w:rsidRDefault="00CB397B">
            <w:pPr>
              <w:jc w:val="both"/>
              <w:rPr>
                <w:rFonts w:ascii="Times New Roman" w:hAnsi="Times New Roman"/>
                <w:b/>
                <w:bCs/>
                <w:sz w:val="24"/>
                <w:szCs w:val="24"/>
              </w:rPr>
            </w:pPr>
            <w:r>
              <w:rPr>
                <w:rFonts w:ascii="Times New Roman" w:hAnsi="Times New Roman"/>
                <w:b/>
                <w:bCs/>
                <w:sz w:val="24"/>
                <w:szCs w:val="24"/>
              </w:rPr>
              <w:t>Muscle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A8C5F82" w14:textId="77777777" w:rsidR="00CB397B" w:rsidRDefault="00CB397B">
            <w:pPr>
              <w:jc w:val="both"/>
              <w:rPr>
                <w:rFonts w:ascii="Times New Roman" w:hAnsi="Times New Roman"/>
                <w:b/>
                <w:bCs/>
                <w:sz w:val="24"/>
                <w:szCs w:val="24"/>
              </w:rPr>
            </w:pPr>
            <w:r>
              <w:rPr>
                <w:rFonts w:ascii="Times New Roman" w:hAnsi="Times New Roman"/>
                <w:b/>
                <w:bCs/>
                <w:sz w:val="24"/>
                <w:szCs w:val="24"/>
              </w:rPr>
              <w:t>Gills</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638DBE3" w14:textId="77777777" w:rsidR="00CB397B" w:rsidRDefault="00CB397B">
            <w:pPr>
              <w:jc w:val="both"/>
              <w:rPr>
                <w:rFonts w:ascii="Times New Roman" w:hAnsi="Times New Roman"/>
                <w:b/>
                <w:bCs/>
                <w:sz w:val="24"/>
                <w:szCs w:val="24"/>
              </w:rPr>
            </w:pPr>
            <w:r>
              <w:rPr>
                <w:rFonts w:ascii="Times New Roman" w:hAnsi="Times New Roman"/>
                <w:b/>
                <w:bCs/>
                <w:sz w:val="24"/>
                <w:szCs w:val="24"/>
              </w:rPr>
              <w:t>Liver</w:t>
            </w:r>
          </w:p>
        </w:tc>
      </w:tr>
      <w:tr w:rsidR="00CB397B" w14:paraId="599DFF34" w14:textId="77777777" w:rsidTr="00CB397B">
        <w:trPr>
          <w:trHeight w:val="347"/>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1B0D7A6"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84DB645"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8567366" w14:textId="77777777" w:rsidR="00CB397B" w:rsidRDefault="00CB397B">
            <w:pPr>
              <w:jc w:val="both"/>
              <w:rPr>
                <w:rFonts w:ascii="Times New Roman" w:hAnsi="Times New Roman"/>
                <w:sz w:val="24"/>
                <w:szCs w:val="24"/>
              </w:rPr>
            </w:pPr>
            <w:r>
              <w:rPr>
                <w:rFonts w:ascii="Times New Roman" w:hAnsi="Times New Roman"/>
                <w:sz w:val="24"/>
                <w:szCs w:val="24"/>
              </w:rPr>
              <w:t>6.029 ± 0.055</w:t>
            </w:r>
            <w:r>
              <w:rPr>
                <w:rFonts w:ascii="Times New Roman" w:hAnsi="Times New Roman"/>
                <w:sz w:val="24"/>
                <w:szCs w:val="24"/>
                <w:vertAlign w:val="superscript"/>
              </w:rPr>
              <w:t>ab</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795E40E" w14:textId="77777777" w:rsidR="00CB397B" w:rsidRDefault="00CB397B">
            <w:pPr>
              <w:jc w:val="both"/>
              <w:rPr>
                <w:rFonts w:ascii="Times New Roman" w:hAnsi="Times New Roman"/>
                <w:sz w:val="24"/>
                <w:szCs w:val="24"/>
              </w:rPr>
            </w:pPr>
            <w:r>
              <w:rPr>
                <w:rFonts w:ascii="Times New Roman" w:hAnsi="Times New Roman"/>
                <w:sz w:val="24"/>
                <w:szCs w:val="24"/>
              </w:rPr>
              <w:t>8.491 ± 0.093</w:t>
            </w:r>
            <w:r>
              <w:rPr>
                <w:rFonts w:ascii="Times New Roman" w:hAnsi="Times New Roman"/>
                <w:sz w:val="24"/>
                <w:szCs w:val="24"/>
                <w:vertAlign w:val="superscript"/>
              </w:rPr>
              <w:t>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C5A91F4" w14:textId="77777777" w:rsidR="00CB397B" w:rsidRDefault="00CB397B">
            <w:pPr>
              <w:jc w:val="both"/>
              <w:rPr>
                <w:rFonts w:ascii="Times New Roman" w:hAnsi="Times New Roman"/>
                <w:sz w:val="24"/>
                <w:szCs w:val="24"/>
              </w:rPr>
            </w:pPr>
            <w:r>
              <w:rPr>
                <w:rFonts w:ascii="Times New Roman" w:hAnsi="Times New Roman"/>
                <w:sz w:val="24"/>
                <w:szCs w:val="24"/>
              </w:rPr>
              <w:t>7.063 ± 0.057</w:t>
            </w:r>
            <w:r>
              <w:rPr>
                <w:rFonts w:ascii="Times New Roman" w:hAnsi="Times New Roman"/>
                <w:sz w:val="24"/>
                <w:szCs w:val="24"/>
                <w:vertAlign w:val="superscript"/>
              </w:rPr>
              <w:t>e</w:t>
            </w:r>
          </w:p>
        </w:tc>
      </w:tr>
      <w:tr w:rsidR="00CB397B" w14:paraId="4FFB1136" w14:textId="77777777" w:rsidTr="00CB397B">
        <w:trPr>
          <w:trHeight w:val="51"/>
          <w:tblCellSpacing w:w="15" w:type="dxa"/>
        </w:trPr>
        <w:tc>
          <w:tcPr>
            <w:tcW w:w="0" w:type="auto"/>
            <w:tcMar>
              <w:top w:w="15" w:type="dxa"/>
              <w:left w:w="15" w:type="dxa"/>
              <w:bottom w:w="15" w:type="dxa"/>
              <w:right w:w="15" w:type="dxa"/>
            </w:tcMar>
            <w:vAlign w:val="center"/>
            <w:hideMark/>
          </w:tcPr>
          <w:p w14:paraId="1D544542" w14:textId="77777777" w:rsidR="00CB397B" w:rsidRDefault="00CB397B">
            <w:pPr>
              <w:rPr>
                <w:rFonts w:ascii="Times New Roman" w:hAnsi="Times New Roman"/>
                <w:sz w:val="24"/>
                <w:szCs w:val="24"/>
              </w:rPr>
            </w:pPr>
          </w:p>
        </w:tc>
        <w:tc>
          <w:tcPr>
            <w:tcW w:w="0" w:type="auto"/>
            <w:tcMar>
              <w:top w:w="15" w:type="dxa"/>
              <w:left w:w="15" w:type="dxa"/>
              <w:bottom w:w="15" w:type="dxa"/>
              <w:right w:w="15" w:type="dxa"/>
            </w:tcMar>
            <w:vAlign w:val="center"/>
            <w:hideMark/>
          </w:tcPr>
          <w:p w14:paraId="44F1C6E0"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0A67474F" w14:textId="77777777" w:rsidR="00CB397B" w:rsidRDefault="00CB397B">
            <w:pPr>
              <w:jc w:val="both"/>
              <w:rPr>
                <w:rFonts w:ascii="Times New Roman" w:hAnsi="Times New Roman"/>
                <w:sz w:val="24"/>
                <w:szCs w:val="24"/>
              </w:rPr>
            </w:pPr>
            <w:r>
              <w:rPr>
                <w:rFonts w:ascii="Times New Roman" w:hAnsi="Times New Roman"/>
                <w:sz w:val="24"/>
                <w:szCs w:val="24"/>
              </w:rPr>
              <w:t>5.617 ± 0.217</w:t>
            </w:r>
            <w:r>
              <w:rPr>
                <w:rFonts w:ascii="Times New Roman" w:hAnsi="Times New Roman"/>
                <w:sz w:val="24"/>
                <w:szCs w:val="24"/>
                <w:vertAlign w:val="superscript"/>
              </w:rPr>
              <w:t>bc</w:t>
            </w:r>
          </w:p>
        </w:tc>
        <w:tc>
          <w:tcPr>
            <w:tcW w:w="0" w:type="auto"/>
            <w:tcMar>
              <w:top w:w="15" w:type="dxa"/>
              <w:left w:w="15" w:type="dxa"/>
              <w:bottom w:w="15" w:type="dxa"/>
              <w:right w:w="15" w:type="dxa"/>
            </w:tcMar>
            <w:vAlign w:val="center"/>
            <w:hideMark/>
          </w:tcPr>
          <w:p w14:paraId="37276390" w14:textId="77777777" w:rsidR="00CB397B" w:rsidRDefault="00CB397B">
            <w:pPr>
              <w:jc w:val="both"/>
              <w:rPr>
                <w:rFonts w:ascii="Times New Roman" w:hAnsi="Times New Roman"/>
                <w:sz w:val="24"/>
                <w:szCs w:val="24"/>
              </w:rPr>
            </w:pPr>
            <w:r>
              <w:rPr>
                <w:rFonts w:ascii="Times New Roman" w:hAnsi="Times New Roman"/>
                <w:sz w:val="24"/>
                <w:szCs w:val="24"/>
              </w:rPr>
              <w:t>6.652 ± 0.134</w:t>
            </w:r>
            <w:r>
              <w:rPr>
                <w:rFonts w:ascii="Times New Roman" w:hAnsi="Times New Roman"/>
                <w:sz w:val="24"/>
                <w:szCs w:val="24"/>
                <w:vertAlign w:val="superscript"/>
              </w:rPr>
              <w:t>a</w:t>
            </w:r>
          </w:p>
        </w:tc>
        <w:tc>
          <w:tcPr>
            <w:tcW w:w="0" w:type="auto"/>
            <w:tcMar>
              <w:top w:w="15" w:type="dxa"/>
              <w:left w:w="15" w:type="dxa"/>
              <w:bottom w:w="15" w:type="dxa"/>
              <w:right w:w="15" w:type="dxa"/>
            </w:tcMar>
            <w:vAlign w:val="center"/>
            <w:hideMark/>
          </w:tcPr>
          <w:p w14:paraId="7D23582F" w14:textId="77777777" w:rsidR="00CB397B" w:rsidRDefault="00CB397B">
            <w:pPr>
              <w:jc w:val="both"/>
              <w:rPr>
                <w:rFonts w:ascii="Times New Roman" w:hAnsi="Times New Roman"/>
                <w:sz w:val="24"/>
                <w:szCs w:val="24"/>
              </w:rPr>
            </w:pPr>
            <w:r>
              <w:rPr>
                <w:rFonts w:ascii="Times New Roman" w:hAnsi="Times New Roman"/>
                <w:sz w:val="24"/>
                <w:szCs w:val="24"/>
              </w:rPr>
              <w:t>6.422 ± 0.099</w:t>
            </w:r>
            <w:r>
              <w:rPr>
                <w:rFonts w:ascii="Times New Roman" w:hAnsi="Times New Roman"/>
                <w:sz w:val="24"/>
                <w:szCs w:val="24"/>
                <w:vertAlign w:val="superscript"/>
              </w:rPr>
              <w:t>a</w:t>
            </w:r>
          </w:p>
        </w:tc>
      </w:tr>
      <w:tr w:rsidR="00CB397B" w14:paraId="6B5CE9E3" w14:textId="77777777" w:rsidTr="00CB397B">
        <w:trPr>
          <w:trHeight w:val="51"/>
          <w:tblCellSpacing w:w="15" w:type="dxa"/>
        </w:trPr>
        <w:tc>
          <w:tcPr>
            <w:tcW w:w="0" w:type="auto"/>
            <w:tcMar>
              <w:top w:w="15" w:type="dxa"/>
              <w:left w:w="15" w:type="dxa"/>
              <w:bottom w:w="15" w:type="dxa"/>
              <w:right w:w="15" w:type="dxa"/>
            </w:tcMar>
            <w:vAlign w:val="center"/>
            <w:hideMark/>
          </w:tcPr>
          <w:p w14:paraId="6DD0347C" w14:textId="77777777" w:rsidR="00CB397B" w:rsidRDefault="00CB397B">
            <w:pPr>
              <w:rPr>
                <w:rFonts w:ascii="Times New Roman" w:hAnsi="Times New Roman"/>
                <w:sz w:val="24"/>
                <w:szCs w:val="24"/>
              </w:rPr>
            </w:pPr>
          </w:p>
        </w:tc>
        <w:tc>
          <w:tcPr>
            <w:tcW w:w="0" w:type="auto"/>
            <w:tcMar>
              <w:top w:w="15" w:type="dxa"/>
              <w:left w:w="15" w:type="dxa"/>
              <w:bottom w:w="15" w:type="dxa"/>
              <w:right w:w="15" w:type="dxa"/>
            </w:tcMar>
            <w:vAlign w:val="center"/>
            <w:hideMark/>
          </w:tcPr>
          <w:p w14:paraId="677A5A27"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5BE17397" w14:textId="77777777" w:rsidR="00CB397B" w:rsidRDefault="00CB397B">
            <w:pPr>
              <w:jc w:val="both"/>
              <w:rPr>
                <w:rFonts w:ascii="Times New Roman" w:hAnsi="Times New Roman"/>
                <w:sz w:val="24"/>
                <w:szCs w:val="24"/>
              </w:rPr>
            </w:pPr>
            <w:r>
              <w:rPr>
                <w:rFonts w:ascii="Times New Roman" w:hAnsi="Times New Roman"/>
                <w:sz w:val="24"/>
                <w:szCs w:val="24"/>
              </w:rPr>
              <w:t>4.740 ± 0.164</w:t>
            </w:r>
            <w:r>
              <w:rPr>
                <w:rFonts w:ascii="Times New Roman" w:hAnsi="Times New Roman"/>
                <w:sz w:val="24"/>
                <w:szCs w:val="24"/>
                <w:vertAlign w:val="superscript"/>
              </w:rPr>
              <w:t>e</w:t>
            </w:r>
          </w:p>
        </w:tc>
        <w:tc>
          <w:tcPr>
            <w:tcW w:w="0" w:type="auto"/>
            <w:tcMar>
              <w:top w:w="15" w:type="dxa"/>
              <w:left w:w="15" w:type="dxa"/>
              <w:bottom w:w="15" w:type="dxa"/>
              <w:right w:w="15" w:type="dxa"/>
            </w:tcMar>
            <w:vAlign w:val="center"/>
            <w:hideMark/>
          </w:tcPr>
          <w:p w14:paraId="731C577F" w14:textId="77777777" w:rsidR="00CB397B" w:rsidRDefault="00CB397B">
            <w:pPr>
              <w:jc w:val="both"/>
              <w:rPr>
                <w:rFonts w:ascii="Times New Roman" w:hAnsi="Times New Roman"/>
                <w:sz w:val="24"/>
                <w:szCs w:val="24"/>
              </w:rPr>
            </w:pPr>
            <w:r>
              <w:rPr>
                <w:rFonts w:ascii="Times New Roman" w:hAnsi="Times New Roman"/>
                <w:sz w:val="24"/>
                <w:szCs w:val="24"/>
              </w:rPr>
              <w:t>4.714 ± 0.034</w:t>
            </w:r>
            <w:r>
              <w:rPr>
                <w:rFonts w:ascii="Times New Roman" w:hAnsi="Times New Roman"/>
                <w:sz w:val="24"/>
                <w:szCs w:val="24"/>
                <w:vertAlign w:val="superscript"/>
              </w:rPr>
              <w:t>f</w:t>
            </w:r>
          </w:p>
        </w:tc>
        <w:tc>
          <w:tcPr>
            <w:tcW w:w="0" w:type="auto"/>
            <w:tcMar>
              <w:top w:w="15" w:type="dxa"/>
              <w:left w:w="15" w:type="dxa"/>
              <w:bottom w:w="15" w:type="dxa"/>
              <w:right w:w="15" w:type="dxa"/>
            </w:tcMar>
            <w:vAlign w:val="center"/>
            <w:hideMark/>
          </w:tcPr>
          <w:p w14:paraId="215595B4" w14:textId="77777777" w:rsidR="00CB397B" w:rsidRDefault="00CB397B">
            <w:pPr>
              <w:jc w:val="both"/>
              <w:rPr>
                <w:rFonts w:ascii="Times New Roman" w:hAnsi="Times New Roman"/>
                <w:sz w:val="24"/>
                <w:szCs w:val="24"/>
              </w:rPr>
            </w:pPr>
            <w:r>
              <w:rPr>
                <w:rFonts w:ascii="Times New Roman" w:hAnsi="Times New Roman"/>
                <w:sz w:val="24"/>
                <w:szCs w:val="24"/>
              </w:rPr>
              <w:t>6.506 ± 0.042</w:t>
            </w:r>
            <w:r>
              <w:rPr>
                <w:rFonts w:ascii="Times New Roman" w:hAnsi="Times New Roman"/>
                <w:sz w:val="24"/>
                <w:szCs w:val="24"/>
                <w:vertAlign w:val="superscript"/>
              </w:rPr>
              <w:t>ab</w:t>
            </w:r>
          </w:p>
        </w:tc>
      </w:tr>
      <w:tr w:rsidR="00CB397B" w14:paraId="3BCE3CB1" w14:textId="77777777" w:rsidTr="00CB397B">
        <w:trPr>
          <w:trHeight w:val="51"/>
          <w:tblCellSpacing w:w="15" w:type="dxa"/>
        </w:trPr>
        <w:tc>
          <w:tcPr>
            <w:tcW w:w="0" w:type="auto"/>
            <w:tcMar>
              <w:top w:w="15" w:type="dxa"/>
              <w:left w:w="15" w:type="dxa"/>
              <w:bottom w:w="15" w:type="dxa"/>
              <w:right w:w="15" w:type="dxa"/>
            </w:tcMar>
            <w:vAlign w:val="center"/>
            <w:hideMark/>
          </w:tcPr>
          <w:p w14:paraId="66859EF3"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0" w:type="auto"/>
            <w:tcMar>
              <w:top w:w="15" w:type="dxa"/>
              <w:left w:w="15" w:type="dxa"/>
              <w:bottom w:w="15" w:type="dxa"/>
              <w:right w:w="15" w:type="dxa"/>
            </w:tcMar>
            <w:vAlign w:val="center"/>
            <w:hideMark/>
          </w:tcPr>
          <w:p w14:paraId="2F2FC94A"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5749DCC5" w14:textId="77777777" w:rsidR="00CB397B" w:rsidRDefault="00CB397B">
            <w:pPr>
              <w:jc w:val="both"/>
              <w:rPr>
                <w:rFonts w:ascii="Times New Roman" w:hAnsi="Times New Roman"/>
                <w:sz w:val="24"/>
                <w:szCs w:val="24"/>
              </w:rPr>
            </w:pPr>
            <w:r>
              <w:rPr>
                <w:rFonts w:ascii="Times New Roman" w:hAnsi="Times New Roman"/>
                <w:sz w:val="24"/>
                <w:szCs w:val="24"/>
              </w:rPr>
              <w:t>6.034 ± 0.019</w:t>
            </w:r>
            <w:r>
              <w:rPr>
                <w:rFonts w:ascii="Times New Roman" w:hAnsi="Times New Roman"/>
                <w:sz w:val="24"/>
                <w:szCs w:val="24"/>
                <w:vertAlign w:val="superscript"/>
              </w:rPr>
              <w:t>a</w:t>
            </w:r>
          </w:p>
        </w:tc>
        <w:tc>
          <w:tcPr>
            <w:tcW w:w="0" w:type="auto"/>
            <w:tcMar>
              <w:top w:w="15" w:type="dxa"/>
              <w:left w:w="15" w:type="dxa"/>
              <w:bottom w:w="15" w:type="dxa"/>
              <w:right w:w="15" w:type="dxa"/>
            </w:tcMar>
            <w:vAlign w:val="center"/>
            <w:hideMark/>
          </w:tcPr>
          <w:p w14:paraId="47A756F2" w14:textId="77777777" w:rsidR="00CB397B" w:rsidRDefault="00CB397B">
            <w:pPr>
              <w:jc w:val="both"/>
              <w:rPr>
                <w:rFonts w:ascii="Times New Roman" w:hAnsi="Times New Roman"/>
                <w:sz w:val="24"/>
                <w:szCs w:val="24"/>
              </w:rPr>
            </w:pPr>
            <w:r>
              <w:rPr>
                <w:rFonts w:ascii="Times New Roman" w:hAnsi="Times New Roman"/>
                <w:sz w:val="24"/>
                <w:szCs w:val="24"/>
              </w:rPr>
              <w:t>7.748 ± 0.026</w:t>
            </w:r>
            <w:r>
              <w:rPr>
                <w:rFonts w:ascii="Times New Roman" w:hAnsi="Times New Roman"/>
                <w:sz w:val="24"/>
                <w:szCs w:val="24"/>
                <w:vertAlign w:val="superscript"/>
              </w:rPr>
              <w:t>b</w:t>
            </w:r>
          </w:p>
        </w:tc>
        <w:tc>
          <w:tcPr>
            <w:tcW w:w="0" w:type="auto"/>
            <w:tcMar>
              <w:top w:w="15" w:type="dxa"/>
              <w:left w:w="15" w:type="dxa"/>
              <w:bottom w:w="15" w:type="dxa"/>
              <w:right w:w="15" w:type="dxa"/>
            </w:tcMar>
            <w:vAlign w:val="center"/>
            <w:hideMark/>
          </w:tcPr>
          <w:p w14:paraId="79BF5289" w14:textId="77777777" w:rsidR="00CB397B" w:rsidRDefault="00CB397B">
            <w:pPr>
              <w:jc w:val="both"/>
              <w:rPr>
                <w:rFonts w:ascii="Times New Roman" w:hAnsi="Times New Roman"/>
                <w:sz w:val="24"/>
                <w:szCs w:val="24"/>
              </w:rPr>
            </w:pPr>
            <w:r>
              <w:rPr>
                <w:rFonts w:ascii="Times New Roman" w:hAnsi="Times New Roman"/>
                <w:sz w:val="24"/>
                <w:szCs w:val="24"/>
              </w:rPr>
              <w:t>6.588 ± 0.027</w:t>
            </w:r>
            <w:r>
              <w:rPr>
                <w:rFonts w:ascii="Times New Roman" w:hAnsi="Times New Roman"/>
                <w:sz w:val="24"/>
                <w:szCs w:val="24"/>
                <w:vertAlign w:val="superscript"/>
              </w:rPr>
              <w:t>b</w:t>
            </w:r>
          </w:p>
        </w:tc>
      </w:tr>
      <w:tr w:rsidR="00CB397B" w14:paraId="6BEA1101" w14:textId="77777777" w:rsidTr="00CB397B">
        <w:trPr>
          <w:trHeight w:val="159"/>
          <w:tblCellSpacing w:w="15" w:type="dxa"/>
        </w:trPr>
        <w:tc>
          <w:tcPr>
            <w:tcW w:w="0" w:type="auto"/>
            <w:tcMar>
              <w:top w:w="15" w:type="dxa"/>
              <w:left w:w="15" w:type="dxa"/>
              <w:bottom w:w="15" w:type="dxa"/>
              <w:right w:w="15" w:type="dxa"/>
            </w:tcMar>
            <w:vAlign w:val="center"/>
            <w:hideMark/>
          </w:tcPr>
          <w:p w14:paraId="71FB33EE" w14:textId="77777777" w:rsidR="00CB397B" w:rsidRDefault="00CB397B">
            <w:pPr>
              <w:rPr>
                <w:rFonts w:ascii="Times New Roman" w:hAnsi="Times New Roman"/>
                <w:sz w:val="24"/>
                <w:szCs w:val="24"/>
              </w:rPr>
            </w:pPr>
          </w:p>
        </w:tc>
        <w:tc>
          <w:tcPr>
            <w:tcW w:w="0" w:type="auto"/>
            <w:tcMar>
              <w:top w:w="15" w:type="dxa"/>
              <w:left w:w="15" w:type="dxa"/>
              <w:bottom w:w="15" w:type="dxa"/>
              <w:right w:w="15" w:type="dxa"/>
            </w:tcMar>
            <w:vAlign w:val="center"/>
            <w:hideMark/>
          </w:tcPr>
          <w:p w14:paraId="4D04254D"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3317CDEB" w14:textId="77777777" w:rsidR="00CB397B" w:rsidRDefault="00CB397B">
            <w:pPr>
              <w:jc w:val="both"/>
              <w:rPr>
                <w:rFonts w:ascii="Times New Roman" w:hAnsi="Times New Roman"/>
                <w:sz w:val="24"/>
                <w:szCs w:val="24"/>
              </w:rPr>
            </w:pPr>
            <w:r>
              <w:rPr>
                <w:rFonts w:ascii="Times New Roman" w:hAnsi="Times New Roman"/>
                <w:sz w:val="24"/>
                <w:szCs w:val="24"/>
              </w:rPr>
              <w:t>6.349 ± 0.020</w:t>
            </w:r>
            <w:r>
              <w:rPr>
                <w:rFonts w:ascii="Times New Roman" w:hAnsi="Times New Roman"/>
                <w:sz w:val="24"/>
                <w:szCs w:val="24"/>
                <w:vertAlign w:val="superscript"/>
              </w:rPr>
              <w:t>a</w:t>
            </w:r>
          </w:p>
        </w:tc>
        <w:tc>
          <w:tcPr>
            <w:tcW w:w="0" w:type="auto"/>
            <w:tcMar>
              <w:top w:w="15" w:type="dxa"/>
              <w:left w:w="15" w:type="dxa"/>
              <w:bottom w:w="15" w:type="dxa"/>
              <w:right w:w="15" w:type="dxa"/>
            </w:tcMar>
            <w:vAlign w:val="center"/>
            <w:hideMark/>
          </w:tcPr>
          <w:p w14:paraId="33438D22" w14:textId="77777777" w:rsidR="00CB397B" w:rsidRDefault="00CB397B">
            <w:pPr>
              <w:jc w:val="both"/>
              <w:rPr>
                <w:rFonts w:ascii="Times New Roman" w:hAnsi="Times New Roman"/>
                <w:sz w:val="24"/>
                <w:szCs w:val="24"/>
              </w:rPr>
            </w:pPr>
            <w:r>
              <w:rPr>
                <w:rFonts w:ascii="Times New Roman" w:hAnsi="Times New Roman"/>
                <w:sz w:val="24"/>
                <w:szCs w:val="24"/>
              </w:rPr>
              <w:t>7.649 ± 0.413</w:t>
            </w:r>
            <w:r>
              <w:rPr>
                <w:rFonts w:ascii="Times New Roman" w:hAnsi="Times New Roman"/>
                <w:sz w:val="24"/>
                <w:szCs w:val="24"/>
                <w:vertAlign w:val="superscript"/>
              </w:rPr>
              <w:t>bc</w:t>
            </w:r>
          </w:p>
        </w:tc>
        <w:tc>
          <w:tcPr>
            <w:tcW w:w="0" w:type="auto"/>
            <w:tcMar>
              <w:top w:w="15" w:type="dxa"/>
              <w:left w:w="15" w:type="dxa"/>
              <w:bottom w:w="15" w:type="dxa"/>
              <w:right w:w="15" w:type="dxa"/>
            </w:tcMar>
            <w:vAlign w:val="center"/>
            <w:hideMark/>
          </w:tcPr>
          <w:p w14:paraId="418A263F" w14:textId="77777777" w:rsidR="00CB397B" w:rsidRDefault="00CB397B">
            <w:pPr>
              <w:jc w:val="both"/>
              <w:rPr>
                <w:rFonts w:ascii="Times New Roman" w:hAnsi="Times New Roman"/>
                <w:sz w:val="24"/>
                <w:szCs w:val="24"/>
              </w:rPr>
            </w:pPr>
            <w:r>
              <w:rPr>
                <w:rFonts w:ascii="Times New Roman" w:hAnsi="Times New Roman"/>
                <w:sz w:val="24"/>
                <w:szCs w:val="24"/>
              </w:rPr>
              <w:t>5.795 ± 0.020</w:t>
            </w:r>
            <w:r>
              <w:rPr>
                <w:rFonts w:ascii="Times New Roman" w:hAnsi="Times New Roman"/>
                <w:sz w:val="24"/>
                <w:szCs w:val="24"/>
                <w:vertAlign w:val="superscript"/>
              </w:rPr>
              <w:t>cd</w:t>
            </w:r>
          </w:p>
        </w:tc>
      </w:tr>
      <w:tr w:rsidR="00CB397B" w14:paraId="7BB019DE" w14:textId="77777777" w:rsidTr="00CB397B">
        <w:trPr>
          <w:trHeight w:val="87"/>
          <w:tblCellSpacing w:w="15" w:type="dxa"/>
        </w:trPr>
        <w:tc>
          <w:tcPr>
            <w:tcW w:w="0" w:type="auto"/>
            <w:tcMar>
              <w:top w:w="15" w:type="dxa"/>
              <w:left w:w="15" w:type="dxa"/>
              <w:bottom w:w="15" w:type="dxa"/>
              <w:right w:w="15" w:type="dxa"/>
            </w:tcMar>
            <w:vAlign w:val="center"/>
            <w:hideMark/>
          </w:tcPr>
          <w:p w14:paraId="0D9B5691" w14:textId="77777777" w:rsidR="00CB397B" w:rsidRDefault="00CB397B">
            <w:pPr>
              <w:rPr>
                <w:rFonts w:ascii="Times New Roman" w:hAnsi="Times New Roman"/>
                <w:sz w:val="24"/>
                <w:szCs w:val="24"/>
              </w:rPr>
            </w:pPr>
          </w:p>
        </w:tc>
        <w:tc>
          <w:tcPr>
            <w:tcW w:w="0" w:type="auto"/>
            <w:tcMar>
              <w:top w:w="15" w:type="dxa"/>
              <w:left w:w="15" w:type="dxa"/>
              <w:bottom w:w="15" w:type="dxa"/>
              <w:right w:w="15" w:type="dxa"/>
            </w:tcMar>
            <w:vAlign w:val="center"/>
            <w:hideMark/>
          </w:tcPr>
          <w:p w14:paraId="1B54AE41"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1AADA239" w14:textId="77777777" w:rsidR="00CB397B" w:rsidRDefault="00CB397B">
            <w:pPr>
              <w:jc w:val="both"/>
              <w:rPr>
                <w:rFonts w:ascii="Times New Roman" w:hAnsi="Times New Roman"/>
                <w:sz w:val="24"/>
                <w:szCs w:val="24"/>
              </w:rPr>
            </w:pPr>
            <w:r>
              <w:rPr>
                <w:rFonts w:ascii="Times New Roman" w:hAnsi="Times New Roman"/>
                <w:sz w:val="24"/>
                <w:szCs w:val="24"/>
              </w:rPr>
              <w:t>3.940 ± 0.160</w:t>
            </w:r>
            <w:r>
              <w:rPr>
                <w:rFonts w:ascii="Times New Roman" w:hAnsi="Times New Roman"/>
                <w:sz w:val="24"/>
                <w:szCs w:val="24"/>
                <w:vertAlign w:val="superscript"/>
              </w:rPr>
              <w:t>d</w:t>
            </w:r>
          </w:p>
        </w:tc>
        <w:tc>
          <w:tcPr>
            <w:tcW w:w="0" w:type="auto"/>
            <w:tcMar>
              <w:top w:w="15" w:type="dxa"/>
              <w:left w:w="15" w:type="dxa"/>
              <w:bottom w:w="15" w:type="dxa"/>
              <w:right w:w="15" w:type="dxa"/>
            </w:tcMar>
            <w:vAlign w:val="center"/>
            <w:hideMark/>
          </w:tcPr>
          <w:p w14:paraId="12351770" w14:textId="77777777" w:rsidR="00CB397B" w:rsidRDefault="00CB397B">
            <w:pPr>
              <w:jc w:val="both"/>
              <w:rPr>
                <w:rFonts w:ascii="Times New Roman" w:hAnsi="Times New Roman"/>
                <w:sz w:val="24"/>
                <w:szCs w:val="24"/>
              </w:rPr>
            </w:pPr>
            <w:r>
              <w:rPr>
                <w:rFonts w:ascii="Times New Roman" w:hAnsi="Times New Roman"/>
                <w:sz w:val="24"/>
                <w:szCs w:val="24"/>
              </w:rPr>
              <w:t>3.930 ± 0.030</w:t>
            </w:r>
            <w:r>
              <w:rPr>
                <w:rFonts w:ascii="Times New Roman" w:hAnsi="Times New Roman"/>
                <w:sz w:val="24"/>
                <w:szCs w:val="24"/>
                <w:vertAlign w:val="superscript"/>
              </w:rPr>
              <w:t>d</w:t>
            </w:r>
          </w:p>
        </w:tc>
        <w:tc>
          <w:tcPr>
            <w:tcW w:w="0" w:type="auto"/>
            <w:tcMar>
              <w:top w:w="15" w:type="dxa"/>
              <w:left w:w="15" w:type="dxa"/>
              <w:bottom w:w="15" w:type="dxa"/>
              <w:right w:w="15" w:type="dxa"/>
            </w:tcMar>
            <w:vAlign w:val="center"/>
            <w:hideMark/>
          </w:tcPr>
          <w:p w14:paraId="19D0D60B" w14:textId="77777777" w:rsidR="00CB397B" w:rsidRDefault="00CB397B">
            <w:pPr>
              <w:jc w:val="both"/>
              <w:rPr>
                <w:rFonts w:ascii="Times New Roman" w:hAnsi="Times New Roman"/>
                <w:sz w:val="24"/>
                <w:szCs w:val="24"/>
              </w:rPr>
            </w:pPr>
            <w:r>
              <w:rPr>
                <w:rFonts w:ascii="Times New Roman" w:hAnsi="Times New Roman"/>
                <w:sz w:val="24"/>
                <w:szCs w:val="24"/>
              </w:rPr>
              <w:t>5.910 ± 0.037</w:t>
            </w:r>
            <w:r>
              <w:rPr>
                <w:rFonts w:ascii="Times New Roman" w:hAnsi="Times New Roman"/>
                <w:sz w:val="24"/>
                <w:szCs w:val="24"/>
                <w:vertAlign w:val="superscript"/>
              </w:rPr>
              <w:t>c</w:t>
            </w:r>
          </w:p>
        </w:tc>
      </w:tr>
      <w:tr w:rsidR="00CB397B" w14:paraId="60CE56BE" w14:textId="77777777" w:rsidTr="00CB397B">
        <w:trPr>
          <w:trHeight w:val="51"/>
          <w:tblCellSpacing w:w="15" w:type="dxa"/>
        </w:trPr>
        <w:tc>
          <w:tcPr>
            <w:tcW w:w="0" w:type="auto"/>
            <w:tcMar>
              <w:top w:w="15" w:type="dxa"/>
              <w:left w:w="15" w:type="dxa"/>
              <w:bottom w:w="15" w:type="dxa"/>
              <w:right w:w="15" w:type="dxa"/>
            </w:tcMar>
            <w:vAlign w:val="center"/>
            <w:hideMark/>
          </w:tcPr>
          <w:p w14:paraId="2DDD4A7E"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0" w:type="auto"/>
            <w:tcMar>
              <w:top w:w="15" w:type="dxa"/>
              <w:left w:w="15" w:type="dxa"/>
              <w:bottom w:w="15" w:type="dxa"/>
              <w:right w:w="15" w:type="dxa"/>
            </w:tcMar>
            <w:vAlign w:val="center"/>
            <w:hideMark/>
          </w:tcPr>
          <w:p w14:paraId="1D7F8C88"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413EFF32" w14:textId="77777777" w:rsidR="00CB397B" w:rsidRDefault="00CB397B">
            <w:pPr>
              <w:jc w:val="both"/>
              <w:rPr>
                <w:rFonts w:ascii="Times New Roman" w:hAnsi="Times New Roman"/>
                <w:sz w:val="24"/>
                <w:szCs w:val="24"/>
              </w:rPr>
            </w:pPr>
            <w:r>
              <w:rPr>
                <w:rFonts w:ascii="Times New Roman" w:hAnsi="Times New Roman"/>
                <w:sz w:val="24"/>
                <w:szCs w:val="24"/>
              </w:rPr>
              <w:t>5.475 ± 0.020</w:t>
            </w:r>
            <w:r>
              <w:rPr>
                <w:rFonts w:ascii="Times New Roman" w:hAnsi="Times New Roman"/>
                <w:sz w:val="24"/>
                <w:szCs w:val="24"/>
                <w:vertAlign w:val="superscript"/>
              </w:rPr>
              <w:t>c</w:t>
            </w:r>
          </w:p>
        </w:tc>
        <w:tc>
          <w:tcPr>
            <w:tcW w:w="0" w:type="auto"/>
            <w:tcMar>
              <w:top w:w="15" w:type="dxa"/>
              <w:left w:w="15" w:type="dxa"/>
              <w:bottom w:w="15" w:type="dxa"/>
              <w:right w:w="15" w:type="dxa"/>
            </w:tcMar>
            <w:vAlign w:val="center"/>
            <w:hideMark/>
          </w:tcPr>
          <w:p w14:paraId="28D0E713" w14:textId="77777777" w:rsidR="00CB397B" w:rsidRDefault="00CB397B">
            <w:pPr>
              <w:jc w:val="both"/>
              <w:rPr>
                <w:rFonts w:ascii="Times New Roman" w:hAnsi="Times New Roman"/>
                <w:sz w:val="24"/>
                <w:szCs w:val="24"/>
              </w:rPr>
            </w:pPr>
            <w:r>
              <w:rPr>
                <w:rFonts w:ascii="Times New Roman" w:hAnsi="Times New Roman"/>
                <w:sz w:val="24"/>
                <w:szCs w:val="24"/>
              </w:rPr>
              <w:t>6.818 ± 0.024</w:t>
            </w:r>
            <w:r>
              <w:rPr>
                <w:rFonts w:ascii="Times New Roman" w:hAnsi="Times New Roman"/>
                <w:sz w:val="24"/>
                <w:szCs w:val="24"/>
                <w:vertAlign w:val="superscript"/>
              </w:rPr>
              <w:t>a</w:t>
            </w:r>
          </w:p>
        </w:tc>
        <w:tc>
          <w:tcPr>
            <w:tcW w:w="0" w:type="auto"/>
            <w:tcMar>
              <w:top w:w="15" w:type="dxa"/>
              <w:left w:w="15" w:type="dxa"/>
              <w:bottom w:w="15" w:type="dxa"/>
              <w:right w:w="15" w:type="dxa"/>
            </w:tcMar>
            <w:vAlign w:val="center"/>
            <w:hideMark/>
          </w:tcPr>
          <w:p w14:paraId="713D896F" w14:textId="77777777" w:rsidR="00CB397B" w:rsidRDefault="00CB397B">
            <w:pPr>
              <w:jc w:val="both"/>
              <w:rPr>
                <w:rFonts w:ascii="Times New Roman" w:hAnsi="Times New Roman"/>
                <w:sz w:val="24"/>
                <w:szCs w:val="24"/>
              </w:rPr>
            </w:pPr>
            <w:r>
              <w:rPr>
                <w:rFonts w:ascii="Times New Roman" w:hAnsi="Times New Roman"/>
                <w:sz w:val="24"/>
                <w:szCs w:val="24"/>
              </w:rPr>
              <w:t>5.008 ± 0.024</w:t>
            </w:r>
            <w:r>
              <w:rPr>
                <w:rFonts w:ascii="Times New Roman" w:hAnsi="Times New Roman"/>
                <w:sz w:val="24"/>
                <w:szCs w:val="24"/>
                <w:vertAlign w:val="superscript"/>
              </w:rPr>
              <w:t>f</w:t>
            </w:r>
          </w:p>
        </w:tc>
      </w:tr>
      <w:tr w:rsidR="00CB397B" w14:paraId="4779F4BD" w14:textId="77777777" w:rsidTr="00CB397B">
        <w:trPr>
          <w:trHeight w:val="51"/>
          <w:tblCellSpacing w:w="15" w:type="dxa"/>
        </w:trPr>
        <w:tc>
          <w:tcPr>
            <w:tcW w:w="0" w:type="auto"/>
            <w:tcMar>
              <w:top w:w="15" w:type="dxa"/>
              <w:left w:w="15" w:type="dxa"/>
              <w:bottom w:w="15" w:type="dxa"/>
              <w:right w:w="15" w:type="dxa"/>
            </w:tcMar>
            <w:vAlign w:val="center"/>
            <w:hideMark/>
          </w:tcPr>
          <w:p w14:paraId="66E294C2" w14:textId="77777777" w:rsidR="00CB397B" w:rsidRDefault="00CB397B">
            <w:pPr>
              <w:rPr>
                <w:rFonts w:ascii="Times New Roman" w:hAnsi="Times New Roman"/>
                <w:sz w:val="24"/>
                <w:szCs w:val="24"/>
              </w:rPr>
            </w:pPr>
          </w:p>
        </w:tc>
        <w:tc>
          <w:tcPr>
            <w:tcW w:w="0" w:type="auto"/>
            <w:tcMar>
              <w:top w:w="15" w:type="dxa"/>
              <w:left w:w="15" w:type="dxa"/>
              <w:bottom w:w="15" w:type="dxa"/>
              <w:right w:w="15" w:type="dxa"/>
            </w:tcMar>
            <w:vAlign w:val="center"/>
            <w:hideMark/>
          </w:tcPr>
          <w:p w14:paraId="1D71B93C"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2EDBF5B6" w14:textId="77777777" w:rsidR="00CB397B" w:rsidRDefault="00CB397B">
            <w:pPr>
              <w:jc w:val="both"/>
              <w:rPr>
                <w:rFonts w:ascii="Times New Roman" w:hAnsi="Times New Roman"/>
                <w:sz w:val="24"/>
                <w:szCs w:val="24"/>
              </w:rPr>
            </w:pPr>
            <w:r>
              <w:rPr>
                <w:rFonts w:ascii="Times New Roman" w:hAnsi="Times New Roman"/>
                <w:sz w:val="24"/>
                <w:szCs w:val="24"/>
              </w:rPr>
              <w:t>6.271 ± 0.016</w:t>
            </w:r>
            <w:r>
              <w:rPr>
                <w:rFonts w:ascii="Times New Roman" w:hAnsi="Times New Roman"/>
                <w:sz w:val="24"/>
                <w:szCs w:val="24"/>
                <w:vertAlign w:val="superscript"/>
              </w:rPr>
              <w:t>a</w:t>
            </w:r>
          </w:p>
        </w:tc>
        <w:tc>
          <w:tcPr>
            <w:tcW w:w="0" w:type="auto"/>
            <w:tcMar>
              <w:top w:w="15" w:type="dxa"/>
              <w:left w:w="15" w:type="dxa"/>
              <w:bottom w:w="15" w:type="dxa"/>
              <w:right w:w="15" w:type="dxa"/>
            </w:tcMar>
            <w:vAlign w:val="center"/>
            <w:hideMark/>
          </w:tcPr>
          <w:p w14:paraId="476E0276" w14:textId="77777777" w:rsidR="00CB397B" w:rsidRDefault="00CB397B">
            <w:pPr>
              <w:jc w:val="both"/>
              <w:rPr>
                <w:rFonts w:ascii="Times New Roman" w:hAnsi="Times New Roman"/>
                <w:sz w:val="24"/>
                <w:szCs w:val="24"/>
              </w:rPr>
            </w:pPr>
            <w:r>
              <w:rPr>
                <w:rFonts w:ascii="Times New Roman" w:hAnsi="Times New Roman"/>
                <w:sz w:val="24"/>
                <w:szCs w:val="24"/>
              </w:rPr>
              <w:t>7.145 ± 0.022</w:t>
            </w:r>
            <w:r>
              <w:rPr>
                <w:rFonts w:ascii="Times New Roman" w:hAnsi="Times New Roman"/>
                <w:sz w:val="24"/>
                <w:szCs w:val="24"/>
                <w:vertAlign w:val="superscript"/>
              </w:rPr>
              <w:t>ac</w:t>
            </w:r>
          </w:p>
        </w:tc>
        <w:tc>
          <w:tcPr>
            <w:tcW w:w="0" w:type="auto"/>
            <w:tcMar>
              <w:top w:w="15" w:type="dxa"/>
              <w:left w:w="15" w:type="dxa"/>
              <w:bottom w:w="15" w:type="dxa"/>
              <w:right w:w="15" w:type="dxa"/>
            </w:tcMar>
            <w:vAlign w:val="center"/>
            <w:hideMark/>
          </w:tcPr>
          <w:p w14:paraId="62613D4F" w14:textId="77777777" w:rsidR="00CB397B" w:rsidRDefault="00CB397B">
            <w:pPr>
              <w:jc w:val="both"/>
              <w:rPr>
                <w:rFonts w:ascii="Times New Roman" w:hAnsi="Times New Roman"/>
                <w:sz w:val="24"/>
                <w:szCs w:val="24"/>
              </w:rPr>
            </w:pPr>
            <w:r>
              <w:rPr>
                <w:rFonts w:ascii="Times New Roman" w:hAnsi="Times New Roman"/>
                <w:sz w:val="24"/>
                <w:szCs w:val="24"/>
              </w:rPr>
              <w:t>6.432 ± 0.013</w:t>
            </w:r>
            <w:r>
              <w:rPr>
                <w:rFonts w:ascii="Times New Roman" w:hAnsi="Times New Roman"/>
                <w:sz w:val="24"/>
                <w:szCs w:val="24"/>
                <w:vertAlign w:val="superscript"/>
              </w:rPr>
              <w:t>ab</w:t>
            </w:r>
          </w:p>
        </w:tc>
      </w:tr>
      <w:tr w:rsidR="00CB397B" w14:paraId="2A97DECB" w14:textId="77777777" w:rsidTr="00CB397B">
        <w:trPr>
          <w:trHeight w:val="700"/>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CAEC5DC" w14:textId="77777777" w:rsidR="00CB397B" w:rsidRDefault="00CB397B">
            <w:pPr>
              <w:rPr>
                <w:rFonts w:ascii="Times New Roman" w:hAnsi="Times New Roman"/>
                <w:sz w:val="24"/>
                <w:szCs w:val="24"/>
              </w:rPr>
            </w:pP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7E96289"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F7604E6" w14:textId="77777777" w:rsidR="00CB397B" w:rsidRDefault="00CB397B">
            <w:pPr>
              <w:jc w:val="both"/>
              <w:rPr>
                <w:rFonts w:ascii="Times New Roman" w:hAnsi="Times New Roman"/>
                <w:sz w:val="24"/>
                <w:szCs w:val="24"/>
              </w:rPr>
            </w:pPr>
            <w:r>
              <w:rPr>
                <w:rFonts w:ascii="Times New Roman" w:hAnsi="Times New Roman"/>
                <w:sz w:val="24"/>
                <w:szCs w:val="24"/>
              </w:rPr>
              <w:t>3.810 ± 0.150</w:t>
            </w:r>
            <w:r>
              <w:rPr>
                <w:rFonts w:ascii="Times New Roman" w:hAnsi="Times New Roman"/>
                <w:sz w:val="24"/>
                <w:szCs w:val="24"/>
                <w:vertAlign w:val="superscript"/>
              </w:rPr>
              <w:t>d</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DA6D14F" w14:textId="77777777" w:rsidR="00CB397B" w:rsidRDefault="00CB397B">
            <w:pPr>
              <w:jc w:val="both"/>
              <w:rPr>
                <w:rFonts w:ascii="Times New Roman" w:hAnsi="Times New Roman"/>
                <w:sz w:val="24"/>
                <w:szCs w:val="24"/>
              </w:rPr>
            </w:pPr>
            <w:r>
              <w:rPr>
                <w:rFonts w:ascii="Times New Roman" w:hAnsi="Times New Roman"/>
                <w:sz w:val="24"/>
                <w:szCs w:val="24"/>
              </w:rPr>
              <w:t>3.801 ± 0.024</w:t>
            </w:r>
            <w:r>
              <w:rPr>
                <w:rFonts w:ascii="Times New Roman" w:hAnsi="Times New Roman"/>
                <w:sz w:val="24"/>
                <w:szCs w:val="24"/>
                <w:vertAlign w:val="superscript"/>
              </w:rPr>
              <w:t>d</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3B890CE" w14:textId="77777777" w:rsidR="00CB397B" w:rsidRDefault="00CB397B">
            <w:pPr>
              <w:jc w:val="both"/>
              <w:rPr>
                <w:rFonts w:ascii="Times New Roman" w:hAnsi="Times New Roman"/>
                <w:sz w:val="24"/>
                <w:szCs w:val="24"/>
              </w:rPr>
            </w:pPr>
            <w:r>
              <w:rPr>
                <w:rFonts w:ascii="Times New Roman" w:hAnsi="Times New Roman"/>
                <w:sz w:val="24"/>
                <w:szCs w:val="24"/>
              </w:rPr>
              <w:t>5.703 ± 0.031</w:t>
            </w:r>
            <w:r>
              <w:rPr>
                <w:rFonts w:ascii="Times New Roman" w:hAnsi="Times New Roman"/>
                <w:sz w:val="24"/>
                <w:szCs w:val="24"/>
                <w:vertAlign w:val="superscript"/>
              </w:rPr>
              <w:t>d</w:t>
            </w:r>
          </w:p>
        </w:tc>
      </w:tr>
    </w:tbl>
    <w:p w14:paraId="1F4ACED1" w14:textId="77777777" w:rsidR="00CB397B" w:rsidRDefault="00CB397B" w:rsidP="00CB397B">
      <w:pPr>
        <w:jc w:val="both"/>
        <w:rPr>
          <w:rFonts w:ascii="Times New Roman" w:hAnsi="Times New Roman"/>
          <w:i/>
          <w:sz w:val="24"/>
          <w:szCs w:val="24"/>
        </w:rPr>
      </w:pPr>
      <w:r>
        <w:rPr>
          <w:rFonts w:ascii="Times New Roman" w:hAnsi="Times New Roman"/>
          <w:i/>
          <w:sz w:val="24"/>
          <w:szCs w:val="24"/>
        </w:rPr>
        <w:t>Values are presented as mean ± SD Different letters indicate significant differences (</w:t>
      </w:r>
      <w:r>
        <w:rPr>
          <w:rFonts w:ascii="Times New Roman" w:hAnsi="Times New Roman"/>
          <w:i/>
          <w:iCs/>
          <w:sz w:val="24"/>
          <w:szCs w:val="24"/>
        </w:rPr>
        <w:t>p</w:t>
      </w:r>
      <w:r>
        <w:rPr>
          <w:rFonts w:ascii="Times New Roman" w:hAnsi="Times New Roman"/>
          <w:i/>
          <w:sz w:val="24"/>
          <w:szCs w:val="24"/>
        </w:rPr>
        <w:t xml:space="preserve"> &lt; 0.05).</w:t>
      </w:r>
    </w:p>
    <w:p w14:paraId="13ECDCD4" w14:textId="77777777" w:rsidR="00CB397B" w:rsidRDefault="00CB397B" w:rsidP="00CB397B">
      <w:pPr>
        <w:jc w:val="both"/>
        <w:rPr>
          <w:rFonts w:ascii="Times New Roman" w:eastAsia="Calibri" w:hAnsi="Times New Roman"/>
          <w:b/>
          <w:sz w:val="24"/>
          <w:szCs w:val="24"/>
        </w:rPr>
      </w:pPr>
      <w:r>
        <w:rPr>
          <w:rFonts w:ascii="Times New Roman" w:hAnsi="Times New Roman"/>
          <w:b/>
          <w:sz w:val="24"/>
          <w:szCs w:val="24"/>
        </w:rPr>
        <w:t>3.1.2.1 Iron (Fe)</w:t>
      </w:r>
    </w:p>
    <w:p w14:paraId="00E06DA3" w14:textId="77777777" w:rsidR="00CB397B" w:rsidRDefault="00CB397B" w:rsidP="00CB397B">
      <w:pPr>
        <w:pStyle w:val="NormalWeb"/>
        <w:spacing w:before="0" w:beforeAutospacing="0" w:after="0" w:afterAutospacing="0" w:line="276" w:lineRule="auto"/>
        <w:jc w:val="both"/>
      </w:pPr>
      <w:r>
        <w:t xml:space="preserve">Iron concentration varied considerably among the farms and pond types. The </w:t>
      </w:r>
      <w:r>
        <w:rPr>
          <w:rStyle w:val="Strong"/>
          <w:rFonts w:eastAsia="SimSun"/>
        </w:rPr>
        <w:t>highest Fe concentration was recorded in the IYONDE earthen pond (0.685 ± 0.026 mg/L)</w:t>
      </w:r>
      <w:r>
        <w:rPr>
          <w:b/>
        </w:rPr>
        <w:t>,</w:t>
      </w:r>
      <w:r>
        <w:t xml:space="preserve"> followed by the IYONDE tarpaulin pond (0.512 ± 0.021 mg/L) and IYONDE concrete pond (0.409 ± 0.018 mg/L). The lowest concentration was observed in the </w:t>
      </w:r>
      <w:r>
        <w:rPr>
          <w:rStyle w:val="Strong"/>
          <w:rFonts w:eastAsia="SimSun"/>
        </w:rPr>
        <w:t>new airport concrete pond (0.080 ± 0.006 mg/L)</w:t>
      </w:r>
      <w:r>
        <w:rPr>
          <w:b/>
        </w:rPr>
        <w:t>.</w:t>
      </w:r>
    </w:p>
    <w:p w14:paraId="3CDAB7AB" w14:textId="77777777" w:rsidR="00CB397B" w:rsidRDefault="00CB397B" w:rsidP="00CB397B">
      <w:pPr>
        <w:pStyle w:val="Heading4"/>
        <w:spacing w:before="0"/>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3.1.2.2 Lead (Pb)</w:t>
      </w:r>
    </w:p>
    <w:p w14:paraId="2DC4F078" w14:textId="77777777" w:rsidR="00CB397B" w:rsidRDefault="00CB397B" w:rsidP="00CB397B">
      <w:pPr>
        <w:pStyle w:val="NormalWeb"/>
        <w:spacing w:before="0" w:beforeAutospacing="0" w:after="0" w:afterAutospacing="0" w:line="276" w:lineRule="auto"/>
        <w:jc w:val="both"/>
        <w:rPr>
          <w:b/>
        </w:rPr>
      </w:pPr>
      <w:r>
        <w:t xml:space="preserve">Lead concentrations also differed significantly among the farm–pond combinations. The </w:t>
      </w:r>
      <w:r>
        <w:rPr>
          <w:rStyle w:val="Strong"/>
          <w:rFonts w:eastAsia="SimSun"/>
        </w:rPr>
        <w:t>highest Pb concentration occurred in the IYONDE earthen pond (0.035 ± 0.003 mg/L)</w:t>
      </w:r>
      <w:r>
        <w:rPr>
          <w:b/>
        </w:rPr>
        <w:t xml:space="preserve">, </w:t>
      </w:r>
      <w:r>
        <w:t xml:space="preserve">followed by IYONDE tarpaulin (0.028 ± 0.002 mg/L) and IYONDE concrete (0.022 ± 0.002 mg/L). The lowest value was recorded in the </w:t>
      </w:r>
      <w:r>
        <w:rPr>
          <w:rStyle w:val="Strong"/>
          <w:rFonts w:eastAsia="SimSun"/>
        </w:rPr>
        <w:t>NEW AIRPORT concrete pond (0.003 ± 0.001 mg/L)</w:t>
      </w:r>
      <w:r>
        <w:rPr>
          <w:b/>
        </w:rPr>
        <w:t xml:space="preserve">. </w:t>
      </w:r>
      <w:r>
        <w:t>The results indicate that Pb contamination was more pronounced at IYONDE than at MAGNUS and NEW AIRPORT. In particular, the three IYONDE ponds formed higher statistical groups than most of the others, demonstrating significantly greater Pb concentrations.</w:t>
      </w:r>
    </w:p>
    <w:p w14:paraId="7749E642" w14:textId="77777777" w:rsidR="00CB397B" w:rsidRDefault="00CB397B" w:rsidP="00CB397B">
      <w:pPr>
        <w:pStyle w:val="Heading4"/>
        <w:spacing w:before="0"/>
        <w:jc w:val="both"/>
        <w:rPr>
          <w:rFonts w:ascii="Times New Roman" w:hAnsi="Times New Roman" w:cs="Times New Roman"/>
          <w:b/>
          <w:i w:val="0"/>
          <w:color w:val="auto"/>
          <w:sz w:val="24"/>
          <w:szCs w:val="24"/>
        </w:rPr>
      </w:pPr>
      <w:r>
        <w:rPr>
          <w:rFonts w:ascii="Times New Roman" w:hAnsi="Times New Roman" w:cs="Times New Roman"/>
          <w:i w:val="0"/>
          <w:color w:val="auto"/>
          <w:sz w:val="24"/>
          <w:szCs w:val="24"/>
        </w:rPr>
        <w:t>3.1.2.3 Cadmium (Cd)</w:t>
      </w:r>
    </w:p>
    <w:p w14:paraId="69137ACB" w14:textId="77777777" w:rsidR="00CB397B" w:rsidRDefault="00CB397B" w:rsidP="00CB397B">
      <w:pPr>
        <w:pStyle w:val="NormalWeb"/>
        <w:spacing w:before="0" w:beforeAutospacing="0" w:after="0" w:afterAutospacing="0" w:line="276" w:lineRule="auto"/>
        <w:jc w:val="both"/>
      </w:pPr>
      <w:r>
        <w:t xml:space="preserve">Cadmium showed a similar pattern. The concentration increased from </w:t>
      </w:r>
      <w:r>
        <w:rPr>
          <w:rStyle w:val="Strong"/>
          <w:rFonts w:eastAsia="SimSun"/>
        </w:rPr>
        <w:t>0.0045 ± 0.0004 mg/L in IYONDE concrete</w:t>
      </w:r>
      <w:r>
        <w:rPr>
          <w:b/>
        </w:rPr>
        <w:t xml:space="preserve"> </w:t>
      </w:r>
      <w:r>
        <w:t>to</w:t>
      </w:r>
      <w:r>
        <w:rPr>
          <w:b/>
        </w:rPr>
        <w:t xml:space="preserve"> </w:t>
      </w:r>
      <w:r>
        <w:rPr>
          <w:rStyle w:val="Strong"/>
          <w:rFonts w:eastAsia="SimSun"/>
        </w:rPr>
        <w:t>0.0058 ± 0.0005 mg/L in IYONDE tarpaulin</w:t>
      </w:r>
      <w:r>
        <w:rPr>
          <w:b/>
        </w:rPr>
        <w:t xml:space="preserve"> </w:t>
      </w:r>
      <w:r>
        <w:t xml:space="preserve">and reached the highest value of </w:t>
      </w:r>
      <w:r>
        <w:rPr>
          <w:rStyle w:val="Strong"/>
          <w:rFonts w:eastAsia="SimSun"/>
        </w:rPr>
        <w:t>0.0072 ± 0.0006 mg/L in IYONDE earthen ponds</w:t>
      </w:r>
      <w:r>
        <w:t xml:space="preserve">. The lowest Cd concentration was recorded in </w:t>
      </w:r>
      <w:r>
        <w:rPr>
          <w:rStyle w:val="Strong"/>
          <w:rFonts w:eastAsia="SimSun"/>
        </w:rPr>
        <w:t>NEW AIRPORT concrete (0.0010 ± 0.0001 mg/L)</w:t>
      </w:r>
      <w:r>
        <w:rPr>
          <w:b/>
        </w:rPr>
        <w:t>.</w:t>
      </w:r>
      <w:r>
        <w:t xml:space="preserve"> The distinct superscript groupings indicate that the IYONDE ponds generally differed significantly from the lower-concentration MAGNUS and NEW AIRPORT. This suggests that Cd availability in the pond water was strongly associated with the farm location and pond system.</w:t>
      </w:r>
    </w:p>
    <w:p w14:paraId="2B5AB1A9" w14:textId="77777777" w:rsidR="00CB397B" w:rsidRDefault="00CB397B" w:rsidP="00CB397B">
      <w:pPr>
        <w:pStyle w:val="Heading4"/>
        <w:spacing w:before="0"/>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3.1.2.4 Copper (Cu)</w:t>
      </w:r>
    </w:p>
    <w:p w14:paraId="515E7A28" w14:textId="77777777" w:rsidR="00CB397B" w:rsidRDefault="00CB397B" w:rsidP="00CB397B">
      <w:pPr>
        <w:pStyle w:val="NormalWeb"/>
        <w:spacing w:before="0" w:beforeAutospacing="0" w:after="0" w:afterAutospacing="0" w:line="276" w:lineRule="auto"/>
        <w:jc w:val="both"/>
      </w:pPr>
      <w:r>
        <w:t xml:space="preserve">Copper concentrations followed the same general trend. The highest concentration was observed in </w:t>
      </w:r>
      <w:r>
        <w:rPr>
          <w:rStyle w:val="Strong"/>
          <w:rFonts w:eastAsia="SimSun"/>
        </w:rPr>
        <w:t>IYONDE earthen ponds (0.610 ± 0.024 mg/L)</w:t>
      </w:r>
      <w:r>
        <w:rPr>
          <w:b/>
        </w:rPr>
        <w:t>,</w:t>
      </w:r>
      <w:r>
        <w:t xml:space="preserve"> followed by IYONDE tarpaulin (0.520 ± 0.021 mg/L) and IYONDE concrete (0.450 ± 0.018 mg/L). The lowest concentrations were recorded at NEW AIRPORT, ranging from </w:t>
      </w:r>
      <w:r>
        <w:rPr>
          <w:rStyle w:val="Strong"/>
          <w:rFonts w:eastAsia="SimSun"/>
        </w:rPr>
        <w:t>0.090 ± 0.008 to 0.130 ± 0.010 mg/L</w:t>
      </w:r>
      <w:r>
        <w:rPr>
          <w:b/>
        </w:rPr>
        <w:t>.</w:t>
      </w:r>
      <w:r>
        <w:t xml:space="preserve"> The three NEW AIRPORT ponds shared the same statistical group, indicating that their Cu concentrations were not significantly different from one another. In contrast, the IYONDE ponds were statistically distinct from most of the lower-concentration groups.</w:t>
      </w:r>
    </w:p>
    <w:p w14:paraId="30814199" w14:textId="77777777" w:rsidR="00CB397B" w:rsidRDefault="00CB397B" w:rsidP="00CB397B">
      <w:pPr>
        <w:pStyle w:val="Heading4"/>
        <w:spacing w:before="0"/>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3.1.2.5 Zinc (Zn)</w:t>
      </w:r>
    </w:p>
    <w:p w14:paraId="69BE6817" w14:textId="77777777" w:rsidR="00CB397B" w:rsidRDefault="00CB397B" w:rsidP="00CB397B">
      <w:pPr>
        <w:pStyle w:val="NormalWeb"/>
        <w:spacing w:before="0" w:beforeAutospacing="0" w:after="0" w:afterAutospacing="0" w:line="276" w:lineRule="auto"/>
        <w:jc w:val="both"/>
      </w:pPr>
      <w:r>
        <w:t xml:space="preserve">Zinc showed one of the clearest differences among the ponds. The highest concentration was found in </w:t>
      </w:r>
      <w:r>
        <w:rPr>
          <w:rStyle w:val="Strong"/>
          <w:rFonts w:eastAsia="SimSun"/>
        </w:rPr>
        <w:t>IYONDE earthen ponds (1.720 ± 0.070 mg/L)</w:t>
      </w:r>
      <w:r>
        <w:rPr>
          <w:b/>
        </w:rPr>
        <w:t>,</w:t>
      </w:r>
      <w:r>
        <w:t xml:space="preserve"> followed by IYONDE tarpaulin (1.480 ± 0.061 mg/L) and IYONDE concrete (1.250 ± 0.052 mg/L). The lowest concentration occurred in </w:t>
      </w:r>
      <w:r>
        <w:rPr>
          <w:rStyle w:val="Strong"/>
          <w:rFonts w:eastAsia="SimSun"/>
        </w:rPr>
        <w:t xml:space="preserve">NEW AIRPORT concrete ponds (0.300 </w:t>
      </w:r>
      <w:r>
        <w:rPr>
          <w:rStyle w:val="Strong"/>
          <w:rFonts w:eastAsia="SimSun"/>
        </w:rPr>
        <w:lastRenderedPageBreak/>
        <w:t>± 0.018 mg/L)</w:t>
      </w:r>
      <w:r>
        <w:rPr>
          <w:b/>
        </w:rPr>
        <w:t xml:space="preserve">. </w:t>
      </w:r>
      <w:r>
        <w:t>The significant differences among the superscript groups indicate that Zn concentrations were strongly influenced by the farm and pond type. MAGNUS earthen ponds also recorded a comparatively high Zn concentration (0.750 ± 0.035 mg/L), although it remained considerably lower than the IYONDE values.</w:t>
      </w:r>
    </w:p>
    <w:p w14:paraId="48AC2E92" w14:textId="77777777" w:rsidR="00CB397B" w:rsidRDefault="00CB397B" w:rsidP="00CB397B">
      <w:pPr>
        <w:pStyle w:val="NormalWeb"/>
        <w:spacing w:before="0" w:beforeAutospacing="0" w:after="0" w:afterAutospacing="0" w:line="276" w:lineRule="auto"/>
        <w:jc w:val="both"/>
      </w:pPr>
      <w:r>
        <w:rPr>
          <w:b/>
          <w:bCs/>
        </w:rPr>
        <w:t>Table 6 Mean concentration of Iron (Fe) in pond Water</w:t>
      </w:r>
    </w:p>
    <w:tbl>
      <w:tblPr>
        <w:tblW w:w="8496" w:type="dxa"/>
        <w:tblCellSpacing w:w="15" w:type="dxa"/>
        <w:tblLook w:val="04A0" w:firstRow="1" w:lastRow="0" w:firstColumn="1" w:lastColumn="0" w:noHBand="0" w:noVBand="1"/>
      </w:tblPr>
      <w:tblGrid>
        <w:gridCol w:w="3318"/>
        <w:gridCol w:w="2981"/>
        <w:gridCol w:w="2197"/>
      </w:tblGrid>
      <w:tr w:rsidR="00CB397B" w14:paraId="1D590B68" w14:textId="77777777" w:rsidTr="00CB397B">
        <w:trPr>
          <w:trHeight w:val="353"/>
          <w:tblHeader/>
          <w:tblCellSpacing w:w="15" w:type="dxa"/>
        </w:trPr>
        <w:tc>
          <w:tcPr>
            <w:tcW w:w="3273" w:type="dxa"/>
            <w:tcBorders>
              <w:top w:val="single" w:sz="4" w:space="0" w:color="auto"/>
              <w:left w:val="nil"/>
              <w:bottom w:val="nil"/>
              <w:right w:val="nil"/>
            </w:tcBorders>
            <w:tcMar>
              <w:top w:w="15" w:type="dxa"/>
              <w:left w:w="15" w:type="dxa"/>
              <w:bottom w:w="15" w:type="dxa"/>
              <w:right w:w="15" w:type="dxa"/>
            </w:tcMar>
            <w:vAlign w:val="center"/>
            <w:hideMark/>
          </w:tcPr>
          <w:p w14:paraId="10836651"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2951" w:type="dxa"/>
            <w:tcBorders>
              <w:top w:val="single" w:sz="4" w:space="0" w:color="auto"/>
              <w:left w:val="nil"/>
              <w:bottom w:val="nil"/>
              <w:right w:val="nil"/>
            </w:tcBorders>
            <w:tcMar>
              <w:top w:w="15" w:type="dxa"/>
              <w:left w:w="15" w:type="dxa"/>
              <w:bottom w:w="15" w:type="dxa"/>
              <w:right w:w="15" w:type="dxa"/>
            </w:tcMar>
            <w:vAlign w:val="center"/>
            <w:hideMark/>
          </w:tcPr>
          <w:p w14:paraId="1BF8EBA6"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2152" w:type="dxa"/>
            <w:tcBorders>
              <w:top w:val="single" w:sz="4" w:space="0" w:color="auto"/>
              <w:left w:val="nil"/>
              <w:bottom w:val="nil"/>
              <w:right w:val="nil"/>
            </w:tcBorders>
            <w:tcMar>
              <w:top w:w="15" w:type="dxa"/>
              <w:left w:w="15" w:type="dxa"/>
              <w:bottom w:w="15" w:type="dxa"/>
              <w:right w:w="15" w:type="dxa"/>
            </w:tcMar>
            <w:vAlign w:val="center"/>
            <w:hideMark/>
          </w:tcPr>
          <w:p w14:paraId="3774F7F4" w14:textId="77777777" w:rsidR="00CB397B" w:rsidRDefault="00CB397B">
            <w:pPr>
              <w:jc w:val="both"/>
              <w:rPr>
                <w:rFonts w:ascii="Times New Roman" w:hAnsi="Times New Roman"/>
                <w:b/>
                <w:bCs/>
                <w:sz w:val="24"/>
                <w:szCs w:val="24"/>
              </w:rPr>
            </w:pPr>
            <w:r>
              <w:rPr>
                <w:rFonts w:ascii="Times New Roman" w:hAnsi="Times New Roman"/>
                <w:b/>
                <w:bCs/>
                <w:sz w:val="24"/>
                <w:szCs w:val="24"/>
              </w:rPr>
              <w:t>Mean ± SD (mg/L)</w:t>
            </w:r>
          </w:p>
        </w:tc>
      </w:tr>
      <w:tr w:rsidR="00CB397B" w14:paraId="666E8093" w14:textId="77777777" w:rsidTr="00CB397B">
        <w:trPr>
          <w:trHeight w:val="334"/>
          <w:tblCellSpacing w:w="15" w:type="dxa"/>
        </w:trPr>
        <w:tc>
          <w:tcPr>
            <w:tcW w:w="3273" w:type="dxa"/>
            <w:tcBorders>
              <w:top w:val="single" w:sz="4" w:space="0" w:color="auto"/>
              <w:left w:val="nil"/>
              <w:bottom w:val="nil"/>
              <w:right w:val="nil"/>
            </w:tcBorders>
            <w:tcMar>
              <w:top w:w="15" w:type="dxa"/>
              <w:left w:w="15" w:type="dxa"/>
              <w:bottom w:w="15" w:type="dxa"/>
              <w:right w:w="15" w:type="dxa"/>
            </w:tcMar>
            <w:vAlign w:val="center"/>
            <w:hideMark/>
          </w:tcPr>
          <w:p w14:paraId="7C175E5C"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951" w:type="dxa"/>
            <w:tcBorders>
              <w:top w:val="single" w:sz="4" w:space="0" w:color="auto"/>
              <w:left w:val="nil"/>
              <w:bottom w:val="nil"/>
              <w:right w:val="nil"/>
            </w:tcBorders>
            <w:tcMar>
              <w:top w:w="15" w:type="dxa"/>
              <w:left w:w="15" w:type="dxa"/>
              <w:bottom w:w="15" w:type="dxa"/>
              <w:right w:w="15" w:type="dxa"/>
            </w:tcMar>
            <w:vAlign w:val="center"/>
            <w:hideMark/>
          </w:tcPr>
          <w:p w14:paraId="278BD780"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152" w:type="dxa"/>
            <w:tcBorders>
              <w:top w:val="single" w:sz="4" w:space="0" w:color="auto"/>
              <w:left w:val="nil"/>
              <w:bottom w:val="nil"/>
              <w:right w:val="nil"/>
            </w:tcBorders>
            <w:tcMar>
              <w:top w:w="15" w:type="dxa"/>
              <w:left w:w="15" w:type="dxa"/>
              <w:bottom w:w="15" w:type="dxa"/>
              <w:right w:w="15" w:type="dxa"/>
            </w:tcMar>
            <w:vAlign w:val="center"/>
            <w:hideMark/>
          </w:tcPr>
          <w:p w14:paraId="3AD70884" w14:textId="77777777" w:rsidR="00CB397B" w:rsidRDefault="00CB397B">
            <w:pPr>
              <w:jc w:val="both"/>
              <w:rPr>
                <w:rFonts w:ascii="Times New Roman" w:hAnsi="Times New Roman"/>
                <w:sz w:val="24"/>
                <w:szCs w:val="24"/>
              </w:rPr>
            </w:pPr>
            <w:r>
              <w:rPr>
                <w:rFonts w:ascii="Times New Roman" w:hAnsi="Times New Roman"/>
                <w:sz w:val="24"/>
                <w:szCs w:val="24"/>
              </w:rPr>
              <w:t>0.409 ± 0.018</w:t>
            </w:r>
            <w:r>
              <w:rPr>
                <w:rFonts w:ascii="Times New Roman" w:hAnsi="Times New Roman"/>
                <w:sz w:val="24"/>
                <w:szCs w:val="24"/>
                <w:vertAlign w:val="superscript"/>
              </w:rPr>
              <w:t>c</w:t>
            </w:r>
          </w:p>
        </w:tc>
      </w:tr>
      <w:tr w:rsidR="00CB397B" w14:paraId="319C000B" w14:textId="77777777" w:rsidTr="00CB397B">
        <w:trPr>
          <w:trHeight w:val="334"/>
          <w:tblCellSpacing w:w="15" w:type="dxa"/>
        </w:trPr>
        <w:tc>
          <w:tcPr>
            <w:tcW w:w="3273" w:type="dxa"/>
            <w:tcMar>
              <w:top w:w="15" w:type="dxa"/>
              <w:left w:w="15" w:type="dxa"/>
              <w:bottom w:w="15" w:type="dxa"/>
              <w:right w:w="15" w:type="dxa"/>
            </w:tcMar>
            <w:vAlign w:val="center"/>
            <w:hideMark/>
          </w:tcPr>
          <w:p w14:paraId="38477253"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951" w:type="dxa"/>
            <w:tcMar>
              <w:top w:w="15" w:type="dxa"/>
              <w:left w:w="15" w:type="dxa"/>
              <w:bottom w:w="15" w:type="dxa"/>
              <w:right w:w="15" w:type="dxa"/>
            </w:tcMar>
            <w:vAlign w:val="center"/>
            <w:hideMark/>
          </w:tcPr>
          <w:p w14:paraId="27F9BBB6"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152" w:type="dxa"/>
            <w:tcMar>
              <w:top w:w="15" w:type="dxa"/>
              <w:left w:w="15" w:type="dxa"/>
              <w:bottom w:w="15" w:type="dxa"/>
              <w:right w:w="15" w:type="dxa"/>
            </w:tcMar>
            <w:vAlign w:val="center"/>
            <w:hideMark/>
          </w:tcPr>
          <w:p w14:paraId="32A2FBA0" w14:textId="77777777" w:rsidR="00CB397B" w:rsidRDefault="00CB397B">
            <w:pPr>
              <w:jc w:val="both"/>
              <w:rPr>
                <w:rFonts w:ascii="Times New Roman" w:hAnsi="Times New Roman"/>
                <w:sz w:val="24"/>
                <w:szCs w:val="24"/>
              </w:rPr>
            </w:pPr>
            <w:r>
              <w:rPr>
                <w:rFonts w:ascii="Times New Roman" w:hAnsi="Times New Roman"/>
                <w:sz w:val="24"/>
                <w:szCs w:val="24"/>
              </w:rPr>
              <w:t>0.512 ± 0.021</w:t>
            </w:r>
            <w:r>
              <w:rPr>
                <w:rFonts w:ascii="Times New Roman" w:hAnsi="Times New Roman"/>
                <w:sz w:val="24"/>
                <w:szCs w:val="24"/>
                <w:vertAlign w:val="superscript"/>
              </w:rPr>
              <w:t>d</w:t>
            </w:r>
          </w:p>
        </w:tc>
      </w:tr>
      <w:tr w:rsidR="00CB397B" w14:paraId="65C34BF5" w14:textId="77777777" w:rsidTr="00CB397B">
        <w:trPr>
          <w:trHeight w:val="353"/>
          <w:tblCellSpacing w:w="15" w:type="dxa"/>
        </w:trPr>
        <w:tc>
          <w:tcPr>
            <w:tcW w:w="3273" w:type="dxa"/>
            <w:tcMar>
              <w:top w:w="15" w:type="dxa"/>
              <w:left w:w="15" w:type="dxa"/>
              <w:bottom w:w="15" w:type="dxa"/>
              <w:right w:w="15" w:type="dxa"/>
            </w:tcMar>
            <w:vAlign w:val="center"/>
            <w:hideMark/>
          </w:tcPr>
          <w:p w14:paraId="48BA7472"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951" w:type="dxa"/>
            <w:tcMar>
              <w:top w:w="15" w:type="dxa"/>
              <w:left w:w="15" w:type="dxa"/>
              <w:bottom w:w="15" w:type="dxa"/>
              <w:right w:w="15" w:type="dxa"/>
            </w:tcMar>
            <w:vAlign w:val="center"/>
            <w:hideMark/>
          </w:tcPr>
          <w:p w14:paraId="34121A13"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152" w:type="dxa"/>
            <w:tcMar>
              <w:top w:w="15" w:type="dxa"/>
              <w:left w:w="15" w:type="dxa"/>
              <w:bottom w:w="15" w:type="dxa"/>
              <w:right w:w="15" w:type="dxa"/>
            </w:tcMar>
            <w:vAlign w:val="center"/>
            <w:hideMark/>
          </w:tcPr>
          <w:p w14:paraId="357F0A84" w14:textId="77777777" w:rsidR="00CB397B" w:rsidRDefault="00CB397B">
            <w:pPr>
              <w:jc w:val="both"/>
              <w:rPr>
                <w:rFonts w:ascii="Times New Roman" w:hAnsi="Times New Roman"/>
                <w:sz w:val="24"/>
                <w:szCs w:val="24"/>
              </w:rPr>
            </w:pPr>
            <w:r>
              <w:rPr>
                <w:rFonts w:ascii="Times New Roman" w:hAnsi="Times New Roman"/>
                <w:sz w:val="24"/>
                <w:szCs w:val="24"/>
              </w:rPr>
              <w:t>0.685 ± 0.026</w:t>
            </w:r>
            <w:r>
              <w:rPr>
                <w:rFonts w:ascii="Times New Roman" w:hAnsi="Times New Roman"/>
                <w:sz w:val="24"/>
                <w:szCs w:val="24"/>
                <w:vertAlign w:val="superscript"/>
              </w:rPr>
              <w:t>e</w:t>
            </w:r>
          </w:p>
        </w:tc>
      </w:tr>
      <w:tr w:rsidR="00CB397B" w14:paraId="7E6107A5" w14:textId="77777777" w:rsidTr="00CB397B">
        <w:trPr>
          <w:trHeight w:val="334"/>
          <w:tblCellSpacing w:w="15" w:type="dxa"/>
        </w:trPr>
        <w:tc>
          <w:tcPr>
            <w:tcW w:w="3273" w:type="dxa"/>
            <w:tcMar>
              <w:top w:w="15" w:type="dxa"/>
              <w:left w:w="15" w:type="dxa"/>
              <w:bottom w:w="15" w:type="dxa"/>
              <w:right w:w="15" w:type="dxa"/>
            </w:tcMar>
            <w:vAlign w:val="center"/>
            <w:hideMark/>
          </w:tcPr>
          <w:p w14:paraId="1045E653"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951" w:type="dxa"/>
            <w:tcMar>
              <w:top w:w="15" w:type="dxa"/>
              <w:left w:w="15" w:type="dxa"/>
              <w:bottom w:w="15" w:type="dxa"/>
              <w:right w:w="15" w:type="dxa"/>
            </w:tcMar>
            <w:vAlign w:val="center"/>
            <w:hideMark/>
          </w:tcPr>
          <w:p w14:paraId="64A1BC57"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152" w:type="dxa"/>
            <w:tcMar>
              <w:top w:w="15" w:type="dxa"/>
              <w:left w:w="15" w:type="dxa"/>
              <w:bottom w:w="15" w:type="dxa"/>
              <w:right w:w="15" w:type="dxa"/>
            </w:tcMar>
            <w:vAlign w:val="center"/>
            <w:hideMark/>
          </w:tcPr>
          <w:p w14:paraId="2BC34CAB" w14:textId="77777777" w:rsidR="00CB397B" w:rsidRDefault="00CB397B">
            <w:pPr>
              <w:jc w:val="both"/>
              <w:rPr>
                <w:rFonts w:ascii="Times New Roman" w:hAnsi="Times New Roman"/>
                <w:sz w:val="24"/>
                <w:szCs w:val="24"/>
              </w:rPr>
            </w:pPr>
            <w:r>
              <w:rPr>
                <w:rFonts w:ascii="Times New Roman" w:hAnsi="Times New Roman"/>
                <w:sz w:val="24"/>
                <w:szCs w:val="24"/>
              </w:rPr>
              <w:t>0.120 ± 0.009</w:t>
            </w:r>
            <w:r>
              <w:rPr>
                <w:rFonts w:ascii="Times New Roman" w:hAnsi="Times New Roman"/>
                <w:sz w:val="24"/>
                <w:szCs w:val="24"/>
                <w:vertAlign w:val="superscript"/>
              </w:rPr>
              <w:t>ab</w:t>
            </w:r>
          </w:p>
        </w:tc>
      </w:tr>
      <w:tr w:rsidR="00CB397B" w14:paraId="2375D0D2" w14:textId="77777777" w:rsidTr="00CB397B">
        <w:trPr>
          <w:trHeight w:val="334"/>
          <w:tblCellSpacing w:w="15" w:type="dxa"/>
        </w:trPr>
        <w:tc>
          <w:tcPr>
            <w:tcW w:w="3273" w:type="dxa"/>
            <w:tcMar>
              <w:top w:w="15" w:type="dxa"/>
              <w:left w:w="15" w:type="dxa"/>
              <w:bottom w:w="15" w:type="dxa"/>
              <w:right w:w="15" w:type="dxa"/>
            </w:tcMar>
            <w:vAlign w:val="center"/>
            <w:hideMark/>
          </w:tcPr>
          <w:p w14:paraId="6B6F48BD"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951" w:type="dxa"/>
            <w:tcMar>
              <w:top w:w="15" w:type="dxa"/>
              <w:left w:w="15" w:type="dxa"/>
              <w:bottom w:w="15" w:type="dxa"/>
              <w:right w:w="15" w:type="dxa"/>
            </w:tcMar>
            <w:vAlign w:val="center"/>
            <w:hideMark/>
          </w:tcPr>
          <w:p w14:paraId="274667FB"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152" w:type="dxa"/>
            <w:tcMar>
              <w:top w:w="15" w:type="dxa"/>
              <w:left w:w="15" w:type="dxa"/>
              <w:bottom w:w="15" w:type="dxa"/>
              <w:right w:w="15" w:type="dxa"/>
            </w:tcMar>
            <w:vAlign w:val="center"/>
            <w:hideMark/>
          </w:tcPr>
          <w:p w14:paraId="530FE29F" w14:textId="77777777" w:rsidR="00CB397B" w:rsidRDefault="00CB397B">
            <w:pPr>
              <w:jc w:val="both"/>
              <w:rPr>
                <w:rFonts w:ascii="Times New Roman" w:hAnsi="Times New Roman"/>
                <w:sz w:val="24"/>
                <w:szCs w:val="24"/>
              </w:rPr>
            </w:pPr>
            <w:r>
              <w:rPr>
                <w:rFonts w:ascii="Times New Roman" w:hAnsi="Times New Roman"/>
                <w:sz w:val="24"/>
                <w:szCs w:val="24"/>
              </w:rPr>
              <w:t>0.145 ± 0.011</w:t>
            </w:r>
            <w:r>
              <w:rPr>
                <w:rFonts w:ascii="Times New Roman" w:hAnsi="Times New Roman"/>
                <w:sz w:val="24"/>
                <w:szCs w:val="24"/>
                <w:vertAlign w:val="superscript"/>
              </w:rPr>
              <w:t>b</w:t>
            </w:r>
          </w:p>
        </w:tc>
      </w:tr>
      <w:tr w:rsidR="00CB397B" w14:paraId="5652B3CF" w14:textId="77777777" w:rsidTr="00CB397B">
        <w:trPr>
          <w:trHeight w:val="180"/>
          <w:tblCellSpacing w:w="15" w:type="dxa"/>
        </w:trPr>
        <w:tc>
          <w:tcPr>
            <w:tcW w:w="3273" w:type="dxa"/>
            <w:tcMar>
              <w:top w:w="15" w:type="dxa"/>
              <w:left w:w="15" w:type="dxa"/>
              <w:bottom w:w="15" w:type="dxa"/>
              <w:right w:w="15" w:type="dxa"/>
            </w:tcMar>
            <w:vAlign w:val="center"/>
            <w:hideMark/>
          </w:tcPr>
          <w:p w14:paraId="79D8C0B5"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951" w:type="dxa"/>
            <w:tcMar>
              <w:top w:w="15" w:type="dxa"/>
              <w:left w:w="15" w:type="dxa"/>
              <w:bottom w:w="15" w:type="dxa"/>
              <w:right w:w="15" w:type="dxa"/>
            </w:tcMar>
            <w:vAlign w:val="center"/>
            <w:hideMark/>
          </w:tcPr>
          <w:p w14:paraId="0B65D758"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152" w:type="dxa"/>
            <w:tcMar>
              <w:top w:w="15" w:type="dxa"/>
              <w:left w:w="15" w:type="dxa"/>
              <w:bottom w:w="15" w:type="dxa"/>
              <w:right w:w="15" w:type="dxa"/>
            </w:tcMar>
            <w:vAlign w:val="center"/>
            <w:hideMark/>
          </w:tcPr>
          <w:p w14:paraId="5D02FA8C" w14:textId="77777777" w:rsidR="00CB397B" w:rsidRDefault="00CB397B">
            <w:pPr>
              <w:jc w:val="both"/>
              <w:rPr>
                <w:rFonts w:ascii="Times New Roman" w:hAnsi="Times New Roman"/>
                <w:sz w:val="24"/>
                <w:szCs w:val="24"/>
              </w:rPr>
            </w:pPr>
            <w:r>
              <w:rPr>
                <w:rFonts w:ascii="Times New Roman" w:hAnsi="Times New Roman"/>
                <w:sz w:val="24"/>
                <w:szCs w:val="24"/>
              </w:rPr>
              <w:t>0.210 ± 0.014</w:t>
            </w:r>
            <w:r>
              <w:rPr>
                <w:rFonts w:ascii="Times New Roman" w:hAnsi="Times New Roman"/>
                <w:sz w:val="24"/>
                <w:szCs w:val="24"/>
                <w:vertAlign w:val="superscript"/>
              </w:rPr>
              <w:t>f</w:t>
            </w:r>
          </w:p>
        </w:tc>
      </w:tr>
      <w:tr w:rsidR="00CB397B" w14:paraId="5AB3A568" w14:textId="77777777" w:rsidTr="00CB397B">
        <w:trPr>
          <w:trHeight w:val="180"/>
          <w:tblCellSpacing w:w="15" w:type="dxa"/>
        </w:trPr>
        <w:tc>
          <w:tcPr>
            <w:tcW w:w="3273" w:type="dxa"/>
            <w:tcMar>
              <w:top w:w="15" w:type="dxa"/>
              <w:left w:w="15" w:type="dxa"/>
              <w:bottom w:w="15" w:type="dxa"/>
              <w:right w:w="15" w:type="dxa"/>
            </w:tcMar>
            <w:vAlign w:val="center"/>
            <w:hideMark/>
          </w:tcPr>
          <w:p w14:paraId="3DC8FC11"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951" w:type="dxa"/>
            <w:tcMar>
              <w:top w:w="15" w:type="dxa"/>
              <w:left w:w="15" w:type="dxa"/>
              <w:bottom w:w="15" w:type="dxa"/>
              <w:right w:w="15" w:type="dxa"/>
            </w:tcMar>
            <w:vAlign w:val="center"/>
            <w:hideMark/>
          </w:tcPr>
          <w:p w14:paraId="627AF948"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152" w:type="dxa"/>
            <w:tcMar>
              <w:top w:w="15" w:type="dxa"/>
              <w:left w:w="15" w:type="dxa"/>
              <w:bottom w:w="15" w:type="dxa"/>
              <w:right w:w="15" w:type="dxa"/>
            </w:tcMar>
            <w:vAlign w:val="center"/>
            <w:hideMark/>
          </w:tcPr>
          <w:p w14:paraId="22BA2895" w14:textId="77777777" w:rsidR="00CB397B" w:rsidRDefault="00CB397B">
            <w:pPr>
              <w:jc w:val="both"/>
              <w:rPr>
                <w:rFonts w:ascii="Times New Roman" w:hAnsi="Times New Roman"/>
                <w:sz w:val="24"/>
                <w:szCs w:val="24"/>
              </w:rPr>
            </w:pPr>
            <w:r>
              <w:rPr>
                <w:rFonts w:ascii="Times New Roman" w:hAnsi="Times New Roman"/>
                <w:sz w:val="24"/>
                <w:szCs w:val="24"/>
              </w:rPr>
              <w:t>0.080 ± 0.006</w:t>
            </w:r>
            <w:r>
              <w:rPr>
                <w:rFonts w:ascii="Times New Roman" w:hAnsi="Times New Roman"/>
                <w:sz w:val="24"/>
                <w:szCs w:val="24"/>
                <w:vertAlign w:val="superscript"/>
              </w:rPr>
              <w:t>a</w:t>
            </w:r>
          </w:p>
        </w:tc>
      </w:tr>
      <w:tr w:rsidR="00CB397B" w14:paraId="3D68B99E" w14:textId="77777777" w:rsidTr="00CB397B">
        <w:trPr>
          <w:trHeight w:val="180"/>
          <w:tblCellSpacing w:w="15" w:type="dxa"/>
        </w:trPr>
        <w:tc>
          <w:tcPr>
            <w:tcW w:w="3273" w:type="dxa"/>
            <w:tcMar>
              <w:top w:w="15" w:type="dxa"/>
              <w:left w:w="15" w:type="dxa"/>
              <w:bottom w:w="15" w:type="dxa"/>
              <w:right w:w="15" w:type="dxa"/>
            </w:tcMar>
            <w:vAlign w:val="center"/>
            <w:hideMark/>
          </w:tcPr>
          <w:p w14:paraId="38DD7959"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951" w:type="dxa"/>
            <w:tcMar>
              <w:top w:w="15" w:type="dxa"/>
              <w:left w:w="15" w:type="dxa"/>
              <w:bottom w:w="15" w:type="dxa"/>
              <w:right w:w="15" w:type="dxa"/>
            </w:tcMar>
            <w:vAlign w:val="center"/>
            <w:hideMark/>
          </w:tcPr>
          <w:p w14:paraId="23851AC2"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152" w:type="dxa"/>
            <w:tcMar>
              <w:top w:w="15" w:type="dxa"/>
              <w:left w:w="15" w:type="dxa"/>
              <w:bottom w:w="15" w:type="dxa"/>
              <w:right w:w="15" w:type="dxa"/>
            </w:tcMar>
            <w:vAlign w:val="center"/>
            <w:hideMark/>
          </w:tcPr>
          <w:p w14:paraId="44604CA2" w14:textId="77777777" w:rsidR="00CB397B" w:rsidRDefault="00CB397B">
            <w:pPr>
              <w:jc w:val="both"/>
              <w:rPr>
                <w:rFonts w:ascii="Times New Roman" w:hAnsi="Times New Roman"/>
                <w:sz w:val="24"/>
                <w:szCs w:val="24"/>
              </w:rPr>
            </w:pPr>
            <w:r>
              <w:rPr>
                <w:rFonts w:ascii="Times New Roman" w:hAnsi="Times New Roman"/>
                <w:sz w:val="24"/>
                <w:szCs w:val="24"/>
              </w:rPr>
              <w:t>0.095 ± 0.007</w:t>
            </w:r>
            <w:r>
              <w:rPr>
                <w:rFonts w:ascii="Times New Roman" w:hAnsi="Times New Roman"/>
                <w:sz w:val="24"/>
                <w:szCs w:val="24"/>
                <w:vertAlign w:val="superscript"/>
              </w:rPr>
              <w:t>a</w:t>
            </w:r>
          </w:p>
        </w:tc>
      </w:tr>
      <w:tr w:rsidR="00CB397B" w14:paraId="5D9F1425" w14:textId="77777777" w:rsidTr="00CB397B">
        <w:trPr>
          <w:trHeight w:val="180"/>
          <w:tblCellSpacing w:w="15" w:type="dxa"/>
        </w:trPr>
        <w:tc>
          <w:tcPr>
            <w:tcW w:w="3273" w:type="dxa"/>
            <w:tcBorders>
              <w:top w:val="nil"/>
              <w:left w:val="nil"/>
              <w:bottom w:val="single" w:sz="4" w:space="0" w:color="auto"/>
              <w:right w:val="nil"/>
            </w:tcBorders>
            <w:tcMar>
              <w:top w:w="15" w:type="dxa"/>
              <w:left w:w="15" w:type="dxa"/>
              <w:bottom w:w="15" w:type="dxa"/>
              <w:right w:w="15" w:type="dxa"/>
            </w:tcMar>
            <w:vAlign w:val="center"/>
            <w:hideMark/>
          </w:tcPr>
          <w:p w14:paraId="75A5C946"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951" w:type="dxa"/>
            <w:tcBorders>
              <w:top w:val="nil"/>
              <w:left w:val="nil"/>
              <w:bottom w:val="single" w:sz="4" w:space="0" w:color="auto"/>
              <w:right w:val="nil"/>
            </w:tcBorders>
            <w:tcMar>
              <w:top w:w="15" w:type="dxa"/>
              <w:left w:w="15" w:type="dxa"/>
              <w:bottom w:w="15" w:type="dxa"/>
              <w:right w:w="15" w:type="dxa"/>
            </w:tcMar>
            <w:vAlign w:val="center"/>
            <w:hideMark/>
          </w:tcPr>
          <w:p w14:paraId="74276B54"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152" w:type="dxa"/>
            <w:tcBorders>
              <w:top w:val="nil"/>
              <w:left w:val="nil"/>
              <w:bottom w:val="single" w:sz="4" w:space="0" w:color="auto"/>
              <w:right w:val="nil"/>
            </w:tcBorders>
            <w:tcMar>
              <w:top w:w="15" w:type="dxa"/>
              <w:left w:w="15" w:type="dxa"/>
              <w:bottom w:w="15" w:type="dxa"/>
              <w:right w:w="15" w:type="dxa"/>
            </w:tcMar>
            <w:vAlign w:val="center"/>
            <w:hideMark/>
          </w:tcPr>
          <w:p w14:paraId="274D5ABF" w14:textId="77777777" w:rsidR="00CB397B" w:rsidRDefault="00CB397B">
            <w:pPr>
              <w:jc w:val="both"/>
              <w:rPr>
                <w:rFonts w:ascii="Times New Roman" w:hAnsi="Times New Roman"/>
                <w:sz w:val="24"/>
                <w:szCs w:val="24"/>
              </w:rPr>
            </w:pPr>
            <w:r>
              <w:rPr>
                <w:rFonts w:ascii="Times New Roman" w:hAnsi="Times New Roman"/>
                <w:sz w:val="24"/>
                <w:szCs w:val="24"/>
              </w:rPr>
              <w:t>0.110 ± 0.008</w:t>
            </w:r>
            <w:r>
              <w:rPr>
                <w:rFonts w:ascii="Times New Roman" w:hAnsi="Times New Roman"/>
                <w:sz w:val="24"/>
                <w:szCs w:val="24"/>
                <w:vertAlign w:val="superscript"/>
              </w:rPr>
              <w:t>ab</w:t>
            </w:r>
          </w:p>
        </w:tc>
      </w:tr>
    </w:tbl>
    <w:p w14:paraId="3AD4C993" w14:textId="77777777" w:rsidR="00CB397B" w:rsidRDefault="00CB397B" w:rsidP="00CB397B">
      <w:pPr>
        <w:rPr>
          <w:rFonts w:ascii="Times New Roman" w:hAnsi="Times New Roman"/>
          <w:i/>
          <w:sz w:val="24"/>
          <w:szCs w:val="24"/>
        </w:rPr>
      </w:pPr>
      <w:r>
        <w:rPr>
          <w:rFonts w:ascii="Times New Roman" w:hAnsi="Times New Roman"/>
          <w:i/>
          <w:sz w:val="24"/>
          <w:szCs w:val="24"/>
        </w:rPr>
        <w:t xml:space="preserve">Values are expressed as mean </w:t>
      </w:r>
      <w:r>
        <w:rPr>
          <w:rFonts w:ascii="Times New Roman" w:hAnsi="Times New Roman"/>
          <w:sz w:val="24"/>
          <w:szCs w:val="24"/>
        </w:rPr>
        <w:t xml:space="preserve">± </w:t>
      </w:r>
      <w:r>
        <w:rPr>
          <w:rFonts w:ascii="Times New Roman" w:hAnsi="Times New Roman"/>
          <w:i/>
          <w:sz w:val="24"/>
          <w:szCs w:val="24"/>
        </w:rPr>
        <w:t>standard deviation; different superscript letters indicate significant differences (</w:t>
      </w:r>
      <w:r>
        <w:rPr>
          <w:rFonts w:ascii="Times New Roman" w:hAnsi="Times New Roman"/>
          <w:i/>
          <w:iCs/>
          <w:sz w:val="24"/>
          <w:szCs w:val="24"/>
        </w:rPr>
        <w:t>p</w:t>
      </w:r>
      <w:r>
        <w:rPr>
          <w:rFonts w:ascii="Times New Roman" w:hAnsi="Times New Roman"/>
          <w:i/>
          <w:sz w:val="24"/>
          <w:szCs w:val="24"/>
        </w:rPr>
        <w:t xml:space="preserve"> &lt; 0.05).</w:t>
      </w:r>
    </w:p>
    <w:p w14:paraId="1045E918" w14:textId="77777777" w:rsidR="00CB397B" w:rsidRDefault="00CB397B" w:rsidP="00CB397B">
      <w:pPr>
        <w:jc w:val="both"/>
        <w:outlineLvl w:val="2"/>
        <w:rPr>
          <w:rFonts w:ascii="Times New Roman" w:hAnsi="Times New Roman"/>
          <w:b/>
          <w:bCs/>
          <w:sz w:val="24"/>
          <w:szCs w:val="24"/>
        </w:rPr>
      </w:pPr>
      <w:r>
        <w:rPr>
          <w:rFonts w:ascii="Times New Roman" w:hAnsi="Times New Roman"/>
          <w:b/>
          <w:bCs/>
          <w:sz w:val="24"/>
          <w:szCs w:val="24"/>
        </w:rPr>
        <w:t>Table 7: Mean concentration of Lead (Pb) in pond Water</w:t>
      </w:r>
    </w:p>
    <w:tbl>
      <w:tblPr>
        <w:tblW w:w="9535" w:type="dxa"/>
        <w:tblCellSpacing w:w="15" w:type="dxa"/>
        <w:tblLook w:val="04A0" w:firstRow="1" w:lastRow="0" w:firstColumn="1" w:lastColumn="0" w:noHBand="0" w:noVBand="1"/>
      </w:tblPr>
      <w:tblGrid>
        <w:gridCol w:w="2890"/>
        <w:gridCol w:w="3526"/>
        <w:gridCol w:w="2179"/>
        <w:gridCol w:w="940"/>
      </w:tblGrid>
      <w:tr w:rsidR="00CB397B" w14:paraId="3E7992EC" w14:textId="77777777" w:rsidTr="00CB397B">
        <w:trPr>
          <w:trHeight w:val="320"/>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650BE547"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349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1467D167"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2149"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6DD91284" w14:textId="77777777" w:rsidR="00CB397B" w:rsidRDefault="00CB397B">
            <w:pPr>
              <w:jc w:val="both"/>
              <w:rPr>
                <w:rFonts w:ascii="Times New Roman" w:hAnsi="Times New Roman"/>
                <w:b/>
                <w:bCs/>
                <w:sz w:val="24"/>
                <w:szCs w:val="24"/>
              </w:rPr>
            </w:pPr>
            <w:r>
              <w:rPr>
                <w:rFonts w:ascii="Times New Roman" w:hAnsi="Times New Roman"/>
                <w:b/>
                <w:bCs/>
                <w:sz w:val="24"/>
                <w:szCs w:val="24"/>
              </w:rPr>
              <w:t>Mean ± SD (mg/L)</w:t>
            </w:r>
          </w:p>
        </w:tc>
        <w:tc>
          <w:tcPr>
            <w:tcW w:w="895" w:type="dxa"/>
            <w:tcMar>
              <w:top w:w="15" w:type="dxa"/>
              <w:left w:w="15" w:type="dxa"/>
              <w:bottom w:w="15" w:type="dxa"/>
              <w:right w:w="15" w:type="dxa"/>
            </w:tcMar>
            <w:vAlign w:val="center"/>
            <w:hideMark/>
          </w:tcPr>
          <w:p w14:paraId="3BA83156" w14:textId="77777777" w:rsidR="00CB397B" w:rsidRDefault="00CB397B">
            <w:pPr>
              <w:rPr>
                <w:rFonts w:ascii="Times New Roman" w:hAnsi="Times New Roman"/>
                <w:b/>
                <w:bCs/>
                <w:sz w:val="24"/>
                <w:szCs w:val="24"/>
              </w:rPr>
            </w:pPr>
          </w:p>
        </w:tc>
      </w:tr>
      <w:tr w:rsidR="00CB397B" w14:paraId="03B10D69" w14:textId="77777777" w:rsidTr="00CB397B">
        <w:trPr>
          <w:trHeight w:val="320"/>
          <w:tblCellSpacing w:w="15" w:type="dxa"/>
        </w:trPr>
        <w:tc>
          <w:tcPr>
            <w:tcW w:w="2845" w:type="dxa"/>
            <w:tcMar>
              <w:top w:w="15" w:type="dxa"/>
              <w:left w:w="15" w:type="dxa"/>
              <w:bottom w:w="15" w:type="dxa"/>
              <w:right w:w="15" w:type="dxa"/>
            </w:tcMar>
            <w:vAlign w:val="center"/>
            <w:hideMark/>
          </w:tcPr>
          <w:p w14:paraId="59064A0A"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3496" w:type="dxa"/>
            <w:tcMar>
              <w:top w:w="15" w:type="dxa"/>
              <w:left w:w="15" w:type="dxa"/>
              <w:bottom w:w="15" w:type="dxa"/>
              <w:right w:w="15" w:type="dxa"/>
            </w:tcMar>
            <w:vAlign w:val="center"/>
            <w:hideMark/>
          </w:tcPr>
          <w:p w14:paraId="61534775"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149" w:type="dxa"/>
            <w:tcMar>
              <w:top w:w="15" w:type="dxa"/>
              <w:left w:w="15" w:type="dxa"/>
              <w:bottom w:w="15" w:type="dxa"/>
              <w:right w:w="15" w:type="dxa"/>
            </w:tcMar>
            <w:vAlign w:val="center"/>
            <w:hideMark/>
          </w:tcPr>
          <w:p w14:paraId="52E94DF0" w14:textId="77777777" w:rsidR="00CB397B" w:rsidRDefault="00CB397B">
            <w:pPr>
              <w:jc w:val="both"/>
              <w:rPr>
                <w:rFonts w:ascii="Times New Roman" w:hAnsi="Times New Roman"/>
                <w:sz w:val="24"/>
                <w:szCs w:val="24"/>
              </w:rPr>
            </w:pPr>
            <w:r>
              <w:rPr>
                <w:rFonts w:ascii="Times New Roman" w:hAnsi="Times New Roman"/>
                <w:sz w:val="24"/>
                <w:szCs w:val="24"/>
              </w:rPr>
              <w:t>0.022 ± 0.002</w:t>
            </w:r>
            <w:r>
              <w:rPr>
                <w:rFonts w:ascii="Times New Roman" w:hAnsi="Times New Roman"/>
                <w:sz w:val="24"/>
                <w:szCs w:val="24"/>
                <w:vertAlign w:val="superscript"/>
              </w:rPr>
              <w:t>e</w:t>
            </w:r>
          </w:p>
        </w:tc>
        <w:tc>
          <w:tcPr>
            <w:tcW w:w="895" w:type="dxa"/>
            <w:tcMar>
              <w:top w:w="15" w:type="dxa"/>
              <w:left w:w="15" w:type="dxa"/>
              <w:bottom w:w="15" w:type="dxa"/>
              <w:right w:w="15" w:type="dxa"/>
            </w:tcMar>
            <w:vAlign w:val="center"/>
            <w:hideMark/>
          </w:tcPr>
          <w:p w14:paraId="5B5FC262" w14:textId="77777777" w:rsidR="00CB397B" w:rsidRDefault="00CB397B">
            <w:pPr>
              <w:rPr>
                <w:rFonts w:ascii="Times New Roman" w:hAnsi="Times New Roman"/>
                <w:sz w:val="24"/>
                <w:szCs w:val="24"/>
              </w:rPr>
            </w:pPr>
          </w:p>
        </w:tc>
      </w:tr>
      <w:tr w:rsidR="00CB397B" w14:paraId="6BB4C30B" w14:textId="77777777" w:rsidTr="00CB397B">
        <w:trPr>
          <w:trHeight w:val="320"/>
          <w:tblCellSpacing w:w="15" w:type="dxa"/>
        </w:trPr>
        <w:tc>
          <w:tcPr>
            <w:tcW w:w="2845" w:type="dxa"/>
            <w:tcMar>
              <w:top w:w="15" w:type="dxa"/>
              <w:left w:w="15" w:type="dxa"/>
              <w:bottom w:w="15" w:type="dxa"/>
              <w:right w:w="15" w:type="dxa"/>
            </w:tcMar>
            <w:vAlign w:val="center"/>
            <w:hideMark/>
          </w:tcPr>
          <w:p w14:paraId="3A5C2686"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3496" w:type="dxa"/>
            <w:tcMar>
              <w:top w:w="15" w:type="dxa"/>
              <w:left w:w="15" w:type="dxa"/>
              <w:bottom w:w="15" w:type="dxa"/>
              <w:right w:w="15" w:type="dxa"/>
            </w:tcMar>
            <w:vAlign w:val="center"/>
            <w:hideMark/>
          </w:tcPr>
          <w:p w14:paraId="7C3EB10D"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149" w:type="dxa"/>
            <w:tcMar>
              <w:top w:w="15" w:type="dxa"/>
              <w:left w:w="15" w:type="dxa"/>
              <w:bottom w:w="15" w:type="dxa"/>
              <w:right w:w="15" w:type="dxa"/>
            </w:tcMar>
            <w:vAlign w:val="center"/>
            <w:hideMark/>
          </w:tcPr>
          <w:p w14:paraId="0C1B3FC7" w14:textId="77777777" w:rsidR="00CB397B" w:rsidRDefault="00CB397B">
            <w:pPr>
              <w:jc w:val="both"/>
              <w:rPr>
                <w:rFonts w:ascii="Times New Roman" w:hAnsi="Times New Roman"/>
                <w:sz w:val="24"/>
                <w:szCs w:val="24"/>
              </w:rPr>
            </w:pPr>
            <w:r>
              <w:rPr>
                <w:rFonts w:ascii="Times New Roman" w:hAnsi="Times New Roman"/>
                <w:sz w:val="24"/>
                <w:szCs w:val="24"/>
              </w:rPr>
              <w:t>0.028 ± 0.002</w:t>
            </w:r>
            <w:r>
              <w:rPr>
                <w:rFonts w:ascii="Times New Roman" w:hAnsi="Times New Roman"/>
                <w:sz w:val="24"/>
                <w:szCs w:val="24"/>
                <w:vertAlign w:val="superscript"/>
              </w:rPr>
              <w:t>f</w:t>
            </w:r>
          </w:p>
        </w:tc>
        <w:tc>
          <w:tcPr>
            <w:tcW w:w="895" w:type="dxa"/>
            <w:tcMar>
              <w:top w:w="15" w:type="dxa"/>
              <w:left w:w="15" w:type="dxa"/>
              <w:bottom w:w="15" w:type="dxa"/>
              <w:right w:w="15" w:type="dxa"/>
            </w:tcMar>
            <w:vAlign w:val="center"/>
            <w:hideMark/>
          </w:tcPr>
          <w:p w14:paraId="0C6A791B" w14:textId="77777777" w:rsidR="00CB397B" w:rsidRDefault="00CB397B">
            <w:pPr>
              <w:rPr>
                <w:rFonts w:ascii="Times New Roman" w:hAnsi="Times New Roman"/>
                <w:sz w:val="24"/>
                <w:szCs w:val="24"/>
              </w:rPr>
            </w:pPr>
          </w:p>
        </w:tc>
      </w:tr>
      <w:tr w:rsidR="00CB397B" w14:paraId="14A8455C" w14:textId="77777777" w:rsidTr="00CB397B">
        <w:trPr>
          <w:trHeight w:val="320"/>
          <w:tblCellSpacing w:w="15" w:type="dxa"/>
        </w:trPr>
        <w:tc>
          <w:tcPr>
            <w:tcW w:w="2845" w:type="dxa"/>
            <w:tcMar>
              <w:top w:w="15" w:type="dxa"/>
              <w:left w:w="15" w:type="dxa"/>
              <w:bottom w:w="15" w:type="dxa"/>
              <w:right w:w="15" w:type="dxa"/>
            </w:tcMar>
            <w:vAlign w:val="center"/>
            <w:hideMark/>
          </w:tcPr>
          <w:p w14:paraId="10AB6CB8"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3496" w:type="dxa"/>
            <w:tcMar>
              <w:top w:w="15" w:type="dxa"/>
              <w:left w:w="15" w:type="dxa"/>
              <w:bottom w:w="15" w:type="dxa"/>
              <w:right w:w="15" w:type="dxa"/>
            </w:tcMar>
            <w:vAlign w:val="center"/>
            <w:hideMark/>
          </w:tcPr>
          <w:p w14:paraId="1B767BBA"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149" w:type="dxa"/>
            <w:tcMar>
              <w:top w:w="15" w:type="dxa"/>
              <w:left w:w="15" w:type="dxa"/>
              <w:bottom w:w="15" w:type="dxa"/>
              <w:right w:w="15" w:type="dxa"/>
            </w:tcMar>
            <w:vAlign w:val="center"/>
            <w:hideMark/>
          </w:tcPr>
          <w:p w14:paraId="2B7560D8" w14:textId="77777777" w:rsidR="00CB397B" w:rsidRDefault="00CB397B">
            <w:pPr>
              <w:jc w:val="both"/>
              <w:rPr>
                <w:rFonts w:ascii="Times New Roman" w:hAnsi="Times New Roman"/>
                <w:sz w:val="24"/>
                <w:szCs w:val="24"/>
              </w:rPr>
            </w:pPr>
            <w:r>
              <w:rPr>
                <w:rFonts w:ascii="Times New Roman" w:hAnsi="Times New Roman"/>
                <w:sz w:val="24"/>
                <w:szCs w:val="24"/>
              </w:rPr>
              <w:t>0.035 ± 0.003</w:t>
            </w:r>
            <w:r>
              <w:rPr>
                <w:rFonts w:ascii="Times New Roman" w:hAnsi="Times New Roman"/>
                <w:sz w:val="24"/>
                <w:szCs w:val="24"/>
                <w:vertAlign w:val="superscript"/>
              </w:rPr>
              <w:t>g</w:t>
            </w:r>
          </w:p>
        </w:tc>
        <w:tc>
          <w:tcPr>
            <w:tcW w:w="895" w:type="dxa"/>
            <w:tcMar>
              <w:top w:w="15" w:type="dxa"/>
              <w:left w:w="15" w:type="dxa"/>
              <w:bottom w:w="15" w:type="dxa"/>
              <w:right w:w="15" w:type="dxa"/>
            </w:tcMar>
            <w:vAlign w:val="center"/>
            <w:hideMark/>
          </w:tcPr>
          <w:p w14:paraId="511102E1" w14:textId="77777777" w:rsidR="00CB397B" w:rsidRDefault="00CB397B">
            <w:pPr>
              <w:rPr>
                <w:rFonts w:ascii="Times New Roman" w:hAnsi="Times New Roman"/>
                <w:sz w:val="24"/>
                <w:szCs w:val="24"/>
              </w:rPr>
            </w:pPr>
          </w:p>
        </w:tc>
      </w:tr>
      <w:tr w:rsidR="00CB397B" w14:paraId="0E1AEBCA" w14:textId="77777777" w:rsidTr="00CB397B">
        <w:trPr>
          <w:trHeight w:val="320"/>
          <w:tblCellSpacing w:w="15" w:type="dxa"/>
        </w:trPr>
        <w:tc>
          <w:tcPr>
            <w:tcW w:w="2845" w:type="dxa"/>
            <w:tcMar>
              <w:top w:w="15" w:type="dxa"/>
              <w:left w:w="15" w:type="dxa"/>
              <w:bottom w:w="15" w:type="dxa"/>
              <w:right w:w="15" w:type="dxa"/>
            </w:tcMar>
            <w:vAlign w:val="center"/>
            <w:hideMark/>
          </w:tcPr>
          <w:p w14:paraId="1679A92D"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3496" w:type="dxa"/>
            <w:tcMar>
              <w:top w:w="15" w:type="dxa"/>
              <w:left w:w="15" w:type="dxa"/>
              <w:bottom w:w="15" w:type="dxa"/>
              <w:right w:w="15" w:type="dxa"/>
            </w:tcMar>
            <w:vAlign w:val="center"/>
            <w:hideMark/>
          </w:tcPr>
          <w:p w14:paraId="545BD327"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149" w:type="dxa"/>
            <w:tcMar>
              <w:top w:w="15" w:type="dxa"/>
              <w:left w:w="15" w:type="dxa"/>
              <w:bottom w:w="15" w:type="dxa"/>
              <w:right w:w="15" w:type="dxa"/>
            </w:tcMar>
            <w:vAlign w:val="center"/>
            <w:hideMark/>
          </w:tcPr>
          <w:p w14:paraId="61C054A9" w14:textId="77777777" w:rsidR="00CB397B" w:rsidRDefault="00CB397B">
            <w:pPr>
              <w:jc w:val="both"/>
              <w:rPr>
                <w:rFonts w:ascii="Times New Roman" w:hAnsi="Times New Roman"/>
                <w:sz w:val="24"/>
                <w:szCs w:val="24"/>
              </w:rPr>
            </w:pPr>
            <w:r>
              <w:rPr>
                <w:rFonts w:ascii="Times New Roman" w:hAnsi="Times New Roman"/>
                <w:sz w:val="24"/>
                <w:szCs w:val="24"/>
              </w:rPr>
              <w:t>0.008 ± 0.001</w:t>
            </w:r>
            <w:r>
              <w:rPr>
                <w:rFonts w:ascii="Times New Roman" w:hAnsi="Times New Roman"/>
                <w:sz w:val="24"/>
                <w:szCs w:val="24"/>
                <w:vertAlign w:val="superscript"/>
              </w:rPr>
              <w:t>abd</w:t>
            </w:r>
          </w:p>
        </w:tc>
        <w:tc>
          <w:tcPr>
            <w:tcW w:w="895" w:type="dxa"/>
            <w:tcMar>
              <w:top w:w="15" w:type="dxa"/>
              <w:left w:w="15" w:type="dxa"/>
              <w:bottom w:w="15" w:type="dxa"/>
              <w:right w:w="15" w:type="dxa"/>
            </w:tcMar>
            <w:vAlign w:val="center"/>
            <w:hideMark/>
          </w:tcPr>
          <w:p w14:paraId="2A7CBAE7" w14:textId="77777777" w:rsidR="00CB397B" w:rsidRDefault="00CB397B">
            <w:pPr>
              <w:rPr>
                <w:rFonts w:ascii="Times New Roman" w:hAnsi="Times New Roman"/>
                <w:sz w:val="24"/>
                <w:szCs w:val="24"/>
              </w:rPr>
            </w:pPr>
          </w:p>
        </w:tc>
      </w:tr>
      <w:tr w:rsidR="00CB397B" w14:paraId="0BA1EB09" w14:textId="77777777" w:rsidTr="00CB397B">
        <w:trPr>
          <w:trHeight w:val="320"/>
          <w:tblCellSpacing w:w="15" w:type="dxa"/>
        </w:trPr>
        <w:tc>
          <w:tcPr>
            <w:tcW w:w="2845" w:type="dxa"/>
            <w:tcMar>
              <w:top w:w="15" w:type="dxa"/>
              <w:left w:w="15" w:type="dxa"/>
              <w:bottom w:w="15" w:type="dxa"/>
              <w:right w:w="15" w:type="dxa"/>
            </w:tcMar>
            <w:vAlign w:val="center"/>
            <w:hideMark/>
          </w:tcPr>
          <w:p w14:paraId="39D45CE1"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3496" w:type="dxa"/>
            <w:tcMar>
              <w:top w:w="15" w:type="dxa"/>
              <w:left w:w="15" w:type="dxa"/>
              <w:bottom w:w="15" w:type="dxa"/>
              <w:right w:w="15" w:type="dxa"/>
            </w:tcMar>
            <w:vAlign w:val="center"/>
            <w:hideMark/>
          </w:tcPr>
          <w:p w14:paraId="22FBFBEE"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149" w:type="dxa"/>
            <w:tcMar>
              <w:top w:w="15" w:type="dxa"/>
              <w:left w:w="15" w:type="dxa"/>
              <w:bottom w:w="15" w:type="dxa"/>
              <w:right w:w="15" w:type="dxa"/>
            </w:tcMar>
            <w:vAlign w:val="center"/>
            <w:hideMark/>
          </w:tcPr>
          <w:p w14:paraId="37FCAB49" w14:textId="77777777" w:rsidR="00CB397B" w:rsidRDefault="00CB397B">
            <w:pPr>
              <w:jc w:val="both"/>
              <w:rPr>
                <w:rFonts w:ascii="Times New Roman" w:hAnsi="Times New Roman"/>
                <w:sz w:val="24"/>
                <w:szCs w:val="24"/>
              </w:rPr>
            </w:pPr>
            <w:r>
              <w:rPr>
                <w:rFonts w:ascii="Times New Roman" w:hAnsi="Times New Roman"/>
                <w:sz w:val="24"/>
                <w:szCs w:val="24"/>
              </w:rPr>
              <w:t>0.009 ± 0.001</w:t>
            </w:r>
            <w:r>
              <w:rPr>
                <w:rFonts w:ascii="Times New Roman" w:hAnsi="Times New Roman"/>
                <w:sz w:val="24"/>
                <w:szCs w:val="24"/>
                <w:vertAlign w:val="superscript"/>
              </w:rPr>
              <w:t>ad</w:t>
            </w:r>
          </w:p>
        </w:tc>
        <w:tc>
          <w:tcPr>
            <w:tcW w:w="895" w:type="dxa"/>
            <w:tcMar>
              <w:top w:w="15" w:type="dxa"/>
              <w:left w:w="15" w:type="dxa"/>
              <w:bottom w:w="15" w:type="dxa"/>
              <w:right w:w="15" w:type="dxa"/>
            </w:tcMar>
            <w:vAlign w:val="center"/>
            <w:hideMark/>
          </w:tcPr>
          <w:p w14:paraId="7343D07B" w14:textId="77777777" w:rsidR="00CB397B" w:rsidRDefault="00CB397B">
            <w:pPr>
              <w:rPr>
                <w:rFonts w:ascii="Times New Roman" w:hAnsi="Times New Roman"/>
                <w:sz w:val="24"/>
                <w:szCs w:val="24"/>
              </w:rPr>
            </w:pPr>
          </w:p>
        </w:tc>
      </w:tr>
      <w:tr w:rsidR="00CB397B" w14:paraId="16340DB1" w14:textId="77777777" w:rsidTr="00CB397B">
        <w:trPr>
          <w:trHeight w:val="320"/>
          <w:tblCellSpacing w:w="15" w:type="dxa"/>
        </w:trPr>
        <w:tc>
          <w:tcPr>
            <w:tcW w:w="2845" w:type="dxa"/>
            <w:tcMar>
              <w:top w:w="15" w:type="dxa"/>
              <w:left w:w="15" w:type="dxa"/>
              <w:bottom w:w="15" w:type="dxa"/>
              <w:right w:w="15" w:type="dxa"/>
            </w:tcMar>
            <w:vAlign w:val="center"/>
            <w:hideMark/>
          </w:tcPr>
          <w:p w14:paraId="5DC25E8E"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3496" w:type="dxa"/>
            <w:tcMar>
              <w:top w:w="15" w:type="dxa"/>
              <w:left w:w="15" w:type="dxa"/>
              <w:bottom w:w="15" w:type="dxa"/>
              <w:right w:w="15" w:type="dxa"/>
            </w:tcMar>
            <w:vAlign w:val="center"/>
            <w:hideMark/>
          </w:tcPr>
          <w:p w14:paraId="04B266D3"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149" w:type="dxa"/>
            <w:tcMar>
              <w:top w:w="15" w:type="dxa"/>
              <w:left w:w="15" w:type="dxa"/>
              <w:bottom w:w="15" w:type="dxa"/>
              <w:right w:w="15" w:type="dxa"/>
            </w:tcMar>
            <w:vAlign w:val="center"/>
            <w:hideMark/>
          </w:tcPr>
          <w:p w14:paraId="4B1F5C15" w14:textId="77777777" w:rsidR="00CB397B" w:rsidRDefault="00CB397B">
            <w:pPr>
              <w:jc w:val="both"/>
              <w:rPr>
                <w:rFonts w:ascii="Times New Roman" w:hAnsi="Times New Roman"/>
                <w:sz w:val="24"/>
                <w:szCs w:val="24"/>
              </w:rPr>
            </w:pPr>
            <w:r>
              <w:rPr>
                <w:rFonts w:ascii="Times New Roman" w:hAnsi="Times New Roman"/>
                <w:sz w:val="24"/>
                <w:szCs w:val="24"/>
              </w:rPr>
              <w:t>0.012 ± 0.001</w:t>
            </w:r>
            <w:r>
              <w:rPr>
                <w:rFonts w:ascii="Times New Roman" w:hAnsi="Times New Roman"/>
                <w:sz w:val="24"/>
                <w:szCs w:val="24"/>
                <w:vertAlign w:val="superscript"/>
              </w:rPr>
              <w:t>a</w:t>
            </w:r>
          </w:p>
        </w:tc>
        <w:tc>
          <w:tcPr>
            <w:tcW w:w="895" w:type="dxa"/>
            <w:tcMar>
              <w:top w:w="15" w:type="dxa"/>
              <w:left w:w="15" w:type="dxa"/>
              <w:bottom w:w="15" w:type="dxa"/>
              <w:right w:w="15" w:type="dxa"/>
            </w:tcMar>
            <w:vAlign w:val="center"/>
            <w:hideMark/>
          </w:tcPr>
          <w:p w14:paraId="0D1C6AA6" w14:textId="77777777" w:rsidR="00CB397B" w:rsidRDefault="00CB397B">
            <w:pPr>
              <w:rPr>
                <w:rFonts w:ascii="Times New Roman" w:hAnsi="Times New Roman"/>
                <w:sz w:val="24"/>
                <w:szCs w:val="24"/>
              </w:rPr>
            </w:pPr>
          </w:p>
        </w:tc>
      </w:tr>
      <w:tr w:rsidR="00CB397B" w14:paraId="365EC544" w14:textId="77777777" w:rsidTr="00CB397B">
        <w:trPr>
          <w:trHeight w:val="320"/>
          <w:tblCellSpacing w:w="15" w:type="dxa"/>
        </w:trPr>
        <w:tc>
          <w:tcPr>
            <w:tcW w:w="2845" w:type="dxa"/>
            <w:tcMar>
              <w:top w:w="15" w:type="dxa"/>
              <w:left w:w="15" w:type="dxa"/>
              <w:bottom w:w="15" w:type="dxa"/>
              <w:right w:w="15" w:type="dxa"/>
            </w:tcMar>
            <w:vAlign w:val="center"/>
            <w:hideMark/>
          </w:tcPr>
          <w:p w14:paraId="65FDF94B"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3496" w:type="dxa"/>
            <w:tcMar>
              <w:top w:w="15" w:type="dxa"/>
              <w:left w:w="15" w:type="dxa"/>
              <w:bottom w:w="15" w:type="dxa"/>
              <w:right w:w="15" w:type="dxa"/>
            </w:tcMar>
            <w:vAlign w:val="center"/>
            <w:hideMark/>
          </w:tcPr>
          <w:p w14:paraId="5B51A2B6"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149" w:type="dxa"/>
            <w:tcMar>
              <w:top w:w="15" w:type="dxa"/>
              <w:left w:w="15" w:type="dxa"/>
              <w:bottom w:w="15" w:type="dxa"/>
              <w:right w:w="15" w:type="dxa"/>
            </w:tcMar>
            <w:vAlign w:val="center"/>
            <w:hideMark/>
          </w:tcPr>
          <w:p w14:paraId="65DC129B" w14:textId="77777777" w:rsidR="00CB397B" w:rsidRDefault="00CB397B">
            <w:pPr>
              <w:jc w:val="both"/>
              <w:rPr>
                <w:rFonts w:ascii="Times New Roman" w:hAnsi="Times New Roman"/>
                <w:sz w:val="24"/>
                <w:szCs w:val="24"/>
              </w:rPr>
            </w:pPr>
            <w:r>
              <w:rPr>
                <w:rFonts w:ascii="Times New Roman" w:hAnsi="Times New Roman"/>
                <w:sz w:val="24"/>
                <w:szCs w:val="24"/>
              </w:rPr>
              <w:t>0.003 ± 0.001</w:t>
            </w:r>
            <w:r>
              <w:rPr>
                <w:rFonts w:ascii="Times New Roman" w:hAnsi="Times New Roman"/>
                <w:sz w:val="24"/>
                <w:szCs w:val="24"/>
                <w:vertAlign w:val="superscript"/>
              </w:rPr>
              <w:t>c</w:t>
            </w:r>
          </w:p>
        </w:tc>
        <w:tc>
          <w:tcPr>
            <w:tcW w:w="895" w:type="dxa"/>
            <w:tcMar>
              <w:top w:w="15" w:type="dxa"/>
              <w:left w:w="15" w:type="dxa"/>
              <w:bottom w:w="15" w:type="dxa"/>
              <w:right w:w="15" w:type="dxa"/>
            </w:tcMar>
            <w:vAlign w:val="center"/>
            <w:hideMark/>
          </w:tcPr>
          <w:p w14:paraId="46C2B321" w14:textId="77777777" w:rsidR="00CB397B" w:rsidRDefault="00CB397B">
            <w:pPr>
              <w:rPr>
                <w:rFonts w:ascii="Times New Roman" w:hAnsi="Times New Roman"/>
                <w:sz w:val="24"/>
                <w:szCs w:val="24"/>
              </w:rPr>
            </w:pPr>
          </w:p>
        </w:tc>
      </w:tr>
      <w:tr w:rsidR="00CB397B" w14:paraId="45C39397" w14:textId="77777777" w:rsidTr="00CB397B">
        <w:trPr>
          <w:trHeight w:val="320"/>
          <w:tblCellSpacing w:w="15" w:type="dxa"/>
        </w:trPr>
        <w:tc>
          <w:tcPr>
            <w:tcW w:w="2845" w:type="dxa"/>
            <w:tcMar>
              <w:top w:w="15" w:type="dxa"/>
              <w:left w:w="15" w:type="dxa"/>
              <w:bottom w:w="15" w:type="dxa"/>
              <w:right w:w="15" w:type="dxa"/>
            </w:tcMar>
            <w:vAlign w:val="center"/>
            <w:hideMark/>
          </w:tcPr>
          <w:p w14:paraId="6CC29818"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3496" w:type="dxa"/>
            <w:tcMar>
              <w:top w:w="15" w:type="dxa"/>
              <w:left w:w="15" w:type="dxa"/>
              <w:bottom w:w="15" w:type="dxa"/>
              <w:right w:w="15" w:type="dxa"/>
            </w:tcMar>
            <w:vAlign w:val="center"/>
            <w:hideMark/>
          </w:tcPr>
          <w:p w14:paraId="0051BB1F"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149" w:type="dxa"/>
            <w:tcMar>
              <w:top w:w="15" w:type="dxa"/>
              <w:left w:w="15" w:type="dxa"/>
              <w:bottom w:w="15" w:type="dxa"/>
              <w:right w:w="15" w:type="dxa"/>
            </w:tcMar>
            <w:vAlign w:val="center"/>
            <w:hideMark/>
          </w:tcPr>
          <w:p w14:paraId="5A84450A" w14:textId="77777777" w:rsidR="00CB397B" w:rsidRDefault="00CB397B">
            <w:pPr>
              <w:jc w:val="both"/>
              <w:rPr>
                <w:rFonts w:ascii="Times New Roman" w:hAnsi="Times New Roman"/>
                <w:sz w:val="24"/>
                <w:szCs w:val="24"/>
              </w:rPr>
            </w:pPr>
            <w:r>
              <w:rPr>
                <w:rFonts w:ascii="Times New Roman" w:hAnsi="Times New Roman"/>
                <w:sz w:val="24"/>
                <w:szCs w:val="24"/>
              </w:rPr>
              <w:t>0.004 ± 0.001</w:t>
            </w:r>
            <w:r>
              <w:rPr>
                <w:rFonts w:ascii="Times New Roman" w:hAnsi="Times New Roman"/>
                <w:sz w:val="24"/>
                <w:szCs w:val="24"/>
                <w:vertAlign w:val="superscript"/>
              </w:rPr>
              <w:t>bc</w:t>
            </w:r>
          </w:p>
        </w:tc>
        <w:tc>
          <w:tcPr>
            <w:tcW w:w="895" w:type="dxa"/>
            <w:tcMar>
              <w:top w:w="15" w:type="dxa"/>
              <w:left w:w="15" w:type="dxa"/>
              <w:bottom w:w="15" w:type="dxa"/>
              <w:right w:w="15" w:type="dxa"/>
            </w:tcMar>
            <w:vAlign w:val="center"/>
            <w:hideMark/>
          </w:tcPr>
          <w:p w14:paraId="1F5973FE" w14:textId="77777777" w:rsidR="00CB397B" w:rsidRDefault="00CB397B">
            <w:pPr>
              <w:rPr>
                <w:rFonts w:ascii="Times New Roman" w:hAnsi="Times New Roman"/>
                <w:sz w:val="24"/>
                <w:szCs w:val="24"/>
              </w:rPr>
            </w:pPr>
          </w:p>
        </w:tc>
      </w:tr>
      <w:tr w:rsidR="00CB397B" w14:paraId="6931A99A" w14:textId="77777777" w:rsidTr="00CB397B">
        <w:trPr>
          <w:trHeight w:val="320"/>
          <w:tblCellSpacing w:w="15" w:type="dxa"/>
        </w:trPr>
        <w:tc>
          <w:tcPr>
            <w:tcW w:w="2845" w:type="dxa"/>
            <w:tcBorders>
              <w:top w:val="nil"/>
              <w:left w:val="nil"/>
              <w:bottom w:val="single" w:sz="4" w:space="0" w:color="auto"/>
              <w:right w:val="nil"/>
            </w:tcBorders>
            <w:tcMar>
              <w:top w:w="15" w:type="dxa"/>
              <w:left w:w="15" w:type="dxa"/>
              <w:bottom w:w="15" w:type="dxa"/>
              <w:right w:w="15" w:type="dxa"/>
            </w:tcMar>
            <w:vAlign w:val="center"/>
            <w:hideMark/>
          </w:tcPr>
          <w:p w14:paraId="7B01EA28"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3496" w:type="dxa"/>
            <w:tcBorders>
              <w:top w:val="nil"/>
              <w:left w:val="nil"/>
              <w:bottom w:val="single" w:sz="4" w:space="0" w:color="auto"/>
              <w:right w:val="nil"/>
            </w:tcBorders>
            <w:tcMar>
              <w:top w:w="15" w:type="dxa"/>
              <w:left w:w="15" w:type="dxa"/>
              <w:bottom w:w="15" w:type="dxa"/>
              <w:right w:w="15" w:type="dxa"/>
            </w:tcMar>
            <w:vAlign w:val="center"/>
            <w:hideMark/>
          </w:tcPr>
          <w:p w14:paraId="13810CBA"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149" w:type="dxa"/>
            <w:tcBorders>
              <w:top w:val="nil"/>
              <w:left w:val="nil"/>
              <w:bottom w:val="single" w:sz="4" w:space="0" w:color="auto"/>
              <w:right w:val="nil"/>
            </w:tcBorders>
            <w:tcMar>
              <w:top w:w="15" w:type="dxa"/>
              <w:left w:w="15" w:type="dxa"/>
              <w:bottom w:w="15" w:type="dxa"/>
              <w:right w:w="15" w:type="dxa"/>
            </w:tcMar>
            <w:vAlign w:val="center"/>
            <w:hideMark/>
          </w:tcPr>
          <w:p w14:paraId="58D1E95A" w14:textId="77777777" w:rsidR="00CB397B" w:rsidRDefault="00CB397B">
            <w:pPr>
              <w:jc w:val="both"/>
              <w:rPr>
                <w:rFonts w:ascii="Times New Roman" w:hAnsi="Times New Roman"/>
                <w:sz w:val="24"/>
                <w:szCs w:val="24"/>
              </w:rPr>
            </w:pPr>
            <w:r>
              <w:rPr>
                <w:rFonts w:ascii="Times New Roman" w:hAnsi="Times New Roman"/>
                <w:sz w:val="24"/>
                <w:szCs w:val="24"/>
              </w:rPr>
              <w:t>0.005 ± 0.001</w:t>
            </w:r>
            <w:r>
              <w:rPr>
                <w:rFonts w:ascii="Times New Roman" w:hAnsi="Times New Roman"/>
                <w:sz w:val="24"/>
                <w:szCs w:val="24"/>
                <w:vertAlign w:val="superscript"/>
              </w:rPr>
              <w:t>bcd</w:t>
            </w:r>
          </w:p>
        </w:tc>
        <w:tc>
          <w:tcPr>
            <w:tcW w:w="895" w:type="dxa"/>
            <w:tcMar>
              <w:top w:w="15" w:type="dxa"/>
              <w:left w:w="15" w:type="dxa"/>
              <w:bottom w:w="15" w:type="dxa"/>
              <w:right w:w="15" w:type="dxa"/>
            </w:tcMar>
            <w:vAlign w:val="center"/>
            <w:hideMark/>
          </w:tcPr>
          <w:p w14:paraId="07F1FADD" w14:textId="77777777" w:rsidR="00CB397B" w:rsidRDefault="00CB397B">
            <w:pPr>
              <w:rPr>
                <w:rFonts w:ascii="Times New Roman" w:hAnsi="Times New Roman"/>
                <w:sz w:val="24"/>
                <w:szCs w:val="24"/>
              </w:rPr>
            </w:pPr>
          </w:p>
        </w:tc>
      </w:tr>
    </w:tbl>
    <w:p w14:paraId="3144776D" w14:textId="77777777" w:rsidR="00CB397B" w:rsidRDefault="00CB397B" w:rsidP="00CB397B">
      <w:pPr>
        <w:jc w:val="both"/>
        <w:rPr>
          <w:rFonts w:ascii="Times New Roman" w:hAnsi="Times New Roman"/>
          <w:i/>
          <w:sz w:val="24"/>
          <w:szCs w:val="24"/>
        </w:rPr>
      </w:pPr>
      <w:r>
        <w:rPr>
          <w:rFonts w:ascii="Times New Roman" w:hAnsi="Times New Roman"/>
          <w:i/>
          <w:sz w:val="24"/>
          <w:szCs w:val="24"/>
        </w:rPr>
        <w:t xml:space="preserve">Values are expressed as mean </w:t>
      </w:r>
      <w:r>
        <w:rPr>
          <w:rFonts w:ascii="Times New Roman" w:hAnsi="Times New Roman"/>
          <w:sz w:val="24"/>
          <w:szCs w:val="24"/>
        </w:rPr>
        <w:t>±</w:t>
      </w:r>
      <w:r>
        <w:rPr>
          <w:rFonts w:ascii="Times New Roman" w:hAnsi="Times New Roman"/>
          <w:i/>
          <w:sz w:val="24"/>
          <w:szCs w:val="24"/>
        </w:rPr>
        <w:t xml:space="preserve"> standard deviation different superscript letters indicate significant differences (</w:t>
      </w:r>
      <w:r>
        <w:rPr>
          <w:rFonts w:ascii="Times New Roman" w:hAnsi="Times New Roman"/>
          <w:i/>
          <w:iCs/>
          <w:sz w:val="24"/>
          <w:szCs w:val="24"/>
        </w:rPr>
        <w:t>p</w:t>
      </w:r>
      <w:r>
        <w:rPr>
          <w:rFonts w:ascii="Times New Roman" w:hAnsi="Times New Roman"/>
          <w:i/>
          <w:sz w:val="24"/>
          <w:szCs w:val="24"/>
        </w:rPr>
        <w:t xml:space="preserve"> &lt; 0.05).</w:t>
      </w:r>
    </w:p>
    <w:p w14:paraId="2AA65B74" w14:textId="77777777" w:rsidR="00CB397B" w:rsidRDefault="00CB397B" w:rsidP="00CB397B">
      <w:pPr>
        <w:jc w:val="both"/>
        <w:outlineLvl w:val="2"/>
        <w:rPr>
          <w:rFonts w:ascii="Times New Roman" w:hAnsi="Times New Roman"/>
          <w:b/>
          <w:bCs/>
          <w:sz w:val="24"/>
          <w:szCs w:val="24"/>
        </w:rPr>
      </w:pPr>
      <w:r>
        <w:rPr>
          <w:rFonts w:ascii="Times New Roman" w:hAnsi="Times New Roman"/>
          <w:b/>
          <w:bCs/>
          <w:sz w:val="24"/>
          <w:szCs w:val="24"/>
        </w:rPr>
        <w:t>Table 8: Mean concentration of Cadmium (Cd) in pond Water</w:t>
      </w:r>
    </w:p>
    <w:tbl>
      <w:tblPr>
        <w:tblW w:w="8685" w:type="dxa"/>
        <w:tblCellSpacing w:w="15" w:type="dxa"/>
        <w:tblLook w:val="04A0" w:firstRow="1" w:lastRow="0" w:firstColumn="1" w:lastColumn="0" w:noHBand="0" w:noVBand="1"/>
      </w:tblPr>
      <w:tblGrid>
        <w:gridCol w:w="3735"/>
        <w:gridCol w:w="2430"/>
        <w:gridCol w:w="2520"/>
      </w:tblGrid>
      <w:tr w:rsidR="00CB397B" w14:paraId="3F5C0256" w14:textId="77777777" w:rsidTr="00CB397B">
        <w:trPr>
          <w:trHeight w:val="303"/>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4B0F3639"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2400"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21A014AE"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247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1546273D" w14:textId="77777777" w:rsidR="00CB397B" w:rsidRDefault="00CB397B">
            <w:pPr>
              <w:jc w:val="both"/>
              <w:rPr>
                <w:rFonts w:ascii="Times New Roman" w:hAnsi="Times New Roman"/>
                <w:b/>
                <w:bCs/>
                <w:sz w:val="24"/>
                <w:szCs w:val="24"/>
              </w:rPr>
            </w:pPr>
            <w:r>
              <w:rPr>
                <w:rFonts w:ascii="Times New Roman" w:hAnsi="Times New Roman"/>
                <w:b/>
                <w:bCs/>
                <w:sz w:val="24"/>
                <w:szCs w:val="24"/>
              </w:rPr>
              <w:t>Mean ± SD (mg/L)</w:t>
            </w:r>
          </w:p>
        </w:tc>
      </w:tr>
      <w:tr w:rsidR="00CB397B" w14:paraId="32DEAD4C" w14:textId="77777777" w:rsidTr="00CB397B">
        <w:trPr>
          <w:trHeight w:val="287"/>
          <w:tblCellSpacing w:w="15" w:type="dxa"/>
        </w:trPr>
        <w:tc>
          <w:tcPr>
            <w:tcW w:w="3690" w:type="dxa"/>
            <w:tcMar>
              <w:top w:w="15" w:type="dxa"/>
              <w:left w:w="15" w:type="dxa"/>
              <w:bottom w:w="15" w:type="dxa"/>
              <w:right w:w="15" w:type="dxa"/>
            </w:tcMar>
            <w:vAlign w:val="center"/>
            <w:hideMark/>
          </w:tcPr>
          <w:p w14:paraId="47D27967"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400" w:type="dxa"/>
            <w:tcMar>
              <w:top w:w="15" w:type="dxa"/>
              <w:left w:w="15" w:type="dxa"/>
              <w:bottom w:w="15" w:type="dxa"/>
              <w:right w:w="15" w:type="dxa"/>
            </w:tcMar>
            <w:vAlign w:val="center"/>
            <w:hideMark/>
          </w:tcPr>
          <w:p w14:paraId="70884E4A"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475" w:type="dxa"/>
            <w:tcMar>
              <w:top w:w="15" w:type="dxa"/>
              <w:left w:w="15" w:type="dxa"/>
              <w:bottom w:w="15" w:type="dxa"/>
              <w:right w:w="15" w:type="dxa"/>
            </w:tcMar>
            <w:vAlign w:val="center"/>
            <w:hideMark/>
          </w:tcPr>
          <w:p w14:paraId="38305FF9" w14:textId="77777777" w:rsidR="00CB397B" w:rsidRDefault="00CB397B">
            <w:pPr>
              <w:jc w:val="both"/>
              <w:rPr>
                <w:rFonts w:ascii="Times New Roman" w:hAnsi="Times New Roman"/>
                <w:sz w:val="24"/>
                <w:szCs w:val="24"/>
              </w:rPr>
            </w:pPr>
            <w:r>
              <w:rPr>
                <w:rFonts w:ascii="Times New Roman" w:hAnsi="Times New Roman"/>
                <w:sz w:val="24"/>
                <w:szCs w:val="24"/>
              </w:rPr>
              <w:t>0.0045 ± 0.0004</w:t>
            </w:r>
            <w:r>
              <w:rPr>
                <w:rFonts w:ascii="Times New Roman" w:hAnsi="Times New Roman"/>
                <w:sz w:val="24"/>
                <w:szCs w:val="24"/>
                <w:vertAlign w:val="superscript"/>
              </w:rPr>
              <w:t>d</w:t>
            </w:r>
          </w:p>
        </w:tc>
      </w:tr>
      <w:tr w:rsidR="00CB397B" w14:paraId="2F595DBF" w14:textId="77777777" w:rsidTr="00CB397B">
        <w:trPr>
          <w:trHeight w:val="287"/>
          <w:tblCellSpacing w:w="15" w:type="dxa"/>
        </w:trPr>
        <w:tc>
          <w:tcPr>
            <w:tcW w:w="3690" w:type="dxa"/>
            <w:tcMar>
              <w:top w:w="15" w:type="dxa"/>
              <w:left w:w="15" w:type="dxa"/>
              <w:bottom w:w="15" w:type="dxa"/>
              <w:right w:w="15" w:type="dxa"/>
            </w:tcMar>
            <w:vAlign w:val="center"/>
            <w:hideMark/>
          </w:tcPr>
          <w:p w14:paraId="23AB0E49"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400" w:type="dxa"/>
            <w:tcMar>
              <w:top w:w="15" w:type="dxa"/>
              <w:left w:w="15" w:type="dxa"/>
              <w:bottom w:w="15" w:type="dxa"/>
              <w:right w:w="15" w:type="dxa"/>
            </w:tcMar>
            <w:vAlign w:val="center"/>
            <w:hideMark/>
          </w:tcPr>
          <w:p w14:paraId="744FB98B"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475" w:type="dxa"/>
            <w:tcMar>
              <w:top w:w="15" w:type="dxa"/>
              <w:left w:w="15" w:type="dxa"/>
              <w:bottom w:w="15" w:type="dxa"/>
              <w:right w:w="15" w:type="dxa"/>
            </w:tcMar>
            <w:vAlign w:val="center"/>
            <w:hideMark/>
          </w:tcPr>
          <w:p w14:paraId="318DFE16" w14:textId="77777777" w:rsidR="00CB397B" w:rsidRDefault="00CB397B">
            <w:pPr>
              <w:jc w:val="both"/>
              <w:rPr>
                <w:rFonts w:ascii="Times New Roman" w:hAnsi="Times New Roman"/>
                <w:sz w:val="24"/>
                <w:szCs w:val="24"/>
              </w:rPr>
            </w:pPr>
            <w:r>
              <w:rPr>
                <w:rFonts w:ascii="Times New Roman" w:hAnsi="Times New Roman"/>
                <w:sz w:val="24"/>
                <w:szCs w:val="24"/>
              </w:rPr>
              <w:t>0.0058 ± 0.0005</w:t>
            </w:r>
            <w:r>
              <w:rPr>
                <w:rFonts w:ascii="Times New Roman" w:hAnsi="Times New Roman"/>
                <w:sz w:val="24"/>
                <w:szCs w:val="24"/>
                <w:vertAlign w:val="superscript"/>
              </w:rPr>
              <w:t>e</w:t>
            </w:r>
          </w:p>
        </w:tc>
      </w:tr>
      <w:tr w:rsidR="00CB397B" w14:paraId="41B9E139" w14:textId="77777777" w:rsidTr="00CB397B">
        <w:trPr>
          <w:trHeight w:val="287"/>
          <w:tblCellSpacing w:w="15" w:type="dxa"/>
        </w:trPr>
        <w:tc>
          <w:tcPr>
            <w:tcW w:w="3690" w:type="dxa"/>
            <w:tcMar>
              <w:top w:w="15" w:type="dxa"/>
              <w:left w:w="15" w:type="dxa"/>
              <w:bottom w:w="15" w:type="dxa"/>
              <w:right w:w="15" w:type="dxa"/>
            </w:tcMar>
            <w:vAlign w:val="center"/>
            <w:hideMark/>
          </w:tcPr>
          <w:p w14:paraId="126E345E"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400" w:type="dxa"/>
            <w:tcMar>
              <w:top w:w="15" w:type="dxa"/>
              <w:left w:w="15" w:type="dxa"/>
              <w:bottom w:w="15" w:type="dxa"/>
              <w:right w:w="15" w:type="dxa"/>
            </w:tcMar>
            <w:vAlign w:val="center"/>
            <w:hideMark/>
          </w:tcPr>
          <w:p w14:paraId="28DBB4AB"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475" w:type="dxa"/>
            <w:tcMar>
              <w:top w:w="15" w:type="dxa"/>
              <w:left w:w="15" w:type="dxa"/>
              <w:bottom w:w="15" w:type="dxa"/>
              <w:right w:w="15" w:type="dxa"/>
            </w:tcMar>
            <w:vAlign w:val="center"/>
            <w:hideMark/>
          </w:tcPr>
          <w:p w14:paraId="0FAED8A5" w14:textId="77777777" w:rsidR="00CB397B" w:rsidRDefault="00CB397B">
            <w:pPr>
              <w:jc w:val="both"/>
              <w:rPr>
                <w:rFonts w:ascii="Times New Roman" w:hAnsi="Times New Roman"/>
                <w:sz w:val="24"/>
                <w:szCs w:val="24"/>
              </w:rPr>
            </w:pPr>
            <w:r>
              <w:rPr>
                <w:rFonts w:ascii="Times New Roman" w:hAnsi="Times New Roman"/>
                <w:sz w:val="24"/>
                <w:szCs w:val="24"/>
              </w:rPr>
              <w:t>0.0072 ± 0.0006</w:t>
            </w:r>
            <w:r>
              <w:rPr>
                <w:rFonts w:ascii="Times New Roman" w:hAnsi="Times New Roman"/>
                <w:sz w:val="24"/>
                <w:szCs w:val="24"/>
                <w:vertAlign w:val="superscript"/>
              </w:rPr>
              <w:t>f</w:t>
            </w:r>
          </w:p>
        </w:tc>
      </w:tr>
      <w:tr w:rsidR="00CB397B" w14:paraId="0C178B65" w14:textId="77777777" w:rsidTr="00CB397B">
        <w:trPr>
          <w:trHeight w:val="287"/>
          <w:tblCellSpacing w:w="15" w:type="dxa"/>
        </w:trPr>
        <w:tc>
          <w:tcPr>
            <w:tcW w:w="3690" w:type="dxa"/>
            <w:tcMar>
              <w:top w:w="15" w:type="dxa"/>
              <w:left w:w="15" w:type="dxa"/>
              <w:bottom w:w="15" w:type="dxa"/>
              <w:right w:w="15" w:type="dxa"/>
            </w:tcMar>
            <w:vAlign w:val="center"/>
            <w:hideMark/>
          </w:tcPr>
          <w:p w14:paraId="130212CA"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400" w:type="dxa"/>
            <w:tcMar>
              <w:top w:w="15" w:type="dxa"/>
              <w:left w:w="15" w:type="dxa"/>
              <w:bottom w:w="15" w:type="dxa"/>
              <w:right w:w="15" w:type="dxa"/>
            </w:tcMar>
            <w:vAlign w:val="center"/>
            <w:hideMark/>
          </w:tcPr>
          <w:p w14:paraId="51978302"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475" w:type="dxa"/>
            <w:tcMar>
              <w:top w:w="15" w:type="dxa"/>
              <w:left w:w="15" w:type="dxa"/>
              <w:bottom w:w="15" w:type="dxa"/>
              <w:right w:w="15" w:type="dxa"/>
            </w:tcMar>
            <w:vAlign w:val="center"/>
            <w:hideMark/>
          </w:tcPr>
          <w:p w14:paraId="3C89C356" w14:textId="77777777" w:rsidR="00CB397B" w:rsidRDefault="00CB397B">
            <w:pPr>
              <w:jc w:val="both"/>
              <w:rPr>
                <w:rFonts w:ascii="Times New Roman" w:hAnsi="Times New Roman"/>
                <w:sz w:val="24"/>
                <w:szCs w:val="24"/>
              </w:rPr>
            </w:pPr>
            <w:r>
              <w:rPr>
                <w:rFonts w:ascii="Times New Roman" w:hAnsi="Times New Roman"/>
                <w:sz w:val="24"/>
                <w:szCs w:val="24"/>
              </w:rPr>
              <w:t>0.0021 ± 0.0002</w:t>
            </w:r>
            <w:r>
              <w:rPr>
                <w:rFonts w:ascii="Times New Roman" w:hAnsi="Times New Roman"/>
                <w:sz w:val="24"/>
                <w:szCs w:val="24"/>
                <w:vertAlign w:val="superscript"/>
              </w:rPr>
              <w:t>ab</w:t>
            </w:r>
          </w:p>
        </w:tc>
      </w:tr>
      <w:tr w:rsidR="00CB397B" w14:paraId="0069EFEA" w14:textId="77777777" w:rsidTr="00CB397B">
        <w:trPr>
          <w:trHeight w:val="287"/>
          <w:tblCellSpacing w:w="15" w:type="dxa"/>
        </w:trPr>
        <w:tc>
          <w:tcPr>
            <w:tcW w:w="3690" w:type="dxa"/>
            <w:tcMar>
              <w:top w:w="15" w:type="dxa"/>
              <w:left w:w="15" w:type="dxa"/>
              <w:bottom w:w="15" w:type="dxa"/>
              <w:right w:w="15" w:type="dxa"/>
            </w:tcMar>
            <w:vAlign w:val="center"/>
            <w:hideMark/>
          </w:tcPr>
          <w:p w14:paraId="7E4B4A4D"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400" w:type="dxa"/>
            <w:tcMar>
              <w:top w:w="15" w:type="dxa"/>
              <w:left w:w="15" w:type="dxa"/>
              <w:bottom w:w="15" w:type="dxa"/>
              <w:right w:w="15" w:type="dxa"/>
            </w:tcMar>
            <w:vAlign w:val="center"/>
            <w:hideMark/>
          </w:tcPr>
          <w:p w14:paraId="296E570C"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475" w:type="dxa"/>
            <w:tcMar>
              <w:top w:w="15" w:type="dxa"/>
              <w:left w:w="15" w:type="dxa"/>
              <w:bottom w:w="15" w:type="dxa"/>
              <w:right w:w="15" w:type="dxa"/>
            </w:tcMar>
            <w:vAlign w:val="center"/>
            <w:hideMark/>
          </w:tcPr>
          <w:p w14:paraId="090E3091" w14:textId="77777777" w:rsidR="00CB397B" w:rsidRDefault="00CB397B">
            <w:pPr>
              <w:jc w:val="both"/>
              <w:rPr>
                <w:rFonts w:ascii="Times New Roman" w:hAnsi="Times New Roman"/>
                <w:sz w:val="24"/>
                <w:szCs w:val="24"/>
              </w:rPr>
            </w:pPr>
            <w:r>
              <w:rPr>
                <w:rFonts w:ascii="Times New Roman" w:hAnsi="Times New Roman"/>
                <w:sz w:val="24"/>
                <w:szCs w:val="24"/>
              </w:rPr>
              <w:t>0.0025 ± 0.0002</w:t>
            </w:r>
            <w:r>
              <w:rPr>
                <w:rFonts w:ascii="Times New Roman" w:hAnsi="Times New Roman"/>
                <w:sz w:val="24"/>
                <w:szCs w:val="24"/>
                <w:vertAlign w:val="superscript"/>
              </w:rPr>
              <w:t>a</w:t>
            </w:r>
          </w:p>
        </w:tc>
      </w:tr>
      <w:tr w:rsidR="00CB397B" w14:paraId="3493A73C" w14:textId="77777777" w:rsidTr="00CB397B">
        <w:trPr>
          <w:trHeight w:val="303"/>
          <w:tblCellSpacing w:w="15" w:type="dxa"/>
        </w:trPr>
        <w:tc>
          <w:tcPr>
            <w:tcW w:w="3690" w:type="dxa"/>
            <w:tcMar>
              <w:top w:w="15" w:type="dxa"/>
              <w:left w:w="15" w:type="dxa"/>
              <w:bottom w:w="15" w:type="dxa"/>
              <w:right w:w="15" w:type="dxa"/>
            </w:tcMar>
            <w:vAlign w:val="center"/>
            <w:hideMark/>
          </w:tcPr>
          <w:p w14:paraId="7B259130"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400" w:type="dxa"/>
            <w:tcMar>
              <w:top w:w="15" w:type="dxa"/>
              <w:left w:w="15" w:type="dxa"/>
              <w:bottom w:w="15" w:type="dxa"/>
              <w:right w:w="15" w:type="dxa"/>
            </w:tcMar>
            <w:vAlign w:val="center"/>
            <w:hideMark/>
          </w:tcPr>
          <w:p w14:paraId="6B3FCC95"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475" w:type="dxa"/>
            <w:tcMar>
              <w:top w:w="15" w:type="dxa"/>
              <w:left w:w="15" w:type="dxa"/>
              <w:bottom w:w="15" w:type="dxa"/>
              <w:right w:w="15" w:type="dxa"/>
            </w:tcMar>
            <w:vAlign w:val="center"/>
            <w:hideMark/>
          </w:tcPr>
          <w:p w14:paraId="099858CF" w14:textId="77777777" w:rsidR="00CB397B" w:rsidRDefault="00CB397B">
            <w:pPr>
              <w:jc w:val="both"/>
              <w:rPr>
                <w:rFonts w:ascii="Times New Roman" w:hAnsi="Times New Roman"/>
                <w:sz w:val="24"/>
                <w:szCs w:val="24"/>
              </w:rPr>
            </w:pPr>
            <w:r>
              <w:rPr>
                <w:rFonts w:ascii="Times New Roman" w:hAnsi="Times New Roman"/>
                <w:sz w:val="24"/>
                <w:szCs w:val="24"/>
              </w:rPr>
              <w:t>0.0030 ± 0.0003</w:t>
            </w:r>
            <w:r>
              <w:rPr>
                <w:rFonts w:ascii="Times New Roman" w:hAnsi="Times New Roman"/>
                <w:sz w:val="24"/>
                <w:szCs w:val="24"/>
                <w:vertAlign w:val="superscript"/>
              </w:rPr>
              <w:t>a</w:t>
            </w:r>
          </w:p>
        </w:tc>
      </w:tr>
      <w:tr w:rsidR="00CB397B" w14:paraId="59F32671" w14:textId="77777777" w:rsidTr="00CB397B">
        <w:trPr>
          <w:trHeight w:val="303"/>
          <w:tblCellSpacing w:w="15" w:type="dxa"/>
        </w:trPr>
        <w:tc>
          <w:tcPr>
            <w:tcW w:w="3690" w:type="dxa"/>
            <w:tcMar>
              <w:top w:w="15" w:type="dxa"/>
              <w:left w:w="15" w:type="dxa"/>
              <w:bottom w:w="15" w:type="dxa"/>
              <w:right w:w="15" w:type="dxa"/>
            </w:tcMar>
            <w:vAlign w:val="center"/>
            <w:hideMark/>
          </w:tcPr>
          <w:p w14:paraId="1F837ED1"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400" w:type="dxa"/>
            <w:tcMar>
              <w:top w:w="15" w:type="dxa"/>
              <w:left w:w="15" w:type="dxa"/>
              <w:bottom w:w="15" w:type="dxa"/>
              <w:right w:w="15" w:type="dxa"/>
            </w:tcMar>
            <w:vAlign w:val="center"/>
            <w:hideMark/>
          </w:tcPr>
          <w:p w14:paraId="12A4DF7C"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475" w:type="dxa"/>
            <w:tcMar>
              <w:top w:w="15" w:type="dxa"/>
              <w:left w:w="15" w:type="dxa"/>
              <w:bottom w:w="15" w:type="dxa"/>
              <w:right w:w="15" w:type="dxa"/>
            </w:tcMar>
            <w:vAlign w:val="center"/>
            <w:hideMark/>
          </w:tcPr>
          <w:p w14:paraId="5A1E5D6E" w14:textId="77777777" w:rsidR="00CB397B" w:rsidRDefault="00CB397B">
            <w:pPr>
              <w:jc w:val="both"/>
              <w:rPr>
                <w:rFonts w:ascii="Times New Roman" w:hAnsi="Times New Roman"/>
                <w:sz w:val="24"/>
                <w:szCs w:val="24"/>
              </w:rPr>
            </w:pPr>
            <w:r>
              <w:rPr>
                <w:rFonts w:ascii="Times New Roman" w:hAnsi="Times New Roman"/>
                <w:sz w:val="24"/>
                <w:szCs w:val="24"/>
              </w:rPr>
              <w:t>0.0010 ± 0.0001</w:t>
            </w:r>
            <w:r>
              <w:rPr>
                <w:rFonts w:ascii="Times New Roman" w:hAnsi="Times New Roman"/>
                <w:sz w:val="24"/>
                <w:szCs w:val="24"/>
                <w:vertAlign w:val="superscript"/>
              </w:rPr>
              <w:t>c</w:t>
            </w:r>
          </w:p>
        </w:tc>
      </w:tr>
      <w:tr w:rsidR="00CB397B" w14:paraId="7D6ABEB2" w14:textId="77777777" w:rsidTr="00CB397B">
        <w:trPr>
          <w:trHeight w:val="287"/>
          <w:tblCellSpacing w:w="15" w:type="dxa"/>
        </w:trPr>
        <w:tc>
          <w:tcPr>
            <w:tcW w:w="3690" w:type="dxa"/>
            <w:tcMar>
              <w:top w:w="15" w:type="dxa"/>
              <w:left w:w="15" w:type="dxa"/>
              <w:bottom w:w="15" w:type="dxa"/>
              <w:right w:w="15" w:type="dxa"/>
            </w:tcMar>
            <w:vAlign w:val="center"/>
            <w:hideMark/>
          </w:tcPr>
          <w:p w14:paraId="6016A2F4"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400" w:type="dxa"/>
            <w:tcMar>
              <w:top w:w="15" w:type="dxa"/>
              <w:left w:w="15" w:type="dxa"/>
              <w:bottom w:w="15" w:type="dxa"/>
              <w:right w:w="15" w:type="dxa"/>
            </w:tcMar>
            <w:vAlign w:val="center"/>
            <w:hideMark/>
          </w:tcPr>
          <w:p w14:paraId="5F7645AD"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475" w:type="dxa"/>
            <w:tcMar>
              <w:top w:w="15" w:type="dxa"/>
              <w:left w:w="15" w:type="dxa"/>
              <w:bottom w:w="15" w:type="dxa"/>
              <w:right w:w="15" w:type="dxa"/>
            </w:tcMar>
            <w:vAlign w:val="center"/>
            <w:hideMark/>
          </w:tcPr>
          <w:p w14:paraId="575BF249" w14:textId="77777777" w:rsidR="00CB397B" w:rsidRDefault="00CB397B">
            <w:pPr>
              <w:jc w:val="both"/>
              <w:rPr>
                <w:rFonts w:ascii="Times New Roman" w:hAnsi="Times New Roman"/>
                <w:sz w:val="24"/>
                <w:szCs w:val="24"/>
              </w:rPr>
            </w:pPr>
            <w:r>
              <w:rPr>
                <w:rFonts w:ascii="Times New Roman" w:hAnsi="Times New Roman"/>
                <w:sz w:val="24"/>
                <w:szCs w:val="24"/>
              </w:rPr>
              <w:t>0.0012 ± 0.0001</w:t>
            </w:r>
            <w:r>
              <w:rPr>
                <w:rFonts w:ascii="Times New Roman" w:hAnsi="Times New Roman"/>
                <w:sz w:val="24"/>
                <w:szCs w:val="24"/>
                <w:vertAlign w:val="superscript"/>
              </w:rPr>
              <w:t>bc</w:t>
            </w:r>
          </w:p>
        </w:tc>
      </w:tr>
      <w:tr w:rsidR="00CB397B" w14:paraId="5F36C1BB" w14:textId="77777777" w:rsidTr="00CB397B">
        <w:trPr>
          <w:trHeight w:val="287"/>
          <w:tblCellSpacing w:w="15" w:type="dxa"/>
        </w:trPr>
        <w:tc>
          <w:tcPr>
            <w:tcW w:w="3690" w:type="dxa"/>
            <w:tcBorders>
              <w:top w:val="nil"/>
              <w:left w:val="nil"/>
              <w:bottom w:val="single" w:sz="4" w:space="0" w:color="auto"/>
              <w:right w:val="nil"/>
            </w:tcBorders>
            <w:tcMar>
              <w:top w:w="15" w:type="dxa"/>
              <w:left w:w="15" w:type="dxa"/>
              <w:bottom w:w="15" w:type="dxa"/>
              <w:right w:w="15" w:type="dxa"/>
            </w:tcMar>
            <w:vAlign w:val="center"/>
            <w:hideMark/>
          </w:tcPr>
          <w:p w14:paraId="0322AD40" w14:textId="77777777" w:rsidR="00CB397B" w:rsidRDefault="00CB397B">
            <w:pPr>
              <w:jc w:val="both"/>
              <w:rPr>
                <w:rFonts w:ascii="Times New Roman" w:hAnsi="Times New Roman"/>
                <w:sz w:val="24"/>
                <w:szCs w:val="24"/>
              </w:rPr>
            </w:pPr>
            <w:r>
              <w:rPr>
                <w:rFonts w:ascii="Times New Roman" w:hAnsi="Times New Roman"/>
                <w:sz w:val="24"/>
                <w:szCs w:val="24"/>
              </w:rPr>
              <w:lastRenderedPageBreak/>
              <w:t>New airport</w:t>
            </w:r>
          </w:p>
        </w:tc>
        <w:tc>
          <w:tcPr>
            <w:tcW w:w="2400" w:type="dxa"/>
            <w:tcBorders>
              <w:top w:val="nil"/>
              <w:left w:val="nil"/>
              <w:bottom w:val="single" w:sz="4" w:space="0" w:color="auto"/>
              <w:right w:val="nil"/>
            </w:tcBorders>
            <w:tcMar>
              <w:top w:w="15" w:type="dxa"/>
              <w:left w:w="15" w:type="dxa"/>
              <w:bottom w:w="15" w:type="dxa"/>
              <w:right w:w="15" w:type="dxa"/>
            </w:tcMar>
            <w:vAlign w:val="center"/>
            <w:hideMark/>
          </w:tcPr>
          <w:p w14:paraId="645D2A05"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475" w:type="dxa"/>
            <w:tcBorders>
              <w:top w:val="nil"/>
              <w:left w:val="nil"/>
              <w:bottom w:val="single" w:sz="4" w:space="0" w:color="auto"/>
              <w:right w:val="nil"/>
            </w:tcBorders>
            <w:tcMar>
              <w:top w:w="15" w:type="dxa"/>
              <w:left w:w="15" w:type="dxa"/>
              <w:bottom w:w="15" w:type="dxa"/>
              <w:right w:w="15" w:type="dxa"/>
            </w:tcMar>
            <w:vAlign w:val="center"/>
            <w:hideMark/>
          </w:tcPr>
          <w:p w14:paraId="6521DD61" w14:textId="77777777" w:rsidR="00CB397B" w:rsidRDefault="00CB397B">
            <w:pPr>
              <w:jc w:val="both"/>
              <w:rPr>
                <w:rFonts w:ascii="Times New Roman" w:hAnsi="Times New Roman"/>
                <w:sz w:val="24"/>
                <w:szCs w:val="24"/>
              </w:rPr>
            </w:pPr>
            <w:r>
              <w:rPr>
                <w:rFonts w:ascii="Times New Roman" w:hAnsi="Times New Roman"/>
                <w:sz w:val="24"/>
                <w:szCs w:val="24"/>
              </w:rPr>
              <w:t>0.0015 ± 0.0001</w:t>
            </w:r>
            <w:r>
              <w:rPr>
                <w:rFonts w:ascii="Times New Roman" w:hAnsi="Times New Roman"/>
                <w:sz w:val="24"/>
                <w:szCs w:val="24"/>
                <w:vertAlign w:val="superscript"/>
              </w:rPr>
              <w:t>bc</w:t>
            </w:r>
          </w:p>
        </w:tc>
      </w:tr>
    </w:tbl>
    <w:p w14:paraId="52B30790" w14:textId="77777777" w:rsidR="00CB397B" w:rsidRDefault="00CB397B" w:rsidP="00CB397B">
      <w:pPr>
        <w:jc w:val="both"/>
        <w:rPr>
          <w:rFonts w:ascii="Times New Roman" w:hAnsi="Times New Roman"/>
          <w:i/>
          <w:sz w:val="24"/>
          <w:szCs w:val="24"/>
        </w:rPr>
      </w:pPr>
      <w:r>
        <w:rPr>
          <w:rFonts w:ascii="Times New Roman" w:hAnsi="Times New Roman"/>
          <w:i/>
          <w:sz w:val="24"/>
          <w:szCs w:val="24"/>
        </w:rPr>
        <w:t>Values are expressed as mean standard deviation different superscript letters indicate significant differences (</w:t>
      </w:r>
      <w:r>
        <w:rPr>
          <w:rFonts w:ascii="Times New Roman" w:hAnsi="Times New Roman"/>
          <w:i/>
          <w:iCs/>
          <w:sz w:val="24"/>
          <w:szCs w:val="24"/>
        </w:rPr>
        <w:t>p</w:t>
      </w:r>
      <w:r>
        <w:rPr>
          <w:rFonts w:ascii="Times New Roman" w:hAnsi="Times New Roman"/>
          <w:i/>
          <w:sz w:val="24"/>
          <w:szCs w:val="24"/>
        </w:rPr>
        <w:t xml:space="preserve"> &lt; 0.05).</w:t>
      </w:r>
    </w:p>
    <w:p w14:paraId="3935F6FB" w14:textId="77777777" w:rsidR="00CB397B" w:rsidRDefault="00CB397B" w:rsidP="00CB397B">
      <w:pPr>
        <w:jc w:val="both"/>
        <w:outlineLvl w:val="2"/>
        <w:rPr>
          <w:rFonts w:ascii="Times New Roman" w:hAnsi="Times New Roman"/>
          <w:b/>
          <w:bCs/>
          <w:sz w:val="24"/>
          <w:szCs w:val="24"/>
        </w:rPr>
      </w:pPr>
      <w:r>
        <w:rPr>
          <w:rFonts w:ascii="Times New Roman" w:hAnsi="Times New Roman"/>
          <w:b/>
          <w:bCs/>
          <w:sz w:val="24"/>
          <w:szCs w:val="24"/>
        </w:rPr>
        <w:t>Table 9: Mean concentration of Copper (Cu) in pond Water</w:t>
      </w:r>
    </w:p>
    <w:tbl>
      <w:tblPr>
        <w:tblW w:w="8821" w:type="dxa"/>
        <w:tblCellSpacing w:w="15" w:type="dxa"/>
        <w:tblLook w:val="04A0" w:firstRow="1" w:lastRow="0" w:firstColumn="1" w:lastColumn="0" w:noHBand="0" w:noVBand="1"/>
      </w:tblPr>
      <w:tblGrid>
        <w:gridCol w:w="4011"/>
        <w:gridCol w:w="2784"/>
        <w:gridCol w:w="2026"/>
      </w:tblGrid>
      <w:tr w:rsidR="00CB397B" w14:paraId="2CCB02D7" w14:textId="77777777" w:rsidTr="00CB397B">
        <w:trPr>
          <w:trHeight w:val="298"/>
          <w:tblHeader/>
          <w:tblCellSpacing w:w="15" w:type="dxa"/>
        </w:trPr>
        <w:tc>
          <w:tcPr>
            <w:tcW w:w="3966" w:type="dxa"/>
            <w:tcBorders>
              <w:top w:val="single" w:sz="4" w:space="0" w:color="auto"/>
              <w:left w:val="nil"/>
              <w:bottom w:val="nil"/>
              <w:right w:val="nil"/>
            </w:tcBorders>
            <w:tcMar>
              <w:top w:w="15" w:type="dxa"/>
              <w:left w:w="15" w:type="dxa"/>
              <w:bottom w:w="15" w:type="dxa"/>
              <w:right w:w="15" w:type="dxa"/>
            </w:tcMar>
            <w:vAlign w:val="center"/>
            <w:hideMark/>
          </w:tcPr>
          <w:p w14:paraId="6650C297"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2754" w:type="dxa"/>
            <w:tcBorders>
              <w:top w:val="single" w:sz="4" w:space="0" w:color="auto"/>
              <w:left w:val="nil"/>
              <w:bottom w:val="nil"/>
              <w:right w:val="nil"/>
            </w:tcBorders>
            <w:tcMar>
              <w:top w:w="15" w:type="dxa"/>
              <w:left w:w="15" w:type="dxa"/>
              <w:bottom w:w="15" w:type="dxa"/>
              <w:right w:w="15" w:type="dxa"/>
            </w:tcMar>
            <w:vAlign w:val="center"/>
            <w:hideMark/>
          </w:tcPr>
          <w:p w14:paraId="4345F8AA"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1981" w:type="dxa"/>
            <w:tcBorders>
              <w:top w:val="single" w:sz="4" w:space="0" w:color="auto"/>
              <w:left w:val="nil"/>
              <w:bottom w:val="nil"/>
              <w:right w:val="nil"/>
            </w:tcBorders>
            <w:tcMar>
              <w:top w:w="15" w:type="dxa"/>
              <w:left w:w="15" w:type="dxa"/>
              <w:bottom w:w="15" w:type="dxa"/>
              <w:right w:w="15" w:type="dxa"/>
            </w:tcMar>
            <w:vAlign w:val="center"/>
            <w:hideMark/>
          </w:tcPr>
          <w:p w14:paraId="6E617B7B" w14:textId="77777777" w:rsidR="00CB397B" w:rsidRDefault="00CB397B">
            <w:pPr>
              <w:jc w:val="both"/>
              <w:rPr>
                <w:rFonts w:ascii="Times New Roman" w:hAnsi="Times New Roman"/>
                <w:b/>
                <w:bCs/>
                <w:sz w:val="24"/>
                <w:szCs w:val="24"/>
              </w:rPr>
            </w:pPr>
            <w:r>
              <w:rPr>
                <w:rFonts w:ascii="Times New Roman" w:hAnsi="Times New Roman"/>
                <w:b/>
                <w:bCs/>
                <w:sz w:val="24"/>
                <w:szCs w:val="24"/>
              </w:rPr>
              <w:t>Mean ± SD (mg/L)</w:t>
            </w:r>
          </w:p>
        </w:tc>
      </w:tr>
      <w:tr w:rsidR="00CB397B" w14:paraId="0ED70D3A" w14:textId="77777777" w:rsidTr="00CB397B">
        <w:trPr>
          <w:trHeight w:val="314"/>
          <w:tblCellSpacing w:w="15" w:type="dxa"/>
        </w:trPr>
        <w:tc>
          <w:tcPr>
            <w:tcW w:w="3966" w:type="dxa"/>
            <w:tcBorders>
              <w:top w:val="single" w:sz="4" w:space="0" w:color="auto"/>
              <w:left w:val="nil"/>
              <w:bottom w:val="nil"/>
              <w:right w:val="nil"/>
            </w:tcBorders>
            <w:tcMar>
              <w:top w:w="15" w:type="dxa"/>
              <w:left w:w="15" w:type="dxa"/>
              <w:bottom w:w="15" w:type="dxa"/>
              <w:right w:w="15" w:type="dxa"/>
            </w:tcMar>
            <w:vAlign w:val="center"/>
            <w:hideMark/>
          </w:tcPr>
          <w:p w14:paraId="0338ADFA"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754" w:type="dxa"/>
            <w:tcBorders>
              <w:top w:val="single" w:sz="4" w:space="0" w:color="auto"/>
              <w:left w:val="nil"/>
              <w:bottom w:val="nil"/>
              <w:right w:val="nil"/>
            </w:tcBorders>
            <w:tcMar>
              <w:top w:w="15" w:type="dxa"/>
              <w:left w:w="15" w:type="dxa"/>
              <w:bottom w:w="15" w:type="dxa"/>
              <w:right w:w="15" w:type="dxa"/>
            </w:tcMar>
            <w:vAlign w:val="center"/>
            <w:hideMark/>
          </w:tcPr>
          <w:p w14:paraId="30770851"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981" w:type="dxa"/>
            <w:tcBorders>
              <w:top w:val="single" w:sz="4" w:space="0" w:color="auto"/>
              <w:left w:val="nil"/>
              <w:bottom w:val="nil"/>
              <w:right w:val="nil"/>
            </w:tcBorders>
            <w:tcMar>
              <w:top w:w="15" w:type="dxa"/>
              <w:left w:w="15" w:type="dxa"/>
              <w:bottom w:w="15" w:type="dxa"/>
              <w:right w:w="15" w:type="dxa"/>
            </w:tcMar>
            <w:vAlign w:val="center"/>
            <w:hideMark/>
          </w:tcPr>
          <w:p w14:paraId="6186E39E" w14:textId="77777777" w:rsidR="00CB397B" w:rsidRDefault="00CB397B">
            <w:pPr>
              <w:jc w:val="both"/>
              <w:rPr>
                <w:rFonts w:ascii="Times New Roman" w:hAnsi="Times New Roman"/>
                <w:sz w:val="24"/>
                <w:szCs w:val="24"/>
              </w:rPr>
            </w:pPr>
            <w:r>
              <w:rPr>
                <w:rFonts w:ascii="Times New Roman" w:hAnsi="Times New Roman"/>
                <w:sz w:val="24"/>
                <w:szCs w:val="24"/>
              </w:rPr>
              <w:t>0.450 ± 0.018</w:t>
            </w:r>
            <w:r>
              <w:rPr>
                <w:rFonts w:ascii="Times New Roman" w:hAnsi="Times New Roman"/>
                <w:sz w:val="24"/>
                <w:szCs w:val="24"/>
                <w:vertAlign w:val="superscript"/>
              </w:rPr>
              <w:t>c</w:t>
            </w:r>
          </w:p>
        </w:tc>
      </w:tr>
      <w:tr w:rsidR="00CB397B" w14:paraId="09EF8B2C" w14:textId="77777777" w:rsidTr="00CB397B">
        <w:trPr>
          <w:trHeight w:val="298"/>
          <w:tblCellSpacing w:w="15" w:type="dxa"/>
        </w:trPr>
        <w:tc>
          <w:tcPr>
            <w:tcW w:w="3966" w:type="dxa"/>
            <w:tcMar>
              <w:top w:w="15" w:type="dxa"/>
              <w:left w:w="15" w:type="dxa"/>
              <w:bottom w:w="15" w:type="dxa"/>
              <w:right w:w="15" w:type="dxa"/>
            </w:tcMar>
            <w:vAlign w:val="center"/>
            <w:hideMark/>
          </w:tcPr>
          <w:p w14:paraId="6B2321F7"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754" w:type="dxa"/>
            <w:tcMar>
              <w:top w:w="15" w:type="dxa"/>
              <w:left w:w="15" w:type="dxa"/>
              <w:bottom w:w="15" w:type="dxa"/>
              <w:right w:w="15" w:type="dxa"/>
            </w:tcMar>
            <w:vAlign w:val="center"/>
            <w:hideMark/>
          </w:tcPr>
          <w:p w14:paraId="3DDAEDE7"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981" w:type="dxa"/>
            <w:tcMar>
              <w:top w:w="15" w:type="dxa"/>
              <w:left w:w="15" w:type="dxa"/>
              <w:bottom w:w="15" w:type="dxa"/>
              <w:right w:w="15" w:type="dxa"/>
            </w:tcMar>
            <w:vAlign w:val="center"/>
            <w:hideMark/>
          </w:tcPr>
          <w:p w14:paraId="12E5836C" w14:textId="77777777" w:rsidR="00CB397B" w:rsidRDefault="00CB397B">
            <w:pPr>
              <w:jc w:val="both"/>
              <w:rPr>
                <w:rFonts w:ascii="Times New Roman" w:hAnsi="Times New Roman"/>
                <w:sz w:val="24"/>
                <w:szCs w:val="24"/>
              </w:rPr>
            </w:pPr>
            <w:r>
              <w:rPr>
                <w:rFonts w:ascii="Times New Roman" w:hAnsi="Times New Roman"/>
                <w:sz w:val="24"/>
                <w:szCs w:val="24"/>
              </w:rPr>
              <w:t>0.520 ± 0.021</w:t>
            </w:r>
            <w:r>
              <w:rPr>
                <w:rFonts w:ascii="Times New Roman" w:hAnsi="Times New Roman"/>
                <w:sz w:val="24"/>
                <w:szCs w:val="24"/>
                <w:vertAlign w:val="superscript"/>
              </w:rPr>
              <w:t>d</w:t>
            </w:r>
          </w:p>
        </w:tc>
      </w:tr>
      <w:tr w:rsidR="00CB397B" w14:paraId="40F2EB43" w14:textId="77777777" w:rsidTr="00CB397B">
        <w:trPr>
          <w:trHeight w:val="298"/>
          <w:tblCellSpacing w:w="15" w:type="dxa"/>
        </w:trPr>
        <w:tc>
          <w:tcPr>
            <w:tcW w:w="3966" w:type="dxa"/>
            <w:tcMar>
              <w:top w:w="15" w:type="dxa"/>
              <w:left w:w="15" w:type="dxa"/>
              <w:bottom w:w="15" w:type="dxa"/>
              <w:right w:w="15" w:type="dxa"/>
            </w:tcMar>
            <w:vAlign w:val="center"/>
            <w:hideMark/>
          </w:tcPr>
          <w:p w14:paraId="45BACEA8"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754" w:type="dxa"/>
            <w:tcMar>
              <w:top w:w="15" w:type="dxa"/>
              <w:left w:w="15" w:type="dxa"/>
              <w:bottom w:w="15" w:type="dxa"/>
              <w:right w:w="15" w:type="dxa"/>
            </w:tcMar>
            <w:vAlign w:val="center"/>
            <w:hideMark/>
          </w:tcPr>
          <w:p w14:paraId="2A96DB4C"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981" w:type="dxa"/>
            <w:tcMar>
              <w:top w:w="15" w:type="dxa"/>
              <w:left w:w="15" w:type="dxa"/>
              <w:bottom w:w="15" w:type="dxa"/>
              <w:right w:w="15" w:type="dxa"/>
            </w:tcMar>
            <w:vAlign w:val="center"/>
            <w:hideMark/>
          </w:tcPr>
          <w:p w14:paraId="7867CB65" w14:textId="77777777" w:rsidR="00CB397B" w:rsidRDefault="00CB397B">
            <w:pPr>
              <w:jc w:val="both"/>
              <w:rPr>
                <w:rFonts w:ascii="Times New Roman" w:hAnsi="Times New Roman"/>
                <w:sz w:val="24"/>
                <w:szCs w:val="24"/>
              </w:rPr>
            </w:pPr>
            <w:r>
              <w:rPr>
                <w:rFonts w:ascii="Times New Roman" w:hAnsi="Times New Roman"/>
                <w:sz w:val="24"/>
                <w:szCs w:val="24"/>
              </w:rPr>
              <w:t>0.610 ± 0.024</w:t>
            </w:r>
            <w:r>
              <w:rPr>
                <w:rFonts w:ascii="Times New Roman" w:hAnsi="Times New Roman"/>
                <w:sz w:val="24"/>
                <w:szCs w:val="24"/>
                <w:vertAlign w:val="superscript"/>
              </w:rPr>
              <w:t>e</w:t>
            </w:r>
          </w:p>
        </w:tc>
      </w:tr>
      <w:tr w:rsidR="00CB397B" w14:paraId="432B06C8" w14:textId="77777777" w:rsidTr="00CB397B">
        <w:trPr>
          <w:trHeight w:val="314"/>
          <w:tblCellSpacing w:w="15" w:type="dxa"/>
        </w:trPr>
        <w:tc>
          <w:tcPr>
            <w:tcW w:w="3966" w:type="dxa"/>
            <w:tcMar>
              <w:top w:w="15" w:type="dxa"/>
              <w:left w:w="15" w:type="dxa"/>
              <w:bottom w:w="15" w:type="dxa"/>
              <w:right w:w="15" w:type="dxa"/>
            </w:tcMar>
            <w:vAlign w:val="center"/>
            <w:hideMark/>
          </w:tcPr>
          <w:p w14:paraId="42382FB3"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754" w:type="dxa"/>
            <w:tcMar>
              <w:top w:w="15" w:type="dxa"/>
              <w:left w:w="15" w:type="dxa"/>
              <w:bottom w:w="15" w:type="dxa"/>
              <w:right w:w="15" w:type="dxa"/>
            </w:tcMar>
            <w:vAlign w:val="center"/>
            <w:hideMark/>
          </w:tcPr>
          <w:p w14:paraId="008AAF03"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981" w:type="dxa"/>
            <w:tcMar>
              <w:top w:w="15" w:type="dxa"/>
              <w:left w:w="15" w:type="dxa"/>
              <w:bottom w:w="15" w:type="dxa"/>
              <w:right w:w="15" w:type="dxa"/>
            </w:tcMar>
            <w:vAlign w:val="center"/>
            <w:hideMark/>
          </w:tcPr>
          <w:p w14:paraId="6368B66B" w14:textId="77777777" w:rsidR="00CB397B" w:rsidRDefault="00CB397B">
            <w:pPr>
              <w:jc w:val="both"/>
              <w:rPr>
                <w:rFonts w:ascii="Times New Roman" w:hAnsi="Times New Roman"/>
                <w:sz w:val="24"/>
                <w:szCs w:val="24"/>
              </w:rPr>
            </w:pPr>
            <w:r>
              <w:rPr>
                <w:rFonts w:ascii="Times New Roman" w:hAnsi="Times New Roman"/>
                <w:sz w:val="24"/>
                <w:szCs w:val="24"/>
              </w:rPr>
              <w:t>0.180 ± 0.012</w:t>
            </w:r>
            <w:r>
              <w:rPr>
                <w:rFonts w:ascii="Times New Roman" w:hAnsi="Times New Roman"/>
                <w:sz w:val="24"/>
                <w:szCs w:val="24"/>
                <w:vertAlign w:val="superscript"/>
              </w:rPr>
              <w:t>b</w:t>
            </w:r>
          </w:p>
        </w:tc>
      </w:tr>
      <w:tr w:rsidR="00CB397B" w14:paraId="56F93132" w14:textId="77777777" w:rsidTr="00CB397B">
        <w:trPr>
          <w:trHeight w:val="298"/>
          <w:tblCellSpacing w:w="15" w:type="dxa"/>
        </w:trPr>
        <w:tc>
          <w:tcPr>
            <w:tcW w:w="3966" w:type="dxa"/>
            <w:tcMar>
              <w:top w:w="15" w:type="dxa"/>
              <w:left w:w="15" w:type="dxa"/>
              <w:bottom w:w="15" w:type="dxa"/>
              <w:right w:w="15" w:type="dxa"/>
            </w:tcMar>
            <w:vAlign w:val="center"/>
            <w:hideMark/>
          </w:tcPr>
          <w:p w14:paraId="64AFF8C7"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754" w:type="dxa"/>
            <w:tcMar>
              <w:top w:w="15" w:type="dxa"/>
              <w:left w:w="15" w:type="dxa"/>
              <w:bottom w:w="15" w:type="dxa"/>
              <w:right w:w="15" w:type="dxa"/>
            </w:tcMar>
            <w:vAlign w:val="center"/>
            <w:hideMark/>
          </w:tcPr>
          <w:p w14:paraId="4DE7C721"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981" w:type="dxa"/>
            <w:tcMar>
              <w:top w:w="15" w:type="dxa"/>
              <w:left w:w="15" w:type="dxa"/>
              <w:bottom w:w="15" w:type="dxa"/>
              <w:right w:w="15" w:type="dxa"/>
            </w:tcMar>
            <w:vAlign w:val="center"/>
            <w:hideMark/>
          </w:tcPr>
          <w:p w14:paraId="4FCF18DA" w14:textId="77777777" w:rsidR="00CB397B" w:rsidRDefault="00CB397B">
            <w:pPr>
              <w:jc w:val="both"/>
              <w:rPr>
                <w:rFonts w:ascii="Times New Roman" w:hAnsi="Times New Roman"/>
                <w:sz w:val="24"/>
                <w:szCs w:val="24"/>
              </w:rPr>
            </w:pPr>
            <w:r>
              <w:rPr>
                <w:rFonts w:ascii="Times New Roman" w:hAnsi="Times New Roman"/>
                <w:sz w:val="24"/>
                <w:szCs w:val="24"/>
              </w:rPr>
              <w:t>0.200 ± 0.013</w:t>
            </w:r>
            <w:r>
              <w:rPr>
                <w:rFonts w:ascii="Times New Roman" w:hAnsi="Times New Roman"/>
                <w:sz w:val="24"/>
                <w:szCs w:val="24"/>
                <w:vertAlign w:val="superscript"/>
              </w:rPr>
              <w:t>b</w:t>
            </w:r>
          </w:p>
        </w:tc>
      </w:tr>
      <w:tr w:rsidR="00CB397B" w14:paraId="4FB8D5BE" w14:textId="77777777" w:rsidTr="00CB397B">
        <w:trPr>
          <w:trHeight w:val="314"/>
          <w:tblCellSpacing w:w="15" w:type="dxa"/>
        </w:trPr>
        <w:tc>
          <w:tcPr>
            <w:tcW w:w="3966" w:type="dxa"/>
            <w:tcMar>
              <w:top w:w="15" w:type="dxa"/>
              <w:left w:w="15" w:type="dxa"/>
              <w:bottom w:w="15" w:type="dxa"/>
              <w:right w:w="15" w:type="dxa"/>
            </w:tcMar>
            <w:vAlign w:val="center"/>
            <w:hideMark/>
          </w:tcPr>
          <w:p w14:paraId="30E12860"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754" w:type="dxa"/>
            <w:tcMar>
              <w:top w:w="15" w:type="dxa"/>
              <w:left w:w="15" w:type="dxa"/>
              <w:bottom w:w="15" w:type="dxa"/>
              <w:right w:w="15" w:type="dxa"/>
            </w:tcMar>
            <w:vAlign w:val="center"/>
            <w:hideMark/>
          </w:tcPr>
          <w:p w14:paraId="48D6C337"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981" w:type="dxa"/>
            <w:tcMar>
              <w:top w:w="15" w:type="dxa"/>
              <w:left w:w="15" w:type="dxa"/>
              <w:bottom w:w="15" w:type="dxa"/>
              <w:right w:w="15" w:type="dxa"/>
            </w:tcMar>
            <w:vAlign w:val="center"/>
            <w:hideMark/>
          </w:tcPr>
          <w:p w14:paraId="720BF4BC" w14:textId="77777777" w:rsidR="00CB397B" w:rsidRDefault="00CB397B">
            <w:pPr>
              <w:jc w:val="both"/>
              <w:rPr>
                <w:rFonts w:ascii="Times New Roman" w:hAnsi="Times New Roman"/>
                <w:sz w:val="24"/>
                <w:szCs w:val="24"/>
              </w:rPr>
            </w:pPr>
            <w:r>
              <w:rPr>
                <w:rFonts w:ascii="Times New Roman" w:hAnsi="Times New Roman"/>
                <w:sz w:val="24"/>
                <w:szCs w:val="24"/>
              </w:rPr>
              <w:t>0.250 ± 0.015</w:t>
            </w:r>
            <w:r>
              <w:rPr>
                <w:rFonts w:ascii="Times New Roman" w:hAnsi="Times New Roman"/>
                <w:sz w:val="24"/>
                <w:szCs w:val="24"/>
                <w:vertAlign w:val="superscript"/>
              </w:rPr>
              <w:t>f</w:t>
            </w:r>
          </w:p>
        </w:tc>
      </w:tr>
      <w:tr w:rsidR="00CB397B" w14:paraId="356146BC" w14:textId="77777777" w:rsidTr="00CB397B">
        <w:trPr>
          <w:trHeight w:val="298"/>
          <w:tblCellSpacing w:w="15" w:type="dxa"/>
        </w:trPr>
        <w:tc>
          <w:tcPr>
            <w:tcW w:w="3966" w:type="dxa"/>
            <w:tcMar>
              <w:top w:w="15" w:type="dxa"/>
              <w:left w:w="15" w:type="dxa"/>
              <w:bottom w:w="15" w:type="dxa"/>
              <w:right w:w="15" w:type="dxa"/>
            </w:tcMar>
            <w:vAlign w:val="center"/>
            <w:hideMark/>
          </w:tcPr>
          <w:p w14:paraId="00ECC733"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754" w:type="dxa"/>
            <w:tcMar>
              <w:top w:w="15" w:type="dxa"/>
              <w:left w:w="15" w:type="dxa"/>
              <w:bottom w:w="15" w:type="dxa"/>
              <w:right w:w="15" w:type="dxa"/>
            </w:tcMar>
            <w:vAlign w:val="center"/>
            <w:hideMark/>
          </w:tcPr>
          <w:p w14:paraId="16A29598"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1981" w:type="dxa"/>
            <w:tcMar>
              <w:top w:w="15" w:type="dxa"/>
              <w:left w:w="15" w:type="dxa"/>
              <w:bottom w:w="15" w:type="dxa"/>
              <w:right w:w="15" w:type="dxa"/>
            </w:tcMar>
            <w:vAlign w:val="center"/>
            <w:hideMark/>
          </w:tcPr>
          <w:p w14:paraId="7651A62F" w14:textId="77777777" w:rsidR="00CB397B" w:rsidRDefault="00CB397B">
            <w:pPr>
              <w:jc w:val="both"/>
              <w:rPr>
                <w:rFonts w:ascii="Times New Roman" w:hAnsi="Times New Roman"/>
                <w:sz w:val="24"/>
                <w:szCs w:val="24"/>
              </w:rPr>
            </w:pPr>
            <w:r>
              <w:rPr>
                <w:rFonts w:ascii="Times New Roman" w:hAnsi="Times New Roman"/>
                <w:sz w:val="24"/>
                <w:szCs w:val="24"/>
              </w:rPr>
              <w:t>0.090 ± 0.008</w:t>
            </w:r>
            <w:r>
              <w:rPr>
                <w:rFonts w:ascii="Times New Roman" w:hAnsi="Times New Roman"/>
                <w:sz w:val="24"/>
                <w:szCs w:val="24"/>
                <w:vertAlign w:val="superscript"/>
              </w:rPr>
              <w:t>a</w:t>
            </w:r>
          </w:p>
        </w:tc>
      </w:tr>
      <w:tr w:rsidR="00CB397B" w14:paraId="2D3FB2F1" w14:textId="77777777" w:rsidTr="00CB397B">
        <w:trPr>
          <w:trHeight w:val="314"/>
          <w:tblCellSpacing w:w="15" w:type="dxa"/>
        </w:trPr>
        <w:tc>
          <w:tcPr>
            <w:tcW w:w="3966" w:type="dxa"/>
            <w:tcMar>
              <w:top w:w="15" w:type="dxa"/>
              <w:left w:w="15" w:type="dxa"/>
              <w:bottom w:w="15" w:type="dxa"/>
              <w:right w:w="15" w:type="dxa"/>
            </w:tcMar>
            <w:vAlign w:val="center"/>
            <w:hideMark/>
          </w:tcPr>
          <w:p w14:paraId="6FE35A82"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754" w:type="dxa"/>
            <w:tcMar>
              <w:top w:w="15" w:type="dxa"/>
              <w:left w:w="15" w:type="dxa"/>
              <w:bottom w:w="15" w:type="dxa"/>
              <w:right w:w="15" w:type="dxa"/>
            </w:tcMar>
            <w:vAlign w:val="center"/>
            <w:hideMark/>
          </w:tcPr>
          <w:p w14:paraId="0014209F"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1981" w:type="dxa"/>
            <w:tcMar>
              <w:top w:w="15" w:type="dxa"/>
              <w:left w:w="15" w:type="dxa"/>
              <w:bottom w:w="15" w:type="dxa"/>
              <w:right w:w="15" w:type="dxa"/>
            </w:tcMar>
            <w:vAlign w:val="center"/>
            <w:hideMark/>
          </w:tcPr>
          <w:p w14:paraId="1F341CC0" w14:textId="77777777" w:rsidR="00CB397B" w:rsidRDefault="00CB397B">
            <w:pPr>
              <w:jc w:val="both"/>
              <w:rPr>
                <w:rFonts w:ascii="Times New Roman" w:hAnsi="Times New Roman"/>
                <w:sz w:val="24"/>
                <w:szCs w:val="24"/>
              </w:rPr>
            </w:pPr>
            <w:r>
              <w:rPr>
                <w:rFonts w:ascii="Times New Roman" w:hAnsi="Times New Roman"/>
                <w:sz w:val="24"/>
                <w:szCs w:val="24"/>
              </w:rPr>
              <w:t>0.110 ± 0.009</w:t>
            </w:r>
            <w:r>
              <w:rPr>
                <w:rFonts w:ascii="Times New Roman" w:hAnsi="Times New Roman"/>
                <w:sz w:val="24"/>
                <w:szCs w:val="24"/>
                <w:vertAlign w:val="superscript"/>
              </w:rPr>
              <w:t>a</w:t>
            </w:r>
          </w:p>
        </w:tc>
      </w:tr>
      <w:tr w:rsidR="00CB397B" w14:paraId="76454238" w14:textId="77777777" w:rsidTr="00CB397B">
        <w:trPr>
          <w:trHeight w:val="298"/>
          <w:tblCellSpacing w:w="15" w:type="dxa"/>
        </w:trPr>
        <w:tc>
          <w:tcPr>
            <w:tcW w:w="3966" w:type="dxa"/>
            <w:tcBorders>
              <w:top w:val="nil"/>
              <w:left w:val="nil"/>
              <w:bottom w:val="single" w:sz="4" w:space="0" w:color="auto"/>
              <w:right w:val="nil"/>
            </w:tcBorders>
            <w:tcMar>
              <w:top w:w="15" w:type="dxa"/>
              <w:left w:w="15" w:type="dxa"/>
              <w:bottom w:w="15" w:type="dxa"/>
              <w:right w:w="15" w:type="dxa"/>
            </w:tcMar>
            <w:vAlign w:val="center"/>
            <w:hideMark/>
          </w:tcPr>
          <w:p w14:paraId="7FC089B5"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754" w:type="dxa"/>
            <w:tcBorders>
              <w:top w:val="nil"/>
              <w:left w:val="nil"/>
              <w:bottom w:val="single" w:sz="4" w:space="0" w:color="auto"/>
              <w:right w:val="nil"/>
            </w:tcBorders>
            <w:tcMar>
              <w:top w:w="15" w:type="dxa"/>
              <w:left w:w="15" w:type="dxa"/>
              <w:bottom w:w="15" w:type="dxa"/>
              <w:right w:w="15" w:type="dxa"/>
            </w:tcMar>
            <w:vAlign w:val="center"/>
            <w:hideMark/>
          </w:tcPr>
          <w:p w14:paraId="186FF3DF"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1981" w:type="dxa"/>
            <w:tcBorders>
              <w:top w:val="nil"/>
              <w:left w:val="nil"/>
              <w:bottom w:val="single" w:sz="4" w:space="0" w:color="auto"/>
              <w:right w:val="nil"/>
            </w:tcBorders>
            <w:tcMar>
              <w:top w:w="15" w:type="dxa"/>
              <w:left w:w="15" w:type="dxa"/>
              <w:bottom w:w="15" w:type="dxa"/>
              <w:right w:w="15" w:type="dxa"/>
            </w:tcMar>
            <w:vAlign w:val="center"/>
            <w:hideMark/>
          </w:tcPr>
          <w:p w14:paraId="19EB6318" w14:textId="77777777" w:rsidR="00CB397B" w:rsidRDefault="00CB397B">
            <w:pPr>
              <w:jc w:val="both"/>
              <w:rPr>
                <w:rFonts w:ascii="Times New Roman" w:hAnsi="Times New Roman"/>
                <w:sz w:val="24"/>
                <w:szCs w:val="24"/>
              </w:rPr>
            </w:pPr>
            <w:r>
              <w:rPr>
                <w:rFonts w:ascii="Times New Roman" w:hAnsi="Times New Roman"/>
                <w:sz w:val="24"/>
                <w:szCs w:val="24"/>
              </w:rPr>
              <w:t>0.130 ± 0.010</w:t>
            </w:r>
            <w:r>
              <w:rPr>
                <w:rFonts w:ascii="Times New Roman" w:hAnsi="Times New Roman"/>
                <w:sz w:val="24"/>
                <w:szCs w:val="24"/>
                <w:vertAlign w:val="superscript"/>
              </w:rPr>
              <w:t>a</w:t>
            </w:r>
          </w:p>
        </w:tc>
      </w:tr>
    </w:tbl>
    <w:p w14:paraId="5A0A4884" w14:textId="77777777" w:rsidR="00CB397B" w:rsidRDefault="00CB397B" w:rsidP="00CB397B">
      <w:pPr>
        <w:jc w:val="both"/>
        <w:rPr>
          <w:rFonts w:ascii="Times New Roman" w:hAnsi="Times New Roman"/>
          <w:i/>
          <w:sz w:val="24"/>
          <w:szCs w:val="24"/>
        </w:rPr>
      </w:pPr>
      <w:r>
        <w:rPr>
          <w:rFonts w:ascii="Times New Roman" w:hAnsi="Times New Roman"/>
          <w:i/>
          <w:sz w:val="24"/>
          <w:szCs w:val="24"/>
        </w:rPr>
        <w:t xml:space="preserve">Values are expressed as mean </w:t>
      </w:r>
      <w:r>
        <w:rPr>
          <w:rFonts w:ascii="Times New Roman" w:hAnsi="Times New Roman"/>
          <w:sz w:val="24"/>
          <w:szCs w:val="24"/>
        </w:rPr>
        <w:t xml:space="preserve">± </w:t>
      </w:r>
      <w:r>
        <w:rPr>
          <w:rFonts w:ascii="Times New Roman" w:hAnsi="Times New Roman"/>
          <w:i/>
          <w:sz w:val="24"/>
          <w:szCs w:val="24"/>
        </w:rPr>
        <w:t>standard deviation different superscript letters indicate significant differences (</w:t>
      </w:r>
      <w:r>
        <w:rPr>
          <w:rFonts w:ascii="Times New Roman" w:hAnsi="Times New Roman"/>
          <w:i/>
          <w:iCs/>
          <w:sz w:val="24"/>
          <w:szCs w:val="24"/>
        </w:rPr>
        <w:t>p</w:t>
      </w:r>
      <w:r>
        <w:rPr>
          <w:rFonts w:ascii="Times New Roman" w:hAnsi="Times New Roman"/>
          <w:i/>
          <w:sz w:val="24"/>
          <w:szCs w:val="24"/>
        </w:rPr>
        <w:t xml:space="preserve"> &lt; 0.05).</w:t>
      </w:r>
    </w:p>
    <w:p w14:paraId="578CD8A0" w14:textId="77777777" w:rsidR="00CB397B" w:rsidRDefault="00CB397B" w:rsidP="00CB397B">
      <w:pPr>
        <w:jc w:val="both"/>
        <w:outlineLvl w:val="2"/>
        <w:rPr>
          <w:rFonts w:ascii="Times New Roman" w:hAnsi="Times New Roman"/>
          <w:b/>
          <w:bCs/>
          <w:sz w:val="24"/>
          <w:szCs w:val="24"/>
        </w:rPr>
      </w:pPr>
      <w:r>
        <w:rPr>
          <w:rFonts w:ascii="Times New Roman" w:hAnsi="Times New Roman"/>
          <w:b/>
          <w:bCs/>
          <w:sz w:val="24"/>
          <w:szCs w:val="24"/>
        </w:rPr>
        <w:t>Table 10: Mean concentration of Zinc (Zn) in pond Water</w:t>
      </w:r>
    </w:p>
    <w:tbl>
      <w:tblPr>
        <w:tblW w:w="8112" w:type="dxa"/>
        <w:tblCellSpacing w:w="15" w:type="dxa"/>
        <w:tblLook w:val="04A0" w:firstRow="1" w:lastRow="0" w:firstColumn="1" w:lastColumn="0" w:noHBand="0" w:noVBand="1"/>
      </w:tblPr>
      <w:tblGrid>
        <w:gridCol w:w="3375"/>
        <w:gridCol w:w="2520"/>
        <w:gridCol w:w="2217"/>
      </w:tblGrid>
      <w:tr w:rsidR="00CB397B" w14:paraId="06BC4D7E" w14:textId="77777777" w:rsidTr="00CB397B">
        <w:trPr>
          <w:trHeight w:val="279"/>
          <w:tblHeader/>
          <w:tblCellSpacing w:w="15" w:type="dxa"/>
        </w:trPr>
        <w:tc>
          <w:tcPr>
            <w:tcW w:w="3330"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15F68D0"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2490"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444C29C"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2172"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6CEACCB6" w14:textId="77777777" w:rsidR="00CB397B" w:rsidRDefault="00CB397B">
            <w:pPr>
              <w:jc w:val="both"/>
              <w:rPr>
                <w:rFonts w:ascii="Times New Roman" w:hAnsi="Times New Roman"/>
                <w:b/>
                <w:bCs/>
                <w:sz w:val="24"/>
                <w:szCs w:val="24"/>
              </w:rPr>
            </w:pPr>
            <w:r>
              <w:rPr>
                <w:rFonts w:ascii="Times New Roman" w:hAnsi="Times New Roman"/>
                <w:b/>
                <w:bCs/>
                <w:sz w:val="24"/>
                <w:szCs w:val="24"/>
              </w:rPr>
              <w:t>Mean ± SD (mg/L)</w:t>
            </w:r>
          </w:p>
        </w:tc>
      </w:tr>
      <w:tr w:rsidR="00CB397B" w14:paraId="5F920CBA" w14:textId="77777777" w:rsidTr="00CB397B">
        <w:trPr>
          <w:trHeight w:val="53"/>
          <w:tblCellSpacing w:w="15" w:type="dxa"/>
        </w:trPr>
        <w:tc>
          <w:tcPr>
            <w:tcW w:w="3330" w:type="dxa"/>
            <w:tcMar>
              <w:top w:w="15" w:type="dxa"/>
              <w:left w:w="15" w:type="dxa"/>
              <w:bottom w:w="15" w:type="dxa"/>
              <w:right w:w="15" w:type="dxa"/>
            </w:tcMar>
            <w:vAlign w:val="center"/>
            <w:hideMark/>
          </w:tcPr>
          <w:p w14:paraId="00F5997E"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490" w:type="dxa"/>
            <w:tcMar>
              <w:top w:w="15" w:type="dxa"/>
              <w:left w:w="15" w:type="dxa"/>
              <w:bottom w:w="15" w:type="dxa"/>
              <w:right w:w="15" w:type="dxa"/>
            </w:tcMar>
            <w:vAlign w:val="center"/>
            <w:hideMark/>
          </w:tcPr>
          <w:p w14:paraId="690E2B85"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172" w:type="dxa"/>
            <w:tcMar>
              <w:top w:w="15" w:type="dxa"/>
              <w:left w:w="15" w:type="dxa"/>
              <w:bottom w:w="15" w:type="dxa"/>
              <w:right w:w="15" w:type="dxa"/>
            </w:tcMar>
            <w:vAlign w:val="center"/>
            <w:hideMark/>
          </w:tcPr>
          <w:p w14:paraId="5FA888B9" w14:textId="77777777" w:rsidR="00CB397B" w:rsidRDefault="00CB397B">
            <w:pPr>
              <w:jc w:val="both"/>
              <w:rPr>
                <w:rFonts w:ascii="Times New Roman" w:hAnsi="Times New Roman"/>
                <w:sz w:val="24"/>
                <w:szCs w:val="24"/>
              </w:rPr>
            </w:pPr>
            <w:r>
              <w:rPr>
                <w:rFonts w:ascii="Times New Roman" w:hAnsi="Times New Roman"/>
                <w:sz w:val="24"/>
                <w:szCs w:val="24"/>
              </w:rPr>
              <w:t>1.250 ± 0.052</w:t>
            </w:r>
            <w:r>
              <w:rPr>
                <w:rFonts w:ascii="Times New Roman" w:hAnsi="Times New Roman"/>
                <w:sz w:val="24"/>
                <w:szCs w:val="24"/>
                <w:vertAlign w:val="superscript"/>
              </w:rPr>
              <w:t>d</w:t>
            </w:r>
          </w:p>
        </w:tc>
      </w:tr>
      <w:tr w:rsidR="00CB397B" w14:paraId="064AAE0C" w14:textId="77777777" w:rsidTr="00CB397B">
        <w:trPr>
          <w:trHeight w:val="264"/>
          <w:tblCellSpacing w:w="15" w:type="dxa"/>
        </w:trPr>
        <w:tc>
          <w:tcPr>
            <w:tcW w:w="3330" w:type="dxa"/>
            <w:tcMar>
              <w:top w:w="15" w:type="dxa"/>
              <w:left w:w="15" w:type="dxa"/>
              <w:bottom w:w="15" w:type="dxa"/>
              <w:right w:w="15" w:type="dxa"/>
            </w:tcMar>
            <w:vAlign w:val="center"/>
            <w:hideMark/>
          </w:tcPr>
          <w:p w14:paraId="00FF2E84"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490" w:type="dxa"/>
            <w:tcMar>
              <w:top w:w="15" w:type="dxa"/>
              <w:left w:w="15" w:type="dxa"/>
              <w:bottom w:w="15" w:type="dxa"/>
              <w:right w:w="15" w:type="dxa"/>
            </w:tcMar>
            <w:vAlign w:val="center"/>
            <w:hideMark/>
          </w:tcPr>
          <w:p w14:paraId="58A8237E"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172" w:type="dxa"/>
            <w:tcMar>
              <w:top w:w="15" w:type="dxa"/>
              <w:left w:w="15" w:type="dxa"/>
              <w:bottom w:w="15" w:type="dxa"/>
              <w:right w:w="15" w:type="dxa"/>
            </w:tcMar>
            <w:vAlign w:val="center"/>
            <w:hideMark/>
          </w:tcPr>
          <w:p w14:paraId="456672B0" w14:textId="77777777" w:rsidR="00CB397B" w:rsidRDefault="00CB397B">
            <w:pPr>
              <w:jc w:val="both"/>
              <w:rPr>
                <w:rFonts w:ascii="Times New Roman" w:hAnsi="Times New Roman"/>
                <w:sz w:val="24"/>
                <w:szCs w:val="24"/>
              </w:rPr>
            </w:pPr>
            <w:r>
              <w:rPr>
                <w:rFonts w:ascii="Times New Roman" w:hAnsi="Times New Roman"/>
                <w:sz w:val="24"/>
                <w:szCs w:val="24"/>
              </w:rPr>
              <w:t>1.480 ± 0.061</w:t>
            </w:r>
            <w:r>
              <w:rPr>
                <w:rFonts w:ascii="Times New Roman" w:hAnsi="Times New Roman"/>
                <w:sz w:val="24"/>
                <w:szCs w:val="24"/>
                <w:vertAlign w:val="superscript"/>
              </w:rPr>
              <w:t>e</w:t>
            </w:r>
          </w:p>
        </w:tc>
      </w:tr>
      <w:tr w:rsidR="00CB397B" w14:paraId="5BA21688" w14:textId="77777777" w:rsidTr="00CB397B">
        <w:trPr>
          <w:trHeight w:val="279"/>
          <w:tblCellSpacing w:w="15" w:type="dxa"/>
        </w:trPr>
        <w:tc>
          <w:tcPr>
            <w:tcW w:w="3330" w:type="dxa"/>
            <w:tcMar>
              <w:top w:w="15" w:type="dxa"/>
              <w:left w:w="15" w:type="dxa"/>
              <w:bottom w:w="15" w:type="dxa"/>
              <w:right w:w="15" w:type="dxa"/>
            </w:tcMar>
            <w:vAlign w:val="center"/>
            <w:hideMark/>
          </w:tcPr>
          <w:p w14:paraId="7A03A93E"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490" w:type="dxa"/>
            <w:tcMar>
              <w:top w:w="15" w:type="dxa"/>
              <w:left w:w="15" w:type="dxa"/>
              <w:bottom w:w="15" w:type="dxa"/>
              <w:right w:w="15" w:type="dxa"/>
            </w:tcMar>
            <w:vAlign w:val="center"/>
            <w:hideMark/>
          </w:tcPr>
          <w:p w14:paraId="7980BA23"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172" w:type="dxa"/>
            <w:tcMar>
              <w:top w:w="15" w:type="dxa"/>
              <w:left w:w="15" w:type="dxa"/>
              <w:bottom w:w="15" w:type="dxa"/>
              <w:right w:w="15" w:type="dxa"/>
            </w:tcMar>
            <w:vAlign w:val="center"/>
            <w:hideMark/>
          </w:tcPr>
          <w:p w14:paraId="5A71D26A" w14:textId="77777777" w:rsidR="00CB397B" w:rsidRDefault="00CB397B">
            <w:pPr>
              <w:jc w:val="both"/>
              <w:rPr>
                <w:rFonts w:ascii="Times New Roman" w:hAnsi="Times New Roman"/>
                <w:sz w:val="24"/>
                <w:szCs w:val="24"/>
              </w:rPr>
            </w:pPr>
            <w:r>
              <w:rPr>
                <w:rFonts w:ascii="Times New Roman" w:hAnsi="Times New Roman"/>
                <w:sz w:val="24"/>
                <w:szCs w:val="24"/>
              </w:rPr>
              <w:t>1.720 ± 0.070</w:t>
            </w:r>
            <w:r>
              <w:rPr>
                <w:rFonts w:ascii="Times New Roman" w:hAnsi="Times New Roman"/>
                <w:sz w:val="24"/>
                <w:szCs w:val="24"/>
                <w:vertAlign w:val="superscript"/>
              </w:rPr>
              <w:t>f</w:t>
            </w:r>
          </w:p>
        </w:tc>
      </w:tr>
      <w:tr w:rsidR="00CB397B" w14:paraId="0781E403" w14:textId="77777777" w:rsidTr="00CB397B">
        <w:trPr>
          <w:trHeight w:val="264"/>
          <w:tblCellSpacing w:w="15" w:type="dxa"/>
        </w:trPr>
        <w:tc>
          <w:tcPr>
            <w:tcW w:w="3330" w:type="dxa"/>
            <w:tcMar>
              <w:top w:w="15" w:type="dxa"/>
              <w:left w:w="15" w:type="dxa"/>
              <w:bottom w:w="15" w:type="dxa"/>
              <w:right w:w="15" w:type="dxa"/>
            </w:tcMar>
            <w:vAlign w:val="center"/>
            <w:hideMark/>
          </w:tcPr>
          <w:p w14:paraId="74473A11"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490" w:type="dxa"/>
            <w:tcMar>
              <w:top w:w="15" w:type="dxa"/>
              <w:left w:w="15" w:type="dxa"/>
              <w:bottom w:w="15" w:type="dxa"/>
              <w:right w:w="15" w:type="dxa"/>
            </w:tcMar>
            <w:vAlign w:val="center"/>
            <w:hideMark/>
          </w:tcPr>
          <w:p w14:paraId="6B8B9622"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172" w:type="dxa"/>
            <w:tcMar>
              <w:top w:w="15" w:type="dxa"/>
              <w:left w:w="15" w:type="dxa"/>
              <w:bottom w:w="15" w:type="dxa"/>
              <w:right w:w="15" w:type="dxa"/>
            </w:tcMar>
            <w:vAlign w:val="center"/>
            <w:hideMark/>
          </w:tcPr>
          <w:p w14:paraId="650B8F35" w14:textId="77777777" w:rsidR="00CB397B" w:rsidRDefault="00CB397B">
            <w:pPr>
              <w:jc w:val="both"/>
              <w:rPr>
                <w:rFonts w:ascii="Times New Roman" w:hAnsi="Times New Roman"/>
                <w:sz w:val="24"/>
                <w:szCs w:val="24"/>
              </w:rPr>
            </w:pPr>
            <w:r>
              <w:rPr>
                <w:rFonts w:ascii="Times New Roman" w:hAnsi="Times New Roman"/>
                <w:sz w:val="24"/>
                <w:szCs w:val="24"/>
              </w:rPr>
              <w:t>0.550 ± 0.028</w:t>
            </w:r>
            <w:r>
              <w:rPr>
                <w:rFonts w:ascii="Times New Roman" w:hAnsi="Times New Roman"/>
                <w:sz w:val="24"/>
                <w:szCs w:val="24"/>
                <w:vertAlign w:val="superscript"/>
              </w:rPr>
              <w:t>a</w:t>
            </w:r>
          </w:p>
        </w:tc>
      </w:tr>
      <w:tr w:rsidR="00CB397B" w14:paraId="1DA5D901" w14:textId="77777777" w:rsidTr="00CB397B">
        <w:trPr>
          <w:trHeight w:val="279"/>
          <w:tblCellSpacing w:w="15" w:type="dxa"/>
        </w:trPr>
        <w:tc>
          <w:tcPr>
            <w:tcW w:w="3330" w:type="dxa"/>
            <w:tcMar>
              <w:top w:w="15" w:type="dxa"/>
              <w:left w:w="15" w:type="dxa"/>
              <w:bottom w:w="15" w:type="dxa"/>
              <w:right w:w="15" w:type="dxa"/>
            </w:tcMar>
            <w:vAlign w:val="center"/>
            <w:hideMark/>
          </w:tcPr>
          <w:p w14:paraId="1D14EEF4"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490" w:type="dxa"/>
            <w:tcMar>
              <w:top w:w="15" w:type="dxa"/>
              <w:left w:w="15" w:type="dxa"/>
              <w:bottom w:w="15" w:type="dxa"/>
              <w:right w:w="15" w:type="dxa"/>
            </w:tcMar>
            <w:vAlign w:val="center"/>
            <w:hideMark/>
          </w:tcPr>
          <w:p w14:paraId="471FD265"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172" w:type="dxa"/>
            <w:tcMar>
              <w:top w:w="15" w:type="dxa"/>
              <w:left w:w="15" w:type="dxa"/>
              <w:bottom w:w="15" w:type="dxa"/>
              <w:right w:w="15" w:type="dxa"/>
            </w:tcMar>
            <w:vAlign w:val="center"/>
            <w:hideMark/>
          </w:tcPr>
          <w:p w14:paraId="2AD738AC" w14:textId="77777777" w:rsidR="00CB397B" w:rsidRDefault="00CB397B">
            <w:pPr>
              <w:jc w:val="both"/>
              <w:rPr>
                <w:rFonts w:ascii="Times New Roman" w:hAnsi="Times New Roman"/>
                <w:sz w:val="24"/>
                <w:szCs w:val="24"/>
              </w:rPr>
            </w:pPr>
            <w:r>
              <w:rPr>
                <w:rFonts w:ascii="Times New Roman" w:hAnsi="Times New Roman"/>
                <w:sz w:val="24"/>
                <w:szCs w:val="24"/>
              </w:rPr>
              <w:t>0.620 ± 0.031</w:t>
            </w:r>
            <w:r>
              <w:rPr>
                <w:rFonts w:ascii="Times New Roman" w:hAnsi="Times New Roman"/>
                <w:sz w:val="24"/>
                <w:szCs w:val="24"/>
                <w:vertAlign w:val="superscript"/>
              </w:rPr>
              <w:t>a</w:t>
            </w:r>
          </w:p>
        </w:tc>
      </w:tr>
      <w:tr w:rsidR="00CB397B" w14:paraId="4500A72A" w14:textId="77777777" w:rsidTr="00CB397B">
        <w:trPr>
          <w:trHeight w:val="264"/>
          <w:tblCellSpacing w:w="15" w:type="dxa"/>
        </w:trPr>
        <w:tc>
          <w:tcPr>
            <w:tcW w:w="3330" w:type="dxa"/>
            <w:tcMar>
              <w:top w:w="15" w:type="dxa"/>
              <w:left w:w="15" w:type="dxa"/>
              <w:bottom w:w="15" w:type="dxa"/>
              <w:right w:w="15" w:type="dxa"/>
            </w:tcMar>
            <w:vAlign w:val="center"/>
            <w:hideMark/>
          </w:tcPr>
          <w:p w14:paraId="7E82CFE1"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490" w:type="dxa"/>
            <w:tcMar>
              <w:top w:w="15" w:type="dxa"/>
              <w:left w:w="15" w:type="dxa"/>
              <w:bottom w:w="15" w:type="dxa"/>
              <w:right w:w="15" w:type="dxa"/>
            </w:tcMar>
            <w:vAlign w:val="center"/>
            <w:hideMark/>
          </w:tcPr>
          <w:p w14:paraId="7B6DE6BE"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172" w:type="dxa"/>
            <w:tcMar>
              <w:top w:w="15" w:type="dxa"/>
              <w:left w:w="15" w:type="dxa"/>
              <w:bottom w:w="15" w:type="dxa"/>
              <w:right w:w="15" w:type="dxa"/>
            </w:tcMar>
            <w:vAlign w:val="center"/>
            <w:hideMark/>
          </w:tcPr>
          <w:p w14:paraId="4239F88A" w14:textId="77777777" w:rsidR="00CB397B" w:rsidRDefault="00CB397B">
            <w:pPr>
              <w:jc w:val="both"/>
              <w:rPr>
                <w:rFonts w:ascii="Times New Roman" w:hAnsi="Times New Roman"/>
                <w:sz w:val="24"/>
                <w:szCs w:val="24"/>
              </w:rPr>
            </w:pPr>
            <w:r>
              <w:rPr>
                <w:rFonts w:ascii="Times New Roman" w:hAnsi="Times New Roman"/>
                <w:sz w:val="24"/>
                <w:szCs w:val="24"/>
              </w:rPr>
              <w:t>0.750 ± 0.035</w:t>
            </w:r>
            <w:r>
              <w:rPr>
                <w:rFonts w:ascii="Times New Roman" w:hAnsi="Times New Roman"/>
                <w:sz w:val="24"/>
                <w:szCs w:val="24"/>
                <w:vertAlign w:val="superscript"/>
              </w:rPr>
              <w:t>g</w:t>
            </w:r>
          </w:p>
        </w:tc>
      </w:tr>
      <w:tr w:rsidR="00CB397B" w14:paraId="0624DB69" w14:textId="77777777" w:rsidTr="00CB397B">
        <w:trPr>
          <w:trHeight w:val="279"/>
          <w:tblCellSpacing w:w="15" w:type="dxa"/>
        </w:trPr>
        <w:tc>
          <w:tcPr>
            <w:tcW w:w="3330" w:type="dxa"/>
            <w:tcMar>
              <w:top w:w="15" w:type="dxa"/>
              <w:left w:w="15" w:type="dxa"/>
              <w:bottom w:w="15" w:type="dxa"/>
              <w:right w:w="15" w:type="dxa"/>
            </w:tcMar>
            <w:vAlign w:val="center"/>
            <w:hideMark/>
          </w:tcPr>
          <w:p w14:paraId="4519D8B7"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490" w:type="dxa"/>
            <w:tcMar>
              <w:top w:w="15" w:type="dxa"/>
              <w:left w:w="15" w:type="dxa"/>
              <w:bottom w:w="15" w:type="dxa"/>
              <w:right w:w="15" w:type="dxa"/>
            </w:tcMar>
            <w:vAlign w:val="center"/>
            <w:hideMark/>
          </w:tcPr>
          <w:p w14:paraId="0B9BB1E3"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2172" w:type="dxa"/>
            <w:tcMar>
              <w:top w:w="15" w:type="dxa"/>
              <w:left w:w="15" w:type="dxa"/>
              <w:bottom w:w="15" w:type="dxa"/>
              <w:right w:w="15" w:type="dxa"/>
            </w:tcMar>
            <w:vAlign w:val="center"/>
            <w:hideMark/>
          </w:tcPr>
          <w:p w14:paraId="6F03F6ED" w14:textId="77777777" w:rsidR="00CB397B" w:rsidRDefault="00CB397B">
            <w:pPr>
              <w:jc w:val="both"/>
              <w:rPr>
                <w:rFonts w:ascii="Times New Roman" w:hAnsi="Times New Roman"/>
                <w:sz w:val="24"/>
                <w:szCs w:val="24"/>
              </w:rPr>
            </w:pPr>
            <w:r>
              <w:rPr>
                <w:rFonts w:ascii="Times New Roman" w:hAnsi="Times New Roman"/>
                <w:sz w:val="24"/>
                <w:szCs w:val="24"/>
              </w:rPr>
              <w:t>0.300 ± 0.018</w:t>
            </w:r>
            <w:r>
              <w:rPr>
                <w:rFonts w:ascii="Times New Roman" w:hAnsi="Times New Roman"/>
                <w:sz w:val="24"/>
                <w:szCs w:val="24"/>
                <w:vertAlign w:val="superscript"/>
              </w:rPr>
              <w:t>b</w:t>
            </w:r>
          </w:p>
        </w:tc>
      </w:tr>
      <w:tr w:rsidR="00CB397B" w14:paraId="451CF4D1" w14:textId="77777777" w:rsidTr="00CB397B">
        <w:trPr>
          <w:trHeight w:val="264"/>
          <w:tblCellSpacing w:w="15" w:type="dxa"/>
        </w:trPr>
        <w:tc>
          <w:tcPr>
            <w:tcW w:w="3330" w:type="dxa"/>
            <w:tcMar>
              <w:top w:w="15" w:type="dxa"/>
              <w:left w:w="15" w:type="dxa"/>
              <w:bottom w:w="15" w:type="dxa"/>
              <w:right w:w="15" w:type="dxa"/>
            </w:tcMar>
            <w:vAlign w:val="center"/>
            <w:hideMark/>
          </w:tcPr>
          <w:p w14:paraId="4F02019E"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490" w:type="dxa"/>
            <w:tcMar>
              <w:top w:w="15" w:type="dxa"/>
              <w:left w:w="15" w:type="dxa"/>
              <w:bottom w:w="15" w:type="dxa"/>
              <w:right w:w="15" w:type="dxa"/>
            </w:tcMar>
            <w:vAlign w:val="center"/>
            <w:hideMark/>
          </w:tcPr>
          <w:p w14:paraId="1B04E643"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2172" w:type="dxa"/>
            <w:tcMar>
              <w:top w:w="15" w:type="dxa"/>
              <w:left w:w="15" w:type="dxa"/>
              <w:bottom w:w="15" w:type="dxa"/>
              <w:right w:w="15" w:type="dxa"/>
            </w:tcMar>
            <w:vAlign w:val="center"/>
            <w:hideMark/>
          </w:tcPr>
          <w:p w14:paraId="26026658" w14:textId="77777777" w:rsidR="00CB397B" w:rsidRDefault="00CB397B">
            <w:pPr>
              <w:jc w:val="both"/>
              <w:rPr>
                <w:rFonts w:ascii="Times New Roman" w:hAnsi="Times New Roman"/>
                <w:sz w:val="24"/>
                <w:szCs w:val="24"/>
              </w:rPr>
            </w:pPr>
            <w:r>
              <w:rPr>
                <w:rFonts w:ascii="Times New Roman" w:hAnsi="Times New Roman"/>
                <w:sz w:val="24"/>
                <w:szCs w:val="24"/>
              </w:rPr>
              <w:t>0.350 ± 0.020</w:t>
            </w:r>
            <w:r>
              <w:rPr>
                <w:rFonts w:ascii="Times New Roman" w:hAnsi="Times New Roman"/>
                <w:sz w:val="24"/>
                <w:szCs w:val="24"/>
                <w:vertAlign w:val="superscript"/>
              </w:rPr>
              <w:t>bc</w:t>
            </w:r>
          </w:p>
        </w:tc>
      </w:tr>
      <w:tr w:rsidR="00CB397B" w14:paraId="73A03D60" w14:textId="77777777" w:rsidTr="00CB397B">
        <w:trPr>
          <w:trHeight w:val="279"/>
          <w:tblCellSpacing w:w="15" w:type="dxa"/>
        </w:trPr>
        <w:tc>
          <w:tcPr>
            <w:tcW w:w="3330" w:type="dxa"/>
            <w:tcBorders>
              <w:top w:val="nil"/>
              <w:left w:val="nil"/>
              <w:bottom w:val="single" w:sz="4" w:space="0" w:color="auto"/>
              <w:right w:val="nil"/>
            </w:tcBorders>
            <w:tcMar>
              <w:top w:w="15" w:type="dxa"/>
              <w:left w:w="15" w:type="dxa"/>
              <w:bottom w:w="15" w:type="dxa"/>
              <w:right w:w="15" w:type="dxa"/>
            </w:tcMar>
            <w:vAlign w:val="center"/>
            <w:hideMark/>
          </w:tcPr>
          <w:p w14:paraId="02E8CE45"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490" w:type="dxa"/>
            <w:tcBorders>
              <w:top w:val="nil"/>
              <w:left w:val="nil"/>
              <w:bottom w:val="single" w:sz="4" w:space="0" w:color="auto"/>
              <w:right w:val="nil"/>
            </w:tcBorders>
            <w:tcMar>
              <w:top w:w="15" w:type="dxa"/>
              <w:left w:w="15" w:type="dxa"/>
              <w:bottom w:w="15" w:type="dxa"/>
              <w:right w:w="15" w:type="dxa"/>
            </w:tcMar>
            <w:vAlign w:val="center"/>
            <w:hideMark/>
          </w:tcPr>
          <w:p w14:paraId="383DE676"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2172" w:type="dxa"/>
            <w:tcBorders>
              <w:top w:val="nil"/>
              <w:left w:val="nil"/>
              <w:bottom w:val="single" w:sz="4" w:space="0" w:color="auto"/>
              <w:right w:val="nil"/>
            </w:tcBorders>
            <w:tcMar>
              <w:top w:w="15" w:type="dxa"/>
              <w:left w:w="15" w:type="dxa"/>
              <w:bottom w:w="15" w:type="dxa"/>
              <w:right w:w="15" w:type="dxa"/>
            </w:tcMar>
            <w:vAlign w:val="center"/>
            <w:hideMark/>
          </w:tcPr>
          <w:p w14:paraId="39BF1BF4" w14:textId="77777777" w:rsidR="00CB397B" w:rsidRDefault="00CB397B">
            <w:pPr>
              <w:jc w:val="both"/>
              <w:rPr>
                <w:rFonts w:ascii="Times New Roman" w:hAnsi="Times New Roman"/>
                <w:sz w:val="24"/>
                <w:szCs w:val="24"/>
              </w:rPr>
            </w:pPr>
            <w:r>
              <w:rPr>
                <w:rFonts w:ascii="Times New Roman" w:hAnsi="Times New Roman"/>
                <w:sz w:val="24"/>
                <w:szCs w:val="24"/>
              </w:rPr>
              <w:t>020 ± 0.022</w:t>
            </w:r>
            <w:r>
              <w:rPr>
                <w:rFonts w:ascii="Times New Roman" w:hAnsi="Times New Roman"/>
                <w:sz w:val="24"/>
                <w:szCs w:val="24"/>
                <w:vertAlign w:val="superscript"/>
              </w:rPr>
              <w:t>c</w:t>
            </w:r>
          </w:p>
        </w:tc>
      </w:tr>
    </w:tbl>
    <w:p w14:paraId="655F6EA1" w14:textId="77777777" w:rsidR="00CB397B" w:rsidRDefault="00CB397B" w:rsidP="00CB397B">
      <w:pPr>
        <w:jc w:val="both"/>
        <w:rPr>
          <w:rFonts w:ascii="Times New Roman" w:hAnsi="Times New Roman"/>
          <w:i/>
          <w:sz w:val="24"/>
          <w:szCs w:val="24"/>
        </w:rPr>
      </w:pPr>
      <w:r>
        <w:rPr>
          <w:rFonts w:ascii="Times New Roman" w:hAnsi="Times New Roman"/>
          <w:i/>
          <w:sz w:val="24"/>
          <w:szCs w:val="24"/>
        </w:rPr>
        <w:t>Values are expressed as mean standard deviation different superscript letters indicate significant differences (</w:t>
      </w:r>
      <w:r>
        <w:rPr>
          <w:rFonts w:ascii="Times New Roman" w:hAnsi="Times New Roman"/>
          <w:i/>
          <w:iCs/>
          <w:sz w:val="24"/>
          <w:szCs w:val="24"/>
        </w:rPr>
        <w:t>p</w:t>
      </w:r>
      <w:r>
        <w:rPr>
          <w:rFonts w:ascii="Times New Roman" w:hAnsi="Times New Roman"/>
          <w:i/>
          <w:sz w:val="24"/>
          <w:szCs w:val="24"/>
        </w:rPr>
        <w:t xml:space="preserve"> &lt; 0.05).</w:t>
      </w:r>
    </w:p>
    <w:p w14:paraId="1923FFEA" w14:textId="77777777" w:rsidR="00CB397B" w:rsidRDefault="00CB397B" w:rsidP="00CB397B">
      <w:pPr>
        <w:jc w:val="both"/>
        <w:outlineLvl w:val="1"/>
        <w:rPr>
          <w:rFonts w:ascii="Times New Roman" w:hAnsi="Times New Roman"/>
          <w:b/>
          <w:bCs/>
          <w:sz w:val="24"/>
          <w:szCs w:val="24"/>
        </w:rPr>
      </w:pPr>
      <w:r>
        <w:rPr>
          <w:rFonts w:ascii="Times New Roman" w:hAnsi="Times New Roman"/>
          <w:b/>
          <w:sz w:val="24"/>
          <w:szCs w:val="24"/>
        </w:rPr>
        <w:t xml:space="preserve">3.1.3 </w:t>
      </w:r>
      <w:r>
        <w:rPr>
          <w:rFonts w:ascii="Times New Roman" w:hAnsi="Times New Roman"/>
          <w:b/>
          <w:sz w:val="24"/>
          <w:szCs w:val="24"/>
        </w:rPr>
        <w:tab/>
      </w:r>
      <w:r>
        <w:rPr>
          <w:rFonts w:ascii="Times New Roman" w:hAnsi="Times New Roman"/>
          <w:b/>
          <w:bCs/>
          <w:sz w:val="24"/>
          <w:szCs w:val="24"/>
        </w:rPr>
        <w:t xml:space="preserve">Bioaccumulation Factor (BAF) for all metals investigated in </w:t>
      </w:r>
      <w:r>
        <w:rPr>
          <w:rFonts w:ascii="Times New Roman" w:hAnsi="Times New Roman"/>
          <w:b/>
          <w:bCs/>
          <w:i/>
          <w:iCs/>
          <w:sz w:val="24"/>
          <w:szCs w:val="24"/>
        </w:rPr>
        <w:t xml:space="preserve">Clarias </w:t>
      </w:r>
      <w:proofErr w:type="spellStart"/>
      <w:r>
        <w:rPr>
          <w:rFonts w:ascii="Times New Roman" w:hAnsi="Times New Roman"/>
          <w:b/>
          <w:bCs/>
          <w:i/>
          <w:iCs/>
          <w:sz w:val="24"/>
          <w:szCs w:val="24"/>
        </w:rPr>
        <w:t>gariepinus</w:t>
      </w:r>
      <w:proofErr w:type="spellEnd"/>
    </w:p>
    <w:p w14:paraId="151D7D4A"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The calculated BAFs indicate substantial differences in the ability of </w:t>
      </w:r>
      <w:r>
        <w:rPr>
          <w:rFonts w:ascii="Times New Roman" w:hAnsi="Times New Roman"/>
          <w:i/>
          <w:iCs/>
          <w:sz w:val="24"/>
          <w:szCs w:val="24"/>
        </w:rPr>
        <w:t xml:space="preserve">Clarias </w:t>
      </w:r>
      <w:proofErr w:type="spellStart"/>
      <w:r>
        <w:rPr>
          <w:rFonts w:ascii="Times New Roman" w:hAnsi="Times New Roman"/>
          <w:i/>
          <w:iCs/>
          <w:sz w:val="24"/>
          <w:szCs w:val="24"/>
        </w:rPr>
        <w:t>gariepinus</w:t>
      </w:r>
      <w:proofErr w:type="spellEnd"/>
      <w:r>
        <w:rPr>
          <w:rFonts w:ascii="Times New Roman" w:hAnsi="Times New Roman"/>
          <w:sz w:val="24"/>
          <w:szCs w:val="24"/>
        </w:rPr>
        <w:t xml:space="preserve"> to accumulate the investigated metals from the pond water. </w:t>
      </w:r>
      <w:r>
        <w:rPr>
          <w:rFonts w:ascii="Times New Roman" w:hAnsi="Times New Roman"/>
          <w:bCs/>
          <w:sz w:val="24"/>
          <w:szCs w:val="24"/>
        </w:rPr>
        <w:t>Zn showed the strongest bioaccumulation</w:t>
      </w:r>
      <w:r>
        <w:rPr>
          <w:rFonts w:ascii="Times New Roman" w:hAnsi="Times New Roman"/>
          <w:sz w:val="24"/>
          <w:szCs w:val="24"/>
        </w:rPr>
        <w:t xml:space="preserve">, with BAF values ranging approximately from </w:t>
      </w:r>
      <w:r>
        <w:rPr>
          <w:rFonts w:ascii="Times New Roman" w:hAnsi="Times New Roman"/>
          <w:bCs/>
          <w:sz w:val="24"/>
          <w:szCs w:val="24"/>
        </w:rPr>
        <w:t>2.28 to 28.30</w:t>
      </w:r>
      <w:r>
        <w:rPr>
          <w:rFonts w:ascii="Times New Roman" w:hAnsi="Times New Roman"/>
          <w:sz w:val="24"/>
          <w:szCs w:val="24"/>
        </w:rPr>
        <w:t xml:space="preserve">. The highest Zn BAF was recorded in the </w:t>
      </w:r>
      <w:r>
        <w:rPr>
          <w:rFonts w:ascii="Times New Roman" w:hAnsi="Times New Roman"/>
          <w:bCs/>
          <w:sz w:val="24"/>
          <w:szCs w:val="24"/>
        </w:rPr>
        <w:t>gills of fish from the New Airport concrete pond</w:t>
      </w:r>
      <w:r>
        <w:rPr>
          <w:rFonts w:ascii="Times New Roman" w:hAnsi="Times New Roman"/>
          <w:sz w:val="24"/>
          <w:szCs w:val="24"/>
        </w:rPr>
        <w:t xml:space="preserve">. </w:t>
      </w:r>
      <w:r>
        <w:rPr>
          <w:rFonts w:ascii="Times New Roman" w:hAnsi="Times New Roman"/>
          <w:bCs/>
          <w:sz w:val="24"/>
          <w:szCs w:val="24"/>
        </w:rPr>
        <w:t>Pb and Cd also showed considerable bioaccumulation</w:t>
      </w:r>
      <w:r>
        <w:rPr>
          <w:rFonts w:ascii="Times New Roman" w:hAnsi="Times New Roman"/>
          <w:sz w:val="24"/>
          <w:szCs w:val="24"/>
        </w:rPr>
        <w:t xml:space="preserve">, particularly in fish from New Airport and Magnus ponds. For Pb, the highest BAF occurred in the </w:t>
      </w:r>
      <w:r>
        <w:rPr>
          <w:rFonts w:ascii="Times New Roman" w:hAnsi="Times New Roman"/>
          <w:bCs/>
          <w:sz w:val="24"/>
          <w:szCs w:val="24"/>
        </w:rPr>
        <w:t>New Airport concrete gills</w:t>
      </w:r>
      <w:r>
        <w:rPr>
          <w:rFonts w:ascii="Times New Roman" w:hAnsi="Times New Roman"/>
          <w:sz w:val="24"/>
          <w:szCs w:val="24"/>
        </w:rPr>
        <w:t xml:space="preserve">, while the highest Cd BAF was observed in the </w:t>
      </w:r>
      <w:r>
        <w:rPr>
          <w:rFonts w:ascii="Times New Roman" w:hAnsi="Times New Roman"/>
          <w:bCs/>
          <w:sz w:val="24"/>
          <w:szCs w:val="24"/>
        </w:rPr>
        <w:t>New Airport concrete gills</w:t>
      </w:r>
      <w:r>
        <w:rPr>
          <w:rFonts w:ascii="Times New Roman" w:hAnsi="Times New Roman"/>
          <w:sz w:val="24"/>
          <w:szCs w:val="24"/>
        </w:rPr>
        <w:t xml:space="preserve">. Fe showed a more variable pattern. Some New Airport tissues had BAF values greater than 1, whereas most IYONDE and MAGNUS values were below 1. This suggests that Fe accumulation relative to the measured water concentrations was less consistent than that of Pb, Cd and Zn. Copper was the only metal for which </w:t>
      </w:r>
      <w:r>
        <w:rPr>
          <w:rFonts w:ascii="Times New Roman" w:hAnsi="Times New Roman"/>
          <w:bCs/>
          <w:sz w:val="24"/>
          <w:szCs w:val="24"/>
        </w:rPr>
        <w:t>all calculated BAFs were below 1</w:t>
      </w:r>
      <w:r>
        <w:rPr>
          <w:rFonts w:ascii="Times New Roman" w:hAnsi="Times New Roman"/>
          <w:sz w:val="24"/>
          <w:szCs w:val="24"/>
        </w:rPr>
        <w:t>. Based strictly on the concentrations, this suggests relatively limited accumulation of Cu in the fish tissues compared with the corresponding water concentrations.</w:t>
      </w:r>
    </w:p>
    <w:p w14:paraId="275C4C16" w14:textId="77777777" w:rsidR="00CB397B" w:rsidRDefault="00CB397B" w:rsidP="00CB397B">
      <w:pPr>
        <w:jc w:val="both"/>
        <w:outlineLvl w:val="1"/>
        <w:rPr>
          <w:rFonts w:ascii="Times New Roman" w:hAnsi="Times New Roman"/>
          <w:b/>
          <w:bCs/>
          <w:sz w:val="24"/>
          <w:szCs w:val="24"/>
        </w:rPr>
      </w:pPr>
      <w:r>
        <w:rPr>
          <w:rFonts w:ascii="Times New Roman" w:hAnsi="Times New Roman"/>
          <w:b/>
          <w:bCs/>
          <w:sz w:val="24"/>
          <w:szCs w:val="24"/>
        </w:rPr>
        <w:t xml:space="preserve">Table 11: Bioaccumulation Factor (BAF) for Iron (Fe) in </w:t>
      </w:r>
      <w:r>
        <w:rPr>
          <w:rFonts w:ascii="Times New Roman" w:hAnsi="Times New Roman"/>
          <w:b/>
          <w:bCs/>
          <w:i/>
          <w:iCs/>
          <w:sz w:val="24"/>
          <w:szCs w:val="24"/>
        </w:rPr>
        <w:t xml:space="preserve">Clarias </w:t>
      </w:r>
      <w:proofErr w:type="spellStart"/>
      <w:r>
        <w:rPr>
          <w:rFonts w:ascii="Times New Roman" w:hAnsi="Times New Roman"/>
          <w:b/>
          <w:bCs/>
          <w:i/>
          <w:iCs/>
          <w:sz w:val="24"/>
          <w:szCs w:val="24"/>
        </w:rPr>
        <w:t>gariepinus</w:t>
      </w:r>
      <w:proofErr w:type="spellEnd"/>
    </w:p>
    <w:tbl>
      <w:tblPr>
        <w:tblW w:w="9172" w:type="dxa"/>
        <w:tblCellSpacing w:w="15" w:type="dxa"/>
        <w:tblLook w:val="04A0" w:firstRow="1" w:lastRow="0" w:firstColumn="1" w:lastColumn="0" w:noHBand="0" w:noVBand="1"/>
      </w:tblPr>
      <w:tblGrid>
        <w:gridCol w:w="2741"/>
        <w:gridCol w:w="2074"/>
        <w:gridCol w:w="1772"/>
        <w:gridCol w:w="1195"/>
        <w:gridCol w:w="1390"/>
      </w:tblGrid>
      <w:tr w:rsidR="00CB397B" w14:paraId="151A7F34" w14:textId="77777777" w:rsidTr="00CB397B">
        <w:trPr>
          <w:trHeight w:val="288"/>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ADFB76B" w14:textId="77777777" w:rsidR="00CB397B" w:rsidRDefault="00CB397B">
            <w:pPr>
              <w:jc w:val="both"/>
              <w:rPr>
                <w:rFonts w:ascii="Times New Roman" w:hAnsi="Times New Roman"/>
                <w:b/>
                <w:bCs/>
                <w:sz w:val="24"/>
                <w:szCs w:val="24"/>
              </w:rPr>
            </w:pPr>
            <w:r>
              <w:rPr>
                <w:rFonts w:ascii="Times New Roman" w:hAnsi="Times New Roman"/>
                <w:b/>
                <w:bCs/>
                <w:sz w:val="24"/>
                <w:szCs w:val="24"/>
              </w:rPr>
              <w:lastRenderedPageBreak/>
              <w:t>Farm</w:t>
            </w:r>
          </w:p>
        </w:tc>
        <w:tc>
          <w:tcPr>
            <w:tcW w:w="2044" w:type="dxa"/>
            <w:tcBorders>
              <w:top w:val="single" w:sz="4" w:space="0" w:color="auto"/>
              <w:left w:val="nil"/>
              <w:bottom w:val="nil"/>
              <w:right w:val="nil"/>
            </w:tcBorders>
            <w:tcMar>
              <w:top w:w="15" w:type="dxa"/>
              <w:left w:w="15" w:type="dxa"/>
              <w:bottom w:w="15" w:type="dxa"/>
              <w:right w:w="15" w:type="dxa"/>
            </w:tcMar>
            <w:vAlign w:val="center"/>
            <w:hideMark/>
          </w:tcPr>
          <w:p w14:paraId="138C4C08"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84D7F50"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Muscle </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019E094"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Gills </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BC9504E"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Liver </w:t>
            </w:r>
          </w:p>
        </w:tc>
      </w:tr>
      <w:tr w:rsidR="00CB397B" w14:paraId="38E36F09" w14:textId="77777777" w:rsidTr="00CB397B">
        <w:trPr>
          <w:trHeight w:val="288"/>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48EB094"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044" w:type="dxa"/>
            <w:tcBorders>
              <w:top w:val="single" w:sz="4" w:space="0" w:color="auto"/>
              <w:left w:val="nil"/>
              <w:bottom w:val="nil"/>
              <w:right w:val="nil"/>
            </w:tcBorders>
            <w:tcMar>
              <w:top w:w="15" w:type="dxa"/>
              <w:left w:w="15" w:type="dxa"/>
              <w:bottom w:w="15" w:type="dxa"/>
              <w:right w:w="15" w:type="dxa"/>
            </w:tcMar>
            <w:vAlign w:val="center"/>
            <w:hideMark/>
          </w:tcPr>
          <w:p w14:paraId="6118EA91"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3EB9D7C" w14:textId="77777777" w:rsidR="00CB397B" w:rsidRDefault="00CB397B">
            <w:pPr>
              <w:jc w:val="both"/>
              <w:rPr>
                <w:rFonts w:ascii="Times New Roman" w:hAnsi="Times New Roman"/>
                <w:sz w:val="24"/>
                <w:szCs w:val="24"/>
              </w:rPr>
            </w:pPr>
            <w:r>
              <w:rPr>
                <w:rFonts w:ascii="Times New Roman" w:hAnsi="Times New Roman"/>
                <w:bCs/>
                <w:sz w:val="24"/>
                <w:szCs w:val="24"/>
              </w:rPr>
              <w:t>1.19</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1056B99" w14:textId="77777777" w:rsidR="00CB397B" w:rsidRDefault="00CB397B">
            <w:pPr>
              <w:jc w:val="both"/>
              <w:rPr>
                <w:rFonts w:ascii="Times New Roman" w:hAnsi="Times New Roman"/>
                <w:sz w:val="24"/>
                <w:szCs w:val="24"/>
              </w:rPr>
            </w:pPr>
            <w:r>
              <w:rPr>
                <w:rFonts w:ascii="Times New Roman" w:hAnsi="Times New Roman"/>
                <w:bCs/>
                <w:sz w:val="24"/>
                <w:szCs w:val="24"/>
              </w:rPr>
              <w:t>1.68</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7FDA658" w14:textId="77777777" w:rsidR="00CB397B" w:rsidRDefault="00CB397B">
            <w:pPr>
              <w:jc w:val="both"/>
              <w:rPr>
                <w:rFonts w:ascii="Times New Roman" w:hAnsi="Times New Roman"/>
                <w:sz w:val="24"/>
                <w:szCs w:val="24"/>
              </w:rPr>
            </w:pPr>
            <w:r>
              <w:rPr>
                <w:rFonts w:ascii="Times New Roman" w:hAnsi="Times New Roman"/>
                <w:bCs/>
                <w:sz w:val="24"/>
                <w:szCs w:val="24"/>
              </w:rPr>
              <w:t>1.49</w:t>
            </w:r>
          </w:p>
        </w:tc>
      </w:tr>
      <w:tr w:rsidR="00CB397B" w14:paraId="6B974F1F" w14:textId="77777777" w:rsidTr="00CB397B">
        <w:trPr>
          <w:trHeight w:val="288"/>
          <w:tblCellSpacing w:w="15" w:type="dxa"/>
        </w:trPr>
        <w:tc>
          <w:tcPr>
            <w:tcW w:w="0" w:type="auto"/>
            <w:tcMar>
              <w:top w:w="15" w:type="dxa"/>
              <w:left w:w="15" w:type="dxa"/>
              <w:bottom w:w="15" w:type="dxa"/>
              <w:right w:w="15" w:type="dxa"/>
            </w:tcMar>
            <w:vAlign w:val="center"/>
            <w:hideMark/>
          </w:tcPr>
          <w:p w14:paraId="082789C9"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044" w:type="dxa"/>
            <w:tcMar>
              <w:top w:w="15" w:type="dxa"/>
              <w:left w:w="15" w:type="dxa"/>
              <w:bottom w:w="15" w:type="dxa"/>
              <w:right w:w="15" w:type="dxa"/>
            </w:tcMar>
            <w:vAlign w:val="center"/>
            <w:hideMark/>
          </w:tcPr>
          <w:p w14:paraId="6FDD8B81"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213DC981" w14:textId="77777777" w:rsidR="00CB397B" w:rsidRDefault="00CB397B">
            <w:pPr>
              <w:jc w:val="both"/>
              <w:rPr>
                <w:rFonts w:ascii="Times New Roman" w:hAnsi="Times New Roman"/>
                <w:sz w:val="24"/>
                <w:szCs w:val="24"/>
              </w:rPr>
            </w:pPr>
            <w:r>
              <w:rPr>
                <w:rFonts w:ascii="Times New Roman" w:hAnsi="Times New Roman"/>
                <w:bCs/>
                <w:sz w:val="24"/>
                <w:szCs w:val="24"/>
              </w:rPr>
              <w:t>0.98</w:t>
            </w:r>
          </w:p>
        </w:tc>
        <w:tc>
          <w:tcPr>
            <w:tcW w:w="0" w:type="auto"/>
            <w:tcMar>
              <w:top w:w="15" w:type="dxa"/>
              <w:left w:w="15" w:type="dxa"/>
              <w:bottom w:w="15" w:type="dxa"/>
              <w:right w:w="15" w:type="dxa"/>
            </w:tcMar>
            <w:vAlign w:val="center"/>
            <w:hideMark/>
          </w:tcPr>
          <w:p w14:paraId="5A68143B" w14:textId="77777777" w:rsidR="00CB397B" w:rsidRDefault="00CB397B">
            <w:pPr>
              <w:jc w:val="both"/>
              <w:rPr>
                <w:rFonts w:ascii="Times New Roman" w:hAnsi="Times New Roman"/>
                <w:sz w:val="24"/>
                <w:szCs w:val="24"/>
              </w:rPr>
            </w:pPr>
            <w:r>
              <w:rPr>
                <w:rFonts w:ascii="Times New Roman" w:hAnsi="Times New Roman"/>
                <w:bCs/>
                <w:sz w:val="24"/>
                <w:szCs w:val="24"/>
              </w:rPr>
              <w:t>1.12</w:t>
            </w:r>
          </w:p>
        </w:tc>
        <w:tc>
          <w:tcPr>
            <w:tcW w:w="0" w:type="auto"/>
            <w:tcMar>
              <w:top w:w="15" w:type="dxa"/>
              <w:left w:w="15" w:type="dxa"/>
              <w:bottom w:w="15" w:type="dxa"/>
              <w:right w:w="15" w:type="dxa"/>
            </w:tcMar>
            <w:vAlign w:val="center"/>
            <w:hideMark/>
          </w:tcPr>
          <w:p w14:paraId="65DD0861" w14:textId="77777777" w:rsidR="00CB397B" w:rsidRDefault="00CB397B">
            <w:pPr>
              <w:jc w:val="both"/>
              <w:rPr>
                <w:rFonts w:ascii="Times New Roman" w:hAnsi="Times New Roman"/>
                <w:sz w:val="24"/>
                <w:szCs w:val="24"/>
              </w:rPr>
            </w:pPr>
            <w:r>
              <w:rPr>
                <w:rFonts w:ascii="Times New Roman" w:hAnsi="Times New Roman"/>
                <w:bCs/>
                <w:sz w:val="24"/>
                <w:szCs w:val="24"/>
              </w:rPr>
              <w:t>0.99</w:t>
            </w:r>
          </w:p>
        </w:tc>
      </w:tr>
      <w:tr w:rsidR="00CB397B" w14:paraId="025E258B" w14:textId="77777777" w:rsidTr="00CB397B">
        <w:trPr>
          <w:trHeight w:val="304"/>
          <w:tblCellSpacing w:w="15" w:type="dxa"/>
        </w:trPr>
        <w:tc>
          <w:tcPr>
            <w:tcW w:w="0" w:type="auto"/>
            <w:tcMar>
              <w:top w:w="15" w:type="dxa"/>
              <w:left w:w="15" w:type="dxa"/>
              <w:bottom w:w="15" w:type="dxa"/>
              <w:right w:w="15" w:type="dxa"/>
            </w:tcMar>
            <w:vAlign w:val="center"/>
            <w:hideMark/>
          </w:tcPr>
          <w:p w14:paraId="26C348F5"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044" w:type="dxa"/>
            <w:tcMar>
              <w:top w:w="15" w:type="dxa"/>
              <w:left w:w="15" w:type="dxa"/>
              <w:bottom w:w="15" w:type="dxa"/>
              <w:right w:w="15" w:type="dxa"/>
            </w:tcMar>
            <w:vAlign w:val="center"/>
            <w:hideMark/>
          </w:tcPr>
          <w:p w14:paraId="2CD299AD"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265E3DF1" w14:textId="77777777" w:rsidR="00CB397B" w:rsidRDefault="00CB397B">
            <w:pPr>
              <w:jc w:val="both"/>
              <w:rPr>
                <w:rFonts w:ascii="Times New Roman" w:hAnsi="Times New Roman"/>
                <w:sz w:val="24"/>
                <w:szCs w:val="24"/>
              </w:rPr>
            </w:pPr>
            <w:r>
              <w:rPr>
                <w:rFonts w:ascii="Times New Roman" w:hAnsi="Times New Roman"/>
                <w:bCs/>
                <w:sz w:val="24"/>
                <w:szCs w:val="24"/>
              </w:rPr>
              <w:t>0.68</w:t>
            </w:r>
          </w:p>
        </w:tc>
        <w:tc>
          <w:tcPr>
            <w:tcW w:w="0" w:type="auto"/>
            <w:tcMar>
              <w:top w:w="15" w:type="dxa"/>
              <w:left w:w="15" w:type="dxa"/>
              <w:bottom w:w="15" w:type="dxa"/>
              <w:right w:w="15" w:type="dxa"/>
            </w:tcMar>
            <w:vAlign w:val="center"/>
            <w:hideMark/>
          </w:tcPr>
          <w:p w14:paraId="087B13F5" w14:textId="77777777" w:rsidR="00CB397B" w:rsidRDefault="00CB397B">
            <w:pPr>
              <w:jc w:val="both"/>
              <w:rPr>
                <w:rFonts w:ascii="Times New Roman" w:hAnsi="Times New Roman"/>
                <w:sz w:val="24"/>
                <w:szCs w:val="24"/>
              </w:rPr>
            </w:pPr>
            <w:r>
              <w:rPr>
                <w:rFonts w:ascii="Times New Roman" w:hAnsi="Times New Roman"/>
                <w:bCs/>
                <w:sz w:val="24"/>
                <w:szCs w:val="24"/>
              </w:rPr>
              <w:t>0.71</w:t>
            </w:r>
          </w:p>
        </w:tc>
        <w:tc>
          <w:tcPr>
            <w:tcW w:w="0" w:type="auto"/>
            <w:tcMar>
              <w:top w:w="15" w:type="dxa"/>
              <w:left w:w="15" w:type="dxa"/>
              <w:bottom w:w="15" w:type="dxa"/>
              <w:right w:w="15" w:type="dxa"/>
            </w:tcMar>
            <w:vAlign w:val="center"/>
            <w:hideMark/>
          </w:tcPr>
          <w:p w14:paraId="74B94377" w14:textId="77777777" w:rsidR="00CB397B" w:rsidRDefault="00CB397B">
            <w:pPr>
              <w:jc w:val="both"/>
              <w:rPr>
                <w:rFonts w:ascii="Times New Roman" w:hAnsi="Times New Roman"/>
                <w:sz w:val="24"/>
                <w:szCs w:val="24"/>
              </w:rPr>
            </w:pPr>
            <w:r>
              <w:rPr>
                <w:rFonts w:ascii="Times New Roman" w:hAnsi="Times New Roman"/>
                <w:bCs/>
                <w:sz w:val="24"/>
                <w:szCs w:val="24"/>
              </w:rPr>
              <w:t>0.94</w:t>
            </w:r>
          </w:p>
        </w:tc>
      </w:tr>
      <w:tr w:rsidR="00CB397B" w14:paraId="798C423B" w14:textId="77777777" w:rsidTr="00CB397B">
        <w:trPr>
          <w:trHeight w:val="304"/>
          <w:tblCellSpacing w:w="15" w:type="dxa"/>
        </w:trPr>
        <w:tc>
          <w:tcPr>
            <w:tcW w:w="0" w:type="auto"/>
            <w:tcMar>
              <w:top w:w="15" w:type="dxa"/>
              <w:left w:w="15" w:type="dxa"/>
              <w:bottom w:w="15" w:type="dxa"/>
              <w:right w:w="15" w:type="dxa"/>
            </w:tcMar>
            <w:vAlign w:val="center"/>
            <w:hideMark/>
          </w:tcPr>
          <w:p w14:paraId="70D2FBF7"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044" w:type="dxa"/>
            <w:tcMar>
              <w:top w:w="15" w:type="dxa"/>
              <w:left w:w="15" w:type="dxa"/>
              <w:bottom w:w="15" w:type="dxa"/>
              <w:right w:w="15" w:type="dxa"/>
            </w:tcMar>
            <w:vAlign w:val="center"/>
            <w:hideMark/>
          </w:tcPr>
          <w:p w14:paraId="691934F5"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07118016" w14:textId="77777777" w:rsidR="00CB397B" w:rsidRDefault="00CB397B">
            <w:pPr>
              <w:jc w:val="both"/>
              <w:rPr>
                <w:rFonts w:ascii="Times New Roman" w:hAnsi="Times New Roman"/>
                <w:sz w:val="24"/>
                <w:szCs w:val="24"/>
              </w:rPr>
            </w:pPr>
            <w:r>
              <w:rPr>
                <w:rFonts w:ascii="Times New Roman" w:hAnsi="Times New Roman"/>
                <w:bCs/>
                <w:sz w:val="24"/>
                <w:szCs w:val="24"/>
              </w:rPr>
              <w:t>0.22</w:t>
            </w:r>
          </w:p>
        </w:tc>
        <w:tc>
          <w:tcPr>
            <w:tcW w:w="0" w:type="auto"/>
            <w:tcMar>
              <w:top w:w="15" w:type="dxa"/>
              <w:left w:w="15" w:type="dxa"/>
              <w:bottom w:w="15" w:type="dxa"/>
              <w:right w:w="15" w:type="dxa"/>
            </w:tcMar>
            <w:vAlign w:val="center"/>
            <w:hideMark/>
          </w:tcPr>
          <w:p w14:paraId="456B80BE" w14:textId="77777777" w:rsidR="00CB397B" w:rsidRDefault="00CB397B">
            <w:pPr>
              <w:jc w:val="both"/>
              <w:rPr>
                <w:rFonts w:ascii="Times New Roman" w:hAnsi="Times New Roman"/>
                <w:sz w:val="24"/>
                <w:szCs w:val="24"/>
              </w:rPr>
            </w:pPr>
            <w:r>
              <w:rPr>
                <w:rFonts w:ascii="Times New Roman" w:hAnsi="Times New Roman"/>
                <w:bCs/>
                <w:sz w:val="24"/>
                <w:szCs w:val="24"/>
              </w:rPr>
              <w:t>0.30</w:t>
            </w:r>
          </w:p>
        </w:tc>
        <w:tc>
          <w:tcPr>
            <w:tcW w:w="0" w:type="auto"/>
            <w:tcMar>
              <w:top w:w="15" w:type="dxa"/>
              <w:left w:w="15" w:type="dxa"/>
              <w:bottom w:w="15" w:type="dxa"/>
              <w:right w:w="15" w:type="dxa"/>
            </w:tcMar>
            <w:vAlign w:val="center"/>
            <w:hideMark/>
          </w:tcPr>
          <w:p w14:paraId="4836CE11" w14:textId="77777777" w:rsidR="00CB397B" w:rsidRDefault="00CB397B">
            <w:pPr>
              <w:jc w:val="both"/>
              <w:rPr>
                <w:rFonts w:ascii="Times New Roman" w:hAnsi="Times New Roman"/>
                <w:sz w:val="24"/>
                <w:szCs w:val="24"/>
              </w:rPr>
            </w:pPr>
            <w:r>
              <w:rPr>
                <w:rFonts w:ascii="Times New Roman" w:hAnsi="Times New Roman"/>
                <w:bCs/>
                <w:sz w:val="24"/>
                <w:szCs w:val="24"/>
              </w:rPr>
              <w:t>0.26</w:t>
            </w:r>
          </w:p>
        </w:tc>
      </w:tr>
      <w:tr w:rsidR="00CB397B" w14:paraId="47BA28B2" w14:textId="77777777" w:rsidTr="00CB397B">
        <w:trPr>
          <w:trHeight w:val="288"/>
          <w:tblCellSpacing w:w="15" w:type="dxa"/>
        </w:trPr>
        <w:tc>
          <w:tcPr>
            <w:tcW w:w="0" w:type="auto"/>
            <w:tcMar>
              <w:top w:w="15" w:type="dxa"/>
              <w:left w:w="15" w:type="dxa"/>
              <w:bottom w:w="15" w:type="dxa"/>
              <w:right w:w="15" w:type="dxa"/>
            </w:tcMar>
            <w:vAlign w:val="center"/>
            <w:hideMark/>
          </w:tcPr>
          <w:p w14:paraId="14D5CC65"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044" w:type="dxa"/>
            <w:tcMar>
              <w:top w:w="15" w:type="dxa"/>
              <w:left w:w="15" w:type="dxa"/>
              <w:bottom w:w="15" w:type="dxa"/>
              <w:right w:w="15" w:type="dxa"/>
            </w:tcMar>
            <w:vAlign w:val="center"/>
            <w:hideMark/>
          </w:tcPr>
          <w:p w14:paraId="690EF503"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7DDA6860" w14:textId="77777777" w:rsidR="00CB397B" w:rsidRDefault="00CB397B">
            <w:pPr>
              <w:jc w:val="both"/>
              <w:rPr>
                <w:rFonts w:ascii="Times New Roman" w:hAnsi="Times New Roman"/>
                <w:sz w:val="24"/>
                <w:szCs w:val="24"/>
              </w:rPr>
            </w:pPr>
            <w:r>
              <w:rPr>
                <w:rFonts w:ascii="Times New Roman" w:hAnsi="Times New Roman"/>
                <w:bCs/>
                <w:sz w:val="24"/>
                <w:szCs w:val="24"/>
              </w:rPr>
              <w:t>0.20</w:t>
            </w:r>
          </w:p>
        </w:tc>
        <w:tc>
          <w:tcPr>
            <w:tcW w:w="0" w:type="auto"/>
            <w:tcMar>
              <w:top w:w="15" w:type="dxa"/>
              <w:left w:w="15" w:type="dxa"/>
              <w:bottom w:w="15" w:type="dxa"/>
              <w:right w:w="15" w:type="dxa"/>
            </w:tcMar>
            <w:vAlign w:val="center"/>
            <w:hideMark/>
          </w:tcPr>
          <w:p w14:paraId="3EE3277B" w14:textId="77777777" w:rsidR="00CB397B" w:rsidRDefault="00CB397B">
            <w:pPr>
              <w:jc w:val="both"/>
              <w:rPr>
                <w:rFonts w:ascii="Times New Roman" w:hAnsi="Times New Roman"/>
                <w:sz w:val="24"/>
                <w:szCs w:val="24"/>
              </w:rPr>
            </w:pPr>
            <w:r>
              <w:rPr>
                <w:rFonts w:ascii="Times New Roman" w:hAnsi="Times New Roman"/>
                <w:bCs/>
                <w:sz w:val="24"/>
                <w:szCs w:val="24"/>
              </w:rPr>
              <w:t>0.24</w:t>
            </w:r>
          </w:p>
        </w:tc>
        <w:tc>
          <w:tcPr>
            <w:tcW w:w="0" w:type="auto"/>
            <w:tcMar>
              <w:top w:w="15" w:type="dxa"/>
              <w:left w:w="15" w:type="dxa"/>
              <w:bottom w:w="15" w:type="dxa"/>
              <w:right w:w="15" w:type="dxa"/>
            </w:tcMar>
            <w:vAlign w:val="center"/>
            <w:hideMark/>
          </w:tcPr>
          <w:p w14:paraId="2B6E7639" w14:textId="77777777" w:rsidR="00CB397B" w:rsidRDefault="00CB397B">
            <w:pPr>
              <w:jc w:val="both"/>
              <w:rPr>
                <w:rFonts w:ascii="Times New Roman" w:hAnsi="Times New Roman"/>
                <w:sz w:val="24"/>
                <w:szCs w:val="24"/>
              </w:rPr>
            </w:pPr>
            <w:r>
              <w:rPr>
                <w:rFonts w:ascii="Times New Roman" w:hAnsi="Times New Roman"/>
                <w:bCs/>
                <w:sz w:val="24"/>
                <w:szCs w:val="24"/>
              </w:rPr>
              <w:t>0.18</w:t>
            </w:r>
          </w:p>
        </w:tc>
      </w:tr>
      <w:tr w:rsidR="00CB397B" w14:paraId="3520BC85" w14:textId="77777777" w:rsidTr="00CB397B">
        <w:trPr>
          <w:trHeight w:val="288"/>
          <w:tblCellSpacing w:w="15" w:type="dxa"/>
        </w:trPr>
        <w:tc>
          <w:tcPr>
            <w:tcW w:w="0" w:type="auto"/>
            <w:tcMar>
              <w:top w:w="15" w:type="dxa"/>
              <w:left w:w="15" w:type="dxa"/>
              <w:bottom w:w="15" w:type="dxa"/>
              <w:right w:w="15" w:type="dxa"/>
            </w:tcMar>
            <w:vAlign w:val="center"/>
            <w:hideMark/>
          </w:tcPr>
          <w:p w14:paraId="4BB81326"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044" w:type="dxa"/>
            <w:tcMar>
              <w:top w:w="15" w:type="dxa"/>
              <w:left w:w="15" w:type="dxa"/>
              <w:bottom w:w="15" w:type="dxa"/>
              <w:right w:w="15" w:type="dxa"/>
            </w:tcMar>
            <w:vAlign w:val="center"/>
            <w:hideMark/>
          </w:tcPr>
          <w:p w14:paraId="6FC37484"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3859D262" w14:textId="77777777" w:rsidR="00CB397B" w:rsidRDefault="00CB397B">
            <w:pPr>
              <w:jc w:val="both"/>
              <w:rPr>
                <w:rFonts w:ascii="Times New Roman" w:hAnsi="Times New Roman"/>
                <w:sz w:val="24"/>
                <w:szCs w:val="24"/>
              </w:rPr>
            </w:pPr>
            <w:r>
              <w:rPr>
                <w:rFonts w:ascii="Times New Roman" w:hAnsi="Times New Roman"/>
                <w:bCs/>
                <w:sz w:val="24"/>
                <w:szCs w:val="24"/>
              </w:rPr>
              <w:t>0.10</w:t>
            </w:r>
          </w:p>
        </w:tc>
        <w:tc>
          <w:tcPr>
            <w:tcW w:w="0" w:type="auto"/>
            <w:tcMar>
              <w:top w:w="15" w:type="dxa"/>
              <w:left w:w="15" w:type="dxa"/>
              <w:bottom w:w="15" w:type="dxa"/>
              <w:right w:w="15" w:type="dxa"/>
            </w:tcMar>
            <w:vAlign w:val="center"/>
            <w:hideMark/>
          </w:tcPr>
          <w:p w14:paraId="68E8B8C4" w14:textId="77777777" w:rsidR="00CB397B" w:rsidRDefault="00CB397B">
            <w:pPr>
              <w:jc w:val="both"/>
              <w:rPr>
                <w:rFonts w:ascii="Times New Roman" w:hAnsi="Times New Roman"/>
                <w:sz w:val="24"/>
                <w:szCs w:val="24"/>
              </w:rPr>
            </w:pPr>
            <w:r>
              <w:rPr>
                <w:rFonts w:ascii="Times New Roman" w:hAnsi="Times New Roman"/>
                <w:bCs/>
                <w:sz w:val="24"/>
                <w:szCs w:val="24"/>
              </w:rPr>
              <w:t>0.11</w:t>
            </w:r>
          </w:p>
        </w:tc>
        <w:tc>
          <w:tcPr>
            <w:tcW w:w="0" w:type="auto"/>
            <w:tcMar>
              <w:top w:w="15" w:type="dxa"/>
              <w:left w:w="15" w:type="dxa"/>
              <w:bottom w:w="15" w:type="dxa"/>
              <w:right w:w="15" w:type="dxa"/>
            </w:tcMar>
            <w:vAlign w:val="center"/>
            <w:hideMark/>
          </w:tcPr>
          <w:p w14:paraId="430515C3" w14:textId="77777777" w:rsidR="00CB397B" w:rsidRDefault="00CB397B">
            <w:pPr>
              <w:jc w:val="both"/>
              <w:rPr>
                <w:rFonts w:ascii="Times New Roman" w:hAnsi="Times New Roman"/>
                <w:sz w:val="24"/>
                <w:szCs w:val="24"/>
              </w:rPr>
            </w:pPr>
            <w:r>
              <w:rPr>
                <w:rFonts w:ascii="Times New Roman" w:hAnsi="Times New Roman"/>
                <w:bCs/>
                <w:sz w:val="24"/>
                <w:szCs w:val="24"/>
              </w:rPr>
              <w:t>0.15</w:t>
            </w:r>
          </w:p>
        </w:tc>
      </w:tr>
      <w:tr w:rsidR="00CB397B" w14:paraId="07855A40" w14:textId="77777777" w:rsidTr="00CB397B">
        <w:trPr>
          <w:trHeight w:val="288"/>
          <w:tblCellSpacing w:w="15" w:type="dxa"/>
        </w:trPr>
        <w:tc>
          <w:tcPr>
            <w:tcW w:w="0" w:type="auto"/>
            <w:tcMar>
              <w:top w:w="15" w:type="dxa"/>
              <w:left w:w="15" w:type="dxa"/>
              <w:bottom w:w="15" w:type="dxa"/>
              <w:right w:w="15" w:type="dxa"/>
            </w:tcMar>
            <w:vAlign w:val="center"/>
            <w:hideMark/>
          </w:tcPr>
          <w:p w14:paraId="43ED1C9F"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044" w:type="dxa"/>
            <w:tcMar>
              <w:top w:w="15" w:type="dxa"/>
              <w:left w:w="15" w:type="dxa"/>
              <w:bottom w:w="15" w:type="dxa"/>
              <w:right w:w="15" w:type="dxa"/>
            </w:tcMar>
            <w:vAlign w:val="center"/>
            <w:hideMark/>
          </w:tcPr>
          <w:p w14:paraId="7A6FE596"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31C7A5ED" w14:textId="77777777" w:rsidR="00CB397B" w:rsidRDefault="00CB397B">
            <w:pPr>
              <w:jc w:val="both"/>
              <w:rPr>
                <w:rFonts w:ascii="Times New Roman" w:hAnsi="Times New Roman"/>
                <w:sz w:val="24"/>
                <w:szCs w:val="24"/>
              </w:rPr>
            </w:pPr>
            <w:r>
              <w:rPr>
                <w:rFonts w:ascii="Times New Roman" w:hAnsi="Times New Roman"/>
                <w:bCs/>
                <w:sz w:val="24"/>
                <w:szCs w:val="24"/>
              </w:rPr>
              <w:t>0.71</w:t>
            </w:r>
          </w:p>
        </w:tc>
        <w:tc>
          <w:tcPr>
            <w:tcW w:w="0" w:type="auto"/>
            <w:tcMar>
              <w:top w:w="15" w:type="dxa"/>
              <w:left w:w="15" w:type="dxa"/>
              <w:bottom w:w="15" w:type="dxa"/>
              <w:right w:w="15" w:type="dxa"/>
            </w:tcMar>
            <w:vAlign w:val="center"/>
            <w:hideMark/>
          </w:tcPr>
          <w:p w14:paraId="53354771" w14:textId="77777777" w:rsidR="00CB397B" w:rsidRDefault="00CB397B">
            <w:pPr>
              <w:jc w:val="both"/>
              <w:rPr>
                <w:rFonts w:ascii="Times New Roman" w:hAnsi="Times New Roman"/>
                <w:sz w:val="24"/>
                <w:szCs w:val="24"/>
              </w:rPr>
            </w:pPr>
            <w:r>
              <w:rPr>
                <w:rFonts w:ascii="Times New Roman" w:hAnsi="Times New Roman"/>
                <w:bCs/>
                <w:sz w:val="24"/>
                <w:szCs w:val="24"/>
              </w:rPr>
              <w:t>0.94</w:t>
            </w:r>
          </w:p>
        </w:tc>
        <w:tc>
          <w:tcPr>
            <w:tcW w:w="0" w:type="auto"/>
            <w:tcMar>
              <w:top w:w="15" w:type="dxa"/>
              <w:left w:w="15" w:type="dxa"/>
              <w:bottom w:w="15" w:type="dxa"/>
              <w:right w:w="15" w:type="dxa"/>
            </w:tcMar>
            <w:vAlign w:val="center"/>
            <w:hideMark/>
          </w:tcPr>
          <w:p w14:paraId="3E02ABCB" w14:textId="77777777" w:rsidR="00CB397B" w:rsidRDefault="00CB397B">
            <w:pPr>
              <w:jc w:val="both"/>
              <w:rPr>
                <w:rFonts w:ascii="Times New Roman" w:hAnsi="Times New Roman"/>
                <w:sz w:val="24"/>
                <w:szCs w:val="24"/>
              </w:rPr>
            </w:pPr>
            <w:r>
              <w:rPr>
                <w:rFonts w:ascii="Times New Roman" w:hAnsi="Times New Roman"/>
                <w:bCs/>
                <w:sz w:val="24"/>
                <w:szCs w:val="24"/>
              </w:rPr>
              <w:t>0.66</w:t>
            </w:r>
          </w:p>
        </w:tc>
      </w:tr>
      <w:tr w:rsidR="00CB397B" w14:paraId="3A522594" w14:textId="77777777" w:rsidTr="00CB397B">
        <w:trPr>
          <w:trHeight w:val="304"/>
          <w:tblCellSpacing w:w="15" w:type="dxa"/>
        </w:trPr>
        <w:tc>
          <w:tcPr>
            <w:tcW w:w="0" w:type="auto"/>
            <w:tcMar>
              <w:top w:w="15" w:type="dxa"/>
              <w:left w:w="15" w:type="dxa"/>
              <w:bottom w:w="15" w:type="dxa"/>
              <w:right w:w="15" w:type="dxa"/>
            </w:tcMar>
            <w:vAlign w:val="center"/>
            <w:hideMark/>
          </w:tcPr>
          <w:p w14:paraId="21E3F203"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044" w:type="dxa"/>
            <w:tcMar>
              <w:top w:w="15" w:type="dxa"/>
              <w:left w:w="15" w:type="dxa"/>
              <w:bottom w:w="15" w:type="dxa"/>
              <w:right w:w="15" w:type="dxa"/>
            </w:tcMar>
            <w:vAlign w:val="center"/>
            <w:hideMark/>
          </w:tcPr>
          <w:p w14:paraId="40C82FBC"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5ADC268C" w14:textId="77777777" w:rsidR="00CB397B" w:rsidRDefault="00CB397B">
            <w:pPr>
              <w:jc w:val="both"/>
              <w:rPr>
                <w:rFonts w:ascii="Times New Roman" w:hAnsi="Times New Roman"/>
                <w:sz w:val="24"/>
                <w:szCs w:val="24"/>
              </w:rPr>
            </w:pPr>
            <w:r>
              <w:rPr>
                <w:rFonts w:ascii="Times New Roman" w:hAnsi="Times New Roman"/>
                <w:bCs/>
                <w:sz w:val="24"/>
                <w:szCs w:val="24"/>
              </w:rPr>
              <w:t>0.72</w:t>
            </w:r>
          </w:p>
        </w:tc>
        <w:tc>
          <w:tcPr>
            <w:tcW w:w="0" w:type="auto"/>
            <w:tcMar>
              <w:top w:w="15" w:type="dxa"/>
              <w:left w:w="15" w:type="dxa"/>
              <w:bottom w:w="15" w:type="dxa"/>
              <w:right w:w="15" w:type="dxa"/>
            </w:tcMar>
            <w:vAlign w:val="center"/>
            <w:hideMark/>
          </w:tcPr>
          <w:p w14:paraId="4ABFAE3D" w14:textId="77777777" w:rsidR="00CB397B" w:rsidRDefault="00CB397B">
            <w:pPr>
              <w:jc w:val="both"/>
              <w:rPr>
                <w:rFonts w:ascii="Times New Roman" w:hAnsi="Times New Roman"/>
                <w:sz w:val="24"/>
                <w:szCs w:val="24"/>
              </w:rPr>
            </w:pPr>
            <w:r>
              <w:rPr>
                <w:rFonts w:ascii="Times New Roman" w:hAnsi="Times New Roman"/>
                <w:bCs/>
                <w:sz w:val="24"/>
                <w:szCs w:val="24"/>
              </w:rPr>
              <w:t>0.82</w:t>
            </w:r>
          </w:p>
        </w:tc>
        <w:tc>
          <w:tcPr>
            <w:tcW w:w="0" w:type="auto"/>
            <w:tcMar>
              <w:top w:w="15" w:type="dxa"/>
              <w:left w:w="15" w:type="dxa"/>
              <w:bottom w:w="15" w:type="dxa"/>
              <w:right w:w="15" w:type="dxa"/>
            </w:tcMar>
            <w:vAlign w:val="center"/>
            <w:hideMark/>
          </w:tcPr>
          <w:p w14:paraId="368C2AC9" w14:textId="77777777" w:rsidR="00CB397B" w:rsidRDefault="00CB397B">
            <w:pPr>
              <w:jc w:val="both"/>
              <w:rPr>
                <w:rFonts w:ascii="Times New Roman" w:hAnsi="Times New Roman"/>
                <w:sz w:val="24"/>
                <w:szCs w:val="24"/>
              </w:rPr>
            </w:pPr>
            <w:r>
              <w:rPr>
                <w:rFonts w:ascii="Times New Roman" w:hAnsi="Times New Roman"/>
                <w:bCs/>
                <w:sz w:val="24"/>
                <w:szCs w:val="24"/>
              </w:rPr>
              <w:t>0.67</w:t>
            </w:r>
          </w:p>
        </w:tc>
      </w:tr>
      <w:tr w:rsidR="00CB397B" w14:paraId="0A40AC12" w14:textId="77777777" w:rsidTr="00CB397B">
        <w:trPr>
          <w:trHeight w:val="304"/>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C788052"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044" w:type="dxa"/>
            <w:tcBorders>
              <w:top w:val="nil"/>
              <w:left w:val="nil"/>
              <w:bottom w:val="single" w:sz="4" w:space="0" w:color="auto"/>
              <w:right w:val="nil"/>
            </w:tcBorders>
            <w:tcMar>
              <w:top w:w="15" w:type="dxa"/>
              <w:left w:w="15" w:type="dxa"/>
              <w:bottom w:w="15" w:type="dxa"/>
              <w:right w:w="15" w:type="dxa"/>
            </w:tcMar>
            <w:vAlign w:val="center"/>
            <w:hideMark/>
          </w:tcPr>
          <w:p w14:paraId="35DFB6A9"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26F4862" w14:textId="77777777" w:rsidR="00CB397B" w:rsidRDefault="00CB397B">
            <w:pPr>
              <w:jc w:val="both"/>
              <w:rPr>
                <w:rFonts w:ascii="Times New Roman" w:hAnsi="Times New Roman"/>
                <w:sz w:val="24"/>
                <w:szCs w:val="24"/>
              </w:rPr>
            </w:pPr>
            <w:r>
              <w:rPr>
                <w:rFonts w:ascii="Times New Roman" w:hAnsi="Times New Roman"/>
                <w:bCs/>
                <w:sz w:val="24"/>
                <w:szCs w:val="24"/>
              </w:rPr>
              <w:t>0.32</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238D362" w14:textId="77777777" w:rsidR="00CB397B" w:rsidRDefault="00CB397B">
            <w:pPr>
              <w:jc w:val="both"/>
              <w:rPr>
                <w:rFonts w:ascii="Times New Roman" w:hAnsi="Times New Roman"/>
                <w:sz w:val="24"/>
                <w:szCs w:val="24"/>
              </w:rPr>
            </w:pPr>
            <w:r>
              <w:rPr>
                <w:rFonts w:ascii="Times New Roman" w:hAnsi="Times New Roman"/>
                <w:bCs/>
                <w:sz w:val="24"/>
                <w:szCs w:val="24"/>
              </w:rPr>
              <w:t>0.34</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9123324" w14:textId="77777777" w:rsidR="00CB397B" w:rsidRDefault="00CB397B">
            <w:pPr>
              <w:jc w:val="both"/>
              <w:rPr>
                <w:rFonts w:ascii="Times New Roman" w:hAnsi="Times New Roman"/>
                <w:sz w:val="24"/>
                <w:szCs w:val="24"/>
              </w:rPr>
            </w:pPr>
            <w:r>
              <w:rPr>
                <w:rFonts w:ascii="Times New Roman" w:hAnsi="Times New Roman"/>
                <w:bCs/>
                <w:sz w:val="24"/>
                <w:szCs w:val="24"/>
              </w:rPr>
              <w:t>0.48</w:t>
            </w:r>
          </w:p>
        </w:tc>
      </w:tr>
    </w:tbl>
    <w:p w14:paraId="6E15E6A8" w14:textId="77777777" w:rsidR="00CB397B" w:rsidRDefault="00CB397B" w:rsidP="00CB397B">
      <w:pPr>
        <w:jc w:val="both"/>
        <w:rPr>
          <w:rFonts w:ascii="Times New Roman" w:hAnsi="Times New Roman"/>
          <w:sz w:val="24"/>
          <w:szCs w:val="24"/>
        </w:rPr>
      </w:pPr>
      <w:r>
        <w:rPr>
          <w:rFonts w:ascii="Times New Roman" w:hAnsi="Times New Roman"/>
          <w:sz w:val="24"/>
          <w:szCs w:val="24"/>
        </w:rPr>
        <w:t>BAF &gt; 1 indicates bioaccumulation relative to the water concentration.</w:t>
      </w:r>
    </w:p>
    <w:p w14:paraId="593EBD1B" w14:textId="77777777" w:rsidR="00CB397B" w:rsidRDefault="00CB397B" w:rsidP="00CB397B">
      <w:pPr>
        <w:jc w:val="both"/>
        <w:outlineLvl w:val="1"/>
        <w:rPr>
          <w:rFonts w:ascii="Times New Roman" w:hAnsi="Times New Roman"/>
          <w:b/>
          <w:bCs/>
          <w:sz w:val="24"/>
          <w:szCs w:val="24"/>
        </w:rPr>
      </w:pPr>
      <w:r>
        <w:rPr>
          <w:rFonts w:ascii="Times New Roman" w:hAnsi="Times New Roman"/>
          <w:b/>
          <w:bCs/>
          <w:sz w:val="24"/>
          <w:szCs w:val="24"/>
        </w:rPr>
        <w:t xml:space="preserve">Table 12: Bioaccumulation Factor (BAF) for Lead (Pb) in </w:t>
      </w:r>
      <w:r>
        <w:rPr>
          <w:rFonts w:ascii="Times New Roman" w:hAnsi="Times New Roman"/>
          <w:b/>
          <w:bCs/>
          <w:i/>
          <w:iCs/>
          <w:sz w:val="24"/>
          <w:szCs w:val="24"/>
        </w:rPr>
        <w:t xml:space="preserve">Clarias </w:t>
      </w:r>
      <w:proofErr w:type="spellStart"/>
      <w:r>
        <w:rPr>
          <w:rFonts w:ascii="Times New Roman" w:hAnsi="Times New Roman"/>
          <w:b/>
          <w:bCs/>
          <w:i/>
          <w:iCs/>
          <w:sz w:val="24"/>
          <w:szCs w:val="24"/>
        </w:rPr>
        <w:t>gariepinus</w:t>
      </w:r>
      <w:proofErr w:type="spellEnd"/>
    </w:p>
    <w:tbl>
      <w:tblPr>
        <w:tblW w:w="9454" w:type="dxa"/>
        <w:tblCellSpacing w:w="15" w:type="dxa"/>
        <w:tblLook w:val="04A0" w:firstRow="1" w:lastRow="0" w:firstColumn="1" w:lastColumn="0" w:noHBand="0" w:noVBand="1"/>
      </w:tblPr>
      <w:tblGrid>
        <w:gridCol w:w="2816"/>
        <w:gridCol w:w="2269"/>
        <w:gridCol w:w="1723"/>
        <w:gridCol w:w="1293"/>
        <w:gridCol w:w="1353"/>
      </w:tblGrid>
      <w:tr w:rsidR="00CB397B" w14:paraId="7646D4F7" w14:textId="77777777" w:rsidTr="00CB397B">
        <w:trPr>
          <w:trHeight w:val="298"/>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56E99B3C"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2239"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AF53240"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0B9598D8"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Muscle </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051556E9"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Gills </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EB3E437"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Liver </w:t>
            </w:r>
          </w:p>
        </w:tc>
      </w:tr>
      <w:tr w:rsidR="00CB397B" w14:paraId="175C9804" w14:textId="77777777" w:rsidTr="00CB397B">
        <w:trPr>
          <w:trHeight w:val="282"/>
          <w:tblCellSpacing w:w="15" w:type="dxa"/>
        </w:trPr>
        <w:tc>
          <w:tcPr>
            <w:tcW w:w="0" w:type="auto"/>
            <w:tcMar>
              <w:top w:w="15" w:type="dxa"/>
              <w:left w:w="15" w:type="dxa"/>
              <w:bottom w:w="15" w:type="dxa"/>
              <w:right w:w="15" w:type="dxa"/>
            </w:tcMar>
            <w:vAlign w:val="center"/>
            <w:hideMark/>
          </w:tcPr>
          <w:p w14:paraId="1664F068"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239" w:type="dxa"/>
            <w:tcMar>
              <w:top w:w="15" w:type="dxa"/>
              <w:left w:w="15" w:type="dxa"/>
              <w:bottom w:w="15" w:type="dxa"/>
              <w:right w:w="15" w:type="dxa"/>
            </w:tcMar>
            <w:vAlign w:val="center"/>
            <w:hideMark/>
          </w:tcPr>
          <w:p w14:paraId="3967962E"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55F938BA" w14:textId="77777777" w:rsidR="00CB397B" w:rsidRDefault="00CB397B">
            <w:pPr>
              <w:jc w:val="both"/>
              <w:rPr>
                <w:rFonts w:ascii="Times New Roman" w:hAnsi="Times New Roman"/>
                <w:sz w:val="24"/>
                <w:szCs w:val="24"/>
              </w:rPr>
            </w:pPr>
            <w:r>
              <w:rPr>
                <w:rFonts w:ascii="Times New Roman" w:hAnsi="Times New Roman"/>
                <w:bCs/>
                <w:sz w:val="24"/>
                <w:szCs w:val="24"/>
              </w:rPr>
              <w:t>6.60</w:t>
            </w:r>
          </w:p>
        </w:tc>
        <w:tc>
          <w:tcPr>
            <w:tcW w:w="0" w:type="auto"/>
            <w:tcMar>
              <w:top w:w="15" w:type="dxa"/>
              <w:left w:w="15" w:type="dxa"/>
              <w:bottom w:w="15" w:type="dxa"/>
              <w:right w:w="15" w:type="dxa"/>
            </w:tcMar>
            <w:vAlign w:val="center"/>
            <w:hideMark/>
          </w:tcPr>
          <w:p w14:paraId="5502257D" w14:textId="77777777" w:rsidR="00CB397B" w:rsidRDefault="00CB397B">
            <w:pPr>
              <w:jc w:val="both"/>
              <w:rPr>
                <w:rFonts w:ascii="Times New Roman" w:hAnsi="Times New Roman"/>
                <w:sz w:val="24"/>
                <w:szCs w:val="24"/>
              </w:rPr>
            </w:pPr>
            <w:r>
              <w:rPr>
                <w:rFonts w:ascii="Times New Roman" w:hAnsi="Times New Roman"/>
                <w:bCs/>
                <w:sz w:val="24"/>
                <w:szCs w:val="24"/>
              </w:rPr>
              <w:t>14.07</w:t>
            </w:r>
          </w:p>
        </w:tc>
        <w:tc>
          <w:tcPr>
            <w:tcW w:w="0" w:type="auto"/>
            <w:tcMar>
              <w:top w:w="15" w:type="dxa"/>
              <w:left w:w="15" w:type="dxa"/>
              <w:bottom w:w="15" w:type="dxa"/>
              <w:right w:w="15" w:type="dxa"/>
            </w:tcMar>
            <w:vAlign w:val="center"/>
            <w:hideMark/>
          </w:tcPr>
          <w:p w14:paraId="4E651828" w14:textId="77777777" w:rsidR="00CB397B" w:rsidRDefault="00CB397B">
            <w:pPr>
              <w:jc w:val="both"/>
              <w:rPr>
                <w:rFonts w:ascii="Times New Roman" w:hAnsi="Times New Roman"/>
                <w:sz w:val="24"/>
                <w:szCs w:val="24"/>
              </w:rPr>
            </w:pPr>
            <w:r>
              <w:rPr>
                <w:rFonts w:ascii="Times New Roman" w:hAnsi="Times New Roman"/>
                <w:bCs/>
                <w:sz w:val="24"/>
                <w:szCs w:val="24"/>
              </w:rPr>
              <w:t>11.63</w:t>
            </w:r>
          </w:p>
        </w:tc>
      </w:tr>
      <w:tr w:rsidR="00CB397B" w14:paraId="68C9E146" w14:textId="77777777" w:rsidTr="00CB397B">
        <w:trPr>
          <w:trHeight w:val="282"/>
          <w:tblCellSpacing w:w="15" w:type="dxa"/>
        </w:trPr>
        <w:tc>
          <w:tcPr>
            <w:tcW w:w="0" w:type="auto"/>
            <w:tcMar>
              <w:top w:w="15" w:type="dxa"/>
              <w:left w:w="15" w:type="dxa"/>
              <w:bottom w:w="15" w:type="dxa"/>
              <w:right w:w="15" w:type="dxa"/>
            </w:tcMar>
            <w:vAlign w:val="center"/>
            <w:hideMark/>
          </w:tcPr>
          <w:p w14:paraId="564090FE"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239" w:type="dxa"/>
            <w:tcMar>
              <w:top w:w="15" w:type="dxa"/>
              <w:left w:w="15" w:type="dxa"/>
              <w:bottom w:w="15" w:type="dxa"/>
              <w:right w:w="15" w:type="dxa"/>
            </w:tcMar>
            <w:vAlign w:val="center"/>
            <w:hideMark/>
          </w:tcPr>
          <w:p w14:paraId="06073B51"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5E7B3A23" w14:textId="77777777" w:rsidR="00CB397B" w:rsidRDefault="00CB397B">
            <w:pPr>
              <w:jc w:val="both"/>
              <w:rPr>
                <w:rFonts w:ascii="Times New Roman" w:hAnsi="Times New Roman"/>
                <w:sz w:val="24"/>
                <w:szCs w:val="24"/>
              </w:rPr>
            </w:pPr>
            <w:r>
              <w:rPr>
                <w:rFonts w:ascii="Times New Roman" w:hAnsi="Times New Roman"/>
                <w:bCs/>
                <w:sz w:val="24"/>
                <w:szCs w:val="24"/>
              </w:rPr>
              <w:t>6.98</w:t>
            </w:r>
          </w:p>
        </w:tc>
        <w:tc>
          <w:tcPr>
            <w:tcW w:w="0" w:type="auto"/>
            <w:tcMar>
              <w:top w:w="15" w:type="dxa"/>
              <w:left w:w="15" w:type="dxa"/>
              <w:bottom w:w="15" w:type="dxa"/>
              <w:right w:w="15" w:type="dxa"/>
            </w:tcMar>
            <w:vAlign w:val="center"/>
            <w:hideMark/>
          </w:tcPr>
          <w:p w14:paraId="387234E5" w14:textId="77777777" w:rsidR="00CB397B" w:rsidRDefault="00CB397B">
            <w:pPr>
              <w:jc w:val="both"/>
              <w:rPr>
                <w:rFonts w:ascii="Times New Roman" w:hAnsi="Times New Roman"/>
                <w:sz w:val="24"/>
                <w:szCs w:val="24"/>
              </w:rPr>
            </w:pPr>
            <w:r>
              <w:rPr>
                <w:rFonts w:ascii="Times New Roman" w:hAnsi="Times New Roman"/>
                <w:bCs/>
                <w:sz w:val="24"/>
                <w:szCs w:val="24"/>
              </w:rPr>
              <w:t>8.28</w:t>
            </w:r>
          </w:p>
        </w:tc>
        <w:tc>
          <w:tcPr>
            <w:tcW w:w="0" w:type="auto"/>
            <w:tcMar>
              <w:top w:w="15" w:type="dxa"/>
              <w:left w:w="15" w:type="dxa"/>
              <w:bottom w:w="15" w:type="dxa"/>
              <w:right w:w="15" w:type="dxa"/>
            </w:tcMar>
            <w:vAlign w:val="center"/>
            <w:hideMark/>
          </w:tcPr>
          <w:p w14:paraId="1064096A" w14:textId="77777777" w:rsidR="00CB397B" w:rsidRDefault="00CB397B">
            <w:pPr>
              <w:jc w:val="both"/>
              <w:rPr>
                <w:rFonts w:ascii="Times New Roman" w:hAnsi="Times New Roman"/>
                <w:sz w:val="24"/>
                <w:szCs w:val="24"/>
              </w:rPr>
            </w:pPr>
            <w:r>
              <w:rPr>
                <w:rFonts w:ascii="Times New Roman" w:hAnsi="Times New Roman"/>
                <w:bCs/>
                <w:sz w:val="24"/>
                <w:szCs w:val="24"/>
              </w:rPr>
              <w:t>7.93</w:t>
            </w:r>
          </w:p>
        </w:tc>
      </w:tr>
      <w:tr w:rsidR="00CB397B" w14:paraId="613417B3" w14:textId="77777777" w:rsidTr="00CB397B">
        <w:trPr>
          <w:trHeight w:val="282"/>
          <w:tblCellSpacing w:w="15" w:type="dxa"/>
        </w:trPr>
        <w:tc>
          <w:tcPr>
            <w:tcW w:w="0" w:type="auto"/>
            <w:tcMar>
              <w:top w:w="15" w:type="dxa"/>
              <w:left w:w="15" w:type="dxa"/>
              <w:bottom w:w="15" w:type="dxa"/>
              <w:right w:w="15" w:type="dxa"/>
            </w:tcMar>
            <w:vAlign w:val="center"/>
            <w:hideMark/>
          </w:tcPr>
          <w:p w14:paraId="23D43C5B"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239" w:type="dxa"/>
            <w:tcMar>
              <w:top w:w="15" w:type="dxa"/>
              <w:left w:w="15" w:type="dxa"/>
              <w:bottom w:w="15" w:type="dxa"/>
              <w:right w:w="15" w:type="dxa"/>
            </w:tcMar>
            <w:vAlign w:val="center"/>
            <w:hideMark/>
          </w:tcPr>
          <w:p w14:paraId="201C478D"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77F1B38D" w14:textId="77777777" w:rsidR="00CB397B" w:rsidRDefault="00CB397B">
            <w:pPr>
              <w:jc w:val="both"/>
              <w:rPr>
                <w:rFonts w:ascii="Times New Roman" w:hAnsi="Times New Roman"/>
                <w:sz w:val="24"/>
                <w:szCs w:val="24"/>
              </w:rPr>
            </w:pPr>
            <w:r>
              <w:rPr>
                <w:rFonts w:ascii="Times New Roman" w:hAnsi="Times New Roman"/>
                <w:bCs/>
                <w:sz w:val="24"/>
                <w:szCs w:val="24"/>
              </w:rPr>
              <w:t>4.70</w:t>
            </w:r>
          </w:p>
        </w:tc>
        <w:tc>
          <w:tcPr>
            <w:tcW w:w="0" w:type="auto"/>
            <w:tcMar>
              <w:top w:w="15" w:type="dxa"/>
              <w:left w:w="15" w:type="dxa"/>
              <w:bottom w:w="15" w:type="dxa"/>
              <w:right w:w="15" w:type="dxa"/>
            </w:tcMar>
            <w:vAlign w:val="center"/>
            <w:hideMark/>
          </w:tcPr>
          <w:p w14:paraId="0E82256E" w14:textId="77777777" w:rsidR="00CB397B" w:rsidRDefault="00CB397B">
            <w:pPr>
              <w:jc w:val="both"/>
              <w:rPr>
                <w:rFonts w:ascii="Times New Roman" w:hAnsi="Times New Roman"/>
                <w:sz w:val="24"/>
                <w:szCs w:val="24"/>
              </w:rPr>
            </w:pPr>
            <w:r>
              <w:rPr>
                <w:rFonts w:ascii="Times New Roman" w:hAnsi="Times New Roman"/>
                <w:bCs/>
                <w:sz w:val="24"/>
                <w:szCs w:val="24"/>
              </w:rPr>
              <w:t>4.68</w:t>
            </w:r>
          </w:p>
        </w:tc>
        <w:tc>
          <w:tcPr>
            <w:tcW w:w="0" w:type="auto"/>
            <w:tcMar>
              <w:top w:w="15" w:type="dxa"/>
              <w:left w:w="15" w:type="dxa"/>
              <w:bottom w:w="15" w:type="dxa"/>
              <w:right w:w="15" w:type="dxa"/>
            </w:tcMar>
            <w:vAlign w:val="center"/>
            <w:hideMark/>
          </w:tcPr>
          <w:p w14:paraId="31E2B485" w14:textId="77777777" w:rsidR="00CB397B" w:rsidRDefault="00CB397B">
            <w:pPr>
              <w:jc w:val="both"/>
              <w:rPr>
                <w:rFonts w:ascii="Times New Roman" w:hAnsi="Times New Roman"/>
                <w:sz w:val="24"/>
                <w:szCs w:val="24"/>
              </w:rPr>
            </w:pPr>
            <w:r>
              <w:rPr>
                <w:rFonts w:ascii="Times New Roman" w:hAnsi="Times New Roman"/>
                <w:bCs/>
                <w:sz w:val="24"/>
                <w:szCs w:val="24"/>
              </w:rPr>
              <w:t>6.46</w:t>
            </w:r>
          </w:p>
        </w:tc>
      </w:tr>
      <w:tr w:rsidR="00CB397B" w14:paraId="1D72EDFD" w14:textId="77777777" w:rsidTr="00CB397B">
        <w:trPr>
          <w:trHeight w:val="298"/>
          <w:tblCellSpacing w:w="15" w:type="dxa"/>
        </w:trPr>
        <w:tc>
          <w:tcPr>
            <w:tcW w:w="0" w:type="auto"/>
            <w:tcMar>
              <w:top w:w="15" w:type="dxa"/>
              <w:left w:w="15" w:type="dxa"/>
              <w:bottom w:w="15" w:type="dxa"/>
              <w:right w:w="15" w:type="dxa"/>
            </w:tcMar>
            <w:vAlign w:val="center"/>
            <w:hideMark/>
          </w:tcPr>
          <w:p w14:paraId="267E0F83"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239" w:type="dxa"/>
            <w:tcMar>
              <w:top w:w="15" w:type="dxa"/>
              <w:left w:w="15" w:type="dxa"/>
              <w:bottom w:w="15" w:type="dxa"/>
              <w:right w:w="15" w:type="dxa"/>
            </w:tcMar>
            <w:vAlign w:val="center"/>
            <w:hideMark/>
          </w:tcPr>
          <w:p w14:paraId="4D25D421"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3F47D107" w14:textId="77777777" w:rsidR="00CB397B" w:rsidRDefault="00CB397B">
            <w:pPr>
              <w:jc w:val="both"/>
              <w:rPr>
                <w:rFonts w:ascii="Times New Roman" w:hAnsi="Times New Roman"/>
                <w:sz w:val="24"/>
                <w:szCs w:val="24"/>
              </w:rPr>
            </w:pPr>
            <w:r>
              <w:rPr>
                <w:rFonts w:ascii="Times New Roman" w:hAnsi="Times New Roman"/>
                <w:bCs/>
                <w:sz w:val="24"/>
                <w:szCs w:val="24"/>
              </w:rPr>
              <w:t>1.35</w:t>
            </w:r>
          </w:p>
        </w:tc>
        <w:tc>
          <w:tcPr>
            <w:tcW w:w="0" w:type="auto"/>
            <w:tcMar>
              <w:top w:w="15" w:type="dxa"/>
              <w:left w:w="15" w:type="dxa"/>
              <w:bottom w:w="15" w:type="dxa"/>
              <w:right w:w="15" w:type="dxa"/>
            </w:tcMar>
            <w:vAlign w:val="center"/>
            <w:hideMark/>
          </w:tcPr>
          <w:p w14:paraId="412AC79E" w14:textId="77777777" w:rsidR="00CB397B" w:rsidRDefault="00CB397B">
            <w:pPr>
              <w:jc w:val="both"/>
              <w:rPr>
                <w:rFonts w:ascii="Times New Roman" w:hAnsi="Times New Roman"/>
                <w:sz w:val="24"/>
                <w:szCs w:val="24"/>
              </w:rPr>
            </w:pPr>
            <w:r>
              <w:rPr>
                <w:rFonts w:ascii="Times New Roman" w:hAnsi="Times New Roman"/>
                <w:bCs/>
                <w:sz w:val="24"/>
                <w:szCs w:val="24"/>
              </w:rPr>
              <w:t>1.75</w:t>
            </w:r>
          </w:p>
        </w:tc>
        <w:tc>
          <w:tcPr>
            <w:tcW w:w="0" w:type="auto"/>
            <w:tcMar>
              <w:top w:w="15" w:type="dxa"/>
              <w:left w:w="15" w:type="dxa"/>
              <w:bottom w:w="15" w:type="dxa"/>
              <w:right w:w="15" w:type="dxa"/>
            </w:tcMar>
            <w:vAlign w:val="center"/>
            <w:hideMark/>
          </w:tcPr>
          <w:p w14:paraId="2138DC94" w14:textId="77777777" w:rsidR="00CB397B" w:rsidRDefault="00CB397B">
            <w:pPr>
              <w:jc w:val="both"/>
              <w:rPr>
                <w:rFonts w:ascii="Times New Roman" w:hAnsi="Times New Roman"/>
                <w:sz w:val="24"/>
                <w:szCs w:val="24"/>
              </w:rPr>
            </w:pPr>
            <w:r>
              <w:rPr>
                <w:rFonts w:ascii="Times New Roman" w:hAnsi="Times New Roman"/>
                <w:bCs/>
                <w:sz w:val="24"/>
                <w:szCs w:val="24"/>
              </w:rPr>
              <w:t>1.49</w:t>
            </w:r>
          </w:p>
        </w:tc>
      </w:tr>
      <w:tr w:rsidR="00CB397B" w14:paraId="766D76CC" w14:textId="77777777" w:rsidTr="00CB397B">
        <w:trPr>
          <w:trHeight w:val="298"/>
          <w:tblCellSpacing w:w="15" w:type="dxa"/>
        </w:trPr>
        <w:tc>
          <w:tcPr>
            <w:tcW w:w="0" w:type="auto"/>
            <w:tcMar>
              <w:top w:w="15" w:type="dxa"/>
              <w:left w:w="15" w:type="dxa"/>
              <w:bottom w:w="15" w:type="dxa"/>
              <w:right w:w="15" w:type="dxa"/>
            </w:tcMar>
            <w:vAlign w:val="center"/>
            <w:hideMark/>
          </w:tcPr>
          <w:p w14:paraId="5D20BCAE"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239" w:type="dxa"/>
            <w:tcMar>
              <w:top w:w="15" w:type="dxa"/>
              <w:left w:w="15" w:type="dxa"/>
              <w:bottom w:w="15" w:type="dxa"/>
              <w:right w:w="15" w:type="dxa"/>
            </w:tcMar>
            <w:vAlign w:val="center"/>
            <w:hideMark/>
          </w:tcPr>
          <w:p w14:paraId="4BF33AC6"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4D22966B" w14:textId="77777777" w:rsidR="00CB397B" w:rsidRDefault="00CB397B">
            <w:pPr>
              <w:jc w:val="both"/>
              <w:rPr>
                <w:rFonts w:ascii="Times New Roman" w:hAnsi="Times New Roman"/>
                <w:sz w:val="24"/>
                <w:szCs w:val="24"/>
              </w:rPr>
            </w:pPr>
            <w:r>
              <w:rPr>
                <w:rFonts w:ascii="Times New Roman" w:hAnsi="Times New Roman"/>
                <w:bCs/>
                <w:sz w:val="24"/>
                <w:szCs w:val="24"/>
              </w:rPr>
              <w:t>1.13</w:t>
            </w:r>
          </w:p>
        </w:tc>
        <w:tc>
          <w:tcPr>
            <w:tcW w:w="0" w:type="auto"/>
            <w:tcMar>
              <w:top w:w="15" w:type="dxa"/>
              <w:left w:w="15" w:type="dxa"/>
              <w:bottom w:w="15" w:type="dxa"/>
              <w:right w:w="15" w:type="dxa"/>
            </w:tcMar>
            <w:vAlign w:val="center"/>
            <w:hideMark/>
          </w:tcPr>
          <w:p w14:paraId="42F17491" w14:textId="77777777" w:rsidR="00CB397B" w:rsidRDefault="00CB397B">
            <w:pPr>
              <w:jc w:val="both"/>
              <w:rPr>
                <w:rFonts w:ascii="Times New Roman" w:hAnsi="Times New Roman"/>
                <w:sz w:val="24"/>
                <w:szCs w:val="24"/>
              </w:rPr>
            </w:pPr>
            <w:r>
              <w:rPr>
                <w:rFonts w:ascii="Times New Roman" w:hAnsi="Times New Roman"/>
                <w:bCs/>
                <w:sz w:val="24"/>
                <w:szCs w:val="24"/>
              </w:rPr>
              <w:t>1.35</w:t>
            </w:r>
          </w:p>
        </w:tc>
        <w:tc>
          <w:tcPr>
            <w:tcW w:w="0" w:type="auto"/>
            <w:tcMar>
              <w:top w:w="15" w:type="dxa"/>
              <w:left w:w="15" w:type="dxa"/>
              <w:bottom w:w="15" w:type="dxa"/>
              <w:right w:w="15" w:type="dxa"/>
            </w:tcMar>
            <w:vAlign w:val="center"/>
            <w:hideMark/>
          </w:tcPr>
          <w:p w14:paraId="4411B585" w14:textId="77777777" w:rsidR="00CB397B" w:rsidRDefault="00CB397B">
            <w:pPr>
              <w:jc w:val="both"/>
              <w:rPr>
                <w:rFonts w:ascii="Times New Roman" w:hAnsi="Times New Roman"/>
                <w:sz w:val="24"/>
                <w:szCs w:val="24"/>
              </w:rPr>
            </w:pPr>
            <w:r>
              <w:rPr>
                <w:rFonts w:ascii="Times New Roman" w:hAnsi="Times New Roman"/>
                <w:bCs/>
                <w:sz w:val="24"/>
                <w:szCs w:val="24"/>
              </w:rPr>
              <w:t>1.03</w:t>
            </w:r>
          </w:p>
        </w:tc>
      </w:tr>
      <w:tr w:rsidR="00CB397B" w14:paraId="1985BEA1" w14:textId="77777777" w:rsidTr="00CB397B">
        <w:trPr>
          <w:trHeight w:val="298"/>
          <w:tblCellSpacing w:w="15" w:type="dxa"/>
        </w:trPr>
        <w:tc>
          <w:tcPr>
            <w:tcW w:w="0" w:type="auto"/>
            <w:tcMar>
              <w:top w:w="15" w:type="dxa"/>
              <w:left w:w="15" w:type="dxa"/>
              <w:bottom w:w="15" w:type="dxa"/>
              <w:right w:w="15" w:type="dxa"/>
            </w:tcMar>
            <w:vAlign w:val="center"/>
            <w:hideMark/>
          </w:tcPr>
          <w:p w14:paraId="607354E3"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239" w:type="dxa"/>
            <w:tcMar>
              <w:top w:w="15" w:type="dxa"/>
              <w:left w:w="15" w:type="dxa"/>
              <w:bottom w:w="15" w:type="dxa"/>
              <w:right w:w="15" w:type="dxa"/>
            </w:tcMar>
            <w:vAlign w:val="center"/>
            <w:hideMark/>
          </w:tcPr>
          <w:p w14:paraId="438C6E25"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7D6A4792" w14:textId="77777777" w:rsidR="00CB397B" w:rsidRDefault="00CB397B">
            <w:pPr>
              <w:jc w:val="both"/>
              <w:rPr>
                <w:rFonts w:ascii="Times New Roman" w:hAnsi="Times New Roman"/>
                <w:sz w:val="24"/>
                <w:szCs w:val="24"/>
              </w:rPr>
            </w:pPr>
            <w:r>
              <w:rPr>
                <w:rFonts w:ascii="Times New Roman" w:hAnsi="Times New Roman"/>
                <w:bCs/>
                <w:sz w:val="24"/>
                <w:szCs w:val="24"/>
              </w:rPr>
              <w:t>0.63</w:t>
            </w:r>
          </w:p>
        </w:tc>
        <w:tc>
          <w:tcPr>
            <w:tcW w:w="0" w:type="auto"/>
            <w:tcMar>
              <w:top w:w="15" w:type="dxa"/>
              <w:left w:w="15" w:type="dxa"/>
              <w:bottom w:w="15" w:type="dxa"/>
              <w:right w:w="15" w:type="dxa"/>
            </w:tcMar>
            <w:vAlign w:val="center"/>
            <w:hideMark/>
          </w:tcPr>
          <w:p w14:paraId="7148ACD7" w14:textId="77777777" w:rsidR="00CB397B" w:rsidRDefault="00CB397B">
            <w:pPr>
              <w:jc w:val="both"/>
              <w:rPr>
                <w:rFonts w:ascii="Times New Roman" w:hAnsi="Times New Roman"/>
                <w:sz w:val="24"/>
                <w:szCs w:val="24"/>
              </w:rPr>
            </w:pPr>
            <w:r>
              <w:rPr>
                <w:rFonts w:ascii="Times New Roman" w:hAnsi="Times New Roman"/>
                <w:bCs/>
                <w:sz w:val="24"/>
                <w:szCs w:val="24"/>
              </w:rPr>
              <w:t>0.63</w:t>
            </w:r>
          </w:p>
        </w:tc>
        <w:tc>
          <w:tcPr>
            <w:tcW w:w="0" w:type="auto"/>
            <w:tcMar>
              <w:top w:w="15" w:type="dxa"/>
              <w:left w:w="15" w:type="dxa"/>
              <w:bottom w:w="15" w:type="dxa"/>
              <w:right w:w="15" w:type="dxa"/>
            </w:tcMar>
            <w:vAlign w:val="center"/>
            <w:hideMark/>
          </w:tcPr>
          <w:p w14:paraId="0C1B973D" w14:textId="77777777" w:rsidR="00CB397B" w:rsidRDefault="00CB397B">
            <w:pPr>
              <w:jc w:val="both"/>
              <w:rPr>
                <w:rFonts w:ascii="Times New Roman" w:hAnsi="Times New Roman"/>
                <w:sz w:val="24"/>
                <w:szCs w:val="24"/>
              </w:rPr>
            </w:pPr>
            <w:r>
              <w:rPr>
                <w:rFonts w:ascii="Times New Roman" w:hAnsi="Times New Roman"/>
                <w:bCs/>
                <w:sz w:val="24"/>
                <w:szCs w:val="24"/>
              </w:rPr>
              <w:t>0.87</w:t>
            </w:r>
          </w:p>
        </w:tc>
      </w:tr>
      <w:tr w:rsidR="00CB397B" w14:paraId="6AAD02E0" w14:textId="77777777" w:rsidTr="00CB397B">
        <w:trPr>
          <w:trHeight w:val="282"/>
          <w:tblCellSpacing w:w="15" w:type="dxa"/>
        </w:trPr>
        <w:tc>
          <w:tcPr>
            <w:tcW w:w="0" w:type="auto"/>
            <w:tcMar>
              <w:top w:w="15" w:type="dxa"/>
              <w:left w:w="15" w:type="dxa"/>
              <w:bottom w:w="15" w:type="dxa"/>
              <w:right w:w="15" w:type="dxa"/>
            </w:tcMar>
            <w:vAlign w:val="center"/>
            <w:hideMark/>
          </w:tcPr>
          <w:p w14:paraId="3AEED432"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239" w:type="dxa"/>
            <w:tcMar>
              <w:top w:w="15" w:type="dxa"/>
              <w:left w:w="15" w:type="dxa"/>
              <w:bottom w:w="15" w:type="dxa"/>
              <w:right w:w="15" w:type="dxa"/>
            </w:tcMar>
            <w:vAlign w:val="center"/>
            <w:hideMark/>
          </w:tcPr>
          <w:p w14:paraId="774F545B"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3964313A" w14:textId="77777777" w:rsidR="00CB397B" w:rsidRDefault="00CB397B">
            <w:pPr>
              <w:jc w:val="both"/>
              <w:rPr>
                <w:rFonts w:ascii="Times New Roman" w:hAnsi="Times New Roman"/>
                <w:sz w:val="24"/>
                <w:szCs w:val="24"/>
              </w:rPr>
            </w:pPr>
            <w:r>
              <w:rPr>
                <w:rFonts w:ascii="Times New Roman" w:hAnsi="Times New Roman"/>
                <w:bCs/>
                <w:sz w:val="24"/>
                <w:szCs w:val="24"/>
              </w:rPr>
              <w:t>3.40</w:t>
            </w:r>
          </w:p>
        </w:tc>
        <w:tc>
          <w:tcPr>
            <w:tcW w:w="0" w:type="auto"/>
            <w:tcMar>
              <w:top w:w="15" w:type="dxa"/>
              <w:left w:w="15" w:type="dxa"/>
              <w:bottom w:w="15" w:type="dxa"/>
              <w:right w:w="15" w:type="dxa"/>
            </w:tcMar>
            <w:vAlign w:val="center"/>
            <w:hideMark/>
          </w:tcPr>
          <w:p w14:paraId="53C155CF" w14:textId="77777777" w:rsidR="00CB397B" w:rsidRDefault="00CB397B">
            <w:pPr>
              <w:jc w:val="both"/>
              <w:rPr>
                <w:rFonts w:ascii="Times New Roman" w:hAnsi="Times New Roman"/>
                <w:sz w:val="24"/>
                <w:szCs w:val="24"/>
              </w:rPr>
            </w:pPr>
            <w:r>
              <w:rPr>
                <w:rFonts w:ascii="Times New Roman" w:hAnsi="Times New Roman"/>
                <w:bCs/>
                <w:sz w:val="24"/>
                <w:szCs w:val="24"/>
              </w:rPr>
              <w:t>4.23</w:t>
            </w:r>
          </w:p>
        </w:tc>
        <w:tc>
          <w:tcPr>
            <w:tcW w:w="0" w:type="auto"/>
            <w:tcMar>
              <w:top w:w="15" w:type="dxa"/>
              <w:left w:w="15" w:type="dxa"/>
              <w:bottom w:w="15" w:type="dxa"/>
              <w:right w:w="15" w:type="dxa"/>
            </w:tcMar>
            <w:vAlign w:val="center"/>
            <w:hideMark/>
          </w:tcPr>
          <w:p w14:paraId="3B05DAF0" w14:textId="77777777" w:rsidR="00CB397B" w:rsidRDefault="00CB397B">
            <w:pPr>
              <w:jc w:val="both"/>
              <w:rPr>
                <w:rFonts w:ascii="Times New Roman" w:hAnsi="Times New Roman"/>
                <w:sz w:val="24"/>
                <w:szCs w:val="24"/>
              </w:rPr>
            </w:pPr>
            <w:r>
              <w:rPr>
                <w:rFonts w:ascii="Times New Roman" w:hAnsi="Times New Roman"/>
                <w:bCs/>
                <w:sz w:val="24"/>
                <w:szCs w:val="24"/>
              </w:rPr>
              <w:t>3.09</w:t>
            </w:r>
          </w:p>
        </w:tc>
      </w:tr>
      <w:tr w:rsidR="00CB397B" w14:paraId="59A7839E" w14:textId="77777777" w:rsidTr="00CB397B">
        <w:trPr>
          <w:trHeight w:val="282"/>
          <w:tblCellSpacing w:w="15" w:type="dxa"/>
        </w:trPr>
        <w:tc>
          <w:tcPr>
            <w:tcW w:w="0" w:type="auto"/>
            <w:tcMar>
              <w:top w:w="15" w:type="dxa"/>
              <w:left w:w="15" w:type="dxa"/>
              <w:bottom w:w="15" w:type="dxa"/>
              <w:right w:w="15" w:type="dxa"/>
            </w:tcMar>
            <w:vAlign w:val="center"/>
            <w:hideMark/>
          </w:tcPr>
          <w:p w14:paraId="0A54357A"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239" w:type="dxa"/>
            <w:tcMar>
              <w:top w:w="15" w:type="dxa"/>
              <w:left w:w="15" w:type="dxa"/>
              <w:bottom w:w="15" w:type="dxa"/>
              <w:right w:w="15" w:type="dxa"/>
            </w:tcMar>
            <w:vAlign w:val="center"/>
            <w:hideMark/>
          </w:tcPr>
          <w:p w14:paraId="5B944496"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62182254" w14:textId="77777777" w:rsidR="00CB397B" w:rsidRDefault="00CB397B">
            <w:pPr>
              <w:jc w:val="both"/>
              <w:rPr>
                <w:rFonts w:ascii="Times New Roman" w:hAnsi="Times New Roman"/>
                <w:sz w:val="24"/>
                <w:szCs w:val="24"/>
              </w:rPr>
            </w:pPr>
            <w:r>
              <w:rPr>
                <w:rFonts w:ascii="Times New Roman" w:hAnsi="Times New Roman"/>
                <w:bCs/>
                <w:sz w:val="24"/>
                <w:szCs w:val="24"/>
              </w:rPr>
              <w:t>3.44</w:t>
            </w:r>
          </w:p>
        </w:tc>
        <w:tc>
          <w:tcPr>
            <w:tcW w:w="0" w:type="auto"/>
            <w:tcMar>
              <w:top w:w="15" w:type="dxa"/>
              <w:left w:w="15" w:type="dxa"/>
              <w:bottom w:w="15" w:type="dxa"/>
              <w:right w:w="15" w:type="dxa"/>
            </w:tcMar>
            <w:vAlign w:val="center"/>
            <w:hideMark/>
          </w:tcPr>
          <w:p w14:paraId="52E9E9AD" w14:textId="77777777" w:rsidR="00CB397B" w:rsidRDefault="00CB397B">
            <w:pPr>
              <w:jc w:val="both"/>
              <w:rPr>
                <w:rFonts w:ascii="Times New Roman" w:hAnsi="Times New Roman"/>
                <w:sz w:val="24"/>
                <w:szCs w:val="24"/>
              </w:rPr>
            </w:pPr>
            <w:r>
              <w:rPr>
                <w:rFonts w:ascii="Times New Roman" w:hAnsi="Times New Roman"/>
                <w:bCs/>
                <w:sz w:val="24"/>
                <w:szCs w:val="24"/>
              </w:rPr>
              <w:t>3.93</w:t>
            </w:r>
          </w:p>
        </w:tc>
        <w:tc>
          <w:tcPr>
            <w:tcW w:w="0" w:type="auto"/>
            <w:tcMar>
              <w:top w:w="15" w:type="dxa"/>
              <w:left w:w="15" w:type="dxa"/>
              <w:bottom w:w="15" w:type="dxa"/>
              <w:right w:w="15" w:type="dxa"/>
            </w:tcMar>
            <w:vAlign w:val="center"/>
            <w:hideMark/>
          </w:tcPr>
          <w:p w14:paraId="72B660AB" w14:textId="77777777" w:rsidR="00CB397B" w:rsidRDefault="00CB397B">
            <w:pPr>
              <w:jc w:val="both"/>
              <w:rPr>
                <w:rFonts w:ascii="Times New Roman" w:hAnsi="Times New Roman"/>
                <w:sz w:val="24"/>
                <w:szCs w:val="24"/>
              </w:rPr>
            </w:pPr>
            <w:r>
              <w:rPr>
                <w:rFonts w:ascii="Times New Roman" w:hAnsi="Times New Roman"/>
                <w:bCs/>
                <w:sz w:val="24"/>
                <w:szCs w:val="24"/>
              </w:rPr>
              <w:t>3.53</w:t>
            </w:r>
          </w:p>
        </w:tc>
      </w:tr>
      <w:tr w:rsidR="00CB397B" w14:paraId="44884A0E" w14:textId="77777777" w:rsidTr="00CB397B">
        <w:trPr>
          <w:trHeight w:val="298"/>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A713C36"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239" w:type="dxa"/>
            <w:tcBorders>
              <w:top w:val="nil"/>
              <w:left w:val="nil"/>
              <w:bottom w:val="single" w:sz="4" w:space="0" w:color="auto"/>
              <w:right w:val="nil"/>
            </w:tcBorders>
            <w:tcMar>
              <w:top w:w="15" w:type="dxa"/>
              <w:left w:w="15" w:type="dxa"/>
              <w:bottom w:w="15" w:type="dxa"/>
              <w:right w:w="15" w:type="dxa"/>
            </w:tcMar>
            <w:vAlign w:val="center"/>
            <w:hideMark/>
          </w:tcPr>
          <w:p w14:paraId="351FA81A"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A80C809" w14:textId="77777777" w:rsidR="00CB397B" w:rsidRDefault="00CB397B">
            <w:pPr>
              <w:jc w:val="both"/>
              <w:rPr>
                <w:rFonts w:ascii="Times New Roman" w:hAnsi="Times New Roman"/>
                <w:sz w:val="24"/>
                <w:szCs w:val="24"/>
              </w:rPr>
            </w:pPr>
            <w:r>
              <w:rPr>
                <w:rFonts w:ascii="Times New Roman" w:hAnsi="Times New Roman"/>
                <w:bCs/>
                <w:sz w:val="24"/>
                <w:szCs w:val="24"/>
              </w:rPr>
              <w:t>1.69</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986CBE6" w14:textId="77777777" w:rsidR="00CB397B" w:rsidRDefault="00CB397B">
            <w:pPr>
              <w:jc w:val="both"/>
              <w:rPr>
                <w:rFonts w:ascii="Times New Roman" w:hAnsi="Times New Roman"/>
                <w:sz w:val="24"/>
                <w:szCs w:val="24"/>
              </w:rPr>
            </w:pPr>
            <w:r>
              <w:rPr>
                <w:rFonts w:ascii="Times New Roman" w:hAnsi="Times New Roman"/>
                <w:bCs/>
                <w:sz w:val="24"/>
                <w:szCs w:val="24"/>
              </w:rPr>
              <w:t>1.73</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3490D19" w14:textId="77777777" w:rsidR="00CB397B" w:rsidRDefault="00CB397B">
            <w:pPr>
              <w:jc w:val="both"/>
              <w:rPr>
                <w:rFonts w:ascii="Times New Roman" w:hAnsi="Times New Roman"/>
                <w:sz w:val="24"/>
                <w:szCs w:val="24"/>
              </w:rPr>
            </w:pPr>
            <w:r>
              <w:rPr>
                <w:rFonts w:ascii="Times New Roman" w:hAnsi="Times New Roman"/>
                <w:bCs/>
                <w:sz w:val="24"/>
                <w:szCs w:val="24"/>
              </w:rPr>
              <w:t>2.43</w:t>
            </w:r>
          </w:p>
        </w:tc>
      </w:tr>
    </w:tbl>
    <w:p w14:paraId="3B8DC9FC"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Pb showed </w:t>
      </w:r>
      <w:r>
        <w:rPr>
          <w:rFonts w:ascii="Times New Roman" w:hAnsi="Times New Roman"/>
          <w:bCs/>
          <w:sz w:val="24"/>
          <w:szCs w:val="24"/>
        </w:rPr>
        <w:t>BAF &gt; 1 in most treatments</w:t>
      </w:r>
      <w:r>
        <w:rPr>
          <w:rFonts w:ascii="Times New Roman" w:hAnsi="Times New Roman"/>
          <w:sz w:val="24"/>
          <w:szCs w:val="24"/>
        </w:rPr>
        <w:t xml:space="preserve">, particularly at New Airport and Magnus. The highest Pb BAF was observed in the </w:t>
      </w:r>
      <w:r>
        <w:rPr>
          <w:rFonts w:ascii="Times New Roman" w:hAnsi="Times New Roman"/>
          <w:bCs/>
          <w:sz w:val="24"/>
          <w:szCs w:val="24"/>
        </w:rPr>
        <w:t>New Airport concrete gills</w:t>
      </w:r>
    </w:p>
    <w:p w14:paraId="498AACA7" w14:textId="77777777" w:rsidR="00CB397B" w:rsidRDefault="00CB397B" w:rsidP="00CB397B">
      <w:pPr>
        <w:rPr>
          <w:rFonts w:ascii="Times New Roman" w:hAnsi="Times New Roman"/>
          <w:b/>
          <w:bCs/>
          <w:sz w:val="24"/>
          <w:szCs w:val="24"/>
        </w:rPr>
      </w:pPr>
      <w:r>
        <w:rPr>
          <w:rFonts w:ascii="Times New Roman" w:hAnsi="Times New Roman"/>
          <w:b/>
          <w:bCs/>
          <w:sz w:val="24"/>
          <w:szCs w:val="24"/>
        </w:rPr>
        <w:br w:type="page"/>
      </w:r>
    </w:p>
    <w:p w14:paraId="680E4FEB" w14:textId="77777777" w:rsidR="00CB397B" w:rsidRDefault="00CB397B" w:rsidP="00CB397B">
      <w:pPr>
        <w:jc w:val="both"/>
        <w:outlineLvl w:val="1"/>
        <w:rPr>
          <w:rFonts w:ascii="Times New Roman" w:hAnsi="Times New Roman"/>
          <w:b/>
          <w:bCs/>
          <w:sz w:val="24"/>
          <w:szCs w:val="24"/>
        </w:rPr>
      </w:pPr>
      <w:r>
        <w:rPr>
          <w:rFonts w:ascii="Times New Roman" w:hAnsi="Times New Roman"/>
          <w:b/>
          <w:bCs/>
          <w:sz w:val="24"/>
          <w:szCs w:val="24"/>
        </w:rPr>
        <w:lastRenderedPageBreak/>
        <w:t xml:space="preserve">Table 13: Bioaccumulation Factor (BAF) for Cadmium (Cd) in </w:t>
      </w:r>
      <w:r>
        <w:rPr>
          <w:rFonts w:ascii="Times New Roman" w:hAnsi="Times New Roman"/>
          <w:b/>
          <w:bCs/>
          <w:i/>
          <w:iCs/>
          <w:sz w:val="24"/>
          <w:szCs w:val="24"/>
        </w:rPr>
        <w:t xml:space="preserve">Clarias </w:t>
      </w:r>
      <w:proofErr w:type="spellStart"/>
      <w:r>
        <w:rPr>
          <w:rFonts w:ascii="Times New Roman" w:hAnsi="Times New Roman"/>
          <w:b/>
          <w:bCs/>
          <w:i/>
          <w:iCs/>
          <w:sz w:val="24"/>
          <w:szCs w:val="24"/>
        </w:rPr>
        <w:t>gariepinus</w:t>
      </w:r>
      <w:proofErr w:type="spellEnd"/>
    </w:p>
    <w:tbl>
      <w:tblPr>
        <w:tblW w:w="8699" w:type="dxa"/>
        <w:tblCellSpacing w:w="15" w:type="dxa"/>
        <w:tblLook w:val="04A0" w:firstRow="1" w:lastRow="0" w:firstColumn="1" w:lastColumn="0" w:noHBand="0" w:noVBand="1"/>
      </w:tblPr>
      <w:tblGrid>
        <w:gridCol w:w="2295"/>
        <w:gridCol w:w="1873"/>
        <w:gridCol w:w="1843"/>
        <w:gridCol w:w="1243"/>
        <w:gridCol w:w="1445"/>
      </w:tblGrid>
      <w:tr w:rsidR="00CB397B" w14:paraId="624F96FE" w14:textId="77777777" w:rsidTr="00CB397B">
        <w:trPr>
          <w:trHeight w:val="309"/>
          <w:tblHeader/>
          <w:tblCellSpacing w:w="15" w:type="dxa"/>
        </w:trPr>
        <w:tc>
          <w:tcPr>
            <w:tcW w:w="2250" w:type="dxa"/>
            <w:tcBorders>
              <w:top w:val="single" w:sz="4" w:space="0" w:color="auto"/>
              <w:left w:val="nil"/>
              <w:bottom w:val="nil"/>
              <w:right w:val="nil"/>
            </w:tcBorders>
            <w:tcMar>
              <w:top w:w="15" w:type="dxa"/>
              <w:left w:w="15" w:type="dxa"/>
              <w:bottom w:w="15" w:type="dxa"/>
              <w:right w:w="15" w:type="dxa"/>
            </w:tcMar>
            <w:vAlign w:val="center"/>
            <w:hideMark/>
          </w:tcPr>
          <w:p w14:paraId="081CCEA1"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1843" w:type="dxa"/>
            <w:tcBorders>
              <w:top w:val="single" w:sz="4" w:space="0" w:color="auto"/>
              <w:left w:val="nil"/>
              <w:bottom w:val="nil"/>
              <w:right w:val="nil"/>
            </w:tcBorders>
            <w:tcMar>
              <w:top w:w="15" w:type="dxa"/>
              <w:left w:w="15" w:type="dxa"/>
              <w:bottom w:w="15" w:type="dxa"/>
              <w:right w:w="15" w:type="dxa"/>
            </w:tcMar>
            <w:vAlign w:val="center"/>
            <w:hideMark/>
          </w:tcPr>
          <w:p w14:paraId="542FAB50"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3CBF813"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Muscle </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2F8CCD8"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Gills </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DD72914"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Liver </w:t>
            </w:r>
          </w:p>
        </w:tc>
      </w:tr>
      <w:tr w:rsidR="00CB397B" w14:paraId="20B25E6D" w14:textId="77777777" w:rsidTr="00CB397B">
        <w:trPr>
          <w:trHeight w:val="43"/>
          <w:tblCellSpacing w:w="15" w:type="dxa"/>
        </w:trPr>
        <w:tc>
          <w:tcPr>
            <w:tcW w:w="2250" w:type="dxa"/>
            <w:tcBorders>
              <w:top w:val="single" w:sz="4" w:space="0" w:color="auto"/>
              <w:left w:val="nil"/>
              <w:bottom w:val="nil"/>
              <w:right w:val="nil"/>
            </w:tcBorders>
            <w:tcMar>
              <w:top w:w="15" w:type="dxa"/>
              <w:left w:w="15" w:type="dxa"/>
              <w:bottom w:w="15" w:type="dxa"/>
              <w:right w:w="15" w:type="dxa"/>
            </w:tcMar>
            <w:vAlign w:val="center"/>
            <w:hideMark/>
          </w:tcPr>
          <w:p w14:paraId="22607DFE"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1843" w:type="dxa"/>
            <w:tcBorders>
              <w:top w:val="single" w:sz="4" w:space="0" w:color="auto"/>
              <w:left w:val="nil"/>
              <w:bottom w:val="nil"/>
              <w:right w:val="nil"/>
            </w:tcBorders>
            <w:tcMar>
              <w:top w:w="15" w:type="dxa"/>
              <w:left w:w="15" w:type="dxa"/>
              <w:bottom w:w="15" w:type="dxa"/>
              <w:right w:w="15" w:type="dxa"/>
            </w:tcMar>
            <w:vAlign w:val="center"/>
            <w:hideMark/>
          </w:tcPr>
          <w:p w14:paraId="6ACE4C71"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7577CB9" w14:textId="77777777" w:rsidR="00CB397B" w:rsidRDefault="00CB397B">
            <w:pPr>
              <w:jc w:val="both"/>
              <w:rPr>
                <w:rFonts w:ascii="Times New Roman" w:hAnsi="Times New Roman"/>
                <w:sz w:val="24"/>
                <w:szCs w:val="24"/>
              </w:rPr>
            </w:pPr>
            <w:r>
              <w:rPr>
                <w:rFonts w:ascii="Times New Roman" w:hAnsi="Times New Roman"/>
                <w:bCs/>
                <w:sz w:val="24"/>
                <w:szCs w:val="24"/>
              </w:rPr>
              <w:t>5.50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2586773" w14:textId="77777777" w:rsidR="00CB397B" w:rsidRDefault="00CB397B">
            <w:pPr>
              <w:jc w:val="both"/>
              <w:rPr>
                <w:rFonts w:ascii="Times New Roman" w:hAnsi="Times New Roman"/>
                <w:sz w:val="24"/>
                <w:szCs w:val="24"/>
              </w:rPr>
            </w:pPr>
            <w:r>
              <w:rPr>
                <w:rFonts w:ascii="Times New Roman" w:hAnsi="Times New Roman"/>
                <w:bCs/>
                <w:sz w:val="24"/>
                <w:szCs w:val="24"/>
              </w:rPr>
              <w:t>7.80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48580FD" w14:textId="77777777" w:rsidR="00CB397B" w:rsidRDefault="00CB397B">
            <w:pPr>
              <w:jc w:val="both"/>
              <w:rPr>
                <w:rFonts w:ascii="Times New Roman" w:hAnsi="Times New Roman"/>
                <w:sz w:val="24"/>
                <w:szCs w:val="24"/>
              </w:rPr>
            </w:pPr>
            <w:r>
              <w:rPr>
                <w:rFonts w:ascii="Times New Roman" w:hAnsi="Times New Roman"/>
                <w:bCs/>
                <w:sz w:val="24"/>
                <w:szCs w:val="24"/>
              </w:rPr>
              <w:t>6.60</w:t>
            </w:r>
          </w:p>
        </w:tc>
      </w:tr>
      <w:tr w:rsidR="00CB397B" w14:paraId="132F2D30" w14:textId="77777777" w:rsidTr="00CB397B">
        <w:trPr>
          <w:trHeight w:val="53"/>
          <w:tblCellSpacing w:w="15" w:type="dxa"/>
        </w:trPr>
        <w:tc>
          <w:tcPr>
            <w:tcW w:w="2250" w:type="dxa"/>
            <w:tcMar>
              <w:top w:w="15" w:type="dxa"/>
              <w:left w:w="15" w:type="dxa"/>
              <w:bottom w:w="15" w:type="dxa"/>
              <w:right w:w="15" w:type="dxa"/>
            </w:tcMar>
            <w:vAlign w:val="center"/>
            <w:hideMark/>
          </w:tcPr>
          <w:p w14:paraId="75DD4061"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1843" w:type="dxa"/>
            <w:tcMar>
              <w:top w:w="15" w:type="dxa"/>
              <w:left w:w="15" w:type="dxa"/>
              <w:bottom w:w="15" w:type="dxa"/>
              <w:right w:w="15" w:type="dxa"/>
            </w:tcMar>
            <w:vAlign w:val="center"/>
            <w:hideMark/>
          </w:tcPr>
          <w:p w14:paraId="43FBBFB3"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2BF6169D" w14:textId="77777777" w:rsidR="00CB397B" w:rsidRDefault="00CB397B">
            <w:pPr>
              <w:jc w:val="both"/>
              <w:rPr>
                <w:rFonts w:ascii="Times New Roman" w:hAnsi="Times New Roman"/>
                <w:sz w:val="24"/>
                <w:szCs w:val="24"/>
              </w:rPr>
            </w:pPr>
            <w:r>
              <w:rPr>
                <w:rFonts w:ascii="Times New Roman" w:hAnsi="Times New Roman"/>
                <w:bCs/>
                <w:sz w:val="24"/>
                <w:szCs w:val="24"/>
              </w:rPr>
              <w:t>4.42</w:t>
            </w:r>
          </w:p>
        </w:tc>
        <w:tc>
          <w:tcPr>
            <w:tcW w:w="0" w:type="auto"/>
            <w:tcMar>
              <w:top w:w="15" w:type="dxa"/>
              <w:left w:w="15" w:type="dxa"/>
              <w:bottom w:w="15" w:type="dxa"/>
              <w:right w:w="15" w:type="dxa"/>
            </w:tcMar>
            <w:vAlign w:val="center"/>
            <w:hideMark/>
          </w:tcPr>
          <w:p w14:paraId="1ACE3DAF" w14:textId="77777777" w:rsidR="00CB397B" w:rsidRDefault="00CB397B">
            <w:pPr>
              <w:jc w:val="both"/>
              <w:rPr>
                <w:rFonts w:ascii="Times New Roman" w:hAnsi="Times New Roman"/>
                <w:sz w:val="24"/>
                <w:szCs w:val="24"/>
              </w:rPr>
            </w:pPr>
            <w:r>
              <w:rPr>
                <w:rFonts w:ascii="Times New Roman" w:hAnsi="Times New Roman"/>
                <w:bCs/>
                <w:sz w:val="24"/>
                <w:szCs w:val="24"/>
              </w:rPr>
              <w:t>5.25</w:t>
            </w:r>
          </w:p>
        </w:tc>
        <w:tc>
          <w:tcPr>
            <w:tcW w:w="0" w:type="auto"/>
            <w:tcMar>
              <w:top w:w="15" w:type="dxa"/>
              <w:left w:w="15" w:type="dxa"/>
              <w:bottom w:w="15" w:type="dxa"/>
              <w:right w:w="15" w:type="dxa"/>
            </w:tcMar>
            <w:vAlign w:val="center"/>
            <w:hideMark/>
          </w:tcPr>
          <w:p w14:paraId="75212256" w14:textId="77777777" w:rsidR="00CB397B" w:rsidRDefault="00CB397B">
            <w:pPr>
              <w:jc w:val="both"/>
              <w:rPr>
                <w:rFonts w:ascii="Times New Roman" w:hAnsi="Times New Roman"/>
                <w:sz w:val="24"/>
                <w:szCs w:val="24"/>
              </w:rPr>
            </w:pPr>
            <w:r>
              <w:rPr>
                <w:rFonts w:ascii="Times New Roman" w:hAnsi="Times New Roman"/>
                <w:bCs/>
                <w:sz w:val="24"/>
                <w:szCs w:val="24"/>
              </w:rPr>
              <w:t>5.00</w:t>
            </w:r>
          </w:p>
        </w:tc>
      </w:tr>
      <w:tr w:rsidR="00CB397B" w14:paraId="6DCC4CAC" w14:textId="77777777" w:rsidTr="00CB397B">
        <w:trPr>
          <w:trHeight w:val="53"/>
          <w:tblCellSpacing w:w="15" w:type="dxa"/>
        </w:trPr>
        <w:tc>
          <w:tcPr>
            <w:tcW w:w="2250" w:type="dxa"/>
            <w:tcMar>
              <w:top w:w="15" w:type="dxa"/>
              <w:left w:w="15" w:type="dxa"/>
              <w:bottom w:w="15" w:type="dxa"/>
              <w:right w:w="15" w:type="dxa"/>
            </w:tcMar>
            <w:vAlign w:val="center"/>
            <w:hideMark/>
          </w:tcPr>
          <w:p w14:paraId="13E54C4D"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1843" w:type="dxa"/>
            <w:tcMar>
              <w:top w:w="15" w:type="dxa"/>
              <w:left w:w="15" w:type="dxa"/>
              <w:bottom w:w="15" w:type="dxa"/>
              <w:right w:w="15" w:type="dxa"/>
            </w:tcMar>
            <w:vAlign w:val="center"/>
            <w:hideMark/>
          </w:tcPr>
          <w:p w14:paraId="5EACF2D9"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2BED569C" w14:textId="77777777" w:rsidR="00CB397B" w:rsidRDefault="00CB397B">
            <w:pPr>
              <w:jc w:val="both"/>
              <w:rPr>
                <w:rFonts w:ascii="Times New Roman" w:hAnsi="Times New Roman"/>
                <w:sz w:val="24"/>
                <w:szCs w:val="24"/>
              </w:rPr>
            </w:pPr>
            <w:r>
              <w:rPr>
                <w:rFonts w:ascii="Times New Roman" w:hAnsi="Times New Roman"/>
                <w:bCs/>
                <w:sz w:val="24"/>
                <w:szCs w:val="24"/>
              </w:rPr>
              <w:t>3.00</w:t>
            </w:r>
          </w:p>
        </w:tc>
        <w:tc>
          <w:tcPr>
            <w:tcW w:w="0" w:type="auto"/>
            <w:tcMar>
              <w:top w:w="15" w:type="dxa"/>
              <w:left w:w="15" w:type="dxa"/>
              <w:bottom w:w="15" w:type="dxa"/>
              <w:right w:w="15" w:type="dxa"/>
            </w:tcMar>
            <w:vAlign w:val="center"/>
            <w:hideMark/>
          </w:tcPr>
          <w:p w14:paraId="4B20681A" w14:textId="77777777" w:rsidR="00CB397B" w:rsidRDefault="00CB397B">
            <w:pPr>
              <w:jc w:val="both"/>
              <w:rPr>
                <w:rFonts w:ascii="Times New Roman" w:hAnsi="Times New Roman"/>
                <w:sz w:val="24"/>
                <w:szCs w:val="24"/>
              </w:rPr>
            </w:pPr>
            <w:r>
              <w:rPr>
                <w:rFonts w:ascii="Times New Roman" w:hAnsi="Times New Roman"/>
                <w:bCs/>
                <w:sz w:val="24"/>
                <w:szCs w:val="24"/>
              </w:rPr>
              <w:t>2.87</w:t>
            </w:r>
          </w:p>
        </w:tc>
        <w:tc>
          <w:tcPr>
            <w:tcW w:w="0" w:type="auto"/>
            <w:tcMar>
              <w:top w:w="15" w:type="dxa"/>
              <w:left w:w="15" w:type="dxa"/>
              <w:bottom w:w="15" w:type="dxa"/>
              <w:right w:w="15" w:type="dxa"/>
            </w:tcMar>
            <w:vAlign w:val="center"/>
            <w:hideMark/>
          </w:tcPr>
          <w:p w14:paraId="35468796" w14:textId="77777777" w:rsidR="00CB397B" w:rsidRDefault="00CB397B">
            <w:pPr>
              <w:jc w:val="both"/>
              <w:rPr>
                <w:rFonts w:ascii="Times New Roman" w:hAnsi="Times New Roman"/>
                <w:sz w:val="24"/>
                <w:szCs w:val="24"/>
              </w:rPr>
            </w:pPr>
            <w:r>
              <w:rPr>
                <w:rFonts w:ascii="Times New Roman" w:hAnsi="Times New Roman"/>
                <w:bCs/>
                <w:sz w:val="24"/>
                <w:szCs w:val="24"/>
              </w:rPr>
              <w:t>3.87</w:t>
            </w:r>
          </w:p>
        </w:tc>
      </w:tr>
      <w:tr w:rsidR="00CB397B" w14:paraId="04DB3855" w14:textId="77777777" w:rsidTr="00CB397B">
        <w:trPr>
          <w:trHeight w:val="53"/>
          <w:tblCellSpacing w:w="15" w:type="dxa"/>
        </w:trPr>
        <w:tc>
          <w:tcPr>
            <w:tcW w:w="2250" w:type="dxa"/>
            <w:tcMar>
              <w:top w:w="15" w:type="dxa"/>
              <w:left w:w="15" w:type="dxa"/>
              <w:bottom w:w="15" w:type="dxa"/>
              <w:right w:w="15" w:type="dxa"/>
            </w:tcMar>
            <w:vAlign w:val="center"/>
            <w:hideMark/>
          </w:tcPr>
          <w:p w14:paraId="51A651C1"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1843" w:type="dxa"/>
            <w:tcMar>
              <w:top w:w="15" w:type="dxa"/>
              <w:left w:w="15" w:type="dxa"/>
              <w:bottom w:w="15" w:type="dxa"/>
              <w:right w:w="15" w:type="dxa"/>
            </w:tcMar>
            <w:vAlign w:val="center"/>
            <w:hideMark/>
          </w:tcPr>
          <w:p w14:paraId="749B28E9"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7F7D5DA3" w14:textId="77777777" w:rsidR="00CB397B" w:rsidRDefault="00CB397B">
            <w:pPr>
              <w:jc w:val="both"/>
              <w:rPr>
                <w:rFonts w:ascii="Times New Roman" w:hAnsi="Times New Roman"/>
                <w:sz w:val="24"/>
                <w:szCs w:val="24"/>
              </w:rPr>
            </w:pPr>
            <w:r>
              <w:rPr>
                <w:rFonts w:ascii="Times New Roman" w:hAnsi="Times New Roman"/>
                <w:bCs/>
                <w:sz w:val="24"/>
                <w:szCs w:val="24"/>
              </w:rPr>
              <w:t>1.24</w:t>
            </w:r>
          </w:p>
        </w:tc>
        <w:tc>
          <w:tcPr>
            <w:tcW w:w="0" w:type="auto"/>
            <w:tcMar>
              <w:top w:w="15" w:type="dxa"/>
              <w:left w:w="15" w:type="dxa"/>
              <w:bottom w:w="15" w:type="dxa"/>
              <w:right w:w="15" w:type="dxa"/>
            </w:tcMar>
            <w:vAlign w:val="center"/>
            <w:hideMark/>
          </w:tcPr>
          <w:p w14:paraId="077E451B" w14:textId="77777777" w:rsidR="00CB397B" w:rsidRDefault="00CB397B">
            <w:pPr>
              <w:jc w:val="both"/>
              <w:rPr>
                <w:rFonts w:ascii="Times New Roman" w:hAnsi="Times New Roman"/>
                <w:sz w:val="24"/>
                <w:szCs w:val="24"/>
              </w:rPr>
            </w:pPr>
            <w:r>
              <w:rPr>
                <w:rFonts w:ascii="Times New Roman" w:hAnsi="Times New Roman"/>
                <w:bCs/>
                <w:sz w:val="24"/>
                <w:szCs w:val="24"/>
              </w:rPr>
              <w:t>1.62</w:t>
            </w:r>
          </w:p>
        </w:tc>
        <w:tc>
          <w:tcPr>
            <w:tcW w:w="0" w:type="auto"/>
            <w:tcMar>
              <w:top w:w="15" w:type="dxa"/>
              <w:left w:w="15" w:type="dxa"/>
              <w:bottom w:w="15" w:type="dxa"/>
              <w:right w:w="15" w:type="dxa"/>
            </w:tcMar>
            <w:vAlign w:val="center"/>
            <w:hideMark/>
          </w:tcPr>
          <w:p w14:paraId="122DDF46" w14:textId="77777777" w:rsidR="00CB397B" w:rsidRDefault="00CB397B">
            <w:pPr>
              <w:jc w:val="both"/>
              <w:rPr>
                <w:rFonts w:ascii="Times New Roman" w:hAnsi="Times New Roman"/>
                <w:sz w:val="24"/>
                <w:szCs w:val="24"/>
              </w:rPr>
            </w:pPr>
            <w:r>
              <w:rPr>
                <w:rFonts w:ascii="Times New Roman" w:hAnsi="Times New Roman"/>
                <w:bCs/>
                <w:sz w:val="24"/>
                <w:szCs w:val="24"/>
              </w:rPr>
              <w:t>1.33</w:t>
            </w:r>
          </w:p>
        </w:tc>
      </w:tr>
      <w:tr w:rsidR="00CB397B" w14:paraId="74B7E303" w14:textId="77777777" w:rsidTr="00CB397B">
        <w:trPr>
          <w:trHeight w:val="53"/>
          <w:tblCellSpacing w:w="15" w:type="dxa"/>
        </w:trPr>
        <w:tc>
          <w:tcPr>
            <w:tcW w:w="2250" w:type="dxa"/>
            <w:tcMar>
              <w:top w:w="15" w:type="dxa"/>
              <w:left w:w="15" w:type="dxa"/>
              <w:bottom w:w="15" w:type="dxa"/>
              <w:right w:w="15" w:type="dxa"/>
            </w:tcMar>
            <w:vAlign w:val="center"/>
            <w:hideMark/>
          </w:tcPr>
          <w:p w14:paraId="690CB552"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1843" w:type="dxa"/>
            <w:tcMar>
              <w:top w:w="15" w:type="dxa"/>
              <w:left w:w="15" w:type="dxa"/>
              <w:bottom w:w="15" w:type="dxa"/>
              <w:right w:w="15" w:type="dxa"/>
            </w:tcMar>
            <w:vAlign w:val="center"/>
            <w:hideMark/>
          </w:tcPr>
          <w:p w14:paraId="2794FD95"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19D0FB19" w14:textId="77777777" w:rsidR="00CB397B" w:rsidRDefault="00CB397B">
            <w:pPr>
              <w:jc w:val="both"/>
              <w:rPr>
                <w:rFonts w:ascii="Times New Roman" w:hAnsi="Times New Roman"/>
                <w:sz w:val="24"/>
                <w:szCs w:val="24"/>
              </w:rPr>
            </w:pPr>
            <w:r>
              <w:rPr>
                <w:rFonts w:ascii="Times New Roman" w:hAnsi="Times New Roman"/>
                <w:bCs/>
                <w:sz w:val="24"/>
                <w:szCs w:val="24"/>
              </w:rPr>
              <w:t>1.00</w:t>
            </w:r>
          </w:p>
        </w:tc>
        <w:tc>
          <w:tcPr>
            <w:tcW w:w="0" w:type="auto"/>
            <w:tcMar>
              <w:top w:w="15" w:type="dxa"/>
              <w:left w:w="15" w:type="dxa"/>
              <w:bottom w:w="15" w:type="dxa"/>
              <w:right w:w="15" w:type="dxa"/>
            </w:tcMar>
            <w:vAlign w:val="center"/>
            <w:hideMark/>
          </w:tcPr>
          <w:p w14:paraId="013DA9E1" w14:textId="77777777" w:rsidR="00CB397B" w:rsidRDefault="00CB397B">
            <w:pPr>
              <w:jc w:val="both"/>
              <w:rPr>
                <w:rFonts w:ascii="Times New Roman" w:hAnsi="Times New Roman"/>
                <w:sz w:val="24"/>
                <w:szCs w:val="24"/>
              </w:rPr>
            </w:pPr>
            <w:r>
              <w:rPr>
                <w:rFonts w:ascii="Times New Roman" w:hAnsi="Times New Roman"/>
                <w:bCs/>
                <w:sz w:val="24"/>
                <w:szCs w:val="24"/>
              </w:rPr>
              <w:t>1.24</w:t>
            </w:r>
          </w:p>
        </w:tc>
        <w:tc>
          <w:tcPr>
            <w:tcW w:w="0" w:type="auto"/>
            <w:tcMar>
              <w:top w:w="15" w:type="dxa"/>
              <w:left w:w="15" w:type="dxa"/>
              <w:bottom w:w="15" w:type="dxa"/>
              <w:right w:w="15" w:type="dxa"/>
            </w:tcMar>
            <w:vAlign w:val="center"/>
            <w:hideMark/>
          </w:tcPr>
          <w:p w14:paraId="35AACE44" w14:textId="77777777" w:rsidR="00CB397B" w:rsidRDefault="00CB397B">
            <w:pPr>
              <w:jc w:val="both"/>
              <w:rPr>
                <w:rFonts w:ascii="Times New Roman" w:hAnsi="Times New Roman"/>
                <w:sz w:val="24"/>
                <w:szCs w:val="24"/>
              </w:rPr>
            </w:pPr>
            <w:r>
              <w:rPr>
                <w:rFonts w:ascii="Times New Roman" w:hAnsi="Times New Roman"/>
                <w:bCs/>
                <w:sz w:val="24"/>
                <w:szCs w:val="24"/>
              </w:rPr>
              <w:t>0.95</w:t>
            </w:r>
          </w:p>
        </w:tc>
      </w:tr>
      <w:tr w:rsidR="00CB397B" w14:paraId="073AA79B" w14:textId="77777777" w:rsidTr="00CB397B">
        <w:trPr>
          <w:trHeight w:val="53"/>
          <w:tblCellSpacing w:w="15" w:type="dxa"/>
        </w:trPr>
        <w:tc>
          <w:tcPr>
            <w:tcW w:w="2250" w:type="dxa"/>
            <w:tcMar>
              <w:top w:w="15" w:type="dxa"/>
              <w:left w:w="15" w:type="dxa"/>
              <w:bottom w:w="15" w:type="dxa"/>
              <w:right w:w="15" w:type="dxa"/>
            </w:tcMar>
            <w:vAlign w:val="center"/>
            <w:hideMark/>
          </w:tcPr>
          <w:p w14:paraId="4D8CED5D"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1843" w:type="dxa"/>
            <w:tcMar>
              <w:top w:w="15" w:type="dxa"/>
              <w:left w:w="15" w:type="dxa"/>
              <w:bottom w:w="15" w:type="dxa"/>
              <w:right w:w="15" w:type="dxa"/>
            </w:tcMar>
            <w:vAlign w:val="center"/>
            <w:hideMark/>
          </w:tcPr>
          <w:p w14:paraId="327AEB9E"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30ADD647" w14:textId="77777777" w:rsidR="00CB397B" w:rsidRDefault="00CB397B">
            <w:pPr>
              <w:jc w:val="both"/>
              <w:rPr>
                <w:rFonts w:ascii="Times New Roman" w:hAnsi="Times New Roman"/>
                <w:sz w:val="24"/>
                <w:szCs w:val="24"/>
              </w:rPr>
            </w:pPr>
            <w:r>
              <w:rPr>
                <w:rFonts w:ascii="Times New Roman" w:hAnsi="Times New Roman"/>
                <w:bCs/>
                <w:sz w:val="24"/>
                <w:szCs w:val="24"/>
              </w:rPr>
              <w:t>0.56</w:t>
            </w:r>
          </w:p>
        </w:tc>
        <w:tc>
          <w:tcPr>
            <w:tcW w:w="0" w:type="auto"/>
            <w:tcMar>
              <w:top w:w="15" w:type="dxa"/>
              <w:left w:w="15" w:type="dxa"/>
              <w:bottom w:w="15" w:type="dxa"/>
              <w:right w:w="15" w:type="dxa"/>
            </w:tcMar>
            <w:vAlign w:val="center"/>
            <w:hideMark/>
          </w:tcPr>
          <w:p w14:paraId="18023F62" w14:textId="77777777" w:rsidR="00CB397B" w:rsidRDefault="00CB397B">
            <w:pPr>
              <w:jc w:val="both"/>
              <w:rPr>
                <w:rFonts w:ascii="Times New Roman" w:hAnsi="Times New Roman"/>
                <w:sz w:val="24"/>
                <w:szCs w:val="24"/>
              </w:rPr>
            </w:pPr>
            <w:r>
              <w:rPr>
                <w:rFonts w:ascii="Times New Roman" w:hAnsi="Times New Roman"/>
                <w:bCs/>
                <w:sz w:val="24"/>
                <w:szCs w:val="24"/>
              </w:rPr>
              <w:t>0.54</w:t>
            </w:r>
          </w:p>
        </w:tc>
        <w:tc>
          <w:tcPr>
            <w:tcW w:w="0" w:type="auto"/>
            <w:tcMar>
              <w:top w:w="15" w:type="dxa"/>
              <w:left w:w="15" w:type="dxa"/>
              <w:bottom w:w="15" w:type="dxa"/>
              <w:right w:w="15" w:type="dxa"/>
            </w:tcMar>
            <w:vAlign w:val="center"/>
            <w:hideMark/>
          </w:tcPr>
          <w:p w14:paraId="2946410F" w14:textId="77777777" w:rsidR="00CB397B" w:rsidRDefault="00CB397B">
            <w:pPr>
              <w:jc w:val="both"/>
              <w:rPr>
                <w:rFonts w:ascii="Times New Roman" w:hAnsi="Times New Roman"/>
                <w:sz w:val="24"/>
                <w:szCs w:val="24"/>
              </w:rPr>
            </w:pPr>
            <w:r>
              <w:rPr>
                <w:rFonts w:ascii="Times New Roman" w:hAnsi="Times New Roman"/>
                <w:bCs/>
                <w:sz w:val="24"/>
                <w:szCs w:val="24"/>
              </w:rPr>
              <w:t>0.71</w:t>
            </w:r>
          </w:p>
        </w:tc>
      </w:tr>
      <w:tr w:rsidR="00CB397B" w14:paraId="0886277B" w14:textId="77777777" w:rsidTr="00CB397B">
        <w:trPr>
          <w:trHeight w:val="53"/>
          <w:tblCellSpacing w:w="15" w:type="dxa"/>
        </w:trPr>
        <w:tc>
          <w:tcPr>
            <w:tcW w:w="2250" w:type="dxa"/>
            <w:tcMar>
              <w:top w:w="15" w:type="dxa"/>
              <w:left w:w="15" w:type="dxa"/>
              <w:bottom w:w="15" w:type="dxa"/>
              <w:right w:w="15" w:type="dxa"/>
            </w:tcMar>
            <w:vAlign w:val="center"/>
            <w:hideMark/>
          </w:tcPr>
          <w:p w14:paraId="703C9FE6"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1843" w:type="dxa"/>
            <w:tcMar>
              <w:top w:w="15" w:type="dxa"/>
              <w:left w:w="15" w:type="dxa"/>
              <w:bottom w:w="15" w:type="dxa"/>
              <w:right w:w="15" w:type="dxa"/>
            </w:tcMar>
            <w:vAlign w:val="center"/>
            <w:hideMark/>
          </w:tcPr>
          <w:p w14:paraId="60CF3C67"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094D3362" w14:textId="77777777" w:rsidR="00CB397B" w:rsidRDefault="00CB397B">
            <w:pPr>
              <w:jc w:val="both"/>
              <w:rPr>
                <w:rFonts w:ascii="Times New Roman" w:hAnsi="Times New Roman"/>
                <w:sz w:val="24"/>
                <w:szCs w:val="24"/>
              </w:rPr>
            </w:pPr>
            <w:r>
              <w:rPr>
                <w:rFonts w:ascii="Times New Roman" w:hAnsi="Times New Roman"/>
                <w:bCs/>
                <w:sz w:val="24"/>
                <w:szCs w:val="24"/>
              </w:rPr>
              <w:t>2.33</w:t>
            </w:r>
          </w:p>
        </w:tc>
        <w:tc>
          <w:tcPr>
            <w:tcW w:w="0" w:type="auto"/>
            <w:tcMar>
              <w:top w:w="15" w:type="dxa"/>
              <w:left w:w="15" w:type="dxa"/>
              <w:bottom w:w="15" w:type="dxa"/>
              <w:right w:w="15" w:type="dxa"/>
            </w:tcMar>
            <w:vAlign w:val="center"/>
            <w:hideMark/>
          </w:tcPr>
          <w:p w14:paraId="71B8E2A8" w14:textId="77777777" w:rsidR="00CB397B" w:rsidRDefault="00CB397B">
            <w:pPr>
              <w:jc w:val="both"/>
              <w:rPr>
                <w:rFonts w:ascii="Times New Roman" w:hAnsi="Times New Roman"/>
                <w:sz w:val="24"/>
                <w:szCs w:val="24"/>
              </w:rPr>
            </w:pPr>
            <w:r>
              <w:rPr>
                <w:rFonts w:ascii="Times New Roman" w:hAnsi="Times New Roman"/>
                <w:bCs/>
                <w:sz w:val="24"/>
                <w:szCs w:val="24"/>
              </w:rPr>
              <w:t>2.86</w:t>
            </w:r>
          </w:p>
        </w:tc>
        <w:tc>
          <w:tcPr>
            <w:tcW w:w="0" w:type="auto"/>
            <w:tcMar>
              <w:top w:w="15" w:type="dxa"/>
              <w:left w:w="15" w:type="dxa"/>
              <w:bottom w:w="15" w:type="dxa"/>
              <w:right w:w="15" w:type="dxa"/>
            </w:tcMar>
            <w:vAlign w:val="center"/>
            <w:hideMark/>
          </w:tcPr>
          <w:p w14:paraId="5CDC3FBD" w14:textId="77777777" w:rsidR="00CB397B" w:rsidRDefault="00CB397B">
            <w:pPr>
              <w:jc w:val="both"/>
              <w:rPr>
                <w:rFonts w:ascii="Times New Roman" w:hAnsi="Times New Roman"/>
                <w:sz w:val="24"/>
                <w:szCs w:val="24"/>
              </w:rPr>
            </w:pPr>
            <w:r>
              <w:rPr>
                <w:rFonts w:ascii="Times New Roman" w:hAnsi="Times New Roman"/>
                <w:bCs/>
                <w:sz w:val="24"/>
                <w:szCs w:val="24"/>
              </w:rPr>
              <w:t>2.10</w:t>
            </w:r>
          </w:p>
        </w:tc>
      </w:tr>
      <w:tr w:rsidR="00CB397B" w14:paraId="54F2BD52" w14:textId="77777777" w:rsidTr="00CB397B">
        <w:trPr>
          <w:trHeight w:val="53"/>
          <w:tblCellSpacing w:w="15" w:type="dxa"/>
        </w:trPr>
        <w:tc>
          <w:tcPr>
            <w:tcW w:w="2250" w:type="dxa"/>
            <w:tcMar>
              <w:top w:w="15" w:type="dxa"/>
              <w:left w:w="15" w:type="dxa"/>
              <w:bottom w:w="15" w:type="dxa"/>
              <w:right w:w="15" w:type="dxa"/>
            </w:tcMar>
            <w:vAlign w:val="center"/>
            <w:hideMark/>
          </w:tcPr>
          <w:p w14:paraId="1DA549CA"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1843" w:type="dxa"/>
            <w:tcMar>
              <w:top w:w="15" w:type="dxa"/>
              <w:left w:w="15" w:type="dxa"/>
              <w:bottom w:w="15" w:type="dxa"/>
              <w:right w:w="15" w:type="dxa"/>
            </w:tcMar>
            <w:vAlign w:val="center"/>
            <w:hideMark/>
          </w:tcPr>
          <w:p w14:paraId="690C9562"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22CBC9FD" w14:textId="77777777" w:rsidR="00CB397B" w:rsidRDefault="00CB397B">
            <w:pPr>
              <w:jc w:val="both"/>
              <w:rPr>
                <w:rFonts w:ascii="Times New Roman" w:hAnsi="Times New Roman"/>
                <w:sz w:val="24"/>
                <w:szCs w:val="24"/>
              </w:rPr>
            </w:pPr>
            <w:r>
              <w:rPr>
                <w:rFonts w:ascii="Times New Roman" w:hAnsi="Times New Roman"/>
                <w:bCs/>
                <w:sz w:val="24"/>
                <w:szCs w:val="24"/>
              </w:rPr>
              <w:t>2.24</w:t>
            </w:r>
          </w:p>
        </w:tc>
        <w:tc>
          <w:tcPr>
            <w:tcW w:w="0" w:type="auto"/>
            <w:tcMar>
              <w:top w:w="15" w:type="dxa"/>
              <w:left w:w="15" w:type="dxa"/>
              <w:bottom w:w="15" w:type="dxa"/>
              <w:right w:w="15" w:type="dxa"/>
            </w:tcMar>
            <w:vAlign w:val="center"/>
            <w:hideMark/>
          </w:tcPr>
          <w:p w14:paraId="7F10AC46" w14:textId="77777777" w:rsidR="00CB397B" w:rsidRDefault="00CB397B">
            <w:pPr>
              <w:jc w:val="both"/>
              <w:rPr>
                <w:rFonts w:ascii="Times New Roman" w:hAnsi="Times New Roman"/>
                <w:sz w:val="24"/>
                <w:szCs w:val="24"/>
              </w:rPr>
            </w:pPr>
            <w:r>
              <w:rPr>
                <w:rFonts w:ascii="Times New Roman" w:hAnsi="Times New Roman"/>
                <w:bCs/>
                <w:sz w:val="24"/>
                <w:szCs w:val="24"/>
              </w:rPr>
              <w:t>2.52</w:t>
            </w:r>
          </w:p>
        </w:tc>
        <w:tc>
          <w:tcPr>
            <w:tcW w:w="0" w:type="auto"/>
            <w:tcMar>
              <w:top w:w="15" w:type="dxa"/>
              <w:left w:w="15" w:type="dxa"/>
              <w:bottom w:w="15" w:type="dxa"/>
              <w:right w:w="15" w:type="dxa"/>
            </w:tcMar>
            <w:vAlign w:val="center"/>
            <w:hideMark/>
          </w:tcPr>
          <w:p w14:paraId="3DADF091" w14:textId="77777777" w:rsidR="00CB397B" w:rsidRDefault="00CB397B">
            <w:pPr>
              <w:jc w:val="both"/>
              <w:rPr>
                <w:rFonts w:ascii="Times New Roman" w:hAnsi="Times New Roman"/>
                <w:sz w:val="24"/>
                <w:szCs w:val="24"/>
              </w:rPr>
            </w:pPr>
            <w:r>
              <w:rPr>
                <w:rFonts w:ascii="Times New Roman" w:hAnsi="Times New Roman"/>
                <w:bCs/>
                <w:sz w:val="24"/>
                <w:szCs w:val="24"/>
              </w:rPr>
              <w:t>2.40</w:t>
            </w:r>
          </w:p>
        </w:tc>
      </w:tr>
      <w:tr w:rsidR="00CB397B" w14:paraId="5B4BBA82" w14:textId="77777777" w:rsidTr="00CB397B">
        <w:trPr>
          <w:trHeight w:val="326"/>
          <w:tblCellSpacing w:w="15" w:type="dxa"/>
        </w:trPr>
        <w:tc>
          <w:tcPr>
            <w:tcW w:w="2250" w:type="dxa"/>
            <w:tcBorders>
              <w:top w:val="nil"/>
              <w:left w:val="nil"/>
              <w:bottom w:val="single" w:sz="4" w:space="0" w:color="auto"/>
              <w:right w:val="nil"/>
            </w:tcBorders>
            <w:tcMar>
              <w:top w:w="15" w:type="dxa"/>
              <w:left w:w="15" w:type="dxa"/>
              <w:bottom w:w="15" w:type="dxa"/>
              <w:right w:w="15" w:type="dxa"/>
            </w:tcMar>
            <w:vAlign w:val="center"/>
            <w:hideMark/>
          </w:tcPr>
          <w:p w14:paraId="7F55DA09"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1843" w:type="dxa"/>
            <w:tcBorders>
              <w:top w:val="nil"/>
              <w:left w:val="nil"/>
              <w:bottom w:val="single" w:sz="4" w:space="0" w:color="auto"/>
              <w:right w:val="nil"/>
            </w:tcBorders>
            <w:tcMar>
              <w:top w:w="15" w:type="dxa"/>
              <w:left w:w="15" w:type="dxa"/>
              <w:bottom w:w="15" w:type="dxa"/>
              <w:right w:w="15" w:type="dxa"/>
            </w:tcMar>
            <w:vAlign w:val="center"/>
            <w:hideMark/>
          </w:tcPr>
          <w:p w14:paraId="1B9A9703"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4A01ECA" w14:textId="77777777" w:rsidR="00CB397B" w:rsidRDefault="00CB397B">
            <w:pPr>
              <w:jc w:val="both"/>
              <w:rPr>
                <w:rFonts w:ascii="Times New Roman" w:hAnsi="Times New Roman"/>
                <w:sz w:val="24"/>
                <w:szCs w:val="24"/>
              </w:rPr>
            </w:pPr>
            <w:r>
              <w:rPr>
                <w:rFonts w:ascii="Times New Roman" w:hAnsi="Times New Roman"/>
                <w:bCs/>
                <w:sz w:val="24"/>
                <w:szCs w:val="24"/>
              </w:rPr>
              <w:t>1.23</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DC9F6E9" w14:textId="77777777" w:rsidR="00CB397B" w:rsidRDefault="00CB397B">
            <w:pPr>
              <w:jc w:val="both"/>
              <w:rPr>
                <w:rFonts w:ascii="Times New Roman" w:hAnsi="Times New Roman"/>
                <w:sz w:val="24"/>
                <w:szCs w:val="24"/>
              </w:rPr>
            </w:pPr>
            <w:r>
              <w:rPr>
                <w:rFonts w:ascii="Times New Roman" w:hAnsi="Times New Roman"/>
                <w:bCs/>
                <w:sz w:val="24"/>
                <w:szCs w:val="24"/>
              </w:rPr>
              <w:t>1.13</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8122615" w14:textId="77777777" w:rsidR="00CB397B" w:rsidRDefault="00CB397B">
            <w:pPr>
              <w:jc w:val="both"/>
              <w:rPr>
                <w:rFonts w:ascii="Times New Roman" w:hAnsi="Times New Roman"/>
                <w:sz w:val="24"/>
                <w:szCs w:val="24"/>
              </w:rPr>
            </w:pPr>
            <w:r>
              <w:rPr>
                <w:rFonts w:ascii="Times New Roman" w:hAnsi="Times New Roman"/>
                <w:bCs/>
                <w:sz w:val="24"/>
                <w:szCs w:val="24"/>
              </w:rPr>
              <w:t>1.50</w:t>
            </w:r>
          </w:p>
        </w:tc>
      </w:tr>
    </w:tbl>
    <w:p w14:paraId="033F06FD"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Cd therefore showed substantial bioaccumulation, particularly at </w:t>
      </w:r>
      <w:r>
        <w:rPr>
          <w:rFonts w:ascii="Times New Roman" w:hAnsi="Times New Roman"/>
          <w:bCs/>
          <w:sz w:val="24"/>
          <w:szCs w:val="24"/>
        </w:rPr>
        <w:t>New Airport</w:t>
      </w:r>
      <w:r>
        <w:rPr>
          <w:rFonts w:ascii="Times New Roman" w:hAnsi="Times New Roman"/>
          <w:sz w:val="24"/>
          <w:szCs w:val="24"/>
        </w:rPr>
        <w:t>, where all tissue BAF values were greater than 1.</w:t>
      </w:r>
    </w:p>
    <w:p w14:paraId="23FBD1C2" w14:textId="77777777" w:rsidR="00CB397B" w:rsidRDefault="00CB397B" w:rsidP="00CB397B">
      <w:pPr>
        <w:jc w:val="both"/>
        <w:outlineLvl w:val="1"/>
        <w:rPr>
          <w:rFonts w:ascii="Times New Roman" w:hAnsi="Times New Roman"/>
          <w:b/>
          <w:bCs/>
          <w:sz w:val="24"/>
          <w:szCs w:val="24"/>
        </w:rPr>
      </w:pPr>
      <w:r>
        <w:rPr>
          <w:rFonts w:ascii="Times New Roman" w:hAnsi="Times New Roman"/>
          <w:b/>
          <w:bCs/>
          <w:sz w:val="24"/>
          <w:szCs w:val="24"/>
        </w:rPr>
        <w:t xml:space="preserve">Table 14: Bioaccumulation Factor (BAF) for Copper (Cu) in </w:t>
      </w:r>
      <w:r>
        <w:rPr>
          <w:rFonts w:ascii="Times New Roman" w:hAnsi="Times New Roman"/>
          <w:b/>
          <w:bCs/>
          <w:i/>
          <w:iCs/>
          <w:sz w:val="24"/>
          <w:szCs w:val="24"/>
        </w:rPr>
        <w:t xml:space="preserve">Clarias </w:t>
      </w:r>
      <w:proofErr w:type="spellStart"/>
      <w:r>
        <w:rPr>
          <w:rFonts w:ascii="Times New Roman" w:hAnsi="Times New Roman"/>
          <w:b/>
          <w:bCs/>
          <w:i/>
          <w:iCs/>
          <w:sz w:val="24"/>
          <w:szCs w:val="24"/>
        </w:rPr>
        <w:t>gariepinus</w:t>
      </w:r>
      <w:proofErr w:type="spellEnd"/>
    </w:p>
    <w:tbl>
      <w:tblPr>
        <w:tblW w:w="8958" w:type="dxa"/>
        <w:tblCellSpacing w:w="15" w:type="dxa"/>
        <w:tblLook w:val="04A0" w:firstRow="1" w:lastRow="0" w:firstColumn="1" w:lastColumn="0" w:noHBand="0" w:noVBand="1"/>
      </w:tblPr>
      <w:tblGrid>
        <w:gridCol w:w="2295"/>
        <w:gridCol w:w="2160"/>
        <w:gridCol w:w="1832"/>
        <w:gridCol w:w="1235"/>
        <w:gridCol w:w="1436"/>
      </w:tblGrid>
      <w:tr w:rsidR="00CB397B" w14:paraId="23DF6853" w14:textId="77777777" w:rsidTr="00CB397B">
        <w:trPr>
          <w:trHeight w:val="373"/>
          <w:tblHeader/>
          <w:tblCellSpacing w:w="15" w:type="dxa"/>
        </w:trPr>
        <w:tc>
          <w:tcPr>
            <w:tcW w:w="2250"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0EAABBA6"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2130"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46ED9450"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35FA611" w14:textId="77777777" w:rsidR="00CB397B" w:rsidRDefault="00CB397B">
            <w:pPr>
              <w:jc w:val="both"/>
              <w:rPr>
                <w:rFonts w:ascii="Times New Roman" w:hAnsi="Times New Roman"/>
                <w:b/>
                <w:bCs/>
                <w:sz w:val="24"/>
                <w:szCs w:val="24"/>
              </w:rPr>
            </w:pPr>
            <w:r>
              <w:rPr>
                <w:rFonts w:ascii="Times New Roman" w:hAnsi="Times New Roman"/>
                <w:b/>
                <w:bCs/>
                <w:sz w:val="24"/>
                <w:szCs w:val="24"/>
              </w:rPr>
              <w:t>Muscle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772AE52" w14:textId="77777777" w:rsidR="00CB397B" w:rsidRDefault="00CB397B">
            <w:pPr>
              <w:jc w:val="both"/>
              <w:rPr>
                <w:rFonts w:ascii="Times New Roman" w:hAnsi="Times New Roman"/>
                <w:b/>
                <w:bCs/>
                <w:sz w:val="24"/>
                <w:szCs w:val="24"/>
              </w:rPr>
            </w:pPr>
            <w:r>
              <w:rPr>
                <w:rFonts w:ascii="Times New Roman" w:hAnsi="Times New Roman"/>
                <w:b/>
                <w:bCs/>
                <w:sz w:val="24"/>
                <w:szCs w:val="24"/>
              </w:rPr>
              <w:t>Gills</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59658F3"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Liver </w:t>
            </w:r>
          </w:p>
        </w:tc>
      </w:tr>
      <w:tr w:rsidR="00CB397B" w14:paraId="234D24F4" w14:textId="77777777" w:rsidTr="00CB397B">
        <w:trPr>
          <w:trHeight w:val="159"/>
          <w:tblCellSpacing w:w="15" w:type="dxa"/>
        </w:trPr>
        <w:tc>
          <w:tcPr>
            <w:tcW w:w="2250" w:type="dxa"/>
            <w:tcMar>
              <w:top w:w="15" w:type="dxa"/>
              <w:left w:w="15" w:type="dxa"/>
              <w:bottom w:w="15" w:type="dxa"/>
              <w:right w:w="15" w:type="dxa"/>
            </w:tcMar>
            <w:vAlign w:val="center"/>
            <w:hideMark/>
          </w:tcPr>
          <w:p w14:paraId="4CB21058"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130" w:type="dxa"/>
            <w:tcMar>
              <w:top w:w="15" w:type="dxa"/>
              <w:left w:w="15" w:type="dxa"/>
              <w:bottom w:w="15" w:type="dxa"/>
              <w:right w:w="15" w:type="dxa"/>
            </w:tcMar>
            <w:vAlign w:val="center"/>
            <w:hideMark/>
          </w:tcPr>
          <w:p w14:paraId="6629D1CA"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6D6219B5" w14:textId="77777777" w:rsidR="00CB397B" w:rsidRDefault="00CB397B">
            <w:pPr>
              <w:jc w:val="both"/>
              <w:rPr>
                <w:rFonts w:ascii="Times New Roman" w:hAnsi="Times New Roman"/>
                <w:sz w:val="24"/>
                <w:szCs w:val="24"/>
              </w:rPr>
            </w:pPr>
            <w:r>
              <w:rPr>
                <w:rFonts w:ascii="Times New Roman" w:hAnsi="Times New Roman"/>
                <w:bCs/>
                <w:sz w:val="24"/>
                <w:szCs w:val="24"/>
              </w:rPr>
              <w:t>0.17</w:t>
            </w:r>
          </w:p>
        </w:tc>
        <w:tc>
          <w:tcPr>
            <w:tcW w:w="0" w:type="auto"/>
            <w:tcMar>
              <w:top w:w="15" w:type="dxa"/>
              <w:left w:w="15" w:type="dxa"/>
              <w:bottom w:w="15" w:type="dxa"/>
              <w:right w:w="15" w:type="dxa"/>
            </w:tcMar>
            <w:vAlign w:val="center"/>
            <w:hideMark/>
          </w:tcPr>
          <w:p w14:paraId="67812119" w14:textId="77777777" w:rsidR="00CB397B" w:rsidRDefault="00CB397B">
            <w:pPr>
              <w:jc w:val="both"/>
              <w:rPr>
                <w:rFonts w:ascii="Times New Roman" w:hAnsi="Times New Roman"/>
                <w:sz w:val="24"/>
                <w:szCs w:val="24"/>
              </w:rPr>
            </w:pPr>
            <w:r>
              <w:rPr>
                <w:rFonts w:ascii="Times New Roman" w:hAnsi="Times New Roman"/>
                <w:bCs/>
                <w:sz w:val="24"/>
                <w:szCs w:val="24"/>
              </w:rPr>
              <w:t>0.25</w:t>
            </w:r>
          </w:p>
        </w:tc>
        <w:tc>
          <w:tcPr>
            <w:tcW w:w="0" w:type="auto"/>
            <w:tcMar>
              <w:top w:w="15" w:type="dxa"/>
              <w:left w:w="15" w:type="dxa"/>
              <w:bottom w:w="15" w:type="dxa"/>
              <w:right w:w="15" w:type="dxa"/>
            </w:tcMar>
            <w:vAlign w:val="center"/>
            <w:hideMark/>
          </w:tcPr>
          <w:p w14:paraId="5FDFAF18" w14:textId="77777777" w:rsidR="00CB397B" w:rsidRDefault="00CB397B">
            <w:pPr>
              <w:jc w:val="both"/>
              <w:rPr>
                <w:rFonts w:ascii="Times New Roman" w:hAnsi="Times New Roman"/>
                <w:sz w:val="24"/>
                <w:szCs w:val="24"/>
              </w:rPr>
            </w:pPr>
            <w:r>
              <w:rPr>
                <w:rFonts w:ascii="Times New Roman" w:hAnsi="Times New Roman"/>
                <w:bCs/>
                <w:sz w:val="24"/>
                <w:szCs w:val="24"/>
              </w:rPr>
              <w:t>0.21</w:t>
            </w:r>
          </w:p>
        </w:tc>
      </w:tr>
      <w:tr w:rsidR="00CB397B" w14:paraId="7D1E43ED" w14:textId="77777777" w:rsidTr="00CB397B">
        <w:trPr>
          <w:trHeight w:val="53"/>
          <w:tblCellSpacing w:w="15" w:type="dxa"/>
        </w:trPr>
        <w:tc>
          <w:tcPr>
            <w:tcW w:w="2250" w:type="dxa"/>
            <w:tcMar>
              <w:top w:w="15" w:type="dxa"/>
              <w:left w:w="15" w:type="dxa"/>
              <w:bottom w:w="15" w:type="dxa"/>
              <w:right w:w="15" w:type="dxa"/>
            </w:tcMar>
            <w:vAlign w:val="center"/>
            <w:hideMark/>
          </w:tcPr>
          <w:p w14:paraId="618F7A6F"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130" w:type="dxa"/>
            <w:tcMar>
              <w:top w:w="15" w:type="dxa"/>
              <w:left w:w="15" w:type="dxa"/>
              <w:bottom w:w="15" w:type="dxa"/>
              <w:right w:w="15" w:type="dxa"/>
            </w:tcMar>
            <w:vAlign w:val="center"/>
            <w:hideMark/>
          </w:tcPr>
          <w:p w14:paraId="5858CD56"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61CA545A" w14:textId="77777777" w:rsidR="00CB397B" w:rsidRDefault="00CB397B">
            <w:pPr>
              <w:jc w:val="both"/>
              <w:rPr>
                <w:rFonts w:ascii="Times New Roman" w:hAnsi="Times New Roman"/>
                <w:sz w:val="24"/>
                <w:szCs w:val="24"/>
              </w:rPr>
            </w:pPr>
            <w:r>
              <w:rPr>
                <w:rFonts w:ascii="Times New Roman" w:hAnsi="Times New Roman"/>
                <w:bCs/>
                <w:sz w:val="24"/>
                <w:szCs w:val="24"/>
              </w:rPr>
              <w:t>0.13</w:t>
            </w:r>
          </w:p>
        </w:tc>
        <w:tc>
          <w:tcPr>
            <w:tcW w:w="0" w:type="auto"/>
            <w:tcMar>
              <w:top w:w="15" w:type="dxa"/>
              <w:left w:w="15" w:type="dxa"/>
              <w:bottom w:w="15" w:type="dxa"/>
              <w:right w:w="15" w:type="dxa"/>
            </w:tcMar>
            <w:vAlign w:val="center"/>
            <w:hideMark/>
          </w:tcPr>
          <w:p w14:paraId="2A12E10E" w14:textId="77777777" w:rsidR="00CB397B" w:rsidRDefault="00CB397B">
            <w:pPr>
              <w:jc w:val="both"/>
              <w:rPr>
                <w:rFonts w:ascii="Times New Roman" w:hAnsi="Times New Roman"/>
                <w:sz w:val="24"/>
                <w:szCs w:val="24"/>
              </w:rPr>
            </w:pPr>
            <w:r>
              <w:rPr>
                <w:rFonts w:ascii="Times New Roman" w:hAnsi="Times New Roman"/>
                <w:bCs/>
                <w:sz w:val="24"/>
                <w:szCs w:val="24"/>
              </w:rPr>
              <w:t>0.16</w:t>
            </w:r>
          </w:p>
        </w:tc>
        <w:tc>
          <w:tcPr>
            <w:tcW w:w="0" w:type="auto"/>
            <w:tcMar>
              <w:top w:w="15" w:type="dxa"/>
              <w:left w:w="15" w:type="dxa"/>
              <w:bottom w:w="15" w:type="dxa"/>
              <w:right w:w="15" w:type="dxa"/>
            </w:tcMar>
            <w:vAlign w:val="center"/>
            <w:hideMark/>
          </w:tcPr>
          <w:p w14:paraId="3150A031" w14:textId="77777777" w:rsidR="00CB397B" w:rsidRDefault="00CB397B">
            <w:pPr>
              <w:jc w:val="both"/>
              <w:rPr>
                <w:rFonts w:ascii="Times New Roman" w:hAnsi="Times New Roman"/>
                <w:sz w:val="24"/>
                <w:szCs w:val="24"/>
              </w:rPr>
            </w:pPr>
            <w:r>
              <w:rPr>
                <w:rFonts w:ascii="Times New Roman" w:hAnsi="Times New Roman"/>
                <w:bCs/>
                <w:sz w:val="24"/>
                <w:szCs w:val="24"/>
              </w:rPr>
              <w:t>0.15</w:t>
            </w:r>
          </w:p>
        </w:tc>
      </w:tr>
      <w:tr w:rsidR="00CB397B" w14:paraId="2B1DBC5E" w14:textId="77777777" w:rsidTr="00CB397B">
        <w:trPr>
          <w:trHeight w:val="53"/>
          <w:tblCellSpacing w:w="15" w:type="dxa"/>
        </w:trPr>
        <w:tc>
          <w:tcPr>
            <w:tcW w:w="2250" w:type="dxa"/>
            <w:tcMar>
              <w:top w:w="15" w:type="dxa"/>
              <w:left w:w="15" w:type="dxa"/>
              <w:bottom w:w="15" w:type="dxa"/>
              <w:right w:w="15" w:type="dxa"/>
            </w:tcMar>
            <w:vAlign w:val="center"/>
            <w:hideMark/>
          </w:tcPr>
          <w:p w14:paraId="0D20C9EC"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130" w:type="dxa"/>
            <w:tcMar>
              <w:top w:w="15" w:type="dxa"/>
              <w:left w:w="15" w:type="dxa"/>
              <w:bottom w:w="15" w:type="dxa"/>
              <w:right w:w="15" w:type="dxa"/>
            </w:tcMar>
            <w:vAlign w:val="center"/>
            <w:hideMark/>
          </w:tcPr>
          <w:p w14:paraId="3DEF08B9"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162E7E92" w14:textId="77777777" w:rsidR="00CB397B" w:rsidRDefault="00CB397B">
            <w:pPr>
              <w:jc w:val="both"/>
              <w:rPr>
                <w:rFonts w:ascii="Times New Roman" w:hAnsi="Times New Roman"/>
                <w:sz w:val="24"/>
                <w:szCs w:val="24"/>
              </w:rPr>
            </w:pPr>
            <w:r>
              <w:rPr>
                <w:rFonts w:ascii="Times New Roman" w:hAnsi="Times New Roman"/>
                <w:bCs/>
                <w:sz w:val="24"/>
                <w:szCs w:val="24"/>
              </w:rPr>
              <w:t>0.09</w:t>
            </w:r>
          </w:p>
        </w:tc>
        <w:tc>
          <w:tcPr>
            <w:tcW w:w="0" w:type="auto"/>
            <w:tcMar>
              <w:top w:w="15" w:type="dxa"/>
              <w:left w:w="15" w:type="dxa"/>
              <w:bottom w:w="15" w:type="dxa"/>
              <w:right w:w="15" w:type="dxa"/>
            </w:tcMar>
            <w:vAlign w:val="center"/>
            <w:hideMark/>
          </w:tcPr>
          <w:p w14:paraId="10BA66F5" w14:textId="77777777" w:rsidR="00CB397B" w:rsidRDefault="00CB397B">
            <w:pPr>
              <w:jc w:val="both"/>
              <w:rPr>
                <w:rFonts w:ascii="Times New Roman" w:hAnsi="Times New Roman"/>
                <w:sz w:val="24"/>
                <w:szCs w:val="24"/>
              </w:rPr>
            </w:pPr>
            <w:r>
              <w:rPr>
                <w:rFonts w:ascii="Times New Roman" w:hAnsi="Times New Roman"/>
                <w:bCs/>
                <w:sz w:val="24"/>
                <w:szCs w:val="24"/>
              </w:rPr>
              <w:t>0.09</w:t>
            </w:r>
          </w:p>
        </w:tc>
        <w:tc>
          <w:tcPr>
            <w:tcW w:w="0" w:type="auto"/>
            <w:tcMar>
              <w:top w:w="15" w:type="dxa"/>
              <w:left w:w="15" w:type="dxa"/>
              <w:bottom w:w="15" w:type="dxa"/>
              <w:right w:w="15" w:type="dxa"/>
            </w:tcMar>
            <w:vAlign w:val="center"/>
            <w:hideMark/>
          </w:tcPr>
          <w:p w14:paraId="5A0C7628" w14:textId="77777777" w:rsidR="00CB397B" w:rsidRDefault="00CB397B">
            <w:pPr>
              <w:jc w:val="both"/>
              <w:rPr>
                <w:rFonts w:ascii="Times New Roman" w:hAnsi="Times New Roman"/>
                <w:sz w:val="24"/>
                <w:szCs w:val="24"/>
              </w:rPr>
            </w:pPr>
            <w:r>
              <w:rPr>
                <w:rFonts w:ascii="Times New Roman" w:hAnsi="Times New Roman"/>
                <w:bCs/>
                <w:sz w:val="24"/>
                <w:szCs w:val="24"/>
              </w:rPr>
              <w:t>0.13</w:t>
            </w:r>
          </w:p>
        </w:tc>
      </w:tr>
      <w:tr w:rsidR="00CB397B" w14:paraId="73308C2C" w14:textId="77777777" w:rsidTr="00CB397B">
        <w:trPr>
          <w:trHeight w:val="53"/>
          <w:tblCellSpacing w:w="15" w:type="dxa"/>
        </w:trPr>
        <w:tc>
          <w:tcPr>
            <w:tcW w:w="2250" w:type="dxa"/>
            <w:tcMar>
              <w:top w:w="15" w:type="dxa"/>
              <w:left w:w="15" w:type="dxa"/>
              <w:bottom w:w="15" w:type="dxa"/>
              <w:right w:w="15" w:type="dxa"/>
            </w:tcMar>
            <w:vAlign w:val="center"/>
            <w:hideMark/>
          </w:tcPr>
          <w:p w14:paraId="2ED021D7"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130" w:type="dxa"/>
            <w:tcMar>
              <w:top w:w="15" w:type="dxa"/>
              <w:left w:w="15" w:type="dxa"/>
              <w:bottom w:w="15" w:type="dxa"/>
              <w:right w:w="15" w:type="dxa"/>
            </w:tcMar>
            <w:vAlign w:val="center"/>
            <w:hideMark/>
          </w:tcPr>
          <w:p w14:paraId="01AEF7B9"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306213AE" w14:textId="77777777" w:rsidR="00CB397B" w:rsidRDefault="00CB397B">
            <w:pPr>
              <w:jc w:val="both"/>
              <w:rPr>
                <w:rFonts w:ascii="Times New Roman" w:hAnsi="Times New Roman"/>
                <w:sz w:val="24"/>
                <w:szCs w:val="24"/>
              </w:rPr>
            </w:pPr>
            <w:r>
              <w:rPr>
                <w:rFonts w:ascii="Times New Roman" w:hAnsi="Times New Roman"/>
                <w:bCs/>
                <w:sz w:val="24"/>
                <w:szCs w:val="24"/>
              </w:rPr>
              <w:t>0.03</w:t>
            </w:r>
          </w:p>
        </w:tc>
        <w:tc>
          <w:tcPr>
            <w:tcW w:w="0" w:type="auto"/>
            <w:tcMar>
              <w:top w:w="15" w:type="dxa"/>
              <w:left w:w="15" w:type="dxa"/>
              <w:bottom w:w="15" w:type="dxa"/>
              <w:right w:w="15" w:type="dxa"/>
            </w:tcMar>
            <w:vAlign w:val="center"/>
            <w:hideMark/>
          </w:tcPr>
          <w:p w14:paraId="3D99B8C7" w14:textId="77777777" w:rsidR="00CB397B" w:rsidRDefault="00CB397B">
            <w:pPr>
              <w:jc w:val="both"/>
              <w:rPr>
                <w:rFonts w:ascii="Times New Roman" w:hAnsi="Times New Roman"/>
                <w:sz w:val="24"/>
                <w:szCs w:val="24"/>
              </w:rPr>
            </w:pPr>
            <w:r>
              <w:rPr>
                <w:rFonts w:ascii="Times New Roman" w:hAnsi="Times New Roman"/>
                <w:bCs/>
                <w:sz w:val="24"/>
                <w:szCs w:val="24"/>
              </w:rPr>
              <w:t>0.04</w:t>
            </w:r>
          </w:p>
        </w:tc>
        <w:tc>
          <w:tcPr>
            <w:tcW w:w="0" w:type="auto"/>
            <w:tcMar>
              <w:top w:w="15" w:type="dxa"/>
              <w:left w:w="15" w:type="dxa"/>
              <w:bottom w:w="15" w:type="dxa"/>
              <w:right w:w="15" w:type="dxa"/>
            </w:tcMar>
            <w:vAlign w:val="center"/>
            <w:hideMark/>
          </w:tcPr>
          <w:p w14:paraId="4D528E79" w14:textId="77777777" w:rsidR="00CB397B" w:rsidRDefault="00CB397B">
            <w:pPr>
              <w:jc w:val="both"/>
              <w:rPr>
                <w:rFonts w:ascii="Times New Roman" w:hAnsi="Times New Roman"/>
                <w:sz w:val="24"/>
                <w:szCs w:val="24"/>
              </w:rPr>
            </w:pPr>
            <w:r>
              <w:rPr>
                <w:rFonts w:ascii="Times New Roman" w:hAnsi="Times New Roman"/>
                <w:bCs/>
                <w:sz w:val="24"/>
                <w:szCs w:val="24"/>
              </w:rPr>
              <w:t>0.04</w:t>
            </w:r>
          </w:p>
        </w:tc>
      </w:tr>
      <w:tr w:rsidR="00CB397B" w14:paraId="288F90F4" w14:textId="77777777" w:rsidTr="00CB397B">
        <w:trPr>
          <w:trHeight w:val="53"/>
          <w:tblCellSpacing w:w="15" w:type="dxa"/>
        </w:trPr>
        <w:tc>
          <w:tcPr>
            <w:tcW w:w="2250" w:type="dxa"/>
            <w:tcMar>
              <w:top w:w="15" w:type="dxa"/>
              <w:left w:w="15" w:type="dxa"/>
              <w:bottom w:w="15" w:type="dxa"/>
              <w:right w:w="15" w:type="dxa"/>
            </w:tcMar>
            <w:vAlign w:val="center"/>
            <w:hideMark/>
          </w:tcPr>
          <w:p w14:paraId="287E7A7C"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130" w:type="dxa"/>
            <w:tcMar>
              <w:top w:w="15" w:type="dxa"/>
              <w:left w:w="15" w:type="dxa"/>
              <w:bottom w:w="15" w:type="dxa"/>
              <w:right w:w="15" w:type="dxa"/>
            </w:tcMar>
            <w:vAlign w:val="center"/>
            <w:hideMark/>
          </w:tcPr>
          <w:p w14:paraId="172D9C53"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4BD2D53F" w14:textId="77777777" w:rsidR="00CB397B" w:rsidRDefault="00CB397B">
            <w:pPr>
              <w:jc w:val="both"/>
              <w:rPr>
                <w:rFonts w:ascii="Times New Roman" w:hAnsi="Times New Roman"/>
                <w:sz w:val="24"/>
                <w:szCs w:val="24"/>
              </w:rPr>
            </w:pPr>
            <w:r>
              <w:rPr>
                <w:rFonts w:ascii="Times New Roman" w:hAnsi="Times New Roman"/>
                <w:bCs/>
                <w:sz w:val="24"/>
                <w:szCs w:val="24"/>
              </w:rPr>
              <w:t>0.03</w:t>
            </w:r>
          </w:p>
        </w:tc>
        <w:tc>
          <w:tcPr>
            <w:tcW w:w="0" w:type="auto"/>
            <w:tcMar>
              <w:top w:w="15" w:type="dxa"/>
              <w:left w:w="15" w:type="dxa"/>
              <w:bottom w:w="15" w:type="dxa"/>
              <w:right w:w="15" w:type="dxa"/>
            </w:tcMar>
            <w:vAlign w:val="center"/>
            <w:hideMark/>
          </w:tcPr>
          <w:p w14:paraId="724BBB75" w14:textId="77777777" w:rsidR="00CB397B" w:rsidRDefault="00CB397B">
            <w:pPr>
              <w:jc w:val="both"/>
              <w:rPr>
                <w:rFonts w:ascii="Times New Roman" w:hAnsi="Times New Roman"/>
                <w:sz w:val="24"/>
                <w:szCs w:val="24"/>
              </w:rPr>
            </w:pPr>
            <w:r>
              <w:rPr>
                <w:rFonts w:ascii="Times New Roman" w:hAnsi="Times New Roman"/>
                <w:bCs/>
                <w:sz w:val="24"/>
                <w:szCs w:val="24"/>
              </w:rPr>
              <w:t>0.04</w:t>
            </w:r>
          </w:p>
        </w:tc>
        <w:tc>
          <w:tcPr>
            <w:tcW w:w="0" w:type="auto"/>
            <w:tcMar>
              <w:top w:w="15" w:type="dxa"/>
              <w:left w:w="15" w:type="dxa"/>
              <w:bottom w:w="15" w:type="dxa"/>
              <w:right w:w="15" w:type="dxa"/>
            </w:tcMar>
            <w:vAlign w:val="center"/>
            <w:hideMark/>
          </w:tcPr>
          <w:p w14:paraId="5E637515" w14:textId="77777777" w:rsidR="00CB397B" w:rsidRDefault="00CB397B">
            <w:pPr>
              <w:jc w:val="both"/>
              <w:rPr>
                <w:rFonts w:ascii="Times New Roman" w:hAnsi="Times New Roman"/>
                <w:sz w:val="24"/>
                <w:szCs w:val="24"/>
              </w:rPr>
            </w:pPr>
            <w:r>
              <w:rPr>
                <w:rFonts w:ascii="Times New Roman" w:hAnsi="Times New Roman"/>
                <w:bCs/>
                <w:sz w:val="24"/>
                <w:szCs w:val="24"/>
              </w:rPr>
              <w:t>0.03</w:t>
            </w:r>
          </w:p>
        </w:tc>
      </w:tr>
      <w:tr w:rsidR="00CB397B" w14:paraId="5E6535F1" w14:textId="77777777" w:rsidTr="00CB397B">
        <w:trPr>
          <w:trHeight w:val="53"/>
          <w:tblCellSpacing w:w="15" w:type="dxa"/>
        </w:trPr>
        <w:tc>
          <w:tcPr>
            <w:tcW w:w="2250" w:type="dxa"/>
            <w:tcMar>
              <w:top w:w="15" w:type="dxa"/>
              <w:left w:w="15" w:type="dxa"/>
              <w:bottom w:w="15" w:type="dxa"/>
              <w:right w:w="15" w:type="dxa"/>
            </w:tcMar>
            <w:vAlign w:val="center"/>
            <w:hideMark/>
          </w:tcPr>
          <w:p w14:paraId="26B8B0D1"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130" w:type="dxa"/>
            <w:tcMar>
              <w:top w:w="15" w:type="dxa"/>
              <w:left w:w="15" w:type="dxa"/>
              <w:bottom w:w="15" w:type="dxa"/>
              <w:right w:w="15" w:type="dxa"/>
            </w:tcMar>
            <w:vAlign w:val="center"/>
            <w:hideMark/>
          </w:tcPr>
          <w:p w14:paraId="1664030B"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15D56A8E" w14:textId="77777777" w:rsidR="00CB397B" w:rsidRDefault="00CB397B">
            <w:pPr>
              <w:jc w:val="both"/>
              <w:rPr>
                <w:rFonts w:ascii="Times New Roman" w:hAnsi="Times New Roman"/>
                <w:sz w:val="24"/>
                <w:szCs w:val="24"/>
              </w:rPr>
            </w:pPr>
            <w:r>
              <w:rPr>
                <w:rFonts w:ascii="Times New Roman" w:hAnsi="Times New Roman"/>
                <w:bCs/>
                <w:sz w:val="24"/>
                <w:szCs w:val="24"/>
              </w:rPr>
              <w:t>0.02</w:t>
            </w:r>
          </w:p>
        </w:tc>
        <w:tc>
          <w:tcPr>
            <w:tcW w:w="0" w:type="auto"/>
            <w:tcMar>
              <w:top w:w="15" w:type="dxa"/>
              <w:left w:w="15" w:type="dxa"/>
              <w:bottom w:w="15" w:type="dxa"/>
              <w:right w:w="15" w:type="dxa"/>
            </w:tcMar>
            <w:vAlign w:val="center"/>
            <w:hideMark/>
          </w:tcPr>
          <w:p w14:paraId="37658DD9" w14:textId="77777777" w:rsidR="00CB397B" w:rsidRDefault="00CB397B">
            <w:pPr>
              <w:jc w:val="both"/>
              <w:rPr>
                <w:rFonts w:ascii="Times New Roman" w:hAnsi="Times New Roman"/>
                <w:sz w:val="24"/>
                <w:szCs w:val="24"/>
              </w:rPr>
            </w:pPr>
            <w:r>
              <w:rPr>
                <w:rFonts w:ascii="Times New Roman" w:hAnsi="Times New Roman"/>
                <w:bCs/>
                <w:sz w:val="24"/>
                <w:szCs w:val="24"/>
              </w:rPr>
              <w:t>0.02</w:t>
            </w:r>
          </w:p>
        </w:tc>
        <w:tc>
          <w:tcPr>
            <w:tcW w:w="0" w:type="auto"/>
            <w:tcMar>
              <w:top w:w="15" w:type="dxa"/>
              <w:left w:w="15" w:type="dxa"/>
              <w:bottom w:w="15" w:type="dxa"/>
              <w:right w:w="15" w:type="dxa"/>
            </w:tcMar>
            <w:vAlign w:val="center"/>
            <w:hideMark/>
          </w:tcPr>
          <w:p w14:paraId="4DFF8384" w14:textId="77777777" w:rsidR="00CB397B" w:rsidRDefault="00CB397B">
            <w:pPr>
              <w:jc w:val="both"/>
              <w:rPr>
                <w:rFonts w:ascii="Times New Roman" w:hAnsi="Times New Roman"/>
                <w:sz w:val="24"/>
                <w:szCs w:val="24"/>
              </w:rPr>
            </w:pPr>
            <w:r>
              <w:rPr>
                <w:rFonts w:ascii="Times New Roman" w:hAnsi="Times New Roman"/>
                <w:bCs/>
                <w:sz w:val="24"/>
                <w:szCs w:val="24"/>
              </w:rPr>
              <w:t>0.02</w:t>
            </w:r>
          </w:p>
        </w:tc>
      </w:tr>
      <w:tr w:rsidR="00CB397B" w14:paraId="25894E7B" w14:textId="77777777" w:rsidTr="00CB397B">
        <w:trPr>
          <w:trHeight w:val="53"/>
          <w:tblCellSpacing w:w="15" w:type="dxa"/>
        </w:trPr>
        <w:tc>
          <w:tcPr>
            <w:tcW w:w="2250" w:type="dxa"/>
            <w:tcMar>
              <w:top w:w="15" w:type="dxa"/>
              <w:left w:w="15" w:type="dxa"/>
              <w:bottom w:w="15" w:type="dxa"/>
              <w:right w:w="15" w:type="dxa"/>
            </w:tcMar>
            <w:vAlign w:val="center"/>
            <w:hideMark/>
          </w:tcPr>
          <w:p w14:paraId="6BD35A54"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130" w:type="dxa"/>
            <w:tcMar>
              <w:top w:w="15" w:type="dxa"/>
              <w:left w:w="15" w:type="dxa"/>
              <w:bottom w:w="15" w:type="dxa"/>
              <w:right w:w="15" w:type="dxa"/>
            </w:tcMar>
            <w:vAlign w:val="center"/>
            <w:hideMark/>
          </w:tcPr>
          <w:p w14:paraId="263D4B6B"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188307F0" w14:textId="77777777" w:rsidR="00CB397B" w:rsidRDefault="00CB397B">
            <w:pPr>
              <w:jc w:val="both"/>
              <w:rPr>
                <w:rFonts w:ascii="Times New Roman" w:hAnsi="Times New Roman"/>
                <w:sz w:val="24"/>
                <w:szCs w:val="24"/>
              </w:rPr>
            </w:pPr>
            <w:r>
              <w:rPr>
                <w:rFonts w:ascii="Times New Roman" w:hAnsi="Times New Roman"/>
                <w:bCs/>
                <w:sz w:val="24"/>
                <w:szCs w:val="24"/>
              </w:rPr>
              <w:t>0.08</w:t>
            </w:r>
          </w:p>
        </w:tc>
        <w:tc>
          <w:tcPr>
            <w:tcW w:w="0" w:type="auto"/>
            <w:tcMar>
              <w:top w:w="15" w:type="dxa"/>
              <w:left w:w="15" w:type="dxa"/>
              <w:bottom w:w="15" w:type="dxa"/>
              <w:right w:w="15" w:type="dxa"/>
            </w:tcMar>
            <w:vAlign w:val="center"/>
            <w:hideMark/>
          </w:tcPr>
          <w:p w14:paraId="75D44146" w14:textId="77777777" w:rsidR="00CB397B" w:rsidRDefault="00CB397B">
            <w:pPr>
              <w:jc w:val="both"/>
              <w:rPr>
                <w:rFonts w:ascii="Times New Roman" w:hAnsi="Times New Roman"/>
                <w:sz w:val="24"/>
                <w:szCs w:val="24"/>
              </w:rPr>
            </w:pPr>
            <w:r>
              <w:rPr>
                <w:rFonts w:ascii="Times New Roman" w:hAnsi="Times New Roman"/>
                <w:bCs/>
                <w:sz w:val="24"/>
                <w:szCs w:val="24"/>
              </w:rPr>
              <w:t>0.10</w:t>
            </w:r>
          </w:p>
        </w:tc>
        <w:tc>
          <w:tcPr>
            <w:tcW w:w="0" w:type="auto"/>
            <w:tcMar>
              <w:top w:w="15" w:type="dxa"/>
              <w:left w:w="15" w:type="dxa"/>
              <w:bottom w:w="15" w:type="dxa"/>
              <w:right w:w="15" w:type="dxa"/>
            </w:tcMar>
            <w:vAlign w:val="center"/>
            <w:hideMark/>
          </w:tcPr>
          <w:p w14:paraId="6AD91862" w14:textId="77777777" w:rsidR="00CB397B" w:rsidRDefault="00CB397B">
            <w:pPr>
              <w:jc w:val="both"/>
              <w:rPr>
                <w:rFonts w:ascii="Times New Roman" w:hAnsi="Times New Roman"/>
                <w:sz w:val="24"/>
                <w:szCs w:val="24"/>
              </w:rPr>
            </w:pPr>
            <w:r>
              <w:rPr>
                <w:rFonts w:ascii="Times New Roman" w:hAnsi="Times New Roman"/>
                <w:bCs/>
                <w:sz w:val="24"/>
                <w:szCs w:val="24"/>
              </w:rPr>
              <w:t>0.07</w:t>
            </w:r>
          </w:p>
        </w:tc>
      </w:tr>
      <w:tr w:rsidR="00CB397B" w14:paraId="579C1A10" w14:textId="77777777" w:rsidTr="00CB397B">
        <w:trPr>
          <w:trHeight w:val="150"/>
          <w:tblCellSpacing w:w="15" w:type="dxa"/>
        </w:trPr>
        <w:tc>
          <w:tcPr>
            <w:tcW w:w="2250" w:type="dxa"/>
            <w:tcMar>
              <w:top w:w="15" w:type="dxa"/>
              <w:left w:w="15" w:type="dxa"/>
              <w:bottom w:w="15" w:type="dxa"/>
              <w:right w:w="15" w:type="dxa"/>
            </w:tcMar>
            <w:vAlign w:val="center"/>
            <w:hideMark/>
          </w:tcPr>
          <w:p w14:paraId="1F94874C"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130" w:type="dxa"/>
            <w:tcMar>
              <w:top w:w="15" w:type="dxa"/>
              <w:left w:w="15" w:type="dxa"/>
              <w:bottom w:w="15" w:type="dxa"/>
              <w:right w:w="15" w:type="dxa"/>
            </w:tcMar>
            <w:vAlign w:val="center"/>
            <w:hideMark/>
          </w:tcPr>
          <w:p w14:paraId="20173472"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3543B7FB" w14:textId="77777777" w:rsidR="00CB397B" w:rsidRDefault="00CB397B">
            <w:pPr>
              <w:jc w:val="both"/>
              <w:rPr>
                <w:rFonts w:ascii="Times New Roman" w:hAnsi="Times New Roman"/>
                <w:sz w:val="24"/>
                <w:szCs w:val="24"/>
              </w:rPr>
            </w:pPr>
            <w:r>
              <w:rPr>
                <w:rFonts w:ascii="Times New Roman" w:hAnsi="Times New Roman"/>
                <w:bCs/>
                <w:sz w:val="24"/>
                <w:szCs w:val="24"/>
              </w:rPr>
              <w:t>0.08</w:t>
            </w:r>
          </w:p>
        </w:tc>
        <w:tc>
          <w:tcPr>
            <w:tcW w:w="0" w:type="auto"/>
            <w:tcMar>
              <w:top w:w="15" w:type="dxa"/>
              <w:left w:w="15" w:type="dxa"/>
              <w:bottom w:w="15" w:type="dxa"/>
              <w:right w:w="15" w:type="dxa"/>
            </w:tcMar>
            <w:vAlign w:val="center"/>
            <w:hideMark/>
          </w:tcPr>
          <w:p w14:paraId="01F5E55D" w14:textId="77777777" w:rsidR="00CB397B" w:rsidRDefault="00CB397B">
            <w:pPr>
              <w:jc w:val="both"/>
              <w:rPr>
                <w:rFonts w:ascii="Times New Roman" w:hAnsi="Times New Roman"/>
                <w:sz w:val="24"/>
                <w:szCs w:val="24"/>
              </w:rPr>
            </w:pPr>
            <w:r>
              <w:rPr>
                <w:rFonts w:ascii="Times New Roman" w:hAnsi="Times New Roman"/>
                <w:bCs/>
                <w:sz w:val="24"/>
                <w:szCs w:val="24"/>
              </w:rPr>
              <w:t>0.09</w:t>
            </w:r>
          </w:p>
        </w:tc>
        <w:tc>
          <w:tcPr>
            <w:tcW w:w="0" w:type="auto"/>
            <w:tcMar>
              <w:top w:w="15" w:type="dxa"/>
              <w:left w:w="15" w:type="dxa"/>
              <w:bottom w:w="15" w:type="dxa"/>
              <w:right w:w="15" w:type="dxa"/>
            </w:tcMar>
            <w:vAlign w:val="center"/>
            <w:hideMark/>
          </w:tcPr>
          <w:p w14:paraId="516CD7B5" w14:textId="77777777" w:rsidR="00CB397B" w:rsidRDefault="00CB397B">
            <w:pPr>
              <w:jc w:val="both"/>
              <w:rPr>
                <w:rFonts w:ascii="Times New Roman" w:hAnsi="Times New Roman"/>
                <w:sz w:val="24"/>
                <w:szCs w:val="24"/>
              </w:rPr>
            </w:pPr>
            <w:r>
              <w:rPr>
                <w:rFonts w:ascii="Times New Roman" w:hAnsi="Times New Roman"/>
                <w:bCs/>
                <w:sz w:val="24"/>
                <w:szCs w:val="24"/>
              </w:rPr>
              <w:t>0.08</w:t>
            </w:r>
          </w:p>
        </w:tc>
      </w:tr>
      <w:tr w:rsidR="00CB397B" w14:paraId="495192A4" w14:textId="77777777" w:rsidTr="00CB397B">
        <w:trPr>
          <w:trHeight w:val="373"/>
          <w:tblCellSpacing w:w="15" w:type="dxa"/>
        </w:trPr>
        <w:tc>
          <w:tcPr>
            <w:tcW w:w="2250" w:type="dxa"/>
            <w:tcBorders>
              <w:top w:val="nil"/>
              <w:left w:val="nil"/>
              <w:bottom w:val="single" w:sz="4" w:space="0" w:color="auto"/>
              <w:right w:val="nil"/>
            </w:tcBorders>
            <w:tcMar>
              <w:top w:w="15" w:type="dxa"/>
              <w:left w:w="15" w:type="dxa"/>
              <w:bottom w:w="15" w:type="dxa"/>
              <w:right w:w="15" w:type="dxa"/>
            </w:tcMar>
            <w:vAlign w:val="center"/>
            <w:hideMark/>
          </w:tcPr>
          <w:p w14:paraId="1AA0CA75"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130" w:type="dxa"/>
            <w:tcBorders>
              <w:top w:val="nil"/>
              <w:left w:val="nil"/>
              <w:bottom w:val="single" w:sz="4" w:space="0" w:color="auto"/>
              <w:right w:val="nil"/>
            </w:tcBorders>
            <w:tcMar>
              <w:top w:w="15" w:type="dxa"/>
              <w:left w:w="15" w:type="dxa"/>
              <w:bottom w:w="15" w:type="dxa"/>
              <w:right w:w="15" w:type="dxa"/>
            </w:tcMar>
            <w:vAlign w:val="center"/>
            <w:hideMark/>
          </w:tcPr>
          <w:p w14:paraId="25839A89"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4CC3DCE" w14:textId="77777777" w:rsidR="00CB397B" w:rsidRDefault="00CB397B">
            <w:pPr>
              <w:jc w:val="both"/>
              <w:rPr>
                <w:rFonts w:ascii="Times New Roman" w:hAnsi="Times New Roman"/>
                <w:sz w:val="24"/>
                <w:szCs w:val="24"/>
              </w:rPr>
            </w:pPr>
            <w:r>
              <w:rPr>
                <w:rFonts w:ascii="Times New Roman" w:hAnsi="Times New Roman"/>
                <w:bCs/>
                <w:sz w:val="24"/>
                <w:szCs w:val="24"/>
              </w:rPr>
              <w:t>0.04</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A6BDEFA" w14:textId="77777777" w:rsidR="00CB397B" w:rsidRDefault="00CB397B">
            <w:pPr>
              <w:jc w:val="both"/>
              <w:rPr>
                <w:rFonts w:ascii="Times New Roman" w:hAnsi="Times New Roman"/>
                <w:sz w:val="24"/>
                <w:szCs w:val="24"/>
              </w:rPr>
            </w:pPr>
            <w:r>
              <w:rPr>
                <w:rFonts w:ascii="Times New Roman" w:hAnsi="Times New Roman"/>
                <w:bCs/>
                <w:sz w:val="24"/>
                <w:szCs w:val="24"/>
              </w:rPr>
              <w:t>0.04</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756002D" w14:textId="77777777" w:rsidR="00CB397B" w:rsidRDefault="00CB397B">
            <w:pPr>
              <w:jc w:val="both"/>
              <w:rPr>
                <w:rFonts w:ascii="Times New Roman" w:hAnsi="Times New Roman"/>
                <w:sz w:val="24"/>
                <w:szCs w:val="24"/>
              </w:rPr>
            </w:pPr>
            <w:r>
              <w:rPr>
                <w:rFonts w:ascii="Times New Roman" w:hAnsi="Times New Roman"/>
                <w:bCs/>
                <w:sz w:val="24"/>
                <w:szCs w:val="24"/>
              </w:rPr>
              <w:t>0.06</w:t>
            </w:r>
          </w:p>
        </w:tc>
      </w:tr>
    </w:tbl>
    <w:p w14:paraId="597384AE"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Cu showed </w:t>
      </w:r>
      <w:r>
        <w:rPr>
          <w:rFonts w:ascii="Times New Roman" w:hAnsi="Times New Roman"/>
          <w:bCs/>
          <w:sz w:val="24"/>
          <w:szCs w:val="24"/>
        </w:rPr>
        <w:t>BAF &lt; 1 in all farm and pond combinations</w:t>
      </w:r>
      <w:r>
        <w:rPr>
          <w:rFonts w:ascii="Times New Roman" w:hAnsi="Times New Roman"/>
          <w:sz w:val="24"/>
          <w:szCs w:val="24"/>
        </w:rPr>
        <w:t>, indicating that tissue concentrations were lower than the corresponding water concentrations on the basis of the supplied data.</w:t>
      </w:r>
    </w:p>
    <w:p w14:paraId="3FB5DEA7" w14:textId="77777777" w:rsidR="00CB397B" w:rsidRDefault="00CB397B" w:rsidP="00CB397B">
      <w:pPr>
        <w:jc w:val="both"/>
        <w:outlineLvl w:val="1"/>
        <w:rPr>
          <w:rFonts w:ascii="Times New Roman" w:hAnsi="Times New Roman"/>
          <w:b/>
          <w:bCs/>
          <w:sz w:val="24"/>
          <w:szCs w:val="24"/>
        </w:rPr>
      </w:pPr>
      <w:r>
        <w:rPr>
          <w:rFonts w:ascii="Times New Roman" w:hAnsi="Times New Roman"/>
          <w:b/>
          <w:bCs/>
          <w:sz w:val="24"/>
          <w:szCs w:val="24"/>
        </w:rPr>
        <w:t xml:space="preserve">Table 15: Bioaccumulation Factor (BAF) for Zinc (Zn) in </w:t>
      </w:r>
      <w:r>
        <w:rPr>
          <w:rFonts w:ascii="Times New Roman" w:hAnsi="Times New Roman"/>
          <w:b/>
          <w:bCs/>
          <w:i/>
          <w:iCs/>
          <w:sz w:val="24"/>
          <w:szCs w:val="24"/>
        </w:rPr>
        <w:t xml:space="preserve">Clarias </w:t>
      </w:r>
      <w:proofErr w:type="spellStart"/>
      <w:r>
        <w:rPr>
          <w:rFonts w:ascii="Times New Roman" w:hAnsi="Times New Roman"/>
          <w:b/>
          <w:bCs/>
          <w:i/>
          <w:iCs/>
          <w:sz w:val="24"/>
          <w:szCs w:val="24"/>
        </w:rPr>
        <w:t>gariepinus</w:t>
      </w:r>
      <w:proofErr w:type="spellEnd"/>
    </w:p>
    <w:tbl>
      <w:tblPr>
        <w:tblW w:w="9602" w:type="dxa"/>
        <w:tblCellSpacing w:w="15" w:type="dxa"/>
        <w:tblLook w:val="04A0" w:firstRow="1" w:lastRow="0" w:firstColumn="1" w:lastColumn="0" w:noHBand="0" w:noVBand="1"/>
      </w:tblPr>
      <w:tblGrid>
        <w:gridCol w:w="2757"/>
        <w:gridCol w:w="2328"/>
        <w:gridCol w:w="1782"/>
        <w:gridCol w:w="1337"/>
        <w:gridCol w:w="1398"/>
      </w:tblGrid>
      <w:tr w:rsidR="00CB397B" w14:paraId="10998D93" w14:textId="77777777" w:rsidTr="00CB397B">
        <w:trPr>
          <w:trHeight w:val="375"/>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F2B8589" w14:textId="77777777" w:rsidR="00CB397B" w:rsidRDefault="00CB397B">
            <w:pPr>
              <w:jc w:val="both"/>
              <w:rPr>
                <w:rFonts w:ascii="Times New Roman" w:hAnsi="Times New Roman"/>
                <w:b/>
                <w:bCs/>
                <w:sz w:val="24"/>
                <w:szCs w:val="24"/>
              </w:rPr>
            </w:pPr>
            <w:r>
              <w:rPr>
                <w:rFonts w:ascii="Times New Roman" w:hAnsi="Times New Roman"/>
                <w:b/>
                <w:bCs/>
                <w:sz w:val="24"/>
                <w:szCs w:val="24"/>
              </w:rPr>
              <w:t>Farm</w:t>
            </w:r>
          </w:p>
        </w:tc>
        <w:tc>
          <w:tcPr>
            <w:tcW w:w="2298" w:type="dxa"/>
            <w:tcBorders>
              <w:top w:val="single" w:sz="4" w:space="0" w:color="auto"/>
              <w:left w:val="nil"/>
              <w:bottom w:val="nil"/>
              <w:right w:val="nil"/>
            </w:tcBorders>
            <w:tcMar>
              <w:top w:w="15" w:type="dxa"/>
              <w:left w:w="15" w:type="dxa"/>
              <w:bottom w:w="15" w:type="dxa"/>
              <w:right w:w="15" w:type="dxa"/>
            </w:tcMar>
            <w:vAlign w:val="center"/>
            <w:hideMark/>
          </w:tcPr>
          <w:p w14:paraId="03AE9C95" w14:textId="77777777" w:rsidR="00CB397B" w:rsidRDefault="00CB397B">
            <w:pPr>
              <w:jc w:val="both"/>
              <w:rPr>
                <w:rFonts w:ascii="Times New Roman" w:hAnsi="Times New Roman"/>
                <w:b/>
                <w:bCs/>
                <w:sz w:val="24"/>
                <w:szCs w:val="24"/>
              </w:rPr>
            </w:pPr>
            <w:r>
              <w:rPr>
                <w:rFonts w:ascii="Times New Roman" w:hAnsi="Times New Roman"/>
                <w:b/>
                <w:bCs/>
                <w:sz w:val="24"/>
                <w:szCs w:val="24"/>
              </w:rPr>
              <w:t>Pond Type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CB9C25D"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Muscle </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D625980"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Gills </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1107D09" w14:textId="77777777" w:rsidR="00CB397B" w:rsidRDefault="00CB397B">
            <w:pPr>
              <w:jc w:val="both"/>
              <w:rPr>
                <w:rFonts w:ascii="Times New Roman" w:hAnsi="Times New Roman"/>
                <w:b/>
                <w:bCs/>
                <w:sz w:val="24"/>
                <w:szCs w:val="24"/>
              </w:rPr>
            </w:pPr>
            <w:r>
              <w:rPr>
                <w:rFonts w:ascii="Times New Roman" w:hAnsi="Times New Roman"/>
                <w:b/>
                <w:bCs/>
                <w:sz w:val="24"/>
                <w:szCs w:val="24"/>
              </w:rPr>
              <w:t xml:space="preserve">Liver </w:t>
            </w:r>
          </w:p>
        </w:tc>
      </w:tr>
      <w:tr w:rsidR="00CB397B" w14:paraId="41C8B938" w14:textId="77777777" w:rsidTr="00CB397B">
        <w:trPr>
          <w:trHeight w:val="140"/>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DD908EE"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298" w:type="dxa"/>
            <w:tcBorders>
              <w:top w:val="single" w:sz="4" w:space="0" w:color="auto"/>
              <w:left w:val="nil"/>
              <w:bottom w:val="nil"/>
              <w:right w:val="nil"/>
            </w:tcBorders>
            <w:tcMar>
              <w:top w:w="15" w:type="dxa"/>
              <w:left w:w="15" w:type="dxa"/>
              <w:bottom w:w="15" w:type="dxa"/>
              <w:right w:w="15" w:type="dxa"/>
            </w:tcMar>
            <w:vAlign w:val="center"/>
            <w:hideMark/>
          </w:tcPr>
          <w:p w14:paraId="3A388C12"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66260E3" w14:textId="77777777" w:rsidR="00CB397B" w:rsidRDefault="00CB397B">
            <w:pPr>
              <w:jc w:val="both"/>
              <w:rPr>
                <w:rFonts w:ascii="Times New Roman" w:hAnsi="Times New Roman"/>
                <w:sz w:val="24"/>
                <w:szCs w:val="24"/>
              </w:rPr>
            </w:pPr>
            <w:r>
              <w:rPr>
                <w:rFonts w:ascii="Times New Roman" w:hAnsi="Times New Roman"/>
                <w:bCs/>
                <w:sz w:val="24"/>
                <w:szCs w:val="24"/>
              </w:rPr>
              <w:t>20.10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72BAFD8" w14:textId="77777777" w:rsidR="00CB397B" w:rsidRDefault="00CB397B">
            <w:pPr>
              <w:jc w:val="both"/>
              <w:rPr>
                <w:rFonts w:ascii="Times New Roman" w:hAnsi="Times New Roman"/>
                <w:sz w:val="24"/>
                <w:szCs w:val="24"/>
              </w:rPr>
            </w:pPr>
            <w:r>
              <w:rPr>
                <w:rFonts w:ascii="Times New Roman" w:hAnsi="Times New Roman"/>
                <w:bCs/>
                <w:sz w:val="24"/>
                <w:szCs w:val="24"/>
              </w:rPr>
              <w:t>28.30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205C0F8" w14:textId="77777777" w:rsidR="00CB397B" w:rsidRDefault="00CB397B">
            <w:pPr>
              <w:jc w:val="both"/>
              <w:rPr>
                <w:rFonts w:ascii="Times New Roman" w:hAnsi="Times New Roman"/>
                <w:sz w:val="24"/>
                <w:szCs w:val="24"/>
              </w:rPr>
            </w:pPr>
            <w:r>
              <w:rPr>
                <w:rFonts w:ascii="Times New Roman" w:hAnsi="Times New Roman"/>
                <w:bCs/>
                <w:sz w:val="24"/>
                <w:szCs w:val="24"/>
              </w:rPr>
              <w:t>23.54</w:t>
            </w:r>
          </w:p>
        </w:tc>
      </w:tr>
      <w:tr w:rsidR="00CB397B" w14:paraId="247A6E64" w14:textId="77777777" w:rsidTr="00CB397B">
        <w:trPr>
          <w:trHeight w:val="375"/>
          <w:tblCellSpacing w:w="15" w:type="dxa"/>
        </w:trPr>
        <w:tc>
          <w:tcPr>
            <w:tcW w:w="0" w:type="auto"/>
            <w:tcMar>
              <w:top w:w="15" w:type="dxa"/>
              <w:left w:w="15" w:type="dxa"/>
              <w:bottom w:w="15" w:type="dxa"/>
              <w:right w:w="15" w:type="dxa"/>
            </w:tcMar>
            <w:vAlign w:val="center"/>
            <w:hideMark/>
          </w:tcPr>
          <w:p w14:paraId="4C766BFD"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298" w:type="dxa"/>
            <w:tcMar>
              <w:top w:w="15" w:type="dxa"/>
              <w:left w:w="15" w:type="dxa"/>
              <w:bottom w:w="15" w:type="dxa"/>
              <w:right w:w="15" w:type="dxa"/>
            </w:tcMar>
            <w:vAlign w:val="center"/>
            <w:hideMark/>
          </w:tcPr>
          <w:p w14:paraId="7619B029"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5287FA46" w14:textId="77777777" w:rsidR="00CB397B" w:rsidRDefault="00CB397B">
            <w:pPr>
              <w:jc w:val="both"/>
              <w:rPr>
                <w:rFonts w:ascii="Times New Roman" w:hAnsi="Times New Roman"/>
                <w:sz w:val="24"/>
                <w:szCs w:val="24"/>
              </w:rPr>
            </w:pPr>
            <w:r>
              <w:rPr>
                <w:rFonts w:ascii="Times New Roman" w:hAnsi="Times New Roman"/>
                <w:bCs/>
                <w:sz w:val="24"/>
                <w:szCs w:val="24"/>
              </w:rPr>
              <w:t>16.05</w:t>
            </w:r>
          </w:p>
        </w:tc>
        <w:tc>
          <w:tcPr>
            <w:tcW w:w="0" w:type="auto"/>
            <w:tcMar>
              <w:top w:w="15" w:type="dxa"/>
              <w:left w:w="15" w:type="dxa"/>
              <w:bottom w:w="15" w:type="dxa"/>
              <w:right w:w="15" w:type="dxa"/>
            </w:tcMar>
            <w:vAlign w:val="center"/>
            <w:hideMark/>
          </w:tcPr>
          <w:p w14:paraId="45992021" w14:textId="77777777" w:rsidR="00CB397B" w:rsidRDefault="00CB397B">
            <w:pPr>
              <w:jc w:val="both"/>
              <w:rPr>
                <w:rFonts w:ascii="Times New Roman" w:hAnsi="Times New Roman"/>
                <w:sz w:val="24"/>
                <w:szCs w:val="24"/>
              </w:rPr>
            </w:pPr>
            <w:r>
              <w:rPr>
                <w:rFonts w:ascii="Times New Roman" w:hAnsi="Times New Roman"/>
                <w:bCs/>
                <w:sz w:val="24"/>
                <w:szCs w:val="24"/>
              </w:rPr>
              <w:t>19.01</w:t>
            </w:r>
          </w:p>
        </w:tc>
        <w:tc>
          <w:tcPr>
            <w:tcW w:w="0" w:type="auto"/>
            <w:tcMar>
              <w:top w:w="15" w:type="dxa"/>
              <w:left w:w="15" w:type="dxa"/>
              <w:bottom w:w="15" w:type="dxa"/>
              <w:right w:w="15" w:type="dxa"/>
            </w:tcMar>
            <w:vAlign w:val="center"/>
            <w:hideMark/>
          </w:tcPr>
          <w:p w14:paraId="1E725D85" w14:textId="77777777" w:rsidR="00CB397B" w:rsidRDefault="00CB397B">
            <w:pPr>
              <w:jc w:val="both"/>
              <w:rPr>
                <w:rFonts w:ascii="Times New Roman" w:hAnsi="Times New Roman"/>
                <w:sz w:val="24"/>
                <w:szCs w:val="24"/>
              </w:rPr>
            </w:pPr>
            <w:r>
              <w:rPr>
                <w:rFonts w:ascii="Times New Roman" w:hAnsi="Times New Roman"/>
                <w:bCs/>
                <w:sz w:val="24"/>
                <w:szCs w:val="24"/>
              </w:rPr>
              <w:t>18.35</w:t>
            </w:r>
          </w:p>
        </w:tc>
      </w:tr>
      <w:tr w:rsidR="00CB397B" w14:paraId="05E76D7D" w14:textId="77777777" w:rsidTr="00CB397B">
        <w:trPr>
          <w:trHeight w:val="53"/>
          <w:tblCellSpacing w:w="15" w:type="dxa"/>
        </w:trPr>
        <w:tc>
          <w:tcPr>
            <w:tcW w:w="0" w:type="auto"/>
            <w:tcMar>
              <w:top w:w="15" w:type="dxa"/>
              <w:left w:w="15" w:type="dxa"/>
              <w:bottom w:w="15" w:type="dxa"/>
              <w:right w:w="15" w:type="dxa"/>
            </w:tcMar>
            <w:vAlign w:val="center"/>
            <w:hideMark/>
          </w:tcPr>
          <w:p w14:paraId="07E9B937" w14:textId="77777777" w:rsidR="00CB397B" w:rsidRDefault="00CB397B">
            <w:pPr>
              <w:jc w:val="both"/>
              <w:rPr>
                <w:rFonts w:ascii="Times New Roman" w:hAnsi="Times New Roman"/>
                <w:sz w:val="24"/>
                <w:szCs w:val="24"/>
              </w:rPr>
            </w:pPr>
            <w:r>
              <w:rPr>
                <w:rFonts w:ascii="Times New Roman" w:hAnsi="Times New Roman"/>
                <w:sz w:val="24"/>
                <w:szCs w:val="24"/>
              </w:rPr>
              <w:t>New airport</w:t>
            </w:r>
          </w:p>
        </w:tc>
        <w:tc>
          <w:tcPr>
            <w:tcW w:w="2298" w:type="dxa"/>
            <w:tcMar>
              <w:top w:w="15" w:type="dxa"/>
              <w:left w:w="15" w:type="dxa"/>
              <w:bottom w:w="15" w:type="dxa"/>
              <w:right w:w="15" w:type="dxa"/>
            </w:tcMar>
            <w:vAlign w:val="center"/>
            <w:hideMark/>
          </w:tcPr>
          <w:p w14:paraId="2C732004"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579FF34C" w14:textId="77777777" w:rsidR="00CB397B" w:rsidRDefault="00CB397B">
            <w:pPr>
              <w:jc w:val="both"/>
              <w:rPr>
                <w:rFonts w:ascii="Times New Roman" w:hAnsi="Times New Roman"/>
                <w:sz w:val="24"/>
                <w:szCs w:val="24"/>
              </w:rPr>
            </w:pPr>
            <w:r>
              <w:rPr>
                <w:rFonts w:ascii="Times New Roman" w:hAnsi="Times New Roman"/>
                <w:bCs/>
                <w:sz w:val="24"/>
                <w:szCs w:val="24"/>
              </w:rPr>
              <w:t>11.29</w:t>
            </w:r>
          </w:p>
        </w:tc>
        <w:tc>
          <w:tcPr>
            <w:tcW w:w="0" w:type="auto"/>
            <w:tcMar>
              <w:top w:w="15" w:type="dxa"/>
              <w:left w:w="15" w:type="dxa"/>
              <w:bottom w:w="15" w:type="dxa"/>
              <w:right w:w="15" w:type="dxa"/>
            </w:tcMar>
            <w:vAlign w:val="center"/>
            <w:hideMark/>
          </w:tcPr>
          <w:p w14:paraId="2E458D24" w14:textId="77777777" w:rsidR="00CB397B" w:rsidRDefault="00CB397B">
            <w:pPr>
              <w:jc w:val="both"/>
              <w:rPr>
                <w:rFonts w:ascii="Times New Roman" w:hAnsi="Times New Roman"/>
                <w:sz w:val="24"/>
                <w:szCs w:val="24"/>
              </w:rPr>
            </w:pPr>
            <w:r>
              <w:rPr>
                <w:rFonts w:ascii="Times New Roman" w:hAnsi="Times New Roman"/>
                <w:bCs/>
                <w:sz w:val="24"/>
                <w:szCs w:val="24"/>
              </w:rPr>
              <w:t>11.22</w:t>
            </w:r>
          </w:p>
        </w:tc>
        <w:tc>
          <w:tcPr>
            <w:tcW w:w="0" w:type="auto"/>
            <w:tcMar>
              <w:top w:w="15" w:type="dxa"/>
              <w:left w:w="15" w:type="dxa"/>
              <w:bottom w:w="15" w:type="dxa"/>
              <w:right w:w="15" w:type="dxa"/>
            </w:tcMar>
            <w:vAlign w:val="center"/>
            <w:hideMark/>
          </w:tcPr>
          <w:p w14:paraId="3D447273" w14:textId="77777777" w:rsidR="00CB397B" w:rsidRDefault="00CB397B">
            <w:pPr>
              <w:jc w:val="both"/>
              <w:rPr>
                <w:rFonts w:ascii="Times New Roman" w:hAnsi="Times New Roman"/>
                <w:sz w:val="24"/>
                <w:szCs w:val="24"/>
              </w:rPr>
            </w:pPr>
            <w:r>
              <w:rPr>
                <w:rFonts w:ascii="Times New Roman" w:hAnsi="Times New Roman"/>
                <w:bCs/>
                <w:sz w:val="24"/>
                <w:szCs w:val="24"/>
              </w:rPr>
              <w:t>15.49</w:t>
            </w:r>
          </w:p>
        </w:tc>
      </w:tr>
      <w:tr w:rsidR="00CB397B" w14:paraId="0F240D15" w14:textId="77777777" w:rsidTr="00CB397B">
        <w:trPr>
          <w:trHeight w:val="53"/>
          <w:tblCellSpacing w:w="15" w:type="dxa"/>
        </w:trPr>
        <w:tc>
          <w:tcPr>
            <w:tcW w:w="0" w:type="auto"/>
            <w:tcMar>
              <w:top w:w="15" w:type="dxa"/>
              <w:left w:w="15" w:type="dxa"/>
              <w:bottom w:w="15" w:type="dxa"/>
              <w:right w:w="15" w:type="dxa"/>
            </w:tcMar>
            <w:vAlign w:val="center"/>
            <w:hideMark/>
          </w:tcPr>
          <w:p w14:paraId="1A60015F"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298" w:type="dxa"/>
            <w:tcMar>
              <w:top w:w="15" w:type="dxa"/>
              <w:left w:w="15" w:type="dxa"/>
              <w:bottom w:w="15" w:type="dxa"/>
              <w:right w:w="15" w:type="dxa"/>
            </w:tcMar>
            <w:vAlign w:val="center"/>
            <w:hideMark/>
          </w:tcPr>
          <w:p w14:paraId="70214C63"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487C589E" w14:textId="77777777" w:rsidR="00CB397B" w:rsidRDefault="00CB397B">
            <w:pPr>
              <w:jc w:val="both"/>
              <w:rPr>
                <w:rFonts w:ascii="Times New Roman" w:hAnsi="Times New Roman"/>
                <w:sz w:val="24"/>
                <w:szCs w:val="24"/>
              </w:rPr>
            </w:pPr>
            <w:r>
              <w:rPr>
                <w:rFonts w:ascii="Times New Roman" w:hAnsi="Times New Roman"/>
                <w:bCs/>
                <w:sz w:val="24"/>
                <w:szCs w:val="24"/>
              </w:rPr>
              <w:t>4.83</w:t>
            </w:r>
          </w:p>
        </w:tc>
        <w:tc>
          <w:tcPr>
            <w:tcW w:w="0" w:type="auto"/>
            <w:tcMar>
              <w:top w:w="15" w:type="dxa"/>
              <w:left w:w="15" w:type="dxa"/>
              <w:bottom w:w="15" w:type="dxa"/>
              <w:right w:w="15" w:type="dxa"/>
            </w:tcMar>
            <w:vAlign w:val="center"/>
            <w:hideMark/>
          </w:tcPr>
          <w:p w14:paraId="6560798A" w14:textId="77777777" w:rsidR="00CB397B" w:rsidRDefault="00CB397B">
            <w:pPr>
              <w:jc w:val="both"/>
              <w:rPr>
                <w:rFonts w:ascii="Times New Roman" w:hAnsi="Times New Roman"/>
                <w:sz w:val="24"/>
                <w:szCs w:val="24"/>
              </w:rPr>
            </w:pPr>
            <w:r>
              <w:rPr>
                <w:rFonts w:ascii="Times New Roman" w:hAnsi="Times New Roman"/>
                <w:bCs/>
                <w:sz w:val="24"/>
                <w:szCs w:val="24"/>
              </w:rPr>
              <w:t>6.20</w:t>
            </w:r>
          </w:p>
        </w:tc>
        <w:tc>
          <w:tcPr>
            <w:tcW w:w="0" w:type="auto"/>
            <w:tcMar>
              <w:top w:w="15" w:type="dxa"/>
              <w:left w:w="15" w:type="dxa"/>
              <w:bottom w:w="15" w:type="dxa"/>
              <w:right w:w="15" w:type="dxa"/>
            </w:tcMar>
            <w:vAlign w:val="center"/>
            <w:hideMark/>
          </w:tcPr>
          <w:p w14:paraId="4123A2A9" w14:textId="77777777" w:rsidR="00CB397B" w:rsidRDefault="00CB397B">
            <w:pPr>
              <w:jc w:val="both"/>
              <w:rPr>
                <w:rFonts w:ascii="Times New Roman" w:hAnsi="Times New Roman"/>
                <w:sz w:val="24"/>
                <w:szCs w:val="24"/>
              </w:rPr>
            </w:pPr>
            <w:r>
              <w:rPr>
                <w:rFonts w:ascii="Times New Roman" w:hAnsi="Times New Roman"/>
                <w:bCs/>
                <w:sz w:val="24"/>
                <w:szCs w:val="24"/>
              </w:rPr>
              <w:t>5.27</w:t>
            </w:r>
          </w:p>
        </w:tc>
      </w:tr>
      <w:tr w:rsidR="00CB397B" w14:paraId="7049C33E" w14:textId="77777777" w:rsidTr="00CB397B">
        <w:trPr>
          <w:trHeight w:val="53"/>
          <w:tblCellSpacing w:w="15" w:type="dxa"/>
        </w:trPr>
        <w:tc>
          <w:tcPr>
            <w:tcW w:w="0" w:type="auto"/>
            <w:tcMar>
              <w:top w:w="15" w:type="dxa"/>
              <w:left w:w="15" w:type="dxa"/>
              <w:bottom w:w="15" w:type="dxa"/>
              <w:right w:w="15" w:type="dxa"/>
            </w:tcMar>
            <w:vAlign w:val="center"/>
            <w:hideMark/>
          </w:tcPr>
          <w:p w14:paraId="75169061"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298" w:type="dxa"/>
            <w:tcMar>
              <w:top w:w="15" w:type="dxa"/>
              <w:left w:w="15" w:type="dxa"/>
              <w:bottom w:w="15" w:type="dxa"/>
              <w:right w:w="15" w:type="dxa"/>
            </w:tcMar>
            <w:vAlign w:val="center"/>
            <w:hideMark/>
          </w:tcPr>
          <w:p w14:paraId="7DADCA74"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0F3CAFAB" w14:textId="77777777" w:rsidR="00CB397B" w:rsidRDefault="00CB397B">
            <w:pPr>
              <w:jc w:val="both"/>
              <w:rPr>
                <w:rFonts w:ascii="Times New Roman" w:hAnsi="Times New Roman"/>
                <w:sz w:val="24"/>
                <w:szCs w:val="24"/>
              </w:rPr>
            </w:pPr>
            <w:r>
              <w:rPr>
                <w:rFonts w:ascii="Times New Roman" w:hAnsi="Times New Roman"/>
                <w:bCs/>
                <w:sz w:val="24"/>
                <w:szCs w:val="24"/>
              </w:rPr>
              <w:t>4.29</w:t>
            </w:r>
          </w:p>
        </w:tc>
        <w:tc>
          <w:tcPr>
            <w:tcW w:w="0" w:type="auto"/>
            <w:tcMar>
              <w:top w:w="15" w:type="dxa"/>
              <w:left w:w="15" w:type="dxa"/>
              <w:bottom w:w="15" w:type="dxa"/>
              <w:right w:w="15" w:type="dxa"/>
            </w:tcMar>
            <w:vAlign w:val="center"/>
            <w:hideMark/>
          </w:tcPr>
          <w:p w14:paraId="262BD969" w14:textId="77777777" w:rsidR="00CB397B" w:rsidRDefault="00CB397B">
            <w:pPr>
              <w:jc w:val="both"/>
              <w:rPr>
                <w:rFonts w:ascii="Times New Roman" w:hAnsi="Times New Roman"/>
                <w:sz w:val="24"/>
                <w:szCs w:val="24"/>
              </w:rPr>
            </w:pPr>
            <w:r>
              <w:rPr>
                <w:rFonts w:ascii="Times New Roman" w:hAnsi="Times New Roman"/>
                <w:bCs/>
                <w:sz w:val="24"/>
                <w:szCs w:val="24"/>
              </w:rPr>
              <w:t>5.17</w:t>
            </w:r>
          </w:p>
        </w:tc>
        <w:tc>
          <w:tcPr>
            <w:tcW w:w="0" w:type="auto"/>
            <w:tcMar>
              <w:top w:w="15" w:type="dxa"/>
              <w:left w:w="15" w:type="dxa"/>
              <w:bottom w:w="15" w:type="dxa"/>
              <w:right w:w="15" w:type="dxa"/>
            </w:tcMar>
            <w:vAlign w:val="center"/>
            <w:hideMark/>
          </w:tcPr>
          <w:p w14:paraId="7B406403" w14:textId="77777777" w:rsidR="00CB397B" w:rsidRDefault="00CB397B">
            <w:pPr>
              <w:jc w:val="both"/>
              <w:rPr>
                <w:rFonts w:ascii="Times New Roman" w:hAnsi="Times New Roman"/>
                <w:sz w:val="24"/>
                <w:szCs w:val="24"/>
              </w:rPr>
            </w:pPr>
            <w:r>
              <w:rPr>
                <w:rFonts w:ascii="Times New Roman" w:hAnsi="Times New Roman"/>
                <w:bCs/>
                <w:sz w:val="24"/>
                <w:szCs w:val="24"/>
              </w:rPr>
              <w:t>3.92</w:t>
            </w:r>
          </w:p>
        </w:tc>
      </w:tr>
      <w:tr w:rsidR="00CB397B" w14:paraId="3B920081" w14:textId="77777777" w:rsidTr="00CB397B">
        <w:trPr>
          <w:trHeight w:val="53"/>
          <w:tblCellSpacing w:w="15" w:type="dxa"/>
        </w:trPr>
        <w:tc>
          <w:tcPr>
            <w:tcW w:w="0" w:type="auto"/>
            <w:tcMar>
              <w:top w:w="15" w:type="dxa"/>
              <w:left w:w="15" w:type="dxa"/>
              <w:bottom w:w="15" w:type="dxa"/>
              <w:right w:w="15" w:type="dxa"/>
            </w:tcMar>
            <w:vAlign w:val="center"/>
            <w:hideMark/>
          </w:tcPr>
          <w:p w14:paraId="58D420FA" w14:textId="77777777" w:rsidR="00CB397B" w:rsidRDefault="00CB397B">
            <w:pPr>
              <w:jc w:val="both"/>
              <w:rPr>
                <w:rFonts w:ascii="Times New Roman" w:hAnsi="Times New Roman"/>
                <w:sz w:val="24"/>
                <w:szCs w:val="24"/>
              </w:rPr>
            </w:pPr>
            <w:r>
              <w:rPr>
                <w:rFonts w:ascii="Times New Roman" w:hAnsi="Times New Roman"/>
                <w:sz w:val="24"/>
                <w:szCs w:val="24"/>
              </w:rPr>
              <w:t>Iyonde</w:t>
            </w:r>
          </w:p>
        </w:tc>
        <w:tc>
          <w:tcPr>
            <w:tcW w:w="2298" w:type="dxa"/>
            <w:tcMar>
              <w:top w:w="15" w:type="dxa"/>
              <w:left w:w="15" w:type="dxa"/>
              <w:bottom w:w="15" w:type="dxa"/>
              <w:right w:w="15" w:type="dxa"/>
            </w:tcMar>
            <w:vAlign w:val="center"/>
            <w:hideMark/>
          </w:tcPr>
          <w:p w14:paraId="5D01EF9C"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Mar>
              <w:top w:w="15" w:type="dxa"/>
              <w:left w:w="15" w:type="dxa"/>
              <w:bottom w:w="15" w:type="dxa"/>
              <w:right w:w="15" w:type="dxa"/>
            </w:tcMar>
            <w:vAlign w:val="center"/>
            <w:hideMark/>
          </w:tcPr>
          <w:p w14:paraId="2E5216E1" w14:textId="77777777" w:rsidR="00CB397B" w:rsidRDefault="00CB397B">
            <w:pPr>
              <w:jc w:val="both"/>
              <w:rPr>
                <w:rFonts w:ascii="Times New Roman" w:hAnsi="Times New Roman"/>
                <w:sz w:val="24"/>
                <w:szCs w:val="24"/>
              </w:rPr>
            </w:pPr>
            <w:r>
              <w:rPr>
                <w:rFonts w:ascii="Times New Roman" w:hAnsi="Times New Roman"/>
                <w:bCs/>
                <w:sz w:val="24"/>
                <w:szCs w:val="24"/>
              </w:rPr>
              <w:t>2.29</w:t>
            </w:r>
          </w:p>
        </w:tc>
        <w:tc>
          <w:tcPr>
            <w:tcW w:w="0" w:type="auto"/>
            <w:tcMar>
              <w:top w:w="15" w:type="dxa"/>
              <w:left w:w="15" w:type="dxa"/>
              <w:bottom w:w="15" w:type="dxa"/>
              <w:right w:w="15" w:type="dxa"/>
            </w:tcMar>
            <w:vAlign w:val="center"/>
            <w:hideMark/>
          </w:tcPr>
          <w:p w14:paraId="1E447C19" w14:textId="77777777" w:rsidR="00CB397B" w:rsidRDefault="00CB397B">
            <w:pPr>
              <w:jc w:val="both"/>
              <w:rPr>
                <w:rFonts w:ascii="Times New Roman" w:hAnsi="Times New Roman"/>
                <w:sz w:val="24"/>
                <w:szCs w:val="24"/>
              </w:rPr>
            </w:pPr>
            <w:r>
              <w:rPr>
                <w:rFonts w:ascii="Times New Roman" w:hAnsi="Times New Roman"/>
                <w:bCs/>
                <w:sz w:val="24"/>
                <w:szCs w:val="24"/>
              </w:rPr>
              <w:t>2.28</w:t>
            </w:r>
          </w:p>
        </w:tc>
        <w:tc>
          <w:tcPr>
            <w:tcW w:w="0" w:type="auto"/>
            <w:tcMar>
              <w:top w:w="15" w:type="dxa"/>
              <w:left w:w="15" w:type="dxa"/>
              <w:bottom w:w="15" w:type="dxa"/>
              <w:right w:w="15" w:type="dxa"/>
            </w:tcMar>
            <w:vAlign w:val="center"/>
            <w:hideMark/>
          </w:tcPr>
          <w:p w14:paraId="44599410" w14:textId="77777777" w:rsidR="00CB397B" w:rsidRDefault="00CB397B">
            <w:pPr>
              <w:jc w:val="both"/>
              <w:rPr>
                <w:rFonts w:ascii="Times New Roman" w:hAnsi="Times New Roman"/>
                <w:sz w:val="24"/>
                <w:szCs w:val="24"/>
              </w:rPr>
            </w:pPr>
            <w:r>
              <w:rPr>
                <w:rFonts w:ascii="Times New Roman" w:hAnsi="Times New Roman"/>
                <w:bCs/>
                <w:sz w:val="24"/>
                <w:szCs w:val="24"/>
              </w:rPr>
              <w:t>3.44</w:t>
            </w:r>
          </w:p>
        </w:tc>
      </w:tr>
      <w:tr w:rsidR="00CB397B" w14:paraId="6BB4DD44" w14:textId="77777777" w:rsidTr="00CB397B">
        <w:trPr>
          <w:trHeight w:val="87"/>
          <w:tblCellSpacing w:w="15" w:type="dxa"/>
        </w:trPr>
        <w:tc>
          <w:tcPr>
            <w:tcW w:w="0" w:type="auto"/>
            <w:tcMar>
              <w:top w:w="15" w:type="dxa"/>
              <w:left w:w="15" w:type="dxa"/>
              <w:bottom w:w="15" w:type="dxa"/>
              <w:right w:w="15" w:type="dxa"/>
            </w:tcMar>
            <w:vAlign w:val="center"/>
            <w:hideMark/>
          </w:tcPr>
          <w:p w14:paraId="6B2A34C5"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298" w:type="dxa"/>
            <w:tcMar>
              <w:top w:w="15" w:type="dxa"/>
              <w:left w:w="15" w:type="dxa"/>
              <w:bottom w:w="15" w:type="dxa"/>
              <w:right w:w="15" w:type="dxa"/>
            </w:tcMar>
            <w:vAlign w:val="center"/>
            <w:hideMark/>
          </w:tcPr>
          <w:p w14:paraId="4D375696" w14:textId="77777777" w:rsidR="00CB397B" w:rsidRDefault="00CB397B">
            <w:pPr>
              <w:jc w:val="both"/>
              <w:rPr>
                <w:rFonts w:ascii="Times New Roman" w:hAnsi="Times New Roman"/>
                <w:sz w:val="24"/>
                <w:szCs w:val="24"/>
              </w:rPr>
            </w:pPr>
            <w:r>
              <w:rPr>
                <w:rFonts w:ascii="Times New Roman" w:hAnsi="Times New Roman"/>
                <w:sz w:val="24"/>
                <w:szCs w:val="24"/>
              </w:rPr>
              <w:t>Concrete</w:t>
            </w:r>
          </w:p>
        </w:tc>
        <w:tc>
          <w:tcPr>
            <w:tcW w:w="0" w:type="auto"/>
            <w:tcMar>
              <w:top w:w="15" w:type="dxa"/>
              <w:left w:w="15" w:type="dxa"/>
              <w:bottom w:w="15" w:type="dxa"/>
              <w:right w:w="15" w:type="dxa"/>
            </w:tcMar>
            <w:vAlign w:val="center"/>
            <w:hideMark/>
          </w:tcPr>
          <w:p w14:paraId="5F019D6B" w14:textId="77777777" w:rsidR="00CB397B" w:rsidRDefault="00CB397B">
            <w:pPr>
              <w:jc w:val="both"/>
              <w:rPr>
                <w:rFonts w:ascii="Times New Roman" w:hAnsi="Times New Roman"/>
                <w:sz w:val="24"/>
                <w:szCs w:val="24"/>
              </w:rPr>
            </w:pPr>
            <w:r>
              <w:rPr>
                <w:rFonts w:ascii="Times New Roman" w:hAnsi="Times New Roman"/>
                <w:bCs/>
                <w:sz w:val="24"/>
                <w:szCs w:val="24"/>
              </w:rPr>
              <w:t>9.95</w:t>
            </w:r>
          </w:p>
        </w:tc>
        <w:tc>
          <w:tcPr>
            <w:tcW w:w="0" w:type="auto"/>
            <w:tcMar>
              <w:top w:w="15" w:type="dxa"/>
              <w:left w:w="15" w:type="dxa"/>
              <w:bottom w:w="15" w:type="dxa"/>
              <w:right w:w="15" w:type="dxa"/>
            </w:tcMar>
            <w:vAlign w:val="center"/>
            <w:hideMark/>
          </w:tcPr>
          <w:p w14:paraId="5C010569" w14:textId="77777777" w:rsidR="00CB397B" w:rsidRDefault="00CB397B">
            <w:pPr>
              <w:jc w:val="both"/>
              <w:rPr>
                <w:rFonts w:ascii="Times New Roman" w:hAnsi="Times New Roman"/>
                <w:sz w:val="24"/>
                <w:szCs w:val="24"/>
              </w:rPr>
            </w:pPr>
            <w:r>
              <w:rPr>
                <w:rFonts w:ascii="Times New Roman" w:hAnsi="Times New Roman"/>
                <w:bCs/>
                <w:sz w:val="24"/>
                <w:szCs w:val="24"/>
              </w:rPr>
              <w:t>12.40</w:t>
            </w:r>
          </w:p>
        </w:tc>
        <w:tc>
          <w:tcPr>
            <w:tcW w:w="0" w:type="auto"/>
            <w:tcMar>
              <w:top w:w="15" w:type="dxa"/>
              <w:left w:w="15" w:type="dxa"/>
              <w:bottom w:w="15" w:type="dxa"/>
              <w:right w:w="15" w:type="dxa"/>
            </w:tcMar>
            <w:vAlign w:val="center"/>
            <w:hideMark/>
          </w:tcPr>
          <w:p w14:paraId="2E396A6F" w14:textId="77777777" w:rsidR="00CB397B" w:rsidRDefault="00CB397B">
            <w:pPr>
              <w:jc w:val="both"/>
              <w:rPr>
                <w:rFonts w:ascii="Times New Roman" w:hAnsi="Times New Roman"/>
                <w:sz w:val="24"/>
                <w:szCs w:val="24"/>
              </w:rPr>
            </w:pPr>
            <w:r>
              <w:rPr>
                <w:rFonts w:ascii="Times New Roman" w:hAnsi="Times New Roman"/>
                <w:bCs/>
                <w:sz w:val="24"/>
                <w:szCs w:val="24"/>
              </w:rPr>
              <w:t>9.11</w:t>
            </w:r>
          </w:p>
        </w:tc>
      </w:tr>
      <w:tr w:rsidR="00CB397B" w14:paraId="38DF4DE9" w14:textId="77777777" w:rsidTr="00CB397B">
        <w:trPr>
          <w:trHeight w:val="375"/>
          <w:tblCellSpacing w:w="15" w:type="dxa"/>
        </w:trPr>
        <w:tc>
          <w:tcPr>
            <w:tcW w:w="0" w:type="auto"/>
            <w:tcMar>
              <w:top w:w="15" w:type="dxa"/>
              <w:left w:w="15" w:type="dxa"/>
              <w:bottom w:w="15" w:type="dxa"/>
              <w:right w:w="15" w:type="dxa"/>
            </w:tcMar>
            <w:vAlign w:val="center"/>
            <w:hideMark/>
          </w:tcPr>
          <w:p w14:paraId="14997BB5"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298" w:type="dxa"/>
            <w:tcMar>
              <w:top w:w="15" w:type="dxa"/>
              <w:left w:w="15" w:type="dxa"/>
              <w:bottom w:w="15" w:type="dxa"/>
              <w:right w:w="15" w:type="dxa"/>
            </w:tcMar>
            <w:vAlign w:val="center"/>
            <w:hideMark/>
          </w:tcPr>
          <w:p w14:paraId="5F2B87EC" w14:textId="77777777" w:rsidR="00CB397B" w:rsidRDefault="00CB397B">
            <w:pPr>
              <w:jc w:val="both"/>
              <w:rPr>
                <w:rFonts w:ascii="Times New Roman" w:hAnsi="Times New Roman"/>
                <w:sz w:val="24"/>
                <w:szCs w:val="24"/>
              </w:rPr>
            </w:pPr>
            <w:r>
              <w:rPr>
                <w:rFonts w:ascii="Times New Roman" w:hAnsi="Times New Roman"/>
                <w:sz w:val="24"/>
                <w:szCs w:val="24"/>
              </w:rPr>
              <w:t>Tarpaulin</w:t>
            </w:r>
          </w:p>
        </w:tc>
        <w:tc>
          <w:tcPr>
            <w:tcW w:w="0" w:type="auto"/>
            <w:tcMar>
              <w:top w:w="15" w:type="dxa"/>
              <w:left w:w="15" w:type="dxa"/>
              <w:bottom w:w="15" w:type="dxa"/>
              <w:right w:w="15" w:type="dxa"/>
            </w:tcMar>
            <w:vAlign w:val="center"/>
            <w:hideMark/>
          </w:tcPr>
          <w:p w14:paraId="240A5947" w14:textId="77777777" w:rsidR="00CB397B" w:rsidRDefault="00CB397B">
            <w:pPr>
              <w:jc w:val="both"/>
              <w:rPr>
                <w:rFonts w:ascii="Times New Roman" w:hAnsi="Times New Roman"/>
                <w:sz w:val="24"/>
                <w:szCs w:val="24"/>
              </w:rPr>
            </w:pPr>
            <w:r>
              <w:rPr>
                <w:rFonts w:ascii="Times New Roman" w:hAnsi="Times New Roman"/>
                <w:bCs/>
                <w:sz w:val="24"/>
                <w:szCs w:val="24"/>
              </w:rPr>
              <w:t>10.11</w:t>
            </w:r>
          </w:p>
        </w:tc>
        <w:tc>
          <w:tcPr>
            <w:tcW w:w="0" w:type="auto"/>
            <w:tcMar>
              <w:top w:w="15" w:type="dxa"/>
              <w:left w:w="15" w:type="dxa"/>
              <w:bottom w:w="15" w:type="dxa"/>
              <w:right w:w="15" w:type="dxa"/>
            </w:tcMar>
            <w:vAlign w:val="center"/>
            <w:hideMark/>
          </w:tcPr>
          <w:p w14:paraId="3C0FCBE4" w14:textId="77777777" w:rsidR="00CB397B" w:rsidRDefault="00CB397B">
            <w:pPr>
              <w:jc w:val="both"/>
              <w:rPr>
                <w:rFonts w:ascii="Times New Roman" w:hAnsi="Times New Roman"/>
                <w:sz w:val="24"/>
                <w:szCs w:val="24"/>
              </w:rPr>
            </w:pPr>
            <w:r>
              <w:rPr>
                <w:rFonts w:ascii="Times New Roman" w:hAnsi="Times New Roman"/>
                <w:bCs/>
                <w:sz w:val="24"/>
                <w:szCs w:val="24"/>
              </w:rPr>
              <w:t>11.52</w:t>
            </w:r>
          </w:p>
        </w:tc>
        <w:tc>
          <w:tcPr>
            <w:tcW w:w="0" w:type="auto"/>
            <w:tcMar>
              <w:top w:w="15" w:type="dxa"/>
              <w:left w:w="15" w:type="dxa"/>
              <w:bottom w:w="15" w:type="dxa"/>
              <w:right w:w="15" w:type="dxa"/>
            </w:tcMar>
            <w:vAlign w:val="center"/>
            <w:hideMark/>
          </w:tcPr>
          <w:p w14:paraId="450DAE2A" w14:textId="77777777" w:rsidR="00CB397B" w:rsidRDefault="00CB397B">
            <w:pPr>
              <w:jc w:val="both"/>
              <w:rPr>
                <w:rFonts w:ascii="Times New Roman" w:hAnsi="Times New Roman"/>
                <w:sz w:val="24"/>
                <w:szCs w:val="24"/>
              </w:rPr>
            </w:pPr>
            <w:r>
              <w:rPr>
                <w:rFonts w:ascii="Times New Roman" w:hAnsi="Times New Roman"/>
                <w:bCs/>
                <w:sz w:val="24"/>
                <w:szCs w:val="24"/>
              </w:rPr>
              <w:t>10.37</w:t>
            </w:r>
          </w:p>
        </w:tc>
      </w:tr>
      <w:tr w:rsidR="00CB397B" w14:paraId="5563025F" w14:textId="77777777" w:rsidTr="00CB397B">
        <w:trPr>
          <w:trHeight w:val="53"/>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9BCB683" w14:textId="77777777" w:rsidR="00CB397B" w:rsidRDefault="00CB397B">
            <w:pPr>
              <w:jc w:val="both"/>
              <w:rPr>
                <w:rFonts w:ascii="Times New Roman" w:hAnsi="Times New Roman"/>
                <w:sz w:val="24"/>
                <w:szCs w:val="24"/>
              </w:rPr>
            </w:pPr>
            <w:r>
              <w:rPr>
                <w:rFonts w:ascii="Times New Roman" w:hAnsi="Times New Roman"/>
                <w:sz w:val="24"/>
                <w:szCs w:val="24"/>
              </w:rPr>
              <w:t>Magnus</w:t>
            </w:r>
          </w:p>
        </w:tc>
        <w:tc>
          <w:tcPr>
            <w:tcW w:w="2298" w:type="dxa"/>
            <w:tcBorders>
              <w:top w:val="nil"/>
              <w:left w:val="nil"/>
              <w:bottom w:val="single" w:sz="4" w:space="0" w:color="auto"/>
              <w:right w:val="nil"/>
            </w:tcBorders>
            <w:tcMar>
              <w:top w:w="15" w:type="dxa"/>
              <w:left w:w="15" w:type="dxa"/>
              <w:bottom w:w="15" w:type="dxa"/>
              <w:right w:w="15" w:type="dxa"/>
            </w:tcMar>
            <w:vAlign w:val="center"/>
            <w:hideMark/>
          </w:tcPr>
          <w:p w14:paraId="07B2BBC0" w14:textId="77777777" w:rsidR="00CB397B" w:rsidRDefault="00CB397B">
            <w:pPr>
              <w:jc w:val="both"/>
              <w:rPr>
                <w:rFonts w:ascii="Times New Roman" w:hAnsi="Times New Roman"/>
                <w:sz w:val="24"/>
                <w:szCs w:val="24"/>
              </w:rPr>
            </w:pPr>
            <w:r>
              <w:rPr>
                <w:rFonts w:ascii="Times New Roman" w:hAnsi="Times New Roman"/>
                <w:sz w:val="24"/>
                <w:szCs w:val="24"/>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ED96766" w14:textId="77777777" w:rsidR="00CB397B" w:rsidRDefault="00CB397B">
            <w:pPr>
              <w:jc w:val="both"/>
              <w:rPr>
                <w:rFonts w:ascii="Times New Roman" w:hAnsi="Times New Roman"/>
                <w:sz w:val="24"/>
                <w:szCs w:val="24"/>
              </w:rPr>
            </w:pPr>
            <w:r>
              <w:rPr>
                <w:rFonts w:ascii="Times New Roman" w:hAnsi="Times New Roman"/>
                <w:bCs/>
                <w:sz w:val="24"/>
                <w:szCs w:val="24"/>
              </w:rPr>
              <w:t>5.08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560AC2B" w14:textId="77777777" w:rsidR="00CB397B" w:rsidRDefault="00CB397B">
            <w:pPr>
              <w:jc w:val="both"/>
              <w:rPr>
                <w:rFonts w:ascii="Times New Roman" w:hAnsi="Times New Roman"/>
                <w:sz w:val="24"/>
                <w:szCs w:val="24"/>
              </w:rPr>
            </w:pPr>
            <w:r>
              <w:rPr>
                <w:rFonts w:ascii="Times New Roman" w:hAnsi="Times New Roman"/>
                <w:bCs/>
                <w:sz w:val="24"/>
                <w:szCs w:val="24"/>
              </w:rPr>
              <w:t>5.07</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8B9A7B2" w14:textId="77777777" w:rsidR="00CB397B" w:rsidRDefault="00CB397B">
            <w:pPr>
              <w:jc w:val="both"/>
              <w:rPr>
                <w:rFonts w:ascii="Times New Roman" w:hAnsi="Times New Roman"/>
                <w:sz w:val="24"/>
                <w:szCs w:val="24"/>
              </w:rPr>
            </w:pPr>
            <w:r>
              <w:rPr>
                <w:rFonts w:ascii="Times New Roman" w:hAnsi="Times New Roman"/>
                <w:bCs/>
                <w:sz w:val="24"/>
                <w:szCs w:val="24"/>
              </w:rPr>
              <w:t>7.60</w:t>
            </w:r>
          </w:p>
        </w:tc>
      </w:tr>
    </w:tbl>
    <w:p w14:paraId="525EE4E1" w14:textId="77777777" w:rsidR="00C30A0F" w:rsidRDefault="00CB397B" w:rsidP="00441B6F">
      <w:pPr>
        <w:pStyle w:val="Body"/>
        <w:spacing w:after="0"/>
        <w:rPr>
          <w:rFonts w:ascii="Arial" w:hAnsi="Arial" w:cs="Arial"/>
        </w:rPr>
      </w:pPr>
      <w:r>
        <w:rPr>
          <w:rFonts w:ascii="Times New Roman" w:hAnsi="Times New Roman"/>
          <w:sz w:val="24"/>
          <w:szCs w:val="24"/>
        </w:rPr>
        <w:t xml:space="preserve">Zn demonstrated the </w:t>
      </w:r>
      <w:r>
        <w:rPr>
          <w:rFonts w:ascii="Times New Roman" w:hAnsi="Times New Roman"/>
          <w:bCs/>
          <w:sz w:val="24"/>
          <w:szCs w:val="24"/>
        </w:rPr>
        <w:t>highest BAF values of all the metals</w:t>
      </w:r>
      <w:r>
        <w:rPr>
          <w:rFonts w:ascii="Times New Roman" w:hAnsi="Times New Roman"/>
          <w:sz w:val="24"/>
          <w:szCs w:val="24"/>
        </w:rPr>
        <w:t>, with every farm and pond type recording BAF &gt; 1.</w:t>
      </w:r>
      <w:r w:rsidR="00C30A0F" w:rsidRPr="00FB3A86">
        <w:rPr>
          <w:rFonts w:ascii="Arial" w:hAnsi="Arial" w:cs="Arial"/>
        </w:rPr>
        <w:t xml:space="preserve">  </w:t>
      </w:r>
    </w:p>
    <w:p w14:paraId="1D7F7AEF" w14:textId="77777777" w:rsidR="00CB397B" w:rsidRPr="00CB397B" w:rsidRDefault="00CB397B" w:rsidP="00CB397B">
      <w:pPr>
        <w:pStyle w:val="Heading3"/>
        <w:spacing w:before="0" w:line="276" w:lineRule="auto"/>
        <w:jc w:val="both"/>
        <w:rPr>
          <w:rFonts w:ascii="Times New Roman" w:hAnsi="Times New Roman"/>
          <w:b/>
        </w:rPr>
      </w:pPr>
      <w:r w:rsidRPr="00CB397B">
        <w:rPr>
          <w:b/>
        </w:rPr>
        <w:lastRenderedPageBreak/>
        <w:t xml:space="preserve">DISCUSSION </w:t>
      </w:r>
    </w:p>
    <w:p w14:paraId="3E9BEB94" w14:textId="77777777" w:rsidR="00CB397B" w:rsidRDefault="00CB397B" w:rsidP="00CB397B">
      <w:pPr>
        <w:pStyle w:val="NormalWeb"/>
        <w:spacing w:before="0" w:beforeAutospacing="0" w:after="0" w:afterAutospacing="0" w:line="276" w:lineRule="auto"/>
        <w:jc w:val="both"/>
      </w:pPr>
      <w:r>
        <w:t xml:space="preserve">The analysis showed that concentrations of iron (Fe), lead (Pb), cadmium (Cd), copper (Cu), and zinc (Zn) varied significantly among the different farm–pond combinations and fish tissues. The significant differences observed following ANOVA indicate that heavy-metal accumulation in </w:t>
      </w:r>
      <w:r>
        <w:rPr>
          <w:rStyle w:val="Emphasis"/>
        </w:rPr>
        <w:t xml:space="preserve">Clarias </w:t>
      </w:r>
      <w:proofErr w:type="spellStart"/>
      <w:r>
        <w:rPr>
          <w:rStyle w:val="Emphasis"/>
        </w:rPr>
        <w:t>gariepinus</w:t>
      </w:r>
      <w:proofErr w:type="spellEnd"/>
      <w:r>
        <w:t xml:space="preserve"> was not uniform across the production systems. Rather, the magnitude of accumulation depended on the metal investigated, the type of pond, the farm location, and the tissue examined. Such variation is expected because heavy-metal uptake and distribution in fish are influenced by metal bioavailability, water chemistry, exposure duration, feeding habits, and the physiological characteristics of individual organs (Garai </w:t>
      </w:r>
      <w:r>
        <w:rPr>
          <w:i/>
        </w:rPr>
        <w:t>et al.,</w:t>
      </w:r>
      <w:r>
        <w:t xml:space="preserve"> 2021; Shahjahan </w:t>
      </w:r>
      <w:r>
        <w:rPr>
          <w:i/>
        </w:rPr>
        <w:t>et al.,</w:t>
      </w:r>
      <w:r>
        <w:t xml:space="preserve"> 2022).</w:t>
      </w:r>
    </w:p>
    <w:p w14:paraId="7EA974EA" w14:textId="77777777" w:rsidR="00CB397B" w:rsidRDefault="00CB397B" w:rsidP="00CB397B">
      <w:pPr>
        <w:pStyle w:val="Heading4"/>
        <w:spacing w:before="0"/>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Iron (Fe)</w:t>
      </w:r>
    </w:p>
    <w:p w14:paraId="45F72147" w14:textId="77777777" w:rsidR="00CB397B" w:rsidRDefault="00CB397B" w:rsidP="00CB397B">
      <w:pPr>
        <w:pStyle w:val="NormalWeb"/>
        <w:spacing w:before="0" w:beforeAutospacing="0" w:after="0" w:afterAutospacing="0" w:line="276" w:lineRule="auto"/>
        <w:jc w:val="both"/>
      </w:pPr>
      <w:r>
        <w:t>The results revealed significant differences in Fe concentration among several farm–pond combinations in the muscle, gills, and liver. The highest Fe concentration in the muscle was recorded in fish from the New Airport concrete pond (0.0955 mg/L), while the lowest value occurred in the MAGNUS earthen pond (0.0680 mg/L). Similarly, the gills of fish from the New Airport concrete pond recorded the highest Fe concentration (0.1340 mg/L), compared with 0.0711 mg/L in the MAGNUS earthen pond. In the liver, the New Airport concrete pond also recorded a relatively high concentration of 0.1190 mg/L. The significantly higher Fe concentration observed in some concrete and tarpaulin systems compared with earthen ponds may reflect differences in water quality, feed inputs, suspended materials, pond management practices, and the availability of metals within the culture environment. Fish are capable of accumulating metals directly from water through the gills and indirectly through food and sediments. The gills are particularly important because they possess a large surface area and are continuously exposed to the surrounding water.</w:t>
      </w:r>
    </w:p>
    <w:p w14:paraId="34C48CC4" w14:textId="77777777" w:rsidR="00CB397B" w:rsidRDefault="00CB397B" w:rsidP="00CB397B">
      <w:pPr>
        <w:pStyle w:val="NormalWeb"/>
        <w:spacing w:before="0" w:beforeAutospacing="0" w:after="0" w:afterAutospacing="0" w:line="276" w:lineRule="auto"/>
        <w:jc w:val="both"/>
      </w:pPr>
      <w:r>
        <w:t xml:space="preserve">The present observation agrees with the findings of </w:t>
      </w:r>
      <w:proofErr w:type="spellStart"/>
      <w:r>
        <w:t>Olawusi</w:t>
      </w:r>
      <w:proofErr w:type="spellEnd"/>
      <w:r>
        <w:t xml:space="preserve">-Peters </w:t>
      </w:r>
      <w:r>
        <w:rPr>
          <w:i/>
        </w:rPr>
        <w:t>et al.,</w:t>
      </w:r>
      <w:r>
        <w:t xml:space="preserve"> (2014), who reported bioaccumulation of Fe and other trace elements in the tissues of </w:t>
      </w:r>
      <w:r>
        <w:rPr>
          <w:rStyle w:val="Emphasis"/>
        </w:rPr>
        <w:t xml:space="preserve">C. </w:t>
      </w:r>
      <w:proofErr w:type="spellStart"/>
      <w:r>
        <w:rPr>
          <w:rStyle w:val="Emphasis"/>
        </w:rPr>
        <w:t>gariepinus</w:t>
      </w:r>
      <w:proofErr w:type="spellEnd"/>
      <w:r>
        <w:t xml:space="preserve"> and </w:t>
      </w:r>
      <w:r>
        <w:rPr>
          <w:rStyle w:val="Emphasis"/>
        </w:rPr>
        <w:t>Oreochromis niloticus</w:t>
      </w:r>
      <w:r>
        <w:t xml:space="preserve"> from River </w:t>
      </w:r>
      <w:proofErr w:type="spellStart"/>
      <w:r>
        <w:t>Ogbese</w:t>
      </w:r>
      <w:proofErr w:type="spellEnd"/>
      <w:r>
        <w:t xml:space="preserve">, Nigeria. Similarly, Adegbola </w:t>
      </w:r>
      <w:r>
        <w:rPr>
          <w:i/>
        </w:rPr>
        <w:t>et al.,</w:t>
      </w:r>
      <w:r>
        <w:t xml:space="preserve"> (2021) reported accumulation of heavy metals, including Fe, in </w:t>
      </w:r>
      <w:r>
        <w:rPr>
          <w:rStyle w:val="Emphasis"/>
        </w:rPr>
        <w:t>C. gariepinus</w:t>
      </w:r>
      <w:r>
        <w:t xml:space="preserve"> from polluted Nigerian rivers. The present finding therefore reinforces the usefulness of </w:t>
      </w:r>
      <w:r>
        <w:rPr>
          <w:rStyle w:val="Emphasis"/>
        </w:rPr>
        <w:t>C. gariepinus</w:t>
      </w:r>
      <w:r>
        <w:t xml:space="preserve"> as a bioindicator of metal contamination because differences in environmental metal availability can be reflected in its tissues. The relatively high Fe concentration in the gills and liver compared with muscle is also physiologically plausible. The liver is a major organ involved in metal metabolism and detoxification, whereas the gills provide a major interface between the fish and its aquatic environment. A study of </w:t>
      </w:r>
      <w:r>
        <w:rPr>
          <w:rStyle w:val="Emphasis"/>
        </w:rPr>
        <w:t>C. gariepinus</w:t>
      </w:r>
      <w:r>
        <w:t xml:space="preserve"> from Abuja reported significantly greater accumulation of Fe, Zn and Cu in liver than muscle, attributing the lower muscle concentrations partly to the fact that muscle is not directly exposed to the surrounding water and is not a major detoxification organ (</w:t>
      </w:r>
      <w:proofErr w:type="spellStart"/>
      <w:r>
        <w:t>Bawuro</w:t>
      </w:r>
      <w:proofErr w:type="spellEnd"/>
      <w:r>
        <w:t xml:space="preserve"> </w:t>
      </w:r>
      <w:r>
        <w:rPr>
          <w:i/>
        </w:rPr>
        <w:t>et al.,</w:t>
      </w:r>
      <w:r>
        <w:t xml:space="preserve"> 2018; Adegbola </w:t>
      </w:r>
      <w:r>
        <w:rPr>
          <w:i/>
        </w:rPr>
        <w:t>et al.,</w:t>
      </w:r>
      <w:r>
        <w:t xml:space="preserve"> 2021).</w:t>
      </w:r>
    </w:p>
    <w:p w14:paraId="73590B39" w14:textId="77777777" w:rsidR="00CB397B" w:rsidRDefault="00CB397B" w:rsidP="00CB397B">
      <w:pPr>
        <w:pStyle w:val="Heading4"/>
        <w:spacing w:before="0"/>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Lead (Pb)</w:t>
      </w:r>
    </w:p>
    <w:p w14:paraId="3A10899C" w14:textId="77777777" w:rsidR="00CB397B" w:rsidRDefault="00CB397B" w:rsidP="00CB397B">
      <w:pPr>
        <w:pStyle w:val="NormalWeb"/>
        <w:spacing w:before="0" w:beforeAutospacing="0" w:after="0" w:afterAutospacing="0" w:line="276" w:lineRule="auto"/>
        <w:jc w:val="both"/>
      </w:pPr>
      <w:r>
        <w:t>The result revealed significant differences in Pb concentration among several farm–pond combinations. The highest Pb concentration in the gills was recorded in fish from the New Airport concrete pond (0.0422 mg/L), while the lowest concentration occurred in the MAGNUS earthen pond (0.0207 mg/L). The liver also showed relatively high Pb concentration in the New Airport concrete pond (0.0349 mg/L), whereas the muscle generally recorded lower concentrations. The greater Pb accumulation in the gills is consistent with the role of the gills as a major site of contact between fish and dissolved contaminants in water. Lead can enter fish through the gills and gastrointestinal tract and can subsequently be distributed to internal tissues. The significantly different Pb concentrations among the pond systems may therefore indicate differences in the bioavailable Pb present in the various production environments.</w:t>
      </w:r>
    </w:p>
    <w:p w14:paraId="277C01E9" w14:textId="77777777" w:rsidR="00CB397B" w:rsidRDefault="00CB397B" w:rsidP="00CB397B">
      <w:pPr>
        <w:pStyle w:val="NormalWeb"/>
        <w:spacing w:before="0" w:beforeAutospacing="0" w:after="0" w:afterAutospacing="0" w:line="276" w:lineRule="auto"/>
        <w:jc w:val="both"/>
      </w:pPr>
      <w:r>
        <w:t xml:space="preserve">The present finding agrees with the recent Nigerian study of </w:t>
      </w:r>
      <w:proofErr w:type="spellStart"/>
      <w:r>
        <w:t>Onadje</w:t>
      </w:r>
      <w:proofErr w:type="spellEnd"/>
      <w:r>
        <w:t xml:space="preserve"> </w:t>
      </w:r>
      <w:r>
        <w:rPr>
          <w:i/>
        </w:rPr>
        <w:t>et al.,</w:t>
      </w:r>
      <w:r>
        <w:t xml:space="preserve"> (2025), which investigated Cd, Cu and Pb accumulation in edible tissues of </w:t>
      </w:r>
      <w:r>
        <w:rPr>
          <w:rStyle w:val="Emphasis"/>
        </w:rPr>
        <w:t>C. gariepinus</w:t>
      </w:r>
      <w:r>
        <w:t xml:space="preserve"> and </w:t>
      </w:r>
      <w:r>
        <w:rPr>
          <w:rStyle w:val="Emphasis"/>
        </w:rPr>
        <w:t>O. niloticus</w:t>
      </w:r>
      <w:r>
        <w:t xml:space="preserve"> from </w:t>
      </w:r>
      <w:proofErr w:type="spellStart"/>
      <w:r>
        <w:t>Anwai</w:t>
      </w:r>
      <w:proofErr w:type="spellEnd"/>
      <w:r>
        <w:t xml:space="preserve"> River. That study found substantial accumulation of Pb in the tissues examined and reported significant variation in heavy-metal </w:t>
      </w:r>
      <w:r>
        <w:lastRenderedPageBreak/>
        <w:t xml:space="preserve">concentrations among fish tissues and species. Similarly, Adegbola </w:t>
      </w:r>
      <w:r>
        <w:rPr>
          <w:i/>
        </w:rPr>
        <w:t>et al.,</w:t>
      </w:r>
      <w:r>
        <w:t xml:space="preserve"> (2021) documented heavy-metal accumulation and associated health risks in </w:t>
      </w:r>
      <w:r>
        <w:rPr>
          <w:rStyle w:val="Emphasis"/>
        </w:rPr>
        <w:t>C. gariepinus</w:t>
      </w:r>
      <w:r>
        <w:t xml:space="preserve"> obtained from industrially impacted Nigerian rivers. The relatively higher Pb concentration in gills compared with muscle in the present study is also consistent with observations reported by Bawa (2024), who found that Pb concentrations were significantly higher in the gills than the muscles of </w:t>
      </w:r>
      <w:r>
        <w:rPr>
          <w:rStyle w:val="Emphasis"/>
        </w:rPr>
        <w:t>C. gariepinus</w:t>
      </w:r>
      <w:r>
        <w:t xml:space="preserve"> and </w:t>
      </w:r>
      <w:r>
        <w:rPr>
          <w:rStyle w:val="Emphasis"/>
        </w:rPr>
        <w:t>O. niloticus</w:t>
      </w:r>
      <w:r>
        <w:t>. This supports the interpretation that the gills may be an important route for waterborne Pb uptake.</w:t>
      </w:r>
    </w:p>
    <w:p w14:paraId="5B62121F" w14:textId="77777777" w:rsidR="00CB397B" w:rsidRDefault="00CB397B" w:rsidP="00CB397B">
      <w:pPr>
        <w:pStyle w:val="Heading4"/>
        <w:spacing w:before="0"/>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Cadmium (Cd)</w:t>
      </w:r>
    </w:p>
    <w:p w14:paraId="5C5E1E3B" w14:textId="77777777" w:rsidR="00CB397B" w:rsidRDefault="00CB397B" w:rsidP="00CB397B">
      <w:pPr>
        <w:pStyle w:val="NormalWeb"/>
        <w:spacing w:before="0" w:beforeAutospacing="0" w:after="0" w:afterAutospacing="0" w:line="276" w:lineRule="auto"/>
        <w:jc w:val="both"/>
      </w:pPr>
      <w:r>
        <w:t xml:space="preserve">The results demonstrated significant differences in Cd concentration among the farm–pond combinations. The highest Cd concentration in the gills was observed in fish from the New Airport concrete pond (0.0078 mg/L), followed by IYONDE concrete (0.0073 mg/L) and IYONDE tarpaulin (0.0072 mg/L), whereas the lowest concentration was recorded in MAGNUS earthen ponds (0.0034 mg/L). A similar pattern was observed in the muscle and liver, where fish from some concrete and tarpaulin ponds generally showed higher Cd concentrations than those from earthen ponds. The higher Cd concentrations observed in concrete and tarpaulin ponds may indicate greater availability of Cd in those culture environments. Cadmium has no established beneficial biological role in fish and can accumulate in tissues following prolonged exposure. Its uptake is influenced by water chemistry and competition with essential elements such as calcium and zinc. Once absorbed, Cd can bind to proteins such as </w:t>
      </w:r>
      <w:proofErr w:type="spellStart"/>
      <w:r>
        <w:t>metallothioneins</w:t>
      </w:r>
      <w:proofErr w:type="spellEnd"/>
      <w:r>
        <w:t xml:space="preserve"> and accumulate in metabolically active organs.</w:t>
      </w:r>
    </w:p>
    <w:p w14:paraId="21BA97A6" w14:textId="77777777" w:rsidR="00CB397B" w:rsidRDefault="00CB397B" w:rsidP="00CB397B">
      <w:pPr>
        <w:pStyle w:val="NormalWeb"/>
        <w:spacing w:before="0" w:beforeAutospacing="0" w:after="0" w:afterAutospacing="0" w:line="276" w:lineRule="auto"/>
        <w:jc w:val="both"/>
      </w:pPr>
      <w:r>
        <w:t xml:space="preserve"> More recent literature also emphasizes that Cd distribution among fish organs is controlled by exposure route, duration, metal concentration and tissue-specific detoxification mechanisms (Lee </w:t>
      </w:r>
      <w:r>
        <w:rPr>
          <w:i/>
        </w:rPr>
        <w:t>et al.,</w:t>
      </w:r>
      <w:r>
        <w:t xml:space="preserve"> 2024). The observation that Cd was relatively higher in gills than muscle in several groups is therefore biologically reasonable. However, differences among studies are possible because metal accumulation patterns can vary with species, exposure conditions, water chemistry, fish size and environmental contamination levels. Thus, the present findings should be interpreted as evidence of differential Cd exposure and accumulation rather than as a fixed accumulation sequence for the species.</w:t>
      </w:r>
    </w:p>
    <w:p w14:paraId="0E588975" w14:textId="77777777" w:rsidR="00CB397B" w:rsidRDefault="00CB397B" w:rsidP="00CB397B">
      <w:pPr>
        <w:pStyle w:val="Heading4"/>
        <w:spacing w:before="0"/>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Copper (Cu)</w:t>
      </w:r>
    </w:p>
    <w:p w14:paraId="759E1249" w14:textId="77777777" w:rsidR="00CB397B" w:rsidRDefault="00CB397B" w:rsidP="00CB397B">
      <w:pPr>
        <w:pStyle w:val="NormalWeb"/>
        <w:spacing w:before="0" w:beforeAutospacing="0" w:after="0" w:afterAutospacing="0" w:line="276" w:lineRule="auto"/>
        <w:jc w:val="both"/>
      </w:pPr>
      <w:r>
        <w:t>The result indicated significant differences in Cu concentration among several farm–pond combinations. The highest Cu concentration in the gills occurred in the New Airport concrete pond (0.0221 mg/L), while the lowest occurred in the MAGNUS earthen pond (0.0102 mg/L). The liver also showed a relatively high Cu concentration in the New Airport concrete pond (0.0185 mg/L), whereas the muscle generally showed lower values. Copper is an essential trace element required for several physiological processes, including enzyme activity, respiration and antioxidant defense. However, excessive Cu exposure can result in toxicity and physiological disturbances. The significant differences observed among the pond systems may therefore reflect differences in Cu availability arising from feed, water sources, pond infrastructure and environmental inputs.</w:t>
      </w:r>
    </w:p>
    <w:p w14:paraId="4C3070FB" w14:textId="77777777" w:rsidR="00CB397B" w:rsidRDefault="00CB397B" w:rsidP="00CB397B">
      <w:pPr>
        <w:pStyle w:val="NormalWeb"/>
        <w:spacing w:before="0" w:beforeAutospacing="0" w:after="0" w:afterAutospacing="0" w:line="276" w:lineRule="auto"/>
        <w:jc w:val="both"/>
      </w:pPr>
      <w:r>
        <w:t xml:space="preserve">The present findings agree with experimental work by </w:t>
      </w:r>
      <w:proofErr w:type="spellStart"/>
      <w:r>
        <w:t>Tunçsoy</w:t>
      </w:r>
      <w:proofErr w:type="spellEnd"/>
      <w:r>
        <w:t xml:space="preserve"> </w:t>
      </w:r>
      <w:r>
        <w:rPr>
          <w:i/>
        </w:rPr>
        <w:t>et al.,</w:t>
      </w:r>
      <w:r>
        <w:t xml:space="preserve"> (2016), who demonstrated that Cu accumulated in several tissues of </w:t>
      </w:r>
      <w:r>
        <w:rPr>
          <w:rStyle w:val="Emphasis"/>
        </w:rPr>
        <w:t>C. gariepinus</w:t>
      </w:r>
      <w:r>
        <w:t xml:space="preserve">, including gills, liver and muscle, following exposure to Cu. Their findings demonstrate that Cu is readily taken up and distributed among fish tissues depending on exposure conditions. The relatively high Cu concentration in gills and liver observed in the present study may be explained by the physiological functions of these tissues. The gills constitute an important site of uptake from water, while the liver plays a central role in metabolism, sequestration and detoxification. Similar tissue-dependent accumulation of Cu and other metals has been reported in Nigerian </w:t>
      </w:r>
      <w:r>
        <w:rPr>
          <w:rStyle w:val="Emphasis"/>
        </w:rPr>
        <w:t xml:space="preserve">C. </w:t>
      </w:r>
      <w:proofErr w:type="spellStart"/>
      <w:r>
        <w:rPr>
          <w:rStyle w:val="Emphasis"/>
        </w:rPr>
        <w:t>gariepinus</w:t>
      </w:r>
      <w:proofErr w:type="spellEnd"/>
      <w:r>
        <w:t xml:space="preserve"> populations (</w:t>
      </w:r>
      <w:proofErr w:type="spellStart"/>
      <w:r>
        <w:t>Bawuro</w:t>
      </w:r>
      <w:proofErr w:type="spellEnd"/>
      <w:r>
        <w:t xml:space="preserve"> </w:t>
      </w:r>
      <w:r>
        <w:rPr>
          <w:i/>
        </w:rPr>
        <w:t>et al.,</w:t>
      </w:r>
      <w:r>
        <w:t xml:space="preserve"> 2018; Adegbola </w:t>
      </w:r>
      <w:r>
        <w:rPr>
          <w:i/>
        </w:rPr>
        <w:t>et al.,</w:t>
      </w:r>
      <w:r>
        <w:t xml:space="preserve"> 2021).</w:t>
      </w:r>
    </w:p>
    <w:p w14:paraId="796B2DC3" w14:textId="77777777" w:rsidR="00CB397B" w:rsidRDefault="00CB397B" w:rsidP="00CB397B">
      <w:pPr>
        <w:pStyle w:val="Heading4"/>
        <w:spacing w:before="0"/>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Zinc (Zn)</w:t>
      </w:r>
    </w:p>
    <w:p w14:paraId="1FC79737" w14:textId="77777777" w:rsidR="00CB397B" w:rsidRDefault="00CB397B" w:rsidP="00CB397B">
      <w:pPr>
        <w:pStyle w:val="NormalWeb"/>
        <w:spacing w:before="0" w:beforeAutospacing="0" w:after="0" w:afterAutospacing="0" w:line="276" w:lineRule="auto"/>
        <w:jc w:val="both"/>
      </w:pPr>
      <w:r>
        <w:t xml:space="preserve">Among the metals investigated, Zn showed comparatively high concentrations across all three tissues. The result revealed significant differences among several farm–pond combinations. The highest Zn concentration was </w:t>
      </w:r>
      <w:r>
        <w:lastRenderedPageBreak/>
        <w:t>recorded in the gills of fish from the New Airport concrete pond (8.491 mg/L), whereas the lowest was recorded in the MAGNUS earthen pond (3.801 mg/L). The liver also accumulated relatively high concentrations, with 7.063 mg/L recorded in the New Airport concrete pond. The relatively high Zn concentrations are biologically significant because Zn is an essential trace element required for growth, enzyme activity, protein synthesis and other physiological functions. Nevertheless, excessive Zn accumulation can become toxic to aquatic organisms. The high concentrations observed in the present study may therefore reflect both the natural physiological requirement for Zn and increased environmental availability.</w:t>
      </w:r>
    </w:p>
    <w:p w14:paraId="4700D8BF" w14:textId="77777777" w:rsidR="00CB397B" w:rsidRDefault="00CB397B" w:rsidP="00CB397B">
      <w:pPr>
        <w:pStyle w:val="NormalWeb"/>
        <w:spacing w:before="0" w:beforeAutospacing="0" w:after="0" w:afterAutospacing="0" w:line="276" w:lineRule="auto"/>
        <w:jc w:val="both"/>
      </w:pPr>
      <w:r>
        <w:t xml:space="preserve">The present results are consistent with the findings of Kelle </w:t>
      </w:r>
      <w:r>
        <w:rPr>
          <w:i/>
        </w:rPr>
        <w:t>et al.,</w:t>
      </w:r>
      <w:r>
        <w:t xml:space="preserve"> who reported that Zn was one of the predominant metals accumulated in the tissues of </w:t>
      </w:r>
      <w:r>
        <w:rPr>
          <w:rStyle w:val="Emphasis"/>
        </w:rPr>
        <w:t>C. gariepinus</w:t>
      </w:r>
      <w:r>
        <w:t xml:space="preserve"> obtained from Nigerian markets. Their study found that gills had the highest overall heavy-metal burden, followed closely by liver, whereas muscle had the lowest accumulation. This pattern corresponds closely with the present study, where the gills generally recorded greater Zn concentrations than muscle. Similarly, </w:t>
      </w:r>
      <w:proofErr w:type="spellStart"/>
      <w:r>
        <w:t>Bawuro</w:t>
      </w:r>
      <w:proofErr w:type="spellEnd"/>
      <w:r>
        <w:t xml:space="preserve"> </w:t>
      </w:r>
      <w:r>
        <w:rPr>
          <w:i/>
        </w:rPr>
        <w:t>et al.,</w:t>
      </w:r>
      <w:r>
        <w:t xml:space="preserve"> (2018) reported considerable accumulation of heavy metals in fish tissues from Lake Geriyo, Nigeria, and emphasized that metal accumulation varies among tissues because of differences in physiological function and exposure pathways. Recent research also identifies fish tissues as useful indicators of aquatic metal contamination because metals can accumulate through both water and dietary pathways (Mahamood </w:t>
      </w:r>
      <w:r>
        <w:rPr>
          <w:i/>
        </w:rPr>
        <w:t>et al.,</w:t>
      </w:r>
      <w:r>
        <w:t xml:space="preserve"> 2023).</w:t>
      </w:r>
    </w:p>
    <w:p w14:paraId="0687E0F8" w14:textId="77777777" w:rsidR="00CB397B" w:rsidRDefault="00CB397B" w:rsidP="00CB397B">
      <w:pPr>
        <w:pStyle w:val="Heading3"/>
        <w:spacing w:before="0" w:line="276" w:lineRule="auto"/>
        <w:jc w:val="both"/>
      </w:pPr>
      <w:r>
        <w:t>4.1 Metal Concentrations in Pond Water</w:t>
      </w:r>
    </w:p>
    <w:p w14:paraId="25CE4BCF" w14:textId="77777777" w:rsidR="00CB397B" w:rsidRDefault="00CB397B" w:rsidP="00CB397B">
      <w:pPr>
        <w:pStyle w:val="NormalWeb"/>
        <w:spacing w:before="0" w:beforeAutospacing="0" w:after="0" w:afterAutospacing="0" w:line="276" w:lineRule="auto"/>
        <w:jc w:val="both"/>
      </w:pPr>
      <w:r>
        <w:t xml:space="preserve">The present results showed clear differences in the concentrations of Fe, Pb, Cd, Cu, and Zn among the three farms and pond types. In general, </w:t>
      </w:r>
      <w:r w:rsidRPr="00CB397B">
        <w:rPr>
          <w:rStyle w:val="Strong"/>
          <w:b w:val="0"/>
        </w:rPr>
        <w:t>IYONDE recorded the highest concentrations</w:t>
      </w:r>
      <w:r>
        <w:t xml:space="preserve">, while NEW AIRPORT recorded the lowest. Within the farms, concentrations generally followed the order </w:t>
      </w:r>
      <w:r w:rsidRPr="00CB397B">
        <w:rPr>
          <w:rStyle w:val="Strong"/>
          <w:b w:val="0"/>
        </w:rPr>
        <w:t>earthen &gt; tarpaulin &gt; concrete ponds</w:t>
      </w:r>
      <w:r>
        <w:t xml:space="preserve">. The relatively higher concentrations observed in earthen ponds may be associated with greater interaction between pond water, soil, and underlying sediments, which can facilitate the release and accumulation of metals. This agrees with </w:t>
      </w:r>
      <w:r>
        <w:rPr>
          <w:rStyle w:val="Strong"/>
        </w:rPr>
        <w:t>J</w:t>
      </w:r>
      <w:r w:rsidRPr="00CB397B">
        <w:rPr>
          <w:rStyle w:val="Strong"/>
          <w:b w:val="0"/>
        </w:rPr>
        <w:t xml:space="preserve">im-Halliday </w:t>
      </w:r>
      <w:r w:rsidRPr="00CB397B">
        <w:rPr>
          <w:rStyle w:val="Strong"/>
          <w:b w:val="0"/>
          <w:i/>
        </w:rPr>
        <w:t>et al.,</w:t>
      </w:r>
      <w:r w:rsidRPr="00CB397B">
        <w:rPr>
          <w:rStyle w:val="Strong"/>
          <w:b w:val="0"/>
        </w:rPr>
        <w:t xml:space="preserve"> (2024)</w:t>
      </w:r>
      <w:r w:rsidRPr="00CB397B">
        <w:rPr>
          <w:b/>
        </w:rPr>
        <w:t>,</w:t>
      </w:r>
      <w:r>
        <w:t xml:space="preserve"> who reported higher heavy-metal contamination in earthen ponds than in concrete ponds in Port Harcourt, Nigeria, and attributed the difference partly to soil composition and greater soil–water interaction. </w:t>
      </w:r>
    </w:p>
    <w:p w14:paraId="763F0323" w14:textId="77777777" w:rsidR="00CB397B" w:rsidRDefault="00CB397B" w:rsidP="00CB397B">
      <w:pPr>
        <w:pStyle w:val="NormalWeb"/>
        <w:spacing w:before="0" w:beforeAutospacing="0" w:after="0" w:afterAutospacing="0" w:line="276" w:lineRule="auto"/>
        <w:jc w:val="both"/>
      </w:pPr>
      <w:r>
        <w:t xml:space="preserve">The particularly high concentrations of </w:t>
      </w:r>
      <w:r w:rsidRPr="00CB397B">
        <w:rPr>
          <w:rStyle w:val="Strong"/>
          <w:b w:val="0"/>
        </w:rPr>
        <w:t>Fe, Pb and Cd</w:t>
      </w:r>
      <w:r>
        <w:t xml:space="preserve"> at IYONDE are of environmental concern because they exceeded the stated guideline limits in some pond types. Similar observations have been reported in Nigerian aquatic environments. For example, </w:t>
      </w:r>
      <w:r w:rsidRPr="00CB397B">
        <w:rPr>
          <w:rStyle w:val="Strong"/>
          <w:b w:val="0"/>
        </w:rPr>
        <w:t xml:space="preserve">Yahaya </w:t>
      </w:r>
      <w:r w:rsidRPr="00CB397B">
        <w:rPr>
          <w:rStyle w:val="Strong"/>
          <w:b w:val="0"/>
          <w:i/>
        </w:rPr>
        <w:t>et al.,</w:t>
      </w:r>
      <w:r w:rsidRPr="00CB397B">
        <w:rPr>
          <w:rStyle w:val="Strong"/>
          <w:b w:val="0"/>
        </w:rPr>
        <w:t xml:space="preserve"> (2021)</w:t>
      </w:r>
      <w:r>
        <w:t xml:space="preserve"> found non-permissible concentrations of Pb and Cd in some water sources in Lagos, whereas Cu and Zn were generally within acceptable levels. Likewise, studies of Nigerian aquatic systems have demonstrated that differences in metal concentrations can be associated with location, anthropogenic activities, waste inputs and other environmental factors. </w:t>
      </w:r>
    </w:p>
    <w:p w14:paraId="6A6845BB" w14:textId="77777777" w:rsidR="00CB397B" w:rsidRDefault="00CB397B" w:rsidP="00CB397B">
      <w:pPr>
        <w:pStyle w:val="NormalWeb"/>
        <w:spacing w:before="0" w:beforeAutospacing="0" w:after="0" w:afterAutospacing="0" w:line="276" w:lineRule="auto"/>
        <w:jc w:val="both"/>
      </w:pPr>
      <w:r>
        <w:t xml:space="preserve">The concentration of </w:t>
      </w:r>
      <w:r w:rsidRPr="00CB397B">
        <w:rPr>
          <w:rStyle w:val="Strong"/>
          <w:b w:val="0"/>
        </w:rPr>
        <w:t>Cu and Zn remained below the stated WHO limits</w:t>
      </w:r>
      <w:r>
        <w:t xml:space="preserve"> in all the pond-water samples. This suggests a relatively lower degree of contamination by these two metals compared with Fe, Pb and Cd. The pattern is partly consistent </w:t>
      </w:r>
      <w:r w:rsidRPr="00CB397B">
        <w:t>with</w:t>
      </w:r>
      <w:r w:rsidRPr="00CB397B">
        <w:rPr>
          <w:b/>
        </w:rPr>
        <w:t xml:space="preserve"> </w:t>
      </w:r>
      <w:r w:rsidRPr="00CB397B">
        <w:rPr>
          <w:rStyle w:val="Strong"/>
          <w:b w:val="0"/>
        </w:rPr>
        <w:t xml:space="preserve">Olowu </w:t>
      </w:r>
      <w:r w:rsidRPr="00CB397B">
        <w:rPr>
          <w:rStyle w:val="Strong"/>
          <w:b w:val="0"/>
          <w:i/>
        </w:rPr>
        <w:t>et al.,</w:t>
      </w:r>
      <w:r w:rsidRPr="00CB397B">
        <w:rPr>
          <w:rStyle w:val="Strong"/>
          <w:b w:val="0"/>
        </w:rPr>
        <w:t xml:space="preserve"> (2019)</w:t>
      </w:r>
      <w:r w:rsidRPr="00CB397B">
        <w:rPr>
          <w:b/>
        </w:rPr>
        <w:t>,</w:t>
      </w:r>
      <w:r>
        <w:t xml:space="preserve"> who observed differences in trace-metal concentrations among lagoon, earthen and concrete aquaculture environments in Lagos and reported variations associated with anthropogenic activities and the characteristics of the sampling locations.  The significant differences indicated that both </w:t>
      </w:r>
      <w:r w:rsidRPr="00CB397B">
        <w:rPr>
          <w:rStyle w:val="Strong"/>
          <w:b w:val="0"/>
        </w:rPr>
        <w:t>farm location and pond construction type influenced the distribution of the investigated metals</w:t>
      </w:r>
      <w:r>
        <w:rPr>
          <w:b/>
        </w:rPr>
        <w:t xml:space="preserve">. </w:t>
      </w:r>
      <w:r>
        <w:t xml:space="preserve">The predominance of higher concentrations in earthen ponds is particularly important because metals present in water can become associated with sediments and subsequently become available for uptake by cultured fish. </w:t>
      </w:r>
      <w:r w:rsidRPr="00CB397B">
        <w:rPr>
          <w:rStyle w:val="Strong"/>
          <w:b w:val="0"/>
        </w:rPr>
        <w:t xml:space="preserve">Jim-Halliday </w:t>
      </w:r>
      <w:r w:rsidRPr="00CB397B">
        <w:rPr>
          <w:rStyle w:val="Strong"/>
          <w:b w:val="0"/>
          <w:i/>
        </w:rPr>
        <w:t>et al.,</w:t>
      </w:r>
      <w:r w:rsidRPr="00CB397B">
        <w:rPr>
          <w:rStyle w:val="Strong"/>
          <w:b w:val="0"/>
        </w:rPr>
        <w:t xml:space="preserve"> (2024)</w:t>
      </w:r>
      <w:r>
        <w:t xml:space="preserve"> similarly reported greater metal contamination and greater evidence of bioaccumulation in fish associated with earthen ponds compared with concrete ponds. </w:t>
      </w:r>
    </w:p>
    <w:p w14:paraId="3D48060E" w14:textId="77777777" w:rsidR="00CB397B" w:rsidRPr="00264791" w:rsidRDefault="00CB397B" w:rsidP="00CB397B">
      <w:pPr>
        <w:jc w:val="both"/>
        <w:outlineLvl w:val="3"/>
        <w:rPr>
          <w:rFonts w:ascii="Times New Roman" w:hAnsi="Times New Roman"/>
          <w:bCs/>
          <w:sz w:val="24"/>
          <w:szCs w:val="24"/>
        </w:rPr>
      </w:pPr>
      <w:r w:rsidRPr="00264791">
        <w:rPr>
          <w:rFonts w:ascii="Times New Roman" w:hAnsi="Times New Roman"/>
          <w:bCs/>
          <w:sz w:val="24"/>
          <w:szCs w:val="24"/>
        </w:rPr>
        <w:t xml:space="preserve">4.2 Bioaccumulation Factors (BAF) of Heavy Metals in </w:t>
      </w:r>
      <w:r w:rsidRPr="00264791">
        <w:rPr>
          <w:rFonts w:ascii="Times New Roman" w:hAnsi="Times New Roman"/>
          <w:bCs/>
          <w:i/>
          <w:iCs/>
          <w:sz w:val="24"/>
          <w:szCs w:val="24"/>
        </w:rPr>
        <w:t xml:space="preserve">Clarias </w:t>
      </w:r>
      <w:proofErr w:type="spellStart"/>
      <w:r w:rsidRPr="00264791">
        <w:rPr>
          <w:rFonts w:ascii="Times New Roman" w:hAnsi="Times New Roman"/>
          <w:bCs/>
          <w:i/>
          <w:iCs/>
          <w:sz w:val="24"/>
          <w:szCs w:val="24"/>
        </w:rPr>
        <w:t>gariepinus</w:t>
      </w:r>
      <w:proofErr w:type="spellEnd"/>
    </w:p>
    <w:p w14:paraId="0F1D08E0"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The bioaccumulation factor (BAF) provides an indication of the ability of fish tissues to concentrate metals from their surrounding aquatic environment. In the present study, the BAF values varied considerably among metals, </w:t>
      </w:r>
      <w:r>
        <w:rPr>
          <w:rFonts w:ascii="Times New Roman" w:hAnsi="Times New Roman"/>
          <w:sz w:val="24"/>
          <w:szCs w:val="24"/>
        </w:rPr>
        <w:lastRenderedPageBreak/>
        <w:t>farms, pond types, and fish tissues, indicating differences in metal bioavailability, uptake mechanisms, and tissue-specific accumulation patterns.</w:t>
      </w:r>
    </w:p>
    <w:p w14:paraId="67EA3F48" w14:textId="77777777" w:rsidR="00CB397B" w:rsidRPr="00264791" w:rsidRDefault="00CB397B" w:rsidP="00CB397B">
      <w:pPr>
        <w:jc w:val="both"/>
        <w:outlineLvl w:val="4"/>
        <w:rPr>
          <w:rFonts w:ascii="Times New Roman" w:hAnsi="Times New Roman"/>
          <w:bCs/>
          <w:sz w:val="24"/>
          <w:szCs w:val="24"/>
        </w:rPr>
      </w:pPr>
      <w:r w:rsidRPr="00264791">
        <w:rPr>
          <w:rFonts w:ascii="Times New Roman" w:hAnsi="Times New Roman"/>
          <w:bCs/>
          <w:sz w:val="24"/>
          <w:szCs w:val="24"/>
        </w:rPr>
        <w:t>Iron (Fe)</w:t>
      </w:r>
    </w:p>
    <w:p w14:paraId="208A990E"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The BAF values for iron ranged from 0.10 to 1.68. Bioaccumulation (BAF &gt; 1) was observed primarily in fish from the New Airport farm, particularly in concrete ponds where the gills recorded the highest Fe BAF (1.68). In contrast, all tissues from IYONDE and Magnus farms exhibited BAF values below unity, indicating limited accumulation relative to water concentrations. The elevated Fe accumulation in the gills may be attributed to their direct and continuous contact with water, making them the primary site for metal adsorption and uptake. Similar findings were reported by Authman </w:t>
      </w:r>
      <w:r>
        <w:rPr>
          <w:rFonts w:ascii="Times New Roman" w:hAnsi="Times New Roman"/>
          <w:i/>
          <w:sz w:val="24"/>
          <w:szCs w:val="24"/>
        </w:rPr>
        <w:t>et al.,</w:t>
      </w:r>
      <w:r>
        <w:rPr>
          <w:rFonts w:ascii="Times New Roman" w:hAnsi="Times New Roman"/>
          <w:sz w:val="24"/>
          <w:szCs w:val="24"/>
        </w:rPr>
        <w:t xml:space="preserve"> (2015), who observed higher iron accumulation in gill tissues of freshwater fish exposed to metal-contaminated waters. Iron is an essential trace element required for physiological processes such as oxygen transport and enzymatic activity; however, excessive accumulation may induce oxidative stress and tissue damage (Baki </w:t>
      </w:r>
      <w:r>
        <w:rPr>
          <w:rFonts w:ascii="Times New Roman" w:hAnsi="Times New Roman"/>
          <w:i/>
          <w:sz w:val="24"/>
          <w:szCs w:val="24"/>
        </w:rPr>
        <w:t>et al.,</w:t>
      </w:r>
      <w:r>
        <w:rPr>
          <w:rFonts w:ascii="Times New Roman" w:hAnsi="Times New Roman"/>
          <w:sz w:val="24"/>
          <w:szCs w:val="24"/>
        </w:rPr>
        <w:t xml:space="preserve"> 2018). The relatively low Fe bioaccumulation observed in most pond systems suggests effective physiological regulation of iron uptake by </w:t>
      </w:r>
      <w:r>
        <w:rPr>
          <w:rFonts w:ascii="Times New Roman" w:hAnsi="Times New Roman"/>
          <w:i/>
          <w:iCs/>
          <w:sz w:val="24"/>
          <w:szCs w:val="24"/>
        </w:rPr>
        <w:t xml:space="preserve">Clarias </w:t>
      </w:r>
      <w:proofErr w:type="spellStart"/>
      <w:r>
        <w:rPr>
          <w:rFonts w:ascii="Times New Roman" w:hAnsi="Times New Roman"/>
          <w:i/>
          <w:iCs/>
          <w:sz w:val="24"/>
          <w:szCs w:val="24"/>
        </w:rPr>
        <w:t>gariepinus</w:t>
      </w:r>
      <w:proofErr w:type="spellEnd"/>
      <w:r>
        <w:rPr>
          <w:rFonts w:ascii="Times New Roman" w:hAnsi="Times New Roman"/>
          <w:sz w:val="24"/>
          <w:szCs w:val="24"/>
        </w:rPr>
        <w:t>.</w:t>
      </w:r>
    </w:p>
    <w:p w14:paraId="001E7725" w14:textId="77777777" w:rsidR="00CB397B" w:rsidRPr="00264791" w:rsidRDefault="00CB397B" w:rsidP="00CB397B">
      <w:pPr>
        <w:jc w:val="both"/>
        <w:outlineLvl w:val="4"/>
        <w:rPr>
          <w:rFonts w:ascii="Times New Roman" w:hAnsi="Times New Roman"/>
          <w:bCs/>
          <w:sz w:val="24"/>
          <w:szCs w:val="24"/>
        </w:rPr>
      </w:pPr>
      <w:r w:rsidRPr="00264791">
        <w:rPr>
          <w:rFonts w:ascii="Times New Roman" w:hAnsi="Times New Roman"/>
          <w:bCs/>
          <w:sz w:val="24"/>
          <w:szCs w:val="24"/>
        </w:rPr>
        <w:t>Lead (Pb)</w:t>
      </w:r>
    </w:p>
    <w:p w14:paraId="2BCD7DBD" w14:textId="77777777" w:rsidR="00CB397B" w:rsidRDefault="00CB397B" w:rsidP="00CB397B">
      <w:pPr>
        <w:jc w:val="both"/>
        <w:rPr>
          <w:rFonts w:ascii="Times New Roman" w:hAnsi="Times New Roman"/>
          <w:sz w:val="24"/>
          <w:szCs w:val="24"/>
        </w:rPr>
      </w:pPr>
      <w:r>
        <w:rPr>
          <w:rFonts w:ascii="Times New Roman" w:hAnsi="Times New Roman"/>
          <w:sz w:val="24"/>
          <w:szCs w:val="24"/>
        </w:rPr>
        <w:t>Lead exhibited substantial bioaccumulation across most farms and pond types, with BAF values ranging from 0.63 to 14.07. The highest value was recorded in the gills of fish cultured in New Airport concrete ponds (BAF = 14.07), indicating significant enrichment of Pb in fish tissues relative to the surrounding water. Fish from Magnus farms also demonstrated considerable Pb accumulation, whereas lower values were observed in IYONDE earthen ponds.</w:t>
      </w:r>
    </w:p>
    <w:p w14:paraId="055D9774"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Lead is a non-essential and highly toxic metal that lacks biological functions in fish. Consequently, once absorbed, it tends to accumulate in tissues due to limited physiological mechanisms for excretion. The high BAF values observed in the present study agree with findings by Younis </w:t>
      </w:r>
      <w:r>
        <w:rPr>
          <w:rFonts w:ascii="Times New Roman" w:hAnsi="Times New Roman"/>
          <w:i/>
          <w:sz w:val="24"/>
          <w:szCs w:val="24"/>
        </w:rPr>
        <w:t>et al.,</w:t>
      </w:r>
      <w:r>
        <w:rPr>
          <w:rFonts w:ascii="Times New Roman" w:hAnsi="Times New Roman"/>
          <w:sz w:val="24"/>
          <w:szCs w:val="24"/>
        </w:rPr>
        <w:t xml:space="preserve"> (2021), who reported significant Pb accumulation in catfish tissues from polluted aquatic environments. Similarly, El-</w:t>
      </w:r>
      <w:proofErr w:type="spellStart"/>
      <w:r>
        <w:rPr>
          <w:rFonts w:ascii="Times New Roman" w:hAnsi="Times New Roman"/>
          <w:sz w:val="24"/>
          <w:szCs w:val="24"/>
        </w:rPr>
        <w:t>Moselhy</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(2014) found that lead accumulated preferentially in gills and liver because of their direct involvement in respiration and detoxification processes. Elevated Pb accumulation poses potential health risks to consumers because chronic exposure has been associated with neurological, renal, and developmental disorders (WHO, 2022).</w:t>
      </w:r>
    </w:p>
    <w:p w14:paraId="7287EC31" w14:textId="77777777" w:rsidR="00CB397B" w:rsidRPr="00264791" w:rsidRDefault="00CB397B" w:rsidP="00CB397B">
      <w:pPr>
        <w:jc w:val="both"/>
        <w:outlineLvl w:val="4"/>
        <w:rPr>
          <w:rFonts w:ascii="Times New Roman" w:hAnsi="Times New Roman"/>
          <w:bCs/>
          <w:sz w:val="24"/>
          <w:szCs w:val="24"/>
        </w:rPr>
      </w:pPr>
      <w:r w:rsidRPr="00264791">
        <w:rPr>
          <w:rFonts w:ascii="Times New Roman" w:hAnsi="Times New Roman"/>
          <w:bCs/>
          <w:sz w:val="24"/>
          <w:szCs w:val="24"/>
        </w:rPr>
        <w:t>Cadmium (Cd)</w:t>
      </w:r>
    </w:p>
    <w:p w14:paraId="637D16B3"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Cadmium also demonstrated notable bioaccumulation, particularly at the New Airport farm, where all tissue BAF values exceeded 1 and reached a maximum of 7.80 in the gills. Fish from Magnus ponds showed moderate Cd accumulation, whereas the lowest values occurred in IYONDE earthen ponds. Cadmium is a highly toxic metal with no known biological role in aquatic organisms. Its accumulation in fish tissues is often associated with industrial runoff, agricultural inputs, and anthropogenic activities. The high Cd BAF values observed in this study corroborate the findings of Ali </w:t>
      </w:r>
      <w:r>
        <w:rPr>
          <w:rFonts w:ascii="Times New Roman" w:hAnsi="Times New Roman"/>
          <w:i/>
          <w:sz w:val="24"/>
          <w:szCs w:val="24"/>
        </w:rPr>
        <w:t>et al.,</w:t>
      </w:r>
      <w:r>
        <w:rPr>
          <w:rFonts w:ascii="Times New Roman" w:hAnsi="Times New Roman"/>
          <w:sz w:val="24"/>
          <w:szCs w:val="24"/>
        </w:rPr>
        <w:t xml:space="preserve"> (2019), who reported significant cadmium accumulation in African catfish exposed to contaminated waters. Cadmium has a strong affinity for metallothionein proteins and tends to accumulate in metabolically active organs such as the liver and kidneys (Türkmen </w:t>
      </w:r>
      <w:r>
        <w:rPr>
          <w:rFonts w:ascii="Times New Roman" w:hAnsi="Times New Roman"/>
          <w:i/>
          <w:sz w:val="24"/>
          <w:szCs w:val="24"/>
        </w:rPr>
        <w:t>et al.,</w:t>
      </w:r>
      <w:r>
        <w:rPr>
          <w:rFonts w:ascii="Times New Roman" w:hAnsi="Times New Roman"/>
          <w:sz w:val="24"/>
          <w:szCs w:val="24"/>
        </w:rPr>
        <w:t xml:space="preserve"> 2019). The elevated Cd accumulation observed in gill tissues further suggests that waterborne exposure was the dominant uptake pathway in the studied ponds.</w:t>
      </w:r>
    </w:p>
    <w:p w14:paraId="50DCB774" w14:textId="77777777" w:rsidR="00CB397B" w:rsidRPr="00264791" w:rsidRDefault="00CB397B" w:rsidP="00CB397B">
      <w:pPr>
        <w:jc w:val="both"/>
        <w:outlineLvl w:val="4"/>
        <w:rPr>
          <w:rFonts w:ascii="Times New Roman" w:hAnsi="Times New Roman"/>
          <w:bCs/>
          <w:sz w:val="24"/>
          <w:szCs w:val="24"/>
        </w:rPr>
      </w:pPr>
      <w:r w:rsidRPr="00264791">
        <w:rPr>
          <w:rFonts w:ascii="Times New Roman" w:hAnsi="Times New Roman"/>
          <w:bCs/>
          <w:sz w:val="24"/>
          <w:szCs w:val="24"/>
        </w:rPr>
        <w:t>Copper (Cu)</w:t>
      </w:r>
    </w:p>
    <w:p w14:paraId="3E76C298" w14:textId="77777777" w:rsidR="00CB397B" w:rsidRDefault="00CB397B" w:rsidP="00CB397B">
      <w:pPr>
        <w:jc w:val="both"/>
        <w:rPr>
          <w:rFonts w:ascii="Times New Roman" w:hAnsi="Times New Roman"/>
          <w:sz w:val="24"/>
          <w:szCs w:val="24"/>
        </w:rPr>
      </w:pPr>
      <w:r>
        <w:rPr>
          <w:rFonts w:ascii="Times New Roman" w:hAnsi="Times New Roman"/>
          <w:sz w:val="24"/>
          <w:szCs w:val="24"/>
        </w:rPr>
        <w:t>Unlike Pb and Cd, copper exhibited very low bioaccumulation factors, with values ranging from 0.02 to 0.25. All BAF values were below unity irrespective of farm, pond type, or tissue examined. These findings indicate that copper concentrations in fish tissues remained lower than corresponding concentrations in pond water.</w:t>
      </w:r>
    </w:p>
    <w:p w14:paraId="6D1418CF"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Copper is an essential micronutrient involved in numerous physiological processes including enzyme activation, respiration, and antioxidant defense. Fish possess efficient homeostatic mechanisms that regulate Cu absorption, storage, and excretion, thereby preventing excessive accumulation under normal environmental conditions (Canli &amp; Atli, 2003). Similar observations were reported by Ahmed </w:t>
      </w:r>
      <w:r>
        <w:rPr>
          <w:rFonts w:ascii="Times New Roman" w:hAnsi="Times New Roman"/>
          <w:i/>
          <w:sz w:val="24"/>
          <w:szCs w:val="24"/>
        </w:rPr>
        <w:t>et al.,</w:t>
      </w:r>
      <w:r>
        <w:rPr>
          <w:rFonts w:ascii="Times New Roman" w:hAnsi="Times New Roman"/>
          <w:sz w:val="24"/>
          <w:szCs w:val="24"/>
        </w:rPr>
        <w:t xml:space="preserve"> (2020), who found low copper bioaccumulation in cultured catfish despite measurable concentrations in water. The low Cu BAF values obtained in this study suggest that the fish were capable of maintaining copper concentrations within physiological limits.</w:t>
      </w:r>
    </w:p>
    <w:p w14:paraId="3708A400" w14:textId="77777777" w:rsidR="00CB397B" w:rsidRPr="00264791" w:rsidRDefault="00CB397B" w:rsidP="00CB397B">
      <w:pPr>
        <w:jc w:val="both"/>
        <w:outlineLvl w:val="4"/>
        <w:rPr>
          <w:rFonts w:ascii="Times New Roman" w:hAnsi="Times New Roman"/>
          <w:bCs/>
          <w:sz w:val="24"/>
          <w:szCs w:val="24"/>
        </w:rPr>
      </w:pPr>
      <w:r w:rsidRPr="00264791">
        <w:rPr>
          <w:rFonts w:ascii="Times New Roman" w:hAnsi="Times New Roman"/>
          <w:bCs/>
          <w:sz w:val="24"/>
          <w:szCs w:val="24"/>
        </w:rPr>
        <w:t>Zinc (Zn)</w:t>
      </w:r>
    </w:p>
    <w:p w14:paraId="618875EE"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Zinc recorded the highest bioaccumulation factors among all metals investigated, with values ranging from 2.28 to 28.30. The highest Zn accumulation occurred in the gills of fish reared in New Airport concrete ponds (BAF = </w:t>
      </w:r>
      <w:r>
        <w:rPr>
          <w:rFonts w:ascii="Times New Roman" w:hAnsi="Times New Roman"/>
          <w:sz w:val="24"/>
          <w:szCs w:val="24"/>
        </w:rPr>
        <w:lastRenderedPageBreak/>
        <w:t xml:space="preserve">28.30), while even the lowest recorded value exceeded unity. These results indicate extensive bioaccumulation of zinc in all farms and pond types. The high Zn BAF values may be linked to the essential biological functions of zinc in fish metabolism, growth, immune function, and enzyme activity. Although zinc is an essential element, prolonged exposure to elevated environmental concentrations can result in excessive tissue accumulation. Similar high zinc accumulation patterns have been reported in </w:t>
      </w:r>
      <w:r>
        <w:rPr>
          <w:rFonts w:ascii="Times New Roman" w:hAnsi="Times New Roman"/>
          <w:i/>
          <w:iCs/>
          <w:sz w:val="24"/>
          <w:szCs w:val="24"/>
        </w:rPr>
        <w:t xml:space="preserve">Clarias </w:t>
      </w:r>
      <w:proofErr w:type="spellStart"/>
      <w:r>
        <w:rPr>
          <w:rFonts w:ascii="Times New Roman" w:hAnsi="Times New Roman"/>
          <w:i/>
          <w:iCs/>
          <w:sz w:val="24"/>
          <w:szCs w:val="24"/>
        </w:rPr>
        <w:t>gariepinus</w:t>
      </w:r>
      <w:proofErr w:type="spellEnd"/>
      <w:r>
        <w:rPr>
          <w:rFonts w:ascii="Times New Roman" w:hAnsi="Times New Roman"/>
          <w:sz w:val="24"/>
          <w:szCs w:val="24"/>
        </w:rPr>
        <w:t xml:space="preserve"> and other freshwater fish species from contaminated aquatic systems (</w:t>
      </w:r>
      <w:proofErr w:type="spellStart"/>
      <w:r>
        <w:rPr>
          <w:rFonts w:ascii="Times New Roman" w:hAnsi="Times New Roman"/>
          <w:sz w:val="24"/>
          <w:szCs w:val="24"/>
        </w:rPr>
        <w:t>Bawuro</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2018; </w:t>
      </w:r>
      <w:proofErr w:type="spellStart"/>
      <w:r>
        <w:rPr>
          <w:rFonts w:ascii="Times New Roman" w:hAnsi="Times New Roman"/>
          <w:sz w:val="24"/>
          <w:szCs w:val="24"/>
        </w:rPr>
        <w:t>Alhas</w:t>
      </w:r>
      <w:proofErr w:type="spellEnd"/>
      <w:r>
        <w:rPr>
          <w:rFonts w:ascii="Times New Roman" w:hAnsi="Times New Roman"/>
          <w:sz w:val="24"/>
          <w:szCs w:val="24"/>
        </w:rPr>
        <w:t xml:space="preserve"> </w:t>
      </w:r>
      <w:r>
        <w:rPr>
          <w:rFonts w:ascii="Times New Roman" w:hAnsi="Times New Roman"/>
          <w:i/>
          <w:sz w:val="24"/>
          <w:szCs w:val="24"/>
        </w:rPr>
        <w:t>et al.,</w:t>
      </w:r>
      <w:r>
        <w:rPr>
          <w:rFonts w:ascii="Times New Roman" w:hAnsi="Times New Roman"/>
          <w:sz w:val="24"/>
          <w:szCs w:val="24"/>
        </w:rPr>
        <w:t xml:space="preserve"> 2023). The predominance of zinc accumulation in gills observed in the present study further supports the role of direct waterborne uptake through respiratory surfaces. The substantial Zn enrichment observed at New Airport ponds may indicate increased environmental availability of the metal in that location. Across all metals investigated, fish cultured in concrete ponds generally exhibited higher BAF values than those reared in tarpaulin and earthen ponds. This trend suggests that pond design may influence metal bioavailability and uptake. Concrete ponds often possess lower sediment interaction compared with earthen ponds, resulting in greater proportions of dissolved metals remaining in the water column where they are readily available for uptake by fish.</w:t>
      </w:r>
    </w:p>
    <w:p w14:paraId="4B2114CF"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Furthermore, fish from the New Airport farm consistently recorded the highest BAF values for Pb, Cd, Fe, and Zn, indicating greater environmental contamination and metal availability at this location. In contrast, IYONDE farms generally exhibited the lowest bioaccumulation factors, suggesting relatively better water quality and lower anthropogenic inputs. Similar spatial variations in heavy metal bioaccumulation have been documented in aquaculture systems and natural water bodies, where local environmental conditions strongly influence metal uptake by aquatic organisms (Authman </w:t>
      </w:r>
      <w:r>
        <w:rPr>
          <w:rFonts w:ascii="Times New Roman" w:hAnsi="Times New Roman"/>
          <w:i/>
          <w:sz w:val="24"/>
          <w:szCs w:val="24"/>
        </w:rPr>
        <w:t>et al.,</w:t>
      </w:r>
      <w:r>
        <w:rPr>
          <w:rFonts w:ascii="Times New Roman" w:hAnsi="Times New Roman"/>
          <w:sz w:val="24"/>
          <w:szCs w:val="24"/>
        </w:rPr>
        <w:t xml:space="preserve"> 2015; Baki </w:t>
      </w:r>
      <w:r>
        <w:rPr>
          <w:rFonts w:ascii="Times New Roman" w:hAnsi="Times New Roman"/>
          <w:i/>
          <w:sz w:val="24"/>
          <w:szCs w:val="24"/>
        </w:rPr>
        <w:t>et al.,</w:t>
      </w:r>
      <w:r>
        <w:rPr>
          <w:rFonts w:ascii="Times New Roman" w:hAnsi="Times New Roman"/>
          <w:sz w:val="24"/>
          <w:szCs w:val="24"/>
        </w:rPr>
        <w:t xml:space="preserve"> 2018).</w:t>
      </w:r>
    </w:p>
    <w:p w14:paraId="4F2831E0"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The gills consistently recorded the highest BAF values for most metals, followed by the liver and muscle tissues. This pattern reflects the physiological functions of these organs. Gills serve as the primary interface between fish and the aquatic environment, making them highly susceptible to metal uptake. The liver functions as the major detoxification organ and therefore accumulates substantial quantities of metals. Muscle tissue generally exhibited the lowest accumulation, consistent with previous studies indicating lower metal-binding capacity in muscular tissues compared with metabolically active organs (Younis </w:t>
      </w:r>
      <w:r>
        <w:rPr>
          <w:rFonts w:ascii="Times New Roman" w:hAnsi="Times New Roman"/>
          <w:i/>
          <w:sz w:val="24"/>
          <w:szCs w:val="24"/>
        </w:rPr>
        <w:t>et al.,</w:t>
      </w:r>
      <w:r>
        <w:rPr>
          <w:rFonts w:ascii="Times New Roman" w:hAnsi="Times New Roman"/>
          <w:sz w:val="24"/>
          <w:szCs w:val="24"/>
        </w:rPr>
        <w:t xml:space="preserve"> 2021).</w:t>
      </w:r>
    </w:p>
    <w:p w14:paraId="540E2EB2" w14:textId="77777777" w:rsidR="00CB397B" w:rsidRDefault="00CB397B" w:rsidP="00CB397B">
      <w:pPr>
        <w:jc w:val="both"/>
        <w:outlineLvl w:val="1"/>
        <w:rPr>
          <w:rFonts w:ascii="Times New Roman" w:hAnsi="Times New Roman"/>
          <w:b/>
          <w:bCs/>
          <w:sz w:val="24"/>
          <w:szCs w:val="24"/>
        </w:rPr>
      </w:pPr>
      <w:r>
        <w:rPr>
          <w:rFonts w:ascii="Times New Roman" w:hAnsi="Times New Roman"/>
          <w:b/>
          <w:bCs/>
          <w:sz w:val="24"/>
          <w:szCs w:val="24"/>
        </w:rPr>
        <w:t>Conclusion</w:t>
      </w:r>
    </w:p>
    <w:p w14:paraId="3F225814" w14:textId="77777777" w:rsidR="00CB397B" w:rsidRDefault="00CB397B" w:rsidP="00CB397B">
      <w:pPr>
        <w:jc w:val="both"/>
        <w:rPr>
          <w:rFonts w:ascii="Times New Roman" w:hAnsi="Times New Roman"/>
          <w:sz w:val="24"/>
          <w:szCs w:val="24"/>
        </w:rPr>
      </w:pPr>
      <w:r>
        <w:rPr>
          <w:rFonts w:ascii="Times New Roman" w:hAnsi="Times New Roman"/>
          <w:sz w:val="24"/>
          <w:szCs w:val="24"/>
        </w:rPr>
        <w:t xml:space="preserve">Based on the findings of this study, it can be concluded that </w:t>
      </w:r>
      <w:r>
        <w:rPr>
          <w:rFonts w:ascii="Times New Roman" w:hAnsi="Times New Roman"/>
          <w:bCs/>
          <w:sz w:val="24"/>
          <w:szCs w:val="24"/>
        </w:rPr>
        <w:t>African catfish (</w:t>
      </w:r>
      <w:r>
        <w:rPr>
          <w:rFonts w:ascii="Times New Roman" w:hAnsi="Times New Roman"/>
          <w:bCs/>
          <w:i/>
          <w:iCs/>
          <w:sz w:val="24"/>
          <w:szCs w:val="24"/>
        </w:rPr>
        <w:t xml:space="preserve">Clarias </w:t>
      </w:r>
      <w:proofErr w:type="spellStart"/>
      <w:r>
        <w:rPr>
          <w:rFonts w:ascii="Times New Roman" w:hAnsi="Times New Roman"/>
          <w:bCs/>
          <w:i/>
          <w:iCs/>
          <w:sz w:val="24"/>
          <w:szCs w:val="24"/>
        </w:rPr>
        <w:t>gariepinus</w:t>
      </w:r>
      <w:proofErr w:type="spellEnd"/>
      <w:r>
        <w:rPr>
          <w:rFonts w:ascii="Times New Roman" w:hAnsi="Times New Roman"/>
          <w:bCs/>
          <w:sz w:val="24"/>
          <w:szCs w:val="24"/>
        </w:rPr>
        <w:t>) reared in earthen, concrete, and tarpaulin ponds in Calabar Metropolis accumulate measurable concentrations of heavy metals and nutritional trace elements in</w:t>
      </w:r>
      <w:r>
        <w:rPr>
          <w:rFonts w:ascii="Times New Roman" w:hAnsi="Times New Roman"/>
          <w:b/>
          <w:bCs/>
          <w:sz w:val="24"/>
          <w:szCs w:val="24"/>
        </w:rPr>
        <w:t xml:space="preserve"> </w:t>
      </w:r>
      <w:r>
        <w:rPr>
          <w:rFonts w:ascii="Times New Roman" w:hAnsi="Times New Roman"/>
          <w:bCs/>
          <w:sz w:val="24"/>
          <w:szCs w:val="24"/>
        </w:rPr>
        <w:t>their tissues</w:t>
      </w:r>
      <w:r>
        <w:rPr>
          <w:rFonts w:ascii="Times New Roman" w:hAnsi="Times New Roman"/>
          <w:sz w:val="24"/>
          <w:szCs w:val="24"/>
        </w:rPr>
        <w:t>. The degree of accumulation differs according to the type of metal, pond system, and fish tissue.</w:t>
      </w:r>
    </w:p>
    <w:p w14:paraId="2399C2F2" w14:textId="77777777" w:rsidR="00CB397B" w:rsidRDefault="00CB397B" w:rsidP="00CB397B">
      <w:pPr>
        <w:jc w:val="both"/>
        <w:rPr>
          <w:rFonts w:ascii="Times New Roman" w:hAnsi="Times New Roman"/>
          <w:sz w:val="24"/>
          <w:szCs w:val="24"/>
        </w:rPr>
      </w:pPr>
      <w:r>
        <w:rPr>
          <w:rFonts w:ascii="Times New Roman" w:hAnsi="Times New Roman"/>
          <w:sz w:val="24"/>
          <w:szCs w:val="24"/>
        </w:rPr>
        <w:t>The liver and gills were generally more effective accumulators of metals than the muscle, reflecting their important physiological functions in detoxification, metabolism and direct interaction with the aquatic environment. The relatively lower concentrations observed in the muscle suggest lower accumulation in the edible tissue compared with the liver and gills; nevertheless, the detection of potentially toxic metals such as lead and cadmium demonstrates the need for continued monitoring of fish intended for human consumption.</w:t>
      </w:r>
    </w:p>
    <w:p w14:paraId="5CD882EC" w14:textId="77777777" w:rsidR="00CB397B" w:rsidRDefault="00CB397B" w:rsidP="00CB397B">
      <w:pPr>
        <w:jc w:val="both"/>
        <w:rPr>
          <w:rFonts w:ascii="Times New Roman" w:hAnsi="Times New Roman"/>
          <w:sz w:val="24"/>
          <w:szCs w:val="24"/>
        </w:rPr>
      </w:pPr>
      <w:r>
        <w:rPr>
          <w:rFonts w:ascii="Times New Roman" w:hAnsi="Times New Roman"/>
          <w:sz w:val="24"/>
          <w:szCs w:val="24"/>
        </w:rPr>
        <w:t>The study further establishes that essential elements such as iron, zinc and copper are naturally associated with fish metabolism and nutrition, but their concentrations must remain within appropriate limits because excessive accumulation may have adverse biological effects. Conversely, the detection of non-essential toxic metals such as lead and cadmium is of greater concern because they have no known beneficial physiological function and may produce adverse effects following prolonged exposure.</w:t>
      </w:r>
    </w:p>
    <w:p w14:paraId="79237CBC" w14:textId="77777777" w:rsidR="00790ADA" w:rsidRPr="00264791" w:rsidRDefault="00CB397B" w:rsidP="00264791">
      <w:pPr>
        <w:jc w:val="both"/>
        <w:rPr>
          <w:rFonts w:ascii="Times New Roman" w:hAnsi="Times New Roman"/>
          <w:sz w:val="24"/>
          <w:szCs w:val="24"/>
        </w:rPr>
      </w:pPr>
      <w:r>
        <w:rPr>
          <w:rFonts w:ascii="Times New Roman" w:hAnsi="Times New Roman"/>
          <w:sz w:val="24"/>
          <w:szCs w:val="24"/>
        </w:rPr>
        <w:t xml:space="preserve">The differences observed among the pond systems indicate that </w:t>
      </w:r>
      <w:r>
        <w:rPr>
          <w:rFonts w:ascii="Times New Roman" w:hAnsi="Times New Roman"/>
          <w:bCs/>
          <w:sz w:val="24"/>
          <w:szCs w:val="24"/>
        </w:rPr>
        <w:t>aquaculture management practices and pond characteristics can influence metal bioaccumulation in cultured fish</w:t>
      </w:r>
      <w:r>
        <w:rPr>
          <w:rFonts w:ascii="Times New Roman" w:hAnsi="Times New Roman"/>
          <w:sz w:val="24"/>
          <w:szCs w:val="24"/>
        </w:rPr>
        <w:t xml:space="preserve">. Consequently, the safety and nutritional quality of farmed </w:t>
      </w:r>
      <w:r>
        <w:rPr>
          <w:rFonts w:ascii="Times New Roman" w:hAnsi="Times New Roman"/>
          <w:i/>
          <w:iCs/>
          <w:sz w:val="24"/>
          <w:szCs w:val="24"/>
        </w:rPr>
        <w:t>C. gariepinus</w:t>
      </w:r>
      <w:r>
        <w:rPr>
          <w:rFonts w:ascii="Times New Roman" w:hAnsi="Times New Roman"/>
          <w:sz w:val="24"/>
          <w:szCs w:val="24"/>
        </w:rPr>
        <w:t xml:space="preserve"> are dependent not only on the fish species but also on the quality of water, feed, sediment and materials used in the production system.</w:t>
      </w:r>
    </w:p>
    <w:p w14:paraId="39FCF187" w14:textId="77777777" w:rsidR="0030446E" w:rsidRDefault="0030446E" w:rsidP="00CB397B">
      <w:pPr>
        <w:pStyle w:val="ReferHead"/>
        <w:spacing w:after="0"/>
        <w:jc w:val="both"/>
        <w:rPr>
          <w:rFonts w:ascii="Arial" w:hAnsi="Arial" w:cs="Arial"/>
          <w:bCs/>
        </w:rPr>
      </w:pPr>
    </w:p>
    <w:p w14:paraId="502FD98E" w14:textId="3EED8B11" w:rsidR="00CB397B" w:rsidRDefault="00CB397B" w:rsidP="00CB397B">
      <w:pPr>
        <w:pStyle w:val="ReferHead"/>
        <w:spacing w:after="0"/>
        <w:jc w:val="both"/>
        <w:rPr>
          <w:rFonts w:ascii="Arial" w:hAnsi="Arial" w:cs="Arial"/>
          <w:bCs/>
        </w:rPr>
      </w:pPr>
      <w:r>
        <w:rPr>
          <w:rFonts w:ascii="Arial" w:hAnsi="Arial" w:cs="Arial"/>
          <w:bCs/>
        </w:rPr>
        <w:t>Competing interests</w:t>
      </w:r>
    </w:p>
    <w:p w14:paraId="56B9F094" w14:textId="77777777" w:rsidR="00CB397B" w:rsidRDefault="00CB397B" w:rsidP="00CB397B">
      <w:pPr>
        <w:pStyle w:val="ReferHead"/>
        <w:spacing w:after="0"/>
        <w:jc w:val="both"/>
        <w:rPr>
          <w:rFonts w:ascii="Arial" w:hAnsi="Arial" w:cs="Arial"/>
          <w:b w:val="0"/>
          <w:caps w:val="0"/>
          <w:sz w:val="20"/>
        </w:rPr>
      </w:pPr>
      <w:r>
        <w:rPr>
          <w:rFonts w:ascii="Arial" w:hAnsi="Arial" w:cs="Arial"/>
          <w:b w:val="0"/>
          <w:caps w:val="0"/>
          <w:sz w:val="20"/>
        </w:rPr>
        <w:t>The authors have declared that no competing interests exist.</w:t>
      </w:r>
    </w:p>
    <w:p w14:paraId="746364C1" w14:textId="77777777" w:rsidR="0030446E" w:rsidRDefault="0030446E" w:rsidP="007E4E4A">
      <w:pPr>
        <w:rPr>
          <w:rFonts w:ascii="Times New Roman" w:hAnsi="Times New Roman"/>
          <w:b/>
        </w:rPr>
      </w:pPr>
    </w:p>
    <w:p w14:paraId="784C25CE" w14:textId="37CAA687" w:rsidR="007E4E4A" w:rsidRDefault="007E4E4A" w:rsidP="007E4E4A">
      <w:pPr>
        <w:rPr>
          <w:rFonts w:ascii="Times New Roman" w:hAnsi="Times New Roman"/>
          <w:b/>
        </w:rPr>
      </w:pPr>
      <w:r w:rsidRPr="000839CE">
        <w:rPr>
          <w:rFonts w:ascii="Times New Roman" w:hAnsi="Times New Roman"/>
          <w:b/>
        </w:rPr>
        <w:t>Declaration of AI Use</w:t>
      </w:r>
    </w:p>
    <w:p w14:paraId="1C534763" w14:textId="77777777" w:rsidR="007E4E4A" w:rsidRDefault="007E4E4A" w:rsidP="007E4E4A">
      <w:pPr>
        <w:rPr>
          <w:rFonts w:ascii="Times New Roman" w:hAnsi="Times New Roman"/>
          <w:b/>
        </w:rPr>
      </w:pPr>
    </w:p>
    <w:p w14:paraId="41E66048" w14:textId="77777777" w:rsidR="007E4E4A" w:rsidRDefault="007E4E4A" w:rsidP="007E4E4A">
      <w:pPr>
        <w:rPr>
          <w:rFonts w:ascii="Times New Roman" w:hAnsi="Times New Roman"/>
          <w:b/>
        </w:rPr>
      </w:pPr>
    </w:p>
    <w:p w14:paraId="3E08704A" w14:textId="77777777" w:rsidR="007E4E4A" w:rsidRDefault="007E4E4A" w:rsidP="007E4E4A">
      <w:pPr>
        <w:rPr>
          <w:rFonts w:ascii="Times New Roman" w:hAnsi="Times New Roman"/>
          <w:b/>
        </w:rPr>
      </w:pPr>
    </w:p>
    <w:p w14:paraId="64C8A152" w14:textId="77777777" w:rsidR="007E4E4A" w:rsidRPr="002D08AC" w:rsidRDefault="007E4E4A" w:rsidP="007E4E4A">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6F65759" w14:textId="77777777" w:rsidR="00860000" w:rsidRDefault="00860000" w:rsidP="00441B6F">
      <w:pPr>
        <w:pStyle w:val="ReferHead"/>
        <w:spacing w:after="0"/>
        <w:jc w:val="both"/>
        <w:rPr>
          <w:rFonts w:ascii="Arial" w:hAnsi="Arial" w:cs="Arial"/>
        </w:rPr>
      </w:pPr>
    </w:p>
    <w:p w14:paraId="5381B2B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31B312D1" w14:textId="77777777" w:rsidR="00790ADA" w:rsidRPr="00FB3A86" w:rsidRDefault="00790ADA" w:rsidP="00441B6F">
      <w:pPr>
        <w:pStyle w:val="ReferHead"/>
        <w:spacing w:after="0"/>
        <w:jc w:val="both"/>
        <w:rPr>
          <w:rFonts w:ascii="Arial" w:hAnsi="Arial" w:cs="Arial"/>
        </w:rPr>
      </w:pPr>
    </w:p>
    <w:p w14:paraId="3DE5B611"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Abraha, B., Admassu, H., Beyene, F., Marc, F., Mahmud, A. &amp; Xia, W. (2018). Effect of processing methods on nutritional and physicochemical composition of fish: A review. </w:t>
      </w:r>
      <w:r>
        <w:rPr>
          <w:rFonts w:ascii="Times New Roman" w:hAnsi="Times New Roman"/>
          <w:i/>
          <w:sz w:val="24"/>
          <w:szCs w:val="24"/>
        </w:rPr>
        <w:t>MOJ Food</w:t>
      </w:r>
      <w:r>
        <w:rPr>
          <w:rFonts w:ascii="Times New Roman" w:hAnsi="Times New Roman"/>
          <w:sz w:val="24"/>
          <w:szCs w:val="24"/>
        </w:rPr>
        <w:t xml:space="preserve"> </w:t>
      </w:r>
      <w:r>
        <w:rPr>
          <w:rFonts w:ascii="Times New Roman" w:hAnsi="Times New Roman"/>
          <w:i/>
          <w:sz w:val="24"/>
          <w:szCs w:val="24"/>
        </w:rPr>
        <w:t>Processing &amp; Technology</w:t>
      </w:r>
      <w:r>
        <w:rPr>
          <w:rFonts w:ascii="Times New Roman" w:hAnsi="Times New Roman"/>
          <w:sz w:val="24"/>
          <w:szCs w:val="24"/>
        </w:rPr>
        <w:t xml:space="preserve">. </w:t>
      </w:r>
      <w:r>
        <w:rPr>
          <w:rFonts w:ascii="Times New Roman" w:hAnsi="Times New Roman"/>
          <w:b/>
          <w:sz w:val="24"/>
          <w:szCs w:val="24"/>
        </w:rPr>
        <w:t>6</w:t>
      </w:r>
      <w:r>
        <w:rPr>
          <w:rFonts w:ascii="Times New Roman" w:hAnsi="Times New Roman"/>
          <w:sz w:val="24"/>
          <w:szCs w:val="24"/>
        </w:rPr>
        <w:t>(4):376-382.</w:t>
      </w:r>
    </w:p>
    <w:p w14:paraId="3086715C" w14:textId="77777777" w:rsidR="00953144" w:rsidRDefault="00953144" w:rsidP="00953144">
      <w:pPr>
        <w:pStyle w:val="NormalWeb"/>
        <w:spacing w:before="0" w:beforeAutospacing="0" w:after="0" w:afterAutospacing="0" w:line="276" w:lineRule="auto"/>
        <w:ind w:left="720" w:hanging="720"/>
        <w:jc w:val="both"/>
      </w:pPr>
      <w:r>
        <w:t xml:space="preserve">Adebayo, I. A. (2020). Assessment of heavy metals contamination and human health risk in </w:t>
      </w:r>
      <w:r>
        <w:rPr>
          <w:rStyle w:val="Emphasis"/>
        </w:rPr>
        <w:t xml:space="preserve">Clarias </w:t>
      </w:r>
      <w:proofErr w:type="spellStart"/>
      <w:r>
        <w:rPr>
          <w:rStyle w:val="Emphasis"/>
        </w:rPr>
        <w:t>gariepinus</w:t>
      </w:r>
      <w:proofErr w:type="spellEnd"/>
      <w:r>
        <w:t xml:space="preserve"> (Burchell, 1822) collected from Jabi Lake, Abuja, Nigeria. </w:t>
      </w:r>
      <w:r>
        <w:rPr>
          <w:rStyle w:val="Emphasis"/>
        </w:rPr>
        <w:t>Scientific African, 10</w:t>
      </w:r>
      <w:r>
        <w:t xml:space="preserve">, e00292. </w:t>
      </w:r>
      <w:hyperlink r:id="rId14" w:tgtFrame="_new" w:history="1">
        <w:r>
          <w:rPr>
            <w:rStyle w:val="Hyperlink"/>
          </w:rPr>
          <w:t>https://doi.org/10.1016/j.sciaf.2020.e00292</w:t>
        </w:r>
      </w:hyperlink>
    </w:p>
    <w:p w14:paraId="30B79F54" w14:textId="77777777" w:rsidR="00953144" w:rsidRDefault="00953144" w:rsidP="00953144">
      <w:pPr>
        <w:pStyle w:val="NormalWeb"/>
        <w:spacing w:before="0" w:beforeAutospacing="0" w:after="0" w:afterAutospacing="0" w:line="276" w:lineRule="auto"/>
        <w:ind w:left="720" w:hanging="720"/>
        <w:jc w:val="both"/>
      </w:pPr>
      <w:r>
        <w:t>Adebayo, I. A., Akinyemi, A. A., &amp; Akinola, O. J. (2007). Biomarkers of oxidative stress and heavy metal levels as indicators of environmental pollution in African catfish (</w:t>
      </w:r>
      <w:r>
        <w:rPr>
          <w:rStyle w:val="Emphasis"/>
        </w:rPr>
        <w:t xml:space="preserve">Clarias </w:t>
      </w:r>
      <w:proofErr w:type="spellStart"/>
      <w:r>
        <w:rPr>
          <w:rStyle w:val="Emphasis"/>
        </w:rPr>
        <w:t>gariepinus</w:t>
      </w:r>
      <w:proofErr w:type="spellEnd"/>
      <w:r>
        <w:t xml:space="preserve">) from Ogun River, Nigeria. </w:t>
      </w:r>
      <w:r>
        <w:rPr>
          <w:rStyle w:val="Emphasis"/>
        </w:rPr>
        <w:t>International Journal of Environmental Research and Public Health, 4</w:t>
      </w:r>
      <w:r>
        <w:t>(2), 158–165. https://doi.org/10.3390/ijerph2007020008</w:t>
      </w:r>
    </w:p>
    <w:p w14:paraId="0F68293E" w14:textId="77777777" w:rsidR="00953144" w:rsidRDefault="00953144" w:rsidP="00953144">
      <w:pPr>
        <w:pStyle w:val="NormalWeb"/>
        <w:spacing w:before="0" w:beforeAutospacing="0" w:after="0" w:afterAutospacing="0" w:line="276" w:lineRule="auto"/>
        <w:ind w:left="720" w:hanging="720"/>
        <w:jc w:val="both"/>
      </w:pPr>
      <w:r>
        <w:t xml:space="preserve">Adegbola, I. P., </w:t>
      </w:r>
      <w:proofErr w:type="spellStart"/>
      <w:r>
        <w:t>Aborisade</w:t>
      </w:r>
      <w:proofErr w:type="spellEnd"/>
      <w:r>
        <w:t>, B. A., &amp; Adetutu, A. (2021). Health risk assessment and heavy metal accumulation in fish species (</w:t>
      </w:r>
      <w:r>
        <w:rPr>
          <w:rStyle w:val="Emphasis"/>
        </w:rPr>
        <w:t xml:space="preserve">Clarias </w:t>
      </w:r>
      <w:proofErr w:type="spellStart"/>
      <w:r>
        <w:rPr>
          <w:rStyle w:val="Emphasis"/>
        </w:rPr>
        <w:t>gariepinus</w:t>
      </w:r>
      <w:proofErr w:type="spellEnd"/>
      <w:r>
        <w:t xml:space="preserve"> and </w:t>
      </w:r>
      <w:proofErr w:type="spellStart"/>
      <w:r>
        <w:rPr>
          <w:rStyle w:val="Emphasis"/>
        </w:rPr>
        <w:t>Sarotherodon</w:t>
      </w:r>
      <w:proofErr w:type="spellEnd"/>
      <w:r>
        <w:rPr>
          <w:rStyle w:val="Emphasis"/>
        </w:rPr>
        <w:t xml:space="preserve"> </w:t>
      </w:r>
      <w:proofErr w:type="spellStart"/>
      <w:r>
        <w:rPr>
          <w:rStyle w:val="Emphasis"/>
        </w:rPr>
        <w:t>melanotheron</w:t>
      </w:r>
      <w:proofErr w:type="spellEnd"/>
      <w:r>
        <w:t xml:space="preserve">) from industrially polluted Ogun and </w:t>
      </w:r>
      <w:proofErr w:type="spellStart"/>
      <w:r>
        <w:t>Eleyele</w:t>
      </w:r>
      <w:proofErr w:type="spellEnd"/>
      <w:r>
        <w:t xml:space="preserve"> Rivers, Nigeria. </w:t>
      </w:r>
      <w:r>
        <w:rPr>
          <w:rStyle w:val="Emphasis"/>
        </w:rPr>
        <w:t>Toxicology Reports, 8</w:t>
      </w:r>
      <w:r>
        <w:t>, 1445–1460.</w:t>
      </w:r>
    </w:p>
    <w:p w14:paraId="2A02ED31"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Afolabi, O.J., Oladele, O.O. &amp; </w:t>
      </w:r>
      <w:proofErr w:type="spellStart"/>
      <w:r>
        <w:rPr>
          <w:rFonts w:ascii="Times New Roman" w:hAnsi="Times New Roman"/>
          <w:sz w:val="24"/>
          <w:szCs w:val="24"/>
        </w:rPr>
        <w:t>Olususi</w:t>
      </w:r>
      <w:proofErr w:type="spellEnd"/>
      <w:r>
        <w:rPr>
          <w:rFonts w:ascii="Times New Roman" w:hAnsi="Times New Roman"/>
          <w:sz w:val="24"/>
          <w:szCs w:val="24"/>
        </w:rPr>
        <w:t xml:space="preserve">, F.C. (2020). Assessment of bacterial loads of Clarias </w:t>
      </w:r>
      <w:proofErr w:type="spellStart"/>
      <w:r>
        <w:rPr>
          <w:rFonts w:ascii="Times New Roman" w:hAnsi="Times New Roman"/>
          <w:sz w:val="24"/>
          <w:szCs w:val="24"/>
        </w:rPr>
        <w:t>gariepinus</w:t>
      </w:r>
      <w:proofErr w:type="spellEnd"/>
      <w:r>
        <w:rPr>
          <w:rFonts w:ascii="Times New Roman" w:hAnsi="Times New Roman"/>
          <w:sz w:val="24"/>
          <w:szCs w:val="24"/>
        </w:rPr>
        <w:t xml:space="preserve"> (Burchell, 1822) obtained from cultured and natural habitats. </w:t>
      </w:r>
      <w:r>
        <w:rPr>
          <w:rFonts w:ascii="Times New Roman" w:hAnsi="Times New Roman"/>
          <w:i/>
          <w:sz w:val="24"/>
          <w:szCs w:val="24"/>
        </w:rPr>
        <w:t>The Journal of</w:t>
      </w:r>
      <w:r>
        <w:rPr>
          <w:rFonts w:ascii="Times New Roman" w:hAnsi="Times New Roman"/>
          <w:sz w:val="24"/>
          <w:szCs w:val="24"/>
        </w:rPr>
        <w:t xml:space="preserve"> </w:t>
      </w:r>
      <w:r>
        <w:rPr>
          <w:rFonts w:ascii="Times New Roman" w:hAnsi="Times New Roman"/>
          <w:i/>
          <w:sz w:val="24"/>
          <w:szCs w:val="24"/>
        </w:rPr>
        <w:t>Basic and Applied Zoology</w:t>
      </w:r>
      <w:r>
        <w:rPr>
          <w:rFonts w:ascii="Times New Roman" w:hAnsi="Times New Roman"/>
          <w:sz w:val="24"/>
          <w:szCs w:val="24"/>
        </w:rPr>
        <w:t>. 81:32.</w:t>
      </w:r>
    </w:p>
    <w:p w14:paraId="4D523715"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Ahmed, I., Reshi, Q.M. &amp; Fazio, F. (2021). The influence of the rearing environment on fish growth, physiological condition and nutritional quality. </w:t>
      </w:r>
      <w:r>
        <w:rPr>
          <w:rFonts w:ascii="Times New Roman" w:hAnsi="Times New Roman"/>
          <w:i/>
          <w:sz w:val="24"/>
          <w:szCs w:val="24"/>
        </w:rPr>
        <w:t>Aquaculture</w:t>
      </w:r>
      <w:r>
        <w:rPr>
          <w:rFonts w:ascii="Times New Roman" w:hAnsi="Times New Roman"/>
          <w:sz w:val="24"/>
          <w:szCs w:val="24"/>
        </w:rPr>
        <w:t xml:space="preserve"> </w:t>
      </w:r>
      <w:r>
        <w:rPr>
          <w:rFonts w:ascii="Times New Roman" w:hAnsi="Times New Roman"/>
          <w:i/>
          <w:sz w:val="24"/>
          <w:szCs w:val="24"/>
        </w:rPr>
        <w:t>Reports</w:t>
      </w:r>
      <w:r>
        <w:rPr>
          <w:rFonts w:ascii="Times New Roman" w:hAnsi="Times New Roman"/>
          <w:sz w:val="24"/>
          <w:szCs w:val="24"/>
        </w:rPr>
        <w:t>. 20:100684.</w:t>
      </w:r>
    </w:p>
    <w:p w14:paraId="66180901" w14:textId="77777777" w:rsidR="00953144" w:rsidRDefault="00953144" w:rsidP="00953144">
      <w:pPr>
        <w:pStyle w:val="NormalWeb"/>
        <w:spacing w:before="0" w:beforeAutospacing="0" w:after="0" w:afterAutospacing="0" w:line="276" w:lineRule="auto"/>
        <w:ind w:left="720" w:hanging="720"/>
        <w:jc w:val="both"/>
      </w:pPr>
      <w:r>
        <w:t xml:space="preserve">Ahmed, M. K., Shaheen, N., Islam, M. S., Habibullah-Al-Mamun, M., Islam, S., </w:t>
      </w:r>
      <w:proofErr w:type="spellStart"/>
      <w:r>
        <w:t>Mohiduzzaman</w:t>
      </w:r>
      <w:proofErr w:type="spellEnd"/>
      <w:r>
        <w:t xml:space="preserve">, M., &amp; Bhattacharjee, L. (2020). Dietary intake of trace elements from cultured fish and human health risk assessment. </w:t>
      </w:r>
      <w:r>
        <w:rPr>
          <w:rStyle w:val="Emphasis"/>
        </w:rPr>
        <w:t>Food Control, 118</w:t>
      </w:r>
      <w:r>
        <w:t>, 107395.</w:t>
      </w:r>
    </w:p>
    <w:p w14:paraId="431E462D" w14:textId="77777777" w:rsidR="00953144" w:rsidRDefault="00953144" w:rsidP="00953144">
      <w:pPr>
        <w:pStyle w:val="NormalWeb"/>
        <w:spacing w:before="0" w:beforeAutospacing="0" w:after="0" w:afterAutospacing="0" w:line="276" w:lineRule="auto"/>
        <w:ind w:left="720" w:hanging="720"/>
        <w:jc w:val="both"/>
      </w:pPr>
      <w:proofErr w:type="spellStart"/>
      <w:r>
        <w:t>Alhas</w:t>
      </w:r>
      <w:proofErr w:type="spellEnd"/>
      <w:r>
        <w:t xml:space="preserve">, E., Yildiz, M., &amp; </w:t>
      </w:r>
      <w:proofErr w:type="spellStart"/>
      <w:r>
        <w:t>Kucuksezgin</w:t>
      </w:r>
      <w:proofErr w:type="spellEnd"/>
      <w:r>
        <w:t xml:space="preserve">, F. (2023). Bioaccumulation and risk assessment of heavy metals in freshwater fish species. </w:t>
      </w:r>
      <w:r>
        <w:rPr>
          <w:rStyle w:val="Emphasis"/>
        </w:rPr>
        <w:t>Environmental Monitoring and Assessment, 195</w:t>
      </w:r>
      <w:r>
        <w:t>(4), 512.</w:t>
      </w:r>
    </w:p>
    <w:p w14:paraId="7B770BE1" w14:textId="77777777" w:rsidR="00953144" w:rsidRDefault="00953144" w:rsidP="00953144">
      <w:pPr>
        <w:pStyle w:val="NormalWeb"/>
        <w:spacing w:before="0" w:beforeAutospacing="0" w:after="0" w:afterAutospacing="0" w:line="276" w:lineRule="auto"/>
        <w:ind w:left="720" w:hanging="720"/>
        <w:jc w:val="both"/>
      </w:pPr>
      <w:r>
        <w:t xml:space="preserve">Ali, H., Khan, E., &amp; Ilahi, I. (2019). Environmental chemistry and ecotoxicology of hazardous heavy metals: Environmental persistence, toxicity, and bioaccumulation. </w:t>
      </w:r>
      <w:r>
        <w:rPr>
          <w:rStyle w:val="Emphasis"/>
        </w:rPr>
        <w:t>Journal of Chemistry, 2019</w:t>
      </w:r>
      <w:r>
        <w:t>, 6730305.</w:t>
      </w:r>
    </w:p>
    <w:p w14:paraId="210FA748" w14:textId="77777777" w:rsidR="00953144" w:rsidRDefault="00953144" w:rsidP="00953144">
      <w:pPr>
        <w:ind w:left="720" w:hanging="720"/>
        <w:jc w:val="both"/>
        <w:rPr>
          <w:rFonts w:ascii="Times New Roman" w:hAnsi="Times New Roman"/>
          <w:sz w:val="24"/>
          <w:szCs w:val="24"/>
        </w:rPr>
      </w:pPr>
      <w:proofErr w:type="spellStart"/>
      <w:r>
        <w:rPr>
          <w:rFonts w:ascii="Times New Roman" w:hAnsi="Times New Roman"/>
          <w:sz w:val="24"/>
          <w:szCs w:val="24"/>
        </w:rPr>
        <w:t>Alidadi</w:t>
      </w:r>
      <w:proofErr w:type="spellEnd"/>
      <w:r>
        <w:rPr>
          <w:rFonts w:ascii="Times New Roman" w:hAnsi="Times New Roman"/>
          <w:sz w:val="24"/>
          <w:szCs w:val="24"/>
        </w:rPr>
        <w:t xml:space="preserve">, H., Fakhari, M. &amp; </w:t>
      </w:r>
      <w:proofErr w:type="spellStart"/>
      <w:r>
        <w:rPr>
          <w:rFonts w:ascii="Times New Roman" w:hAnsi="Times New Roman"/>
          <w:sz w:val="24"/>
          <w:szCs w:val="24"/>
        </w:rPr>
        <w:t>Nourmoradi</w:t>
      </w:r>
      <w:proofErr w:type="spellEnd"/>
      <w:r>
        <w:rPr>
          <w:rFonts w:ascii="Times New Roman" w:hAnsi="Times New Roman"/>
          <w:sz w:val="24"/>
          <w:szCs w:val="24"/>
        </w:rPr>
        <w:t xml:space="preserve">, H. (2024). Heavy metals in fish: Bioaccumulation, toxicity, and human health risk assessment. </w:t>
      </w:r>
      <w:r>
        <w:rPr>
          <w:rFonts w:ascii="Times New Roman" w:hAnsi="Times New Roman"/>
          <w:i/>
          <w:sz w:val="24"/>
          <w:szCs w:val="24"/>
        </w:rPr>
        <w:t>Environmental</w:t>
      </w:r>
      <w:r>
        <w:rPr>
          <w:rFonts w:ascii="Times New Roman" w:hAnsi="Times New Roman"/>
          <w:sz w:val="24"/>
          <w:szCs w:val="24"/>
        </w:rPr>
        <w:t xml:space="preserve"> </w:t>
      </w:r>
      <w:r>
        <w:rPr>
          <w:rFonts w:ascii="Times New Roman" w:hAnsi="Times New Roman"/>
          <w:i/>
          <w:sz w:val="24"/>
          <w:szCs w:val="24"/>
        </w:rPr>
        <w:t>Research</w:t>
      </w:r>
      <w:r>
        <w:rPr>
          <w:rFonts w:ascii="Times New Roman" w:hAnsi="Times New Roman"/>
          <w:sz w:val="24"/>
          <w:szCs w:val="24"/>
        </w:rPr>
        <w:t>. 248:118261.</w:t>
      </w:r>
    </w:p>
    <w:p w14:paraId="70914866"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American Public Health Association. (2023). </w:t>
      </w:r>
      <w:r>
        <w:rPr>
          <w:rFonts w:ascii="Times New Roman" w:hAnsi="Times New Roman"/>
          <w:i/>
          <w:iCs/>
          <w:sz w:val="24"/>
          <w:szCs w:val="24"/>
        </w:rPr>
        <w:t>Standard methods for the examination of water and wastewater</w:t>
      </w:r>
      <w:r>
        <w:rPr>
          <w:rFonts w:ascii="Times New Roman" w:hAnsi="Times New Roman"/>
          <w:sz w:val="24"/>
          <w:szCs w:val="24"/>
        </w:rPr>
        <w:t xml:space="preserve"> (24th ed.). APHA. </w:t>
      </w:r>
    </w:p>
    <w:p w14:paraId="109369B1" w14:textId="77777777" w:rsidR="00953144" w:rsidRDefault="00953144" w:rsidP="00953144">
      <w:pPr>
        <w:ind w:left="720" w:hanging="720"/>
        <w:jc w:val="both"/>
        <w:rPr>
          <w:rFonts w:ascii="Times New Roman" w:eastAsia="Calibri" w:hAnsi="Times New Roman"/>
          <w:sz w:val="24"/>
          <w:szCs w:val="24"/>
        </w:rPr>
      </w:pPr>
      <w:r>
        <w:rPr>
          <w:rFonts w:ascii="Times New Roman" w:hAnsi="Times New Roman"/>
          <w:sz w:val="24"/>
          <w:szCs w:val="24"/>
        </w:rPr>
        <w:t>Amoah, Y.T., Ofori, K. &amp; Attipoe, F.Y.K. (2021). Genetic diversity and population structure of African catfish (</w:t>
      </w:r>
      <w:r>
        <w:rPr>
          <w:rFonts w:ascii="Times New Roman" w:hAnsi="Times New Roman"/>
          <w:i/>
          <w:sz w:val="24"/>
          <w:szCs w:val="24"/>
        </w:rPr>
        <w:t xml:space="preserve">Clarias </w:t>
      </w:r>
      <w:proofErr w:type="spellStart"/>
      <w:r>
        <w:rPr>
          <w:rFonts w:ascii="Times New Roman" w:hAnsi="Times New Roman"/>
          <w:i/>
          <w:sz w:val="24"/>
          <w:szCs w:val="24"/>
        </w:rPr>
        <w:t>gariepinus</w:t>
      </w:r>
      <w:proofErr w:type="spellEnd"/>
      <w:r>
        <w:rPr>
          <w:rFonts w:ascii="Times New Roman" w:hAnsi="Times New Roman"/>
          <w:sz w:val="24"/>
          <w:szCs w:val="24"/>
        </w:rPr>
        <w:t xml:space="preserve">) populations. </w:t>
      </w:r>
      <w:r>
        <w:rPr>
          <w:rFonts w:ascii="Times New Roman" w:hAnsi="Times New Roman"/>
          <w:i/>
          <w:sz w:val="24"/>
          <w:szCs w:val="24"/>
        </w:rPr>
        <w:t>Aquaculture Reports</w:t>
      </w:r>
      <w:r>
        <w:rPr>
          <w:rFonts w:ascii="Times New Roman" w:hAnsi="Times New Roman"/>
          <w:sz w:val="24"/>
          <w:szCs w:val="24"/>
        </w:rPr>
        <w:t>. 20:100675.</w:t>
      </w:r>
    </w:p>
    <w:p w14:paraId="024A6FDD" w14:textId="77777777" w:rsidR="00953144" w:rsidRDefault="00953144" w:rsidP="00953144">
      <w:pPr>
        <w:jc w:val="both"/>
        <w:rPr>
          <w:rFonts w:ascii="Times New Roman" w:hAnsi="Times New Roman"/>
          <w:sz w:val="24"/>
          <w:szCs w:val="24"/>
        </w:rPr>
      </w:pPr>
      <w:r>
        <w:rPr>
          <w:rFonts w:ascii="Times New Roman" w:hAnsi="Times New Roman"/>
          <w:sz w:val="24"/>
          <w:szCs w:val="24"/>
        </w:rPr>
        <w:t xml:space="preserve">AOAC International. (2023). </w:t>
      </w:r>
      <w:r>
        <w:rPr>
          <w:rFonts w:ascii="Times New Roman" w:hAnsi="Times New Roman"/>
          <w:i/>
          <w:iCs/>
          <w:sz w:val="24"/>
          <w:szCs w:val="24"/>
        </w:rPr>
        <w:t>Official methods of analysis</w:t>
      </w:r>
      <w:r>
        <w:rPr>
          <w:rFonts w:ascii="Times New Roman" w:hAnsi="Times New Roman"/>
          <w:sz w:val="24"/>
          <w:szCs w:val="24"/>
        </w:rPr>
        <w:t xml:space="preserve"> (22nd ed.). AOAC International. </w:t>
      </w:r>
    </w:p>
    <w:p w14:paraId="7CB22C7A"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Aremu, M.O., Ibrahim, H., </w:t>
      </w:r>
      <w:proofErr w:type="spellStart"/>
      <w:r>
        <w:rPr>
          <w:rFonts w:ascii="Times New Roman" w:hAnsi="Times New Roman"/>
          <w:sz w:val="24"/>
          <w:szCs w:val="24"/>
        </w:rPr>
        <w:t>Gwadabe</w:t>
      </w:r>
      <w:proofErr w:type="spellEnd"/>
      <w:r>
        <w:rPr>
          <w:rFonts w:ascii="Times New Roman" w:hAnsi="Times New Roman"/>
          <w:sz w:val="24"/>
          <w:szCs w:val="24"/>
        </w:rPr>
        <w:t xml:space="preserve">, A.S., Audu, S.S., Mohammed, M.A., </w:t>
      </w:r>
      <w:proofErr w:type="spellStart"/>
      <w:r>
        <w:rPr>
          <w:rFonts w:ascii="Times New Roman" w:hAnsi="Times New Roman"/>
          <w:sz w:val="24"/>
          <w:szCs w:val="24"/>
        </w:rPr>
        <w:t>Omosebi</w:t>
      </w:r>
      <w:proofErr w:type="spellEnd"/>
      <w:r>
        <w:rPr>
          <w:rFonts w:ascii="Times New Roman" w:hAnsi="Times New Roman"/>
          <w:sz w:val="24"/>
          <w:szCs w:val="24"/>
        </w:rPr>
        <w:t xml:space="preserve">, M.O. &amp; Aremu, E.D. (2021). Nutritional evaluation of </w:t>
      </w:r>
      <w:r>
        <w:rPr>
          <w:rFonts w:ascii="Times New Roman" w:hAnsi="Times New Roman"/>
          <w:i/>
          <w:sz w:val="24"/>
          <w:szCs w:val="24"/>
        </w:rPr>
        <w:t xml:space="preserve">Clarias </w:t>
      </w:r>
      <w:proofErr w:type="spellStart"/>
      <w:r>
        <w:rPr>
          <w:rFonts w:ascii="Times New Roman" w:hAnsi="Times New Roman"/>
          <w:i/>
          <w:sz w:val="24"/>
          <w:szCs w:val="24"/>
        </w:rPr>
        <w:t>gariepinus</w:t>
      </w:r>
      <w:proofErr w:type="spellEnd"/>
      <w:r>
        <w:rPr>
          <w:rFonts w:ascii="Times New Roman" w:hAnsi="Times New Roman"/>
          <w:sz w:val="24"/>
          <w:szCs w:val="24"/>
        </w:rPr>
        <w:t xml:space="preserve"> and Tilapia </w:t>
      </w:r>
      <w:proofErr w:type="spellStart"/>
      <w:r>
        <w:rPr>
          <w:rFonts w:ascii="Times New Roman" w:hAnsi="Times New Roman"/>
          <w:sz w:val="24"/>
          <w:szCs w:val="24"/>
        </w:rPr>
        <w:t>quineensis</w:t>
      </w:r>
      <w:proofErr w:type="spellEnd"/>
      <w:r>
        <w:rPr>
          <w:rFonts w:ascii="Times New Roman" w:hAnsi="Times New Roman"/>
          <w:sz w:val="24"/>
          <w:szCs w:val="24"/>
        </w:rPr>
        <w:t xml:space="preserve"> fishes from River Doma in Nasarawa State, Nigeria. </w:t>
      </w:r>
      <w:r>
        <w:rPr>
          <w:rFonts w:ascii="Times New Roman" w:hAnsi="Times New Roman"/>
          <w:i/>
          <w:sz w:val="24"/>
          <w:szCs w:val="24"/>
        </w:rPr>
        <w:t>European Journal of Nutrition &amp; Food</w:t>
      </w:r>
      <w:r>
        <w:rPr>
          <w:rFonts w:ascii="Times New Roman" w:hAnsi="Times New Roman"/>
          <w:sz w:val="24"/>
          <w:szCs w:val="24"/>
        </w:rPr>
        <w:t xml:space="preserve"> </w:t>
      </w:r>
      <w:r>
        <w:rPr>
          <w:rFonts w:ascii="Times New Roman" w:hAnsi="Times New Roman"/>
          <w:i/>
          <w:sz w:val="24"/>
          <w:szCs w:val="24"/>
        </w:rPr>
        <w:t>Safety</w:t>
      </w:r>
      <w:r>
        <w:rPr>
          <w:rFonts w:ascii="Times New Roman" w:hAnsi="Times New Roman"/>
          <w:sz w:val="24"/>
          <w:szCs w:val="24"/>
        </w:rPr>
        <w:t xml:space="preserve">. </w:t>
      </w:r>
      <w:r>
        <w:rPr>
          <w:rFonts w:ascii="Times New Roman" w:hAnsi="Times New Roman"/>
          <w:b/>
          <w:sz w:val="24"/>
          <w:szCs w:val="24"/>
        </w:rPr>
        <w:t>13</w:t>
      </w:r>
      <w:r>
        <w:rPr>
          <w:rFonts w:ascii="Times New Roman" w:hAnsi="Times New Roman"/>
          <w:sz w:val="24"/>
          <w:szCs w:val="24"/>
        </w:rPr>
        <w:t>(11):33-42.</w:t>
      </w:r>
    </w:p>
    <w:p w14:paraId="5A613131" w14:textId="77777777" w:rsidR="00953144" w:rsidRDefault="00953144" w:rsidP="00953144">
      <w:pPr>
        <w:ind w:left="720" w:hanging="720"/>
        <w:jc w:val="both"/>
        <w:rPr>
          <w:rFonts w:ascii="Times New Roman" w:eastAsia="Calibri" w:hAnsi="Times New Roman"/>
          <w:sz w:val="24"/>
          <w:szCs w:val="24"/>
        </w:rPr>
      </w:pPr>
      <w:r>
        <w:rPr>
          <w:rFonts w:ascii="Times New Roman" w:hAnsi="Times New Roman"/>
          <w:sz w:val="24"/>
          <w:szCs w:val="24"/>
        </w:rPr>
        <w:t xml:space="preserve">Arnot, J.A. &amp; </w:t>
      </w:r>
      <w:proofErr w:type="spellStart"/>
      <w:r>
        <w:rPr>
          <w:rFonts w:ascii="Times New Roman" w:hAnsi="Times New Roman"/>
          <w:sz w:val="24"/>
          <w:szCs w:val="24"/>
        </w:rPr>
        <w:t>Gobas</w:t>
      </w:r>
      <w:proofErr w:type="spellEnd"/>
      <w:r>
        <w:rPr>
          <w:rFonts w:ascii="Times New Roman" w:hAnsi="Times New Roman"/>
          <w:sz w:val="24"/>
          <w:szCs w:val="24"/>
        </w:rPr>
        <w:t xml:space="preserve">, F.A.P. (2018). A review of bioconcentration factor and bioaccumulation factor assessment approaches for aquatic organisms. </w:t>
      </w:r>
      <w:r>
        <w:rPr>
          <w:rFonts w:ascii="Times New Roman" w:hAnsi="Times New Roman"/>
          <w:i/>
          <w:sz w:val="24"/>
          <w:szCs w:val="24"/>
        </w:rPr>
        <w:t>Environmental Reviews</w:t>
      </w:r>
      <w:r>
        <w:rPr>
          <w:rFonts w:ascii="Times New Roman" w:hAnsi="Times New Roman"/>
          <w:sz w:val="24"/>
          <w:szCs w:val="24"/>
        </w:rPr>
        <w:t xml:space="preserve">. </w:t>
      </w:r>
      <w:r>
        <w:rPr>
          <w:rFonts w:ascii="Times New Roman" w:hAnsi="Times New Roman"/>
          <w:b/>
          <w:sz w:val="24"/>
          <w:szCs w:val="24"/>
        </w:rPr>
        <w:t>26</w:t>
      </w:r>
      <w:r>
        <w:rPr>
          <w:rFonts w:ascii="Times New Roman" w:hAnsi="Times New Roman"/>
          <w:sz w:val="24"/>
          <w:szCs w:val="24"/>
        </w:rPr>
        <w:t>(2):1-15.</w:t>
      </w:r>
    </w:p>
    <w:p w14:paraId="5DA912B8" w14:textId="77777777" w:rsidR="00953144" w:rsidRDefault="00953144" w:rsidP="00953144">
      <w:pPr>
        <w:pStyle w:val="NormalWeb"/>
        <w:spacing w:before="0" w:beforeAutospacing="0" w:after="0" w:afterAutospacing="0" w:line="276" w:lineRule="auto"/>
        <w:ind w:left="720" w:hanging="720"/>
        <w:jc w:val="both"/>
      </w:pPr>
      <w:r>
        <w:t xml:space="preserve">Authman, M. M. N., Zaki, M. S., </w:t>
      </w:r>
      <w:proofErr w:type="spellStart"/>
      <w:r>
        <w:t>Khallaf</w:t>
      </w:r>
      <w:proofErr w:type="spellEnd"/>
      <w:r>
        <w:t xml:space="preserve">, E. A., &amp; Abbas, H. H. (2015). Use of fish as bio-indicator of the effects of heavy metals pollution. </w:t>
      </w:r>
      <w:r>
        <w:rPr>
          <w:rStyle w:val="Emphasis"/>
        </w:rPr>
        <w:t>Journal of Aquaculture Research and Development, 6</w:t>
      </w:r>
      <w:r>
        <w:t>(4), 328.</w:t>
      </w:r>
    </w:p>
    <w:p w14:paraId="3A400897" w14:textId="77777777" w:rsidR="00953144" w:rsidRDefault="00953144" w:rsidP="00953144">
      <w:pPr>
        <w:pStyle w:val="NormalWeb"/>
        <w:spacing w:before="0" w:beforeAutospacing="0" w:after="0" w:afterAutospacing="0" w:line="276" w:lineRule="auto"/>
        <w:ind w:left="720" w:hanging="720"/>
        <w:jc w:val="both"/>
      </w:pPr>
      <w:r>
        <w:lastRenderedPageBreak/>
        <w:t xml:space="preserve">Baki, M. A., Hossain, M. M., Akter, J., Quraishi, S. B., </w:t>
      </w:r>
      <w:proofErr w:type="spellStart"/>
      <w:r>
        <w:t>Shojib</w:t>
      </w:r>
      <w:proofErr w:type="spellEnd"/>
      <w:r>
        <w:t xml:space="preserve">, M. F. H., Ullah, A. K. M. A., &amp; Khan, M. F. (2018). Concentration of heavy metals in seafood and assessment of human health risks. </w:t>
      </w:r>
      <w:r>
        <w:rPr>
          <w:rStyle w:val="Emphasis"/>
        </w:rPr>
        <w:t>Environmental Science and Pollution Research, 25</w:t>
      </w:r>
      <w:r>
        <w:t>(4), 3631–3645.</w:t>
      </w:r>
    </w:p>
    <w:p w14:paraId="45966A56" w14:textId="77777777" w:rsidR="00953144" w:rsidRDefault="00953144" w:rsidP="00953144">
      <w:pPr>
        <w:pStyle w:val="NormalWeb"/>
        <w:spacing w:before="0" w:beforeAutospacing="0" w:after="0" w:afterAutospacing="0" w:line="276" w:lineRule="auto"/>
        <w:ind w:left="720" w:hanging="720"/>
        <w:jc w:val="both"/>
      </w:pPr>
      <w:r>
        <w:t>Bawa, U. (2024). Determination of heavy metals concentration in the muscles and gills of two species of fish (</w:t>
      </w:r>
      <w:r>
        <w:rPr>
          <w:rStyle w:val="Emphasis"/>
        </w:rPr>
        <w:t>Oreochromis niloticus</w:t>
      </w:r>
      <w:r>
        <w:t xml:space="preserve"> and </w:t>
      </w:r>
      <w:r>
        <w:rPr>
          <w:rStyle w:val="Emphasis"/>
        </w:rPr>
        <w:t xml:space="preserve">Clarias </w:t>
      </w:r>
      <w:proofErr w:type="spellStart"/>
      <w:r>
        <w:rPr>
          <w:rStyle w:val="Emphasis"/>
        </w:rPr>
        <w:t>gariepinus</w:t>
      </w:r>
      <w:proofErr w:type="spellEnd"/>
      <w:r>
        <w:t xml:space="preserve">). </w:t>
      </w:r>
      <w:r>
        <w:rPr>
          <w:rStyle w:val="Emphasis"/>
        </w:rPr>
        <w:t>Toxicology Digest</w:t>
      </w:r>
      <w:r>
        <w:t xml:space="preserve">. </w:t>
      </w:r>
    </w:p>
    <w:p w14:paraId="367A4B25" w14:textId="77777777" w:rsidR="00953144" w:rsidRDefault="00953144" w:rsidP="00953144">
      <w:pPr>
        <w:pStyle w:val="NormalWeb"/>
        <w:spacing w:before="0" w:beforeAutospacing="0" w:after="0" w:afterAutospacing="0" w:line="276" w:lineRule="auto"/>
        <w:ind w:left="720" w:hanging="720"/>
        <w:jc w:val="both"/>
      </w:pPr>
      <w:r>
        <w:t xml:space="preserve">Bawuro, A. A., </w:t>
      </w:r>
      <w:proofErr w:type="spellStart"/>
      <w:r>
        <w:t>Voegborlo</w:t>
      </w:r>
      <w:proofErr w:type="spellEnd"/>
      <w:r>
        <w:t xml:space="preserve">, R. B., &amp; </w:t>
      </w:r>
      <w:proofErr w:type="spellStart"/>
      <w:r>
        <w:t>Adimado</w:t>
      </w:r>
      <w:proofErr w:type="spellEnd"/>
      <w:r>
        <w:t xml:space="preserve">, A. A. (2018). Bioaccumulation of heavy metals in some tissues of fish in Lake Geriyo, Adamawa State, Nigeria. </w:t>
      </w:r>
      <w:r>
        <w:rPr>
          <w:rStyle w:val="Emphasis"/>
        </w:rPr>
        <w:t>Journal of Environmental and Public Health, 2018</w:t>
      </w:r>
      <w:r>
        <w:t xml:space="preserve">, 1854892. </w:t>
      </w:r>
    </w:p>
    <w:p w14:paraId="0CA1A57C" w14:textId="77777777" w:rsidR="00953144" w:rsidRDefault="00953144" w:rsidP="00953144">
      <w:pPr>
        <w:pStyle w:val="NormalWeb"/>
        <w:spacing w:before="0" w:beforeAutospacing="0" w:after="0" w:afterAutospacing="0" w:line="276" w:lineRule="auto"/>
        <w:ind w:left="720" w:hanging="720"/>
        <w:jc w:val="both"/>
      </w:pPr>
      <w:r>
        <w:t xml:space="preserve">Bawuro, A. A., </w:t>
      </w:r>
      <w:proofErr w:type="spellStart"/>
      <w:r>
        <w:t>Voegborlo</w:t>
      </w:r>
      <w:proofErr w:type="spellEnd"/>
      <w:r>
        <w:t xml:space="preserve">, R. B., &amp; </w:t>
      </w:r>
      <w:proofErr w:type="spellStart"/>
      <w:r>
        <w:t>Adimado</w:t>
      </w:r>
      <w:proofErr w:type="spellEnd"/>
      <w:r>
        <w:t xml:space="preserve">, A. A. (2018). Bioaccumulation of heavy metals in fish species from freshwater environments. </w:t>
      </w:r>
      <w:r>
        <w:rPr>
          <w:rStyle w:val="Emphasis"/>
        </w:rPr>
        <w:t>International Journal of Fisheries and Aquatic Studies, 6</w:t>
      </w:r>
      <w:r>
        <w:t>(3), 245–252.</w:t>
      </w:r>
    </w:p>
    <w:p w14:paraId="30562DC3"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Bene, C., </w:t>
      </w:r>
      <w:proofErr w:type="spellStart"/>
      <w:r>
        <w:rPr>
          <w:rFonts w:ascii="Times New Roman" w:hAnsi="Times New Roman"/>
          <w:sz w:val="24"/>
          <w:szCs w:val="24"/>
        </w:rPr>
        <w:t>Barange</w:t>
      </w:r>
      <w:proofErr w:type="spellEnd"/>
      <w:r>
        <w:rPr>
          <w:rFonts w:ascii="Times New Roman" w:hAnsi="Times New Roman"/>
          <w:sz w:val="24"/>
          <w:szCs w:val="24"/>
        </w:rPr>
        <w:t xml:space="preserve">, M., Subasinghe, R., Pinstrup-Andersen, P., Merino, G., </w:t>
      </w:r>
      <w:proofErr w:type="spellStart"/>
      <w:r>
        <w:rPr>
          <w:rFonts w:ascii="Times New Roman" w:hAnsi="Times New Roman"/>
          <w:sz w:val="24"/>
          <w:szCs w:val="24"/>
        </w:rPr>
        <w:t>Hemre</w:t>
      </w:r>
      <w:proofErr w:type="spellEnd"/>
      <w:r>
        <w:rPr>
          <w:rFonts w:ascii="Times New Roman" w:hAnsi="Times New Roman"/>
          <w:sz w:val="24"/>
          <w:szCs w:val="24"/>
        </w:rPr>
        <w:t xml:space="preserve">, G.I. &amp; Williams, M. (2019). Feeding 9 billion by 2050-Putting fish back on the menu. </w:t>
      </w:r>
      <w:r>
        <w:rPr>
          <w:rFonts w:ascii="Times New Roman" w:hAnsi="Times New Roman"/>
          <w:i/>
          <w:sz w:val="24"/>
          <w:szCs w:val="24"/>
        </w:rPr>
        <w:t>Food</w:t>
      </w:r>
      <w:r>
        <w:rPr>
          <w:rFonts w:ascii="Times New Roman" w:hAnsi="Times New Roman"/>
          <w:sz w:val="24"/>
          <w:szCs w:val="24"/>
        </w:rPr>
        <w:t xml:space="preserve"> </w:t>
      </w:r>
      <w:r>
        <w:rPr>
          <w:rFonts w:ascii="Times New Roman" w:hAnsi="Times New Roman"/>
          <w:i/>
          <w:sz w:val="24"/>
          <w:szCs w:val="24"/>
        </w:rPr>
        <w:t>Security</w:t>
      </w:r>
      <w:r>
        <w:rPr>
          <w:rFonts w:ascii="Times New Roman" w:hAnsi="Times New Roman"/>
          <w:sz w:val="24"/>
          <w:szCs w:val="24"/>
        </w:rPr>
        <w:t>. 11:261-273.</w:t>
      </w:r>
    </w:p>
    <w:p w14:paraId="75264FA7"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Boyd, C.E., D’Abramo, L.R., Glencross, B.D., </w:t>
      </w:r>
      <w:proofErr w:type="spellStart"/>
      <w:r>
        <w:rPr>
          <w:rFonts w:ascii="Times New Roman" w:hAnsi="Times New Roman"/>
          <w:sz w:val="24"/>
          <w:szCs w:val="24"/>
        </w:rPr>
        <w:t>Huyben</w:t>
      </w:r>
      <w:proofErr w:type="spellEnd"/>
      <w:r>
        <w:rPr>
          <w:rFonts w:ascii="Times New Roman" w:hAnsi="Times New Roman"/>
          <w:sz w:val="24"/>
          <w:szCs w:val="24"/>
        </w:rPr>
        <w:t xml:space="preserve">, D.C., Juarez, L.M., Lockwood, G.S. </w:t>
      </w:r>
      <w:r>
        <w:rPr>
          <w:rFonts w:ascii="Times New Roman" w:hAnsi="Times New Roman"/>
          <w:i/>
          <w:sz w:val="24"/>
          <w:szCs w:val="24"/>
        </w:rPr>
        <w:t>et</w:t>
      </w:r>
      <w:r>
        <w:rPr>
          <w:rFonts w:ascii="Times New Roman" w:hAnsi="Times New Roman"/>
          <w:sz w:val="24"/>
          <w:szCs w:val="24"/>
        </w:rPr>
        <w:t xml:space="preserve"> </w:t>
      </w:r>
      <w:r>
        <w:rPr>
          <w:rFonts w:ascii="Times New Roman" w:hAnsi="Times New Roman"/>
          <w:i/>
          <w:sz w:val="24"/>
          <w:szCs w:val="24"/>
        </w:rPr>
        <w:t>al.</w:t>
      </w:r>
      <w:r>
        <w:rPr>
          <w:rFonts w:ascii="Times New Roman" w:hAnsi="Times New Roman"/>
          <w:sz w:val="24"/>
          <w:szCs w:val="24"/>
        </w:rPr>
        <w:t xml:space="preserve"> (2020). Achieving sustainable aquaculture: Historical and current perspectives and future needs and challenges. </w:t>
      </w:r>
      <w:r>
        <w:rPr>
          <w:rFonts w:ascii="Times New Roman" w:hAnsi="Times New Roman"/>
          <w:i/>
          <w:sz w:val="24"/>
          <w:szCs w:val="24"/>
        </w:rPr>
        <w:t>Journal of the World Aquaculture Society</w:t>
      </w:r>
      <w:r>
        <w:rPr>
          <w:rFonts w:ascii="Times New Roman" w:hAnsi="Times New Roman"/>
          <w:sz w:val="24"/>
          <w:szCs w:val="24"/>
        </w:rPr>
        <w:t xml:space="preserve">. </w:t>
      </w:r>
      <w:r>
        <w:rPr>
          <w:rFonts w:ascii="Times New Roman" w:hAnsi="Times New Roman"/>
          <w:b/>
          <w:sz w:val="24"/>
          <w:szCs w:val="24"/>
        </w:rPr>
        <w:t>51</w:t>
      </w:r>
      <w:r>
        <w:rPr>
          <w:rFonts w:ascii="Times New Roman" w:hAnsi="Times New Roman"/>
          <w:sz w:val="24"/>
          <w:szCs w:val="24"/>
        </w:rPr>
        <w:t>(3):578-633.</w:t>
      </w:r>
    </w:p>
    <w:p w14:paraId="59CAB440"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Briffa, J., Sinagra, E. &amp; Blundell, R. (2020). Heavy metal pollution in the environment and their toxicological effects on humans. </w:t>
      </w:r>
      <w:proofErr w:type="spellStart"/>
      <w:r>
        <w:rPr>
          <w:rFonts w:ascii="Times New Roman" w:hAnsi="Times New Roman"/>
          <w:i/>
          <w:sz w:val="24"/>
          <w:szCs w:val="24"/>
        </w:rPr>
        <w:t>Heliyon</w:t>
      </w:r>
      <w:proofErr w:type="spellEnd"/>
      <w:r>
        <w:rPr>
          <w:rFonts w:ascii="Times New Roman" w:hAnsi="Times New Roman"/>
          <w:sz w:val="24"/>
          <w:szCs w:val="24"/>
        </w:rPr>
        <w:t xml:space="preserve">. </w:t>
      </w:r>
      <w:r>
        <w:rPr>
          <w:rFonts w:ascii="Times New Roman" w:hAnsi="Times New Roman"/>
          <w:b/>
          <w:sz w:val="24"/>
          <w:szCs w:val="24"/>
        </w:rPr>
        <w:t>6</w:t>
      </w:r>
      <w:r>
        <w:rPr>
          <w:rFonts w:ascii="Times New Roman" w:hAnsi="Times New Roman"/>
          <w:sz w:val="24"/>
          <w:szCs w:val="24"/>
        </w:rPr>
        <w:t>(9):04691.</w:t>
      </w:r>
    </w:p>
    <w:p w14:paraId="5071DB62" w14:textId="77777777" w:rsidR="00953144" w:rsidRDefault="00953144" w:rsidP="00953144">
      <w:pPr>
        <w:pStyle w:val="NormalWeb"/>
        <w:spacing w:before="0" w:beforeAutospacing="0" w:after="0" w:afterAutospacing="0" w:line="276" w:lineRule="auto"/>
        <w:ind w:left="720" w:hanging="720"/>
        <w:jc w:val="both"/>
      </w:pPr>
      <w:r>
        <w:t xml:space="preserve">Canli, M., &amp; Atli, G. (2003). The relationships between heavy metal levels and the size of six Mediterranean fish species. </w:t>
      </w:r>
      <w:r>
        <w:rPr>
          <w:rStyle w:val="Emphasis"/>
        </w:rPr>
        <w:t>Environmental Pollution, 121</w:t>
      </w:r>
      <w:r>
        <w:t>(1), 129–136.</w:t>
      </w:r>
    </w:p>
    <w:p w14:paraId="3AFA1A2A"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Copat, C., Grasso, A., Zuccarello, P. &amp; Fiore, M. (2018). Trace elements in fish and seafood: Human exposure and health risks. </w:t>
      </w:r>
      <w:r>
        <w:rPr>
          <w:rFonts w:ascii="Times New Roman" w:hAnsi="Times New Roman"/>
          <w:i/>
          <w:sz w:val="24"/>
          <w:szCs w:val="24"/>
        </w:rPr>
        <w:t>International Journal of Environmental Research</w:t>
      </w:r>
      <w:r>
        <w:rPr>
          <w:rFonts w:ascii="Times New Roman" w:hAnsi="Times New Roman"/>
          <w:sz w:val="24"/>
          <w:szCs w:val="24"/>
        </w:rPr>
        <w:t xml:space="preserve"> </w:t>
      </w:r>
      <w:r>
        <w:rPr>
          <w:rFonts w:ascii="Times New Roman" w:hAnsi="Times New Roman"/>
          <w:i/>
          <w:sz w:val="24"/>
          <w:szCs w:val="24"/>
        </w:rPr>
        <w:t>and</w:t>
      </w:r>
      <w:r>
        <w:rPr>
          <w:rFonts w:ascii="Times New Roman" w:hAnsi="Times New Roman"/>
          <w:sz w:val="24"/>
          <w:szCs w:val="24"/>
        </w:rPr>
        <w:t xml:space="preserve"> </w:t>
      </w:r>
      <w:r>
        <w:rPr>
          <w:rFonts w:ascii="Times New Roman" w:hAnsi="Times New Roman"/>
          <w:i/>
          <w:sz w:val="24"/>
          <w:szCs w:val="24"/>
        </w:rPr>
        <w:t>Public Health</w:t>
      </w:r>
      <w:r>
        <w:rPr>
          <w:rFonts w:ascii="Times New Roman" w:hAnsi="Times New Roman"/>
          <w:sz w:val="24"/>
          <w:szCs w:val="24"/>
        </w:rPr>
        <w:t xml:space="preserve">. </w:t>
      </w:r>
      <w:r>
        <w:rPr>
          <w:rFonts w:ascii="Times New Roman" w:hAnsi="Times New Roman"/>
          <w:b/>
          <w:sz w:val="24"/>
          <w:szCs w:val="24"/>
        </w:rPr>
        <w:t>15</w:t>
      </w:r>
      <w:r>
        <w:rPr>
          <w:rFonts w:ascii="Times New Roman" w:hAnsi="Times New Roman"/>
          <w:sz w:val="24"/>
          <w:szCs w:val="24"/>
        </w:rPr>
        <w:t>(7):1450.</w:t>
      </w:r>
    </w:p>
    <w:p w14:paraId="27CA95C0" w14:textId="77777777" w:rsidR="00953144" w:rsidRDefault="00953144" w:rsidP="00953144">
      <w:pPr>
        <w:ind w:left="720" w:hanging="720"/>
        <w:jc w:val="both"/>
        <w:rPr>
          <w:rFonts w:ascii="Times New Roman" w:hAnsi="Times New Roman"/>
          <w:sz w:val="24"/>
          <w:szCs w:val="24"/>
        </w:rPr>
      </w:pPr>
      <w:proofErr w:type="spellStart"/>
      <w:r>
        <w:rPr>
          <w:rFonts w:ascii="Times New Roman" w:hAnsi="Times New Roman"/>
          <w:sz w:val="24"/>
          <w:szCs w:val="24"/>
        </w:rPr>
        <w:t>Csuros</w:t>
      </w:r>
      <w:proofErr w:type="spellEnd"/>
      <w:r>
        <w:rPr>
          <w:rFonts w:ascii="Times New Roman" w:hAnsi="Times New Roman"/>
          <w:sz w:val="24"/>
          <w:szCs w:val="24"/>
        </w:rPr>
        <w:t xml:space="preserve">, M. &amp; </w:t>
      </w:r>
      <w:proofErr w:type="spellStart"/>
      <w:r>
        <w:rPr>
          <w:rFonts w:ascii="Times New Roman" w:hAnsi="Times New Roman"/>
          <w:sz w:val="24"/>
          <w:szCs w:val="24"/>
        </w:rPr>
        <w:t>Csuros</w:t>
      </w:r>
      <w:proofErr w:type="spellEnd"/>
      <w:r>
        <w:rPr>
          <w:rFonts w:ascii="Times New Roman" w:hAnsi="Times New Roman"/>
          <w:sz w:val="24"/>
          <w:szCs w:val="24"/>
        </w:rPr>
        <w:t>, C. (2018). Environmental Sampling and Analysis for Metals. CRC Press.</w:t>
      </w:r>
    </w:p>
    <w:p w14:paraId="21DFAE15"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Dauda, A.B., Ajadi, A., Tola-</w:t>
      </w:r>
      <w:proofErr w:type="spellStart"/>
      <w:r>
        <w:rPr>
          <w:rFonts w:ascii="Times New Roman" w:hAnsi="Times New Roman"/>
          <w:sz w:val="24"/>
          <w:szCs w:val="24"/>
        </w:rPr>
        <w:t>Fabunmi</w:t>
      </w:r>
      <w:proofErr w:type="spellEnd"/>
      <w:r>
        <w:rPr>
          <w:rFonts w:ascii="Times New Roman" w:hAnsi="Times New Roman"/>
          <w:sz w:val="24"/>
          <w:szCs w:val="24"/>
        </w:rPr>
        <w:t xml:space="preserve">, A.S. &amp; </w:t>
      </w:r>
      <w:proofErr w:type="spellStart"/>
      <w:r>
        <w:rPr>
          <w:rFonts w:ascii="Times New Roman" w:hAnsi="Times New Roman"/>
          <w:sz w:val="24"/>
          <w:szCs w:val="24"/>
        </w:rPr>
        <w:t>Akinwole</w:t>
      </w:r>
      <w:proofErr w:type="spellEnd"/>
      <w:r>
        <w:rPr>
          <w:rFonts w:ascii="Times New Roman" w:hAnsi="Times New Roman"/>
          <w:sz w:val="24"/>
          <w:szCs w:val="24"/>
        </w:rPr>
        <w:t xml:space="preserve">, A.O. (2019). Waste production in aquaculture: Sources, components and management in different culture systems. </w:t>
      </w:r>
      <w:r>
        <w:rPr>
          <w:rFonts w:ascii="Times New Roman" w:hAnsi="Times New Roman"/>
          <w:i/>
          <w:sz w:val="24"/>
          <w:szCs w:val="24"/>
        </w:rPr>
        <w:t>Aquaculture and Fisheries</w:t>
      </w:r>
      <w:r>
        <w:rPr>
          <w:rFonts w:ascii="Times New Roman" w:hAnsi="Times New Roman"/>
          <w:sz w:val="24"/>
          <w:szCs w:val="24"/>
        </w:rPr>
        <w:t xml:space="preserve">. </w:t>
      </w:r>
      <w:r>
        <w:rPr>
          <w:rFonts w:ascii="Times New Roman" w:hAnsi="Times New Roman"/>
          <w:b/>
          <w:sz w:val="24"/>
          <w:szCs w:val="24"/>
        </w:rPr>
        <w:t>4</w:t>
      </w:r>
      <w:r>
        <w:rPr>
          <w:rFonts w:ascii="Times New Roman" w:hAnsi="Times New Roman"/>
          <w:sz w:val="24"/>
          <w:szCs w:val="24"/>
        </w:rPr>
        <w:t>(3):81-88.</w:t>
      </w:r>
    </w:p>
    <w:p w14:paraId="1D263279" w14:textId="77777777" w:rsidR="00953144" w:rsidRDefault="00953144" w:rsidP="00953144">
      <w:pPr>
        <w:pStyle w:val="NormalWeb"/>
        <w:spacing w:before="0" w:beforeAutospacing="0" w:after="0" w:afterAutospacing="0" w:line="276" w:lineRule="auto"/>
        <w:ind w:left="720" w:hanging="720"/>
        <w:jc w:val="both"/>
      </w:pPr>
      <w:r>
        <w:t>El-</w:t>
      </w:r>
      <w:proofErr w:type="spellStart"/>
      <w:r>
        <w:t>Moselhy</w:t>
      </w:r>
      <w:proofErr w:type="spellEnd"/>
      <w:r>
        <w:t xml:space="preserve">, K. M., Othman, A. I., Abd El-Azem, H., &amp; El-Metwally, M. E. A. (2014). Bioaccumulation of heavy metals in some tissues of fish in the Red Sea, Egypt. </w:t>
      </w:r>
      <w:r>
        <w:rPr>
          <w:rStyle w:val="Emphasis"/>
        </w:rPr>
        <w:t>Egyptian Journal of Basic and Applied Sciences, 1</w:t>
      </w:r>
      <w:r>
        <w:t>(2), 97–105.</w:t>
      </w:r>
    </w:p>
    <w:p w14:paraId="5D6B1370"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European Food Safety Authority (EFSA). (2020). Risk assessment of metals in food: Scientific approaches and dietary exposure considerations. </w:t>
      </w:r>
      <w:r>
        <w:rPr>
          <w:rFonts w:ascii="Times New Roman" w:hAnsi="Times New Roman"/>
          <w:i/>
          <w:sz w:val="24"/>
          <w:szCs w:val="24"/>
        </w:rPr>
        <w:t>EFSA Journal</w:t>
      </w:r>
      <w:r>
        <w:rPr>
          <w:rFonts w:ascii="Times New Roman" w:hAnsi="Times New Roman"/>
          <w:sz w:val="24"/>
          <w:szCs w:val="24"/>
        </w:rPr>
        <w:t xml:space="preserve">. </w:t>
      </w:r>
      <w:r>
        <w:rPr>
          <w:rFonts w:ascii="Times New Roman" w:hAnsi="Times New Roman"/>
          <w:b/>
          <w:sz w:val="24"/>
          <w:szCs w:val="24"/>
        </w:rPr>
        <w:t>18</w:t>
      </w:r>
      <w:r>
        <w:rPr>
          <w:rFonts w:ascii="Times New Roman" w:hAnsi="Times New Roman"/>
          <w:sz w:val="24"/>
          <w:szCs w:val="24"/>
        </w:rPr>
        <w:t>(10):6268.</w:t>
      </w:r>
    </w:p>
    <w:p w14:paraId="6FD59477"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Food and Agriculture Organization of the United Nations (FAO) &amp; World Health Organization (WHO). (2022). General Standard for Contaminants and Toxins in Food and Feed (CXS 193-1995). Codex Alimentarius Commission.</w:t>
      </w:r>
    </w:p>
    <w:p w14:paraId="6FAD7ED5"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Fu, J., Liao, H., Qiu, R. &amp; Chen, J. (2020). Heavy metal contamination in aquatic food products and associated human health risks. </w:t>
      </w:r>
      <w:r>
        <w:rPr>
          <w:rFonts w:ascii="Times New Roman" w:hAnsi="Times New Roman"/>
          <w:i/>
          <w:sz w:val="24"/>
          <w:szCs w:val="24"/>
        </w:rPr>
        <w:t>Environmental Pollution</w:t>
      </w:r>
      <w:r>
        <w:rPr>
          <w:rFonts w:ascii="Times New Roman" w:hAnsi="Times New Roman"/>
          <w:sz w:val="24"/>
          <w:szCs w:val="24"/>
        </w:rPr>
        <w:t>. 263:114496.</w:t>
      </w:r>
    </w:p>
    <w:p w14:paraId="6DE796E7" w14:textId="77777777" w:rsidR="00953144" w:rsidRDefault="00953144" w:rsidP="00953144">
      <w:pPr>
        <w:pStyle w:val="NormalWeb"/>
        <w:spacing w:before="0" w:beforeAutospacing="0" w:after="0" w:afterAutospacing="0" w:line="276" w:lineRule="auto"/>
        <w:ind w:left="720" w:hanging="720"/>
        <w:jc w:val="both"/>
      </w:pPr>
      <w:r>
        <w:t xml:space="preserve">Garai, P., Banerjee, P., Mondal, P., &amp; Saha, N. C. (2021). Effect of heavy metals on fishes: Toxicity and bioaccumulation. </w:t>
      </w:r>
      <w:r>
        <w:rPr>
          <w:rStyle w:val="Emphasis"/>
        </w:rPr>
        <w:t>Journal of Clinical Toxicology</w:t>
      </w:r>
      <w:r>
        <w:t xml:space="preserve">, </w:t>
      </w:r>
      <w:proofErr w:type="gramStart"/>
      <w:r>
        <w:rPr>
          <w:rStyle w:val="Emphasis"/>
        </w:rPr>
        <w:t>S</w:t>
      </w:r>
      <w:r>
        <w:t>(</w:t>
      </w:r>
      <w:proofErr w:type="gramEnd"/>
      <w:r>
        <w:t xml:space="preserve">18). </w:t>
      </w:r>
    </w:p>
    <w:p w14:paraId="689520EA"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Gatlin, D.M., Barrows, F.T., Bellis, D., Krogdahl, Å., Silverstein, J. T., Sealey, W.M., &amp; Hardy, R. W. (2019). Expanding the utilization of plant products in aquafeeds: A review. </w:t>
      </w:r>
      <w:r>
        <w:rPr>
          <w:rFonts w:ascii="Times New Roman" w:hAnsi="Times New Roman"/>
          <w:i/>
          <w:sz w:val="24"/>
          <w:szCs w:val="24"/>
        </w:rPr>
        <w:t>Aquaculture</w:t>
      </w:r>
      <w:r>
        <w:rPr>
          <w:rFonts w:ascii="Times New Roman" w:hAnsi="Times New Roman"/>
          <w:sz w:val="24"/>
          <w:szCs w:val="24"/>
        </w:rPr>
        <w:t xml:space="preserve"> </w:t>
      </w:r>
      <w:r>
        <w:rPr>
          <w:rFonts w:ascii="Times New Roman" w:hAnsi="Times New Roman"/>
          <w:i/>
          <w:sz w:val="24"/>
          <w:szCs w:val="24"/>
        </w:rPr>
        <w:t>Research</w:t>
      </w:r>
      <w:r>
        <w:rPr>
          <w:rFonts w:ascii="Times New Roman" w:hAnsi="Times New Roman"/>
          <w:sz w:val="24"/>
          <w:szCs w:val="24"/>
        </w:rPr>
        <w:t xml:space="preserve">. </w:t>
      </w:r>
      <w:r>
        <w:rPr>
          <w:rFonts w:ascii="Times New Roman" w:hAnsi="Times New Roman"/>
          <w:b/>
          <w:sz w:val="24"/>
          <w:szCs w:val="24"/>
        </w:rPr>
        <w:t>50</w:t>
      </w:r>
      <w:r>
        <w:rPr>
          <w:rFonts w:ascii="Times New Roman" w:hAnsi="Times New Roman"/>
          <w:sz w:val="24"/>
          <w:szCs w:val="24"/>
        </w:rPr>
        <w:t>(9):2339-2354.</w:t>
      </w:r>
    </w:p>
    <w:p w14:paraId="3C1C9ABB"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Genchi, G., Sinicropi, M.S., Lauria, G., Carocci, A. &amp; Catalano, A. (2020). The effects of cadmium toxicity. </w:t>
      </w:r>
      <w:r>
        <w:rPr>
          <w:rFonts w:ascii="Times New Roman" w:hAnsi="Times New Roman"/>
          <w:i/>
          <w:sz w:val="24"/>
          <w:szCs w:val="24"/>
        </w:rPr>
        <w:t>International Journal of Environmental</w:t>
      </w:r>
      <w:r>
        <w:rPr>
          <w:rFonts w:ascii="Times New Roman" w:hAnsi="Times New Roman"/>
          <w:sz w:val="24"/>
          <w:szCs w:val="24"/>
        </w:rPr>
        <w:t xml:space="preserve"> </w:t>
      </w:r>
      <w:r>
        <w:rPr>
          <w:rFonts w:ascii="Times New Roman" w:hAnsi="Times New Roman"/>
          <w:i/>
          <w:sz w:val="24"/>
          <w:szCs w:val="24"/>
        </w:rPr>
        <w:t>Research and Public</w:t>
      </w:r>
      <w:r>
        <w:rPr>
          <w:rFonts w:ascii="Times New Roman" w:hAnsi="Times New Roman"/>
          <w:sz w:val="24"/>
          <w:szCs w:val="24"/>
        </w:rPr>
        <w:t xml:space="preserve"> </w:t>
      </w:r>
      <w:r>
        <w:rPr>
          <w:rFonts w:ascii="Times New Roman" w:hAnsi="Times New Roman"/>
          <w:i/>
          <w:sz w:val="24"/>
          <w:szCs w:val="24"/>
        </w:rPr>
        <w:t>Health</w:t>
      </w:r>
      <w:r>
        <w:rPr>
          <w:rFonts w:ascii="Times New Roman" w:hAnsi="Times New Roman"/>
          <w:sz w:val="24"/>
          <w:szCs w:val="24"/>
        </w:rPr>
        <w:t xml:space="preserve">. </w:t>
      </w:r>
      <w:r>
        <w:rPr>
          <w:rFonts w:ascii="Times New Roman" w:hAnsi="Times New Roman"/>
          <w:b/>
          <w:sz w:val="24"/>
          <w:szCs w:val="24"/>
        </w:rPr>
        <w:t>17</w:t>
      </w:r>
      <w:r>
        <w:rPr>
          <w:rFonts w:ascii="Times New Roman" w:hAnsi="Times New Roman"/>
          <w:sz w:val="24"/>
          <w:szCs w:val="24"/>
        </w:rPr>
        <w:t>(11):3782.</w:t>
      </w:r>
    </w:p>
    <w:p w14:paraId="3068DD17"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Hou, X., Amais, R.S., Jones, B.T. &amp; Donati, G.L. (2020). Inductively coupled plasma optical emission spectrometry. </w:t>
      </w:r>
      <w:r>
        <w:rPr>
          <w:rFonts w:ascii="Times New Roman" w:hAnsi="Times New Roman"/>
          <w:i/>
          <w:sz w:val="24"/>
          <w:szCs w:val="24"/>
        </w:rPr>
        <w:t>Applied Spectroscopy Reviews</w:t>
      </w:r>
      <w:r>
        <w:rPr>
          <w:rFonts w:ascii="Times New Roman" w:hAnsi="Times New Roman"/>
          <w:sz w:val="24"/>
          <w:szCs w:val="24"/>
        </w:rPr>
        <w:t xml:space="preserve">. </w:t>
      </w:r>
      <w:r>
        <w:rPr>
          <w:rFonts w:ascii="Times New Roman" w:hAnsi="Times New Roman"/>
          <w:b/>
          <w:sz w:val="24"/>
          <w:szCs w:val="24"/>
        </w:rPr>
        <w:t>55</w:t>
      </w:r>
      <w:r>
        <w:rPr>
          <w:rFonts w:ascii="Times New Roman" w:hAnsi="Times New Roman"/>
          <w:sz w:val="24"/>
          <w:szCs w:val="24"/>
        </w:rPr>
        <w:t>(1):1-31.</w:t>
      </w:r>
    </w:p>
    <w:p w14:paraId="41F67713" w14:textId="77777777" w:rsidR="00953144" w:rsidRDefault="00953144" w:rsidP="00953144">
      <w:pPr>
        <w:pStyle w:val="NormalWeb"/>
        <w:spacing w:before="0" w:beforeAutospacing="0" w:after="0" w:afterAutospacing="0" w:line="276" w:lineRule="auto"/>
        <w:ind w:left="720" w:hanging="720"/>
        <w:jc w:val="both"/>
      </w:pPr>
      <w:r>
        <w:t xml:space="preserve">Isibor, P. O., Imoobe, T. O. T., </w:t>
      </w:r>
      <w:proofErr w:type="spellStart"/>
      <w:r>
        <w:t>Enuneku</w:t>
      </w:r>
      <w:proofErr w:type="spellEnd"/>
      <w:r>
        <w:t xml:space="preserve">, A. A., </w:t>
      </w:r>
      <w:proofErr w:type="spellStart"/>
      <w:r>
        <w:t>Akinduti</w:t>
      </w:r>
      <w:proofErr w:type="spellEnd"/>
      <w:r>
        <w:t xml:space="preserve">, P. A., Dedeke, G. A., Adagunodo, T. A., &amp; Obafemi, D. Y. (2020). Principal components and hierarchical cluster analyses of trace metals and total hydrocarbons in gills, intestines and muscles of </w:t>
      </w:r>
      <w:r>
        <w:rPr>
          <w:rStyle w:val="Emphasis"/>
        </w:rPr>
        <w:t xml:space="preserve">Clarias </w:t>
      </w:r>
      <w:proofErr w:type="spellStart"/>
      <w:r>
        <w:rPr>
          <w:rStyle w:val="Emphasis"/>
        </w:rPr>
        <w:t>gariepinus</w:t>
      </w:r>
      <w:proofErr w:type="spellEnd"/>
      <w:r>
        <w:t xml:space="preserve"> (Burchell, 1822). </w:t>
      </w:r>
      <w:r>
        <w:rPr>
          <w:rStyle w:val="Emphasis"/>
        </w:rPr>
        <w:t>Scientific Reports, 10</w:t>
      </w:r>
      <w:r>
        <w:t xml:space="preserve">, 5180. </w:t>
      </w:r>
      <w:hyperlink r:id="rId15" w:tgtFrame="_new" w:history="1">
        <w:r>
          <w:rPr>
            <w:rStyle w:val="Hyperlink"/>
          </w:rPr>
          <w:t>https://doi.org/10.1038/s41598-020-62024-9</w:t>
        </w:r>
      </w:hyperlink>
    </w:p>
    <w:p w14:paraId="2742E4D4" w14:textId="77777777" w:rsidR="00953144" w:rsidRDefault="00953144" w:rsidP="00953144">
      <w:pPr>
        <w:pStyle w:val="NormalWeb"/>
        <w:spacing w:before="0" w:beforeAutospacing="0" w:after="0" w:afterAutospacing="0" w:line="276" w:lineRule="auto"/>
        <w:ind w:left="720" w:hanging="720"/>
        <w:jc w:val="both"/>
      </w:pPr>
      <w:r>
        <w:lastRenderedPageBreak/>
        <w:t>Jim-Halliday, T. T., Osu, C. I., &amp; Iwuoha, G. N. (2024). Evaluation of heavy metals in water, sediments and African catfish (</w:t>
      </w:r>
      <w:r>
        <w:rPr>
          <w:rStyle w:val="Emphasis"/>
        </w:rPr>
        <w:t xml:space="preserve">Clarias </w:t>
      </w:r>
      <w:proofErr w:type="spellStart"/>
      <w:r>
        <w:rPr>
          <w:rStyle w:val="Emphasis"/>
        </w:rPr>
        <w:t>gariepinus</w:t>
      </w:r>
      <w:proofErr w:type="spellEnd"/>
      <w:r>
        <w:t xml:space="preserve">) obtained from earthen and concrete fish ponds in Port Harcourt, Nigeria. </w:t>
      </w:r>
      <w:r>
        <w:rPr>
          <w:rStyle w:val="Emphasis"/>
        </w:rPr>
        <w:t>Scholars International Journal of Chemistry and Material Sciences, 7</w:t>
      </w:r>
      <w:r>
        <w:t xml:space="preserve">(11), 168–177. https://doi.org/10.36348/sijcms.2024.v07i11.004 </w:t>
      </w:r>
    </w:p>
    <w:p w14:paraId="4C515316" w14:textId="77777777" w:rsidR="00953144" w:rsidRDefault="00953144" w:rsidP="00953144">
      <w:pPr>
        <w:pStyle w:val="NormalWeb"/>
        <w:spacing w:before="0" w:beforeAutospacing="0" w:after="0" w:afterAutospacing="0" w:line="276" w:lineRule="auto"/>
        <w:ind w:left="720" w:hanging="720"/>
        <w:jc w:val="both"/>
      </w:pPr>
      <w:r>
        <w:t xml:space="preserve">Kelle, H. I., </w:t>
      </w:r>
      <w:proofErr w:type="spellStart"/>
      <w:r>
        <w:t>Ngbede</w:t>
      </w:r>
      <w:proofErr w:type="spellEnd"/>
      <w:r>
        <w:t xml:space="preserve">, E. O., Uju, O. V., &amp; </w:t>
      </w:r>
      <w:proofErr w:type="spellStart"/>
      <w:r>
        <w:t>Bekwe</w:t>
      </w:r>
      <w:proofErr w:type="spellEnd"/>
      <w:r>
        <w:t>, F. C. (2018). Determination of heavy metals in fish (</w:t>
      </w:r>
      <w:r>
        <w:rPr>
          <w:rStyle w:val="Emphasis"/>
        </w:rPr>
        <w:t xml:space="preserve">Clarias </w:t>
      </w:r>
      <w:proofErr w:type="spellStart"/>
      <w:r>
        <w:rPr>
          <w:rStyle w:val="Emphasis"/>
        </w:rPr>
        <w:t>gariepinus</w:t>
      </w:r>
      <w:proofErr w:type="spellEnd"/>
      <w:r>
        <w:t xml:space="preserve">) organs from Asaba major markets, Delta State, Nigeria. </w:t>
      </w:r>
      <w:r>
        <w:rPr>
          <w:rStyle w:val="Emphasis"/>
        </w:rPr>
        <w:t>Journal of Chemical Society of Nigeria</w:t>
      </w:r>
      <w:r>
        <w:t>.</w:t>
      </w:r>
    </w:p>
    <w:p w14:paraId="66ED4410"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Kokou, F. &amp; </w:t>
      </w:r>
      <w:proofErr w:type="spellStart"/>
      <w:r>
        <w:rPr>
          <w:rFonts w:ascii="Times New Roman" w:hAnsi="Times New Roman"/>
          <w:sz w:val="24"/>
          <w:szCs w:val="24"/>
        </w:rPr>
        <w:t>Fountoulaki</w:t>
      </w:r>
      <w:proofErr w:type="spellEnd"/>
      <w:r>
        <w:rPr>
          <w:rFonts w:ascii="Times New Roman" w:hAnsi="Times New Roman"/>
          <w:sz w:val="24"/>
          <w:szCs w:val="24"/>
        </w:rPr>
        <w:t xml:space="preserve">, E. (2018). Aquaculture waste production associated with antinutrient presence in common plant feedstuffs for fish. </w:t>
      </w:r>
      <w:r>
        <w:rPr>
          <w:rFonts w:ascii="Times New Roman" w:hAnsi="Times New Roman"/>
          <w:i/>
          <w:sz w:val="24"/>
          <w:szCs w:val="24"/>
        </w:rPr>
        <w:t>Aquaculture</w:t>
      </w:r>
      <w:r>
        <w:rPr>
          <w:rFonts w:ascii="Times New Roman" w:hAnsi="Times New Roman"/>
          <w:sz w:val="24"/>
          <w:szCs w:val="24"/>
        </w:rPr>
        <w:t>. 495:295-310.</w:t>
      </w:r>
    </w:p>
    <w:p w14:paraId="3759082F"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Kumar, A., Cabral-Pinto, M.M.S., Chaturvedi, A.K., Shabnam, A.A., Subrahmanyam, G. &amp; Mondal, R. </w:t>
      </w:r>
      <w:r>
        <w:rPr>
          <w:rFonts w:ascii="Times New Roman" w:hAnsi="Times New Roman"/>
          <w:i/>
          <w:sz w:val="24"/>
          <w:szCs w:val="24"/>
        </w:rPr>
        <w:t>et al.</w:t>
      </w:r>
      <w:r>
        <w:rPr>
          <w:rFonts w:ascii="Times New Roman" w:hAnsi="Times New Roman"/>
          <w:sz w:val="24"/>
          <w:szCs w:val="24"/>
        </w:rPr>
        <w:t xml:space="preserve"> (2023). Bioaccumulation and bioremediation of heavy metals in fishes-A review. </w:t>
      </w:r>
      <w:r>
        <w:rPr>
          <w:rFonts w:ascii="Times New Roman" w:hAnsi="Times New Roman"/>
          <w:i/>
          <w:sz w:val="24"/>
          <w:szCs w:val="24"/>
        </w:rPr>
        <w:t>Toxics</w:t>
      </w:r>
      <w:r>
        <w:rPr>
          <w:rFonts w:ascii="Times New Roman" w:hAnsi="Times New Roman"/>
          <w:sz w:val="24"/>
          <w:szCs w:val="24"/>
        </w:rPr>
        <w:t xml:space="preserve">. </w:t>
      </w:r>
      <w:r>
        <w:rPr>
          <w:rFonts w:ascii="Times New Roman" w:hAnsi="Times New Roman"/>
          <w:b/>
          <w:sz w:val="24"/>
          <w:szCs w:val="24"/>
        </w:rPr>
        <w:t>11</w:t>
      </w:r>
      <w:r>
        <w:rPr>
          <w:rFonts w:ascii="Times New Roman" w:hAnsi="Times New Roman"/>
          <w:sz w:val="24"/>
          <w:szCs w:val="24"/>
        </w:rPr>
        <w:t>(6):510.</w:t>
      </w:r>
    </w:p>
    <w:p w14:paraId="6D9BBBE7"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Kumar, M., Singh, S., Jain, A., Yadav, S., Dubey, A. &amp; Trivedi, S.P. (2024). A review on heavy metal-induced toxicity in fishes: Bioaccumulation, antioxidant defense system, histopathological manifestations, and transcriptional profiling of genes. </w:t>
      </w:r>
      <w:r>
        <w:rPr>
          <w:rFonts w:ascii="Times New Roman" w:hAnsi="Times New Roman"/>
          <w:i/>
          <w:sz w:val="24"/>
          <w:szCs w:val="24"/>
        </w:rPr>
        <w:t>Journal of Trace</w:t>
      </w:r>
      <w:r>
        <w:rPr>
          <w:rFonts w:ascii="Times New Roman" w:hAnsi="Times New Roman"/>
          <w:sz w:val="24"/>
          <w:szCs w:val="24"/>
        </w:rPr>
        <w:t xml:space="preserve"> </w:t>
      </w:r>
      <w:r>
        <w:rPr>
          <w:rFonts w:ascii="Times New Roman" w:hAnsi="Times New Roman"/>
          <w:i/>
          <w:sz w:val="24"/>
          <w:szCs w:val="24"/>
        </w:rPr>
        <w:t>Elements in Medicine</w:t>
      </w:r>
      <w:r>
        <w:rPr>
          <w:rFonts w:ascii="Times New Roman" w:hAnsi="Times New Roman"/>
          <w:sz w:val="24"/>
          <w:szCs w:val="24"/>
        </w:rPr>
        <w:t xml:space="preserve"> </w:t>
      </w:r>
      <w:r>
        <w:rPr>
          <w:rFonts w:ascii="Times New Roman" w:hAnsi="Times New Roman"/>
          <w:i/>
          <w:sz w:val="24"/>
          <w:szCs w:val="24"/>
        </w:rPr>
        <w:t>and Biology</w:t>
      </w:r>
      <w:r>
        <w:rPr>
          <w:rFonts w:ascii="Times New Roman" w:hAnsi="Times New Roman"/>
          <w:sz w:val="24"/>
          <w:szCs w:val="24"/>
        </w:rPr>
        <w:t>. 83127377.</w:t>
      </w:r>
    </w:p>
    <w:p w14:paraId="0A847C0A"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Lall, S.P. &amp; Kaushik, S.J. (2021). Nutrition and metabolism of minerals in fish. </w:t>
      </w:r>
      <w:r>
        <w:rPr>
          <w:rFonts w:ascii="Times New Roman" w:hAnsi="Times New Roman"/>
          <w:i/>
          <w:sz w:val="24"/>
          <w:szCs w:val="24"/>
        </w:rPr>
        <w:t>Animals</w:t>
      </w:r>
      <w:r>
        <w:rPr>
          <w:rFonts w:ascii="Times New Roman" w:hAnsi="Times New Roman"/>
          <w:sz w:val="24"/>
          <w:szCs w:val="24"/>
        </w:rPr>
        <w:t xml:space="preserve">. </w:t>
      </w:r>
      <w:r>
        <w:rPr>
          <w:rFonts w:ascii="Times New Roman" w:hAnsi="Times New Roman"/>
          <w:b/>
          <w:sz w:val="24"/>
          <w:szCs w:val="24"/>
        </w:rPr>
        <w:t>11</w:t>
      </w:r>
      <w:r>
        <w:rPr>
          <w:rFonts w:ascii="Times New Roman" w:hAnsi="Times New Roman"/>
          <w:sz w:val="24"/>
          <w:szCs w:val="24"/>
        </w:rPr>
        <w:t>(10):2711.</w:t>
      </w:r>
    </w:p>
    <w:p w14:paraId="17974D7F" w14:textId="77777777" w:rsidR="00953144" w:rsidRDefault="00953144" w:rsidP="00953144">
      <w:pPr>
        <w:pStyle w:val="NormalWeb"/>
        <w:spacing w:before="0" w:beforeAutospacing="0" w:after="0" w:afterAutospacing="0" w:line="276" w:lineRule="auto"/>
        <w:ind w:left="720" w:hanging="720"/>
        <w:jc w:val="both"/>
      </w:pPr>
      <w:r>
        <w:t xml:space="preserve">Lee, J. W., Park, J. S., &amp; Choi, Y. J. (2024). Cadmium bioaccumulation and organ distribution in freshwater fish: A mechanistic review. </w:t>
      </w:r>
      <w:r>
        <w:rPr>
          <w:rStyle w:val="Emphasis"/>
        </w:rPr>
        <w:t>Toxics, 12</w:t>
      </w:r>
      <w:r>
        <w:t xml:space="preserve">(1), 34. </w:t>
      </w:r>
    </w:p>
    <w:p w14:paraId="2284CE04"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Li, H., Shi, A., Li, M. &amp; Zhang, X. (2021). Effect of pH and sediment characteristics on the mobility and bioavailability of heavy metals in aquatic environments. </w:t>
      </w:r>
      <w:r>
        <w:rPr>
          <w:rFonts w:ascii="Times New Roman" w:hAnsi="Times New Roman"/>
          <w:i/>
          <w:sz w:val="24"/>
          <w:szCs w:val="24"/>
        </w:rPr>
        <w:t>Environmental</w:t>
      </w:r>
      <w:r>
        <w:rPr>
          <w:rFonts w:ascii="Times New Roman" w:hAnsi="Times New Roman"/>
          <w:sz w:val="24"/>
          <w:szCs w:val="24"/>
        </w:rPr>
        <w:t xml:space="preserve"> </w:t>
      </w:r>
      <w:r>
        <w:rPr>
          <w:rFonts w:ascii="Times New Roman" w:hAnsi="Times New Roman"/>
          <w:i/>
          <w:sz w:val="24"/>
          <w:szCs w:val="24"/>
        </w:rPr>
        <w:t>Pollution</w:t>
      </w:r>
      <w:r>
        <w:rPr>
          <w:rFonts w:ascii="Times New Roman" w:hAnsi="Times New Roman"/>
          <w:sz w:val="24"/>
          <w:szCs w:val="24"/>
        </w:rPr>
        <w:t>. 268:115746.</w:t>
      </w:r>
    </w:p>
    <w:p w14:paraId="5BE030DD"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Luoma, S.N. &amp; Rainbow, P.S. (2019). Metal Contamination in Aquatic Environments: Science and Management. </w:t>
      </w:r>
      <w:r>
        <w:rPr>
          <w:rFonts w:ascii="Times New Roman" w:hAnsi="Times New Roman"/>
          <w:i/>
          <w:sz w:val="24"/>
          <w:szCs w:val="24"/>
        </w:rPr>
        <w:t>Cambridge</w:t>
      </w:r>
      <w:r>
        <w:rPr>
          <w:rFonts w:ascii="Times New Roman" w:hAnsi="Times New Roman"/>
          <w:sz w:val="24"/>
          <w:szCs w:val="24"/>
        </w:rPr>
        <w:t xml:space="preserve"> </w:t>
      </w:r>
      <w:r>
        <w:rPr>
          <w:rFonts w:ascii="Times New Roman" w:hAnsi="Times New Roman"/>
          <w:i/>
          <w:sz w:val="24"/>
          <w:szCs w:val="24"/>
        </w:rPr>
        <w:t>University</w:t>
      </w:r>
      <w:r>
        <w:rPr>
          <w:rFonts w:ascii="Times New Roman" w:hAnsi="Times New Roman"/>
          <w:sz w:val="24"/>
          <w:szCs w:val="24"/>
        </w:rPr>
        <w:t xml:space="preserve"> </w:t>
      </w:r>
      <w:r>
        <w:rPr>
          <w:rFonts w:ascii="Times New Roman" w:hAnsi="Times New Roman"/>
          <w:i/>
          <w:sz w:val="24"/>
          <w:szCs w:val="24"/>
        </w:rPr>
        <w:t>Press</w:t>
      </w:r>
      <w:r>
        <w:rPr>
          <w:rFonts w:ascii="Times New Roman" w:hAnsi="Times New Roman"/>
          <w:sz w:val="24"/>
          <w:szCs w:val="24"/>
        </w:rPr>
        <w:t>.</w:t>
      </w:r>
    </w:p>
    <w:p w14:paraId="42BF7E14"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Maanan, M., Saddik, M., Maanan, M., Chaibi, M., </w:t>
      </w:r>
      <w:proofErr w:type="spellStart"/>
      <w:r>
        <w:rPr>
          <w:rFonts w:ascii="Times New Roman" w:hAnsi="Times New Roman"/>
          <w:sz w:val="24"/>
          <w:szCs w:val="24"/>
        </w:rPr>
        <w:t>Assobhei</w:t>
      </w:r>
      <w:proofErr w:type="spellEnd"/>
      <w:r>
        <w:rPr>
          <w:rFonts w:ascii="Times New Roman" w:hAnsi="Times New Roman"/>
          <w:sz w:val="24"/>
          <w:szCs w:val="24"/>
        </w:rPr>
        <w:t xml:space="preserve">, O. &amp; </w:t>
      </w:r>
      <w:proofErr w:type="spellStart"/>
      <w:r>
        <w:rPr>
          <w:rFonts w:ascii="Times New Roman" w:hAnsi="Times New Roman"/>
          <w:sz w:val="24"/>
          <w:szCs w:val="24"/>
        </w:rPr>
        <w:t>Zourarah</w:t>
      </w:r>
      <w:proofErr w:type="spellEnd"/>
      <w:r>
        <w:rPr>
          <w:rFonts w:ascii="Times New Roman" w:hAnsi="Times New Roman"/>
          <w:sz w:val="24"/>
          <w:szCs w:val="24"/>
        </w:rPr>
        <w:t xml:space="preserve">, B. (2018). Environmental and ecological risk assessment of heavy metals in sediments and fish from aquatic ecosystems. </w:t>
      </w:r>
      <w:r>
        <w:rPr>
          <w:rFonts w:ascii="Times New Roman" w:hAnsi="Times New Roman"/>
          <w:i/>
          <w:sz w:val="24"/>
          <w:szCs w:val="24"/>
        </w:rPr>
        <w:t>Environmental</w:t>
      </w:r>
      <w:r>
        <w:rPr>
          <w:rFonts w:ascii="Times New Roman" w:hAnsi="Times New Roman"/>
          <w:sz w:val="24"/>
          <w:szCs w:val="24"/>
        </w:rPr>
        <w:t xml:space="preserve"> </w:t>
      </w:r>
      <w:r>
        <w:rPr>
          <w:rFonts w:ascii="Times New Roman" w:hAnsi="Times New Roman"/>
          <w:i/>
          <w:sz w:val="24"/>
          <w:szCs w:val="24"/>
        </w:rPr>
        <w:t>Science</w:t>
      </w:r>
      <w:r>
        <w:rPr>
          <w:rFonts w:ascii="Times New Roman" w:hAnsi="Times New Roman"/>
          <w:sz w:val="24"/>
          <w:szCs w:val="24"/>
        </w:rPr>
        <w:t xml:space="preserve"> </w:t>
      </w:r>
      <w:r>
        <w:rPr>
          <w:rFonts w:ascii="Times New Roman" w:hAnsi="Times New Roman"/>
          <w:i/>
          <w:sz w:val="24"/>
          <w:szCs w:val="24"/>
        </w:rPr>
        <w:t>and</w:t>
      </w:r>
      <w:r>
        <w:rPr>
          <w:rFonts w:ascii="Times New Roman" w:hAnsi="Times New Roman"/>
          <w:sz w:val="24"/>
          <w:szCs w:val="24"/>
        </w:rPr>
        <w:t xml:space="preserve"> </w:t>
      </w:r>
      <w:r>
        <w:rPr>
          <w:rFonts w:ascii="Times New Roman" w:hAnsi="Times New Roman"/>
          <w:i/>
          <w:sz w:val="24"/>
          <w:szCs w:val="24"/>
        </w:rPr>
        <w:t>Pollution</w:t>
      </w:r>
      <w:r>
        <w:rPr>
          <w:rFonts w:ascii="Times New Roman" w:hAnsi="Times New Roman"/>
          <w:sz w:val="24"/>
          <w:szCs w:val="24"/>
        </w:rPr>
        <w:t xml:space="preserve"> </w:t>
      </w:r>
      <w:r>
        <w:rPr>
          <w:rFonts w:ascii="Times New Roman" w:hAnsi="Times New Roman"/>
          <w:i/>
          <w:sz w:val="24"/>
          <w:szCs w:val="24"/>
        </w:rPr>
        <w:t>Research</w:t>
      </w:r>
      <w:r>
        <w:rPr>
          <w:rFonts w:ascii="Times New Roman" w:hAnsi="Times New Roman"/>
          <w:sz w:val="24"/>
          <w:szCs w:val="24"/>
        </w:rPr>
        <w:t>. 25:1-15.</w:t>
      </w:r>
    </w:p>
    <w:p w14:paraId="47549F67" w14:textId="77777777" w:rsidR="00953144" w:rsidRDefault="00953144" w:rsidP="00953144">
      <w:pPr>
        <w:pStyle w:val="NormalWeb"/>
        <w:spacing w:before="0" w:beforeAutospacing="0" w:after="0" w:afterAutospacing="0" w:line="276" w:lineRule="auto"/>
        <w:ind w:left="720" w:hanging="720"/>
        <w:jc w:val="both"/>
      </w:pPr>
      <w:r>
        <w:t xml:space="preserve">Mahamood, M., Khan, F. R., Zahir, F., Javed, M., &amp; Alhewairini, S. S. (2023). Fish and aquatic plants as bioindicators of heavy metal pollution. </w:t>
      </w:r>
      <w:r>
        <w:rPr>
          <w:rStyle w:val="Emphasis"/>
        </w:rPr>
        <w:t>Scientific Reports, 13</w:t>
      </w:r>
      <w:r>
        <w:t xml:space="preserve">, 28313. </w:t>
      </w:r>
    </w:p>
    <w:p w14:paraId="14741FF7"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Mitra, S., Kumar, A., Kumar, A. &amp; Kumar, P. (2022). Bioaccumulation of heavy metals in fish and associated human health risks: A review. </w:t>
      </w:r>
      <w:r>
        <w:rPr>
          <w:rFonts w:ascii="Times New Roman" w:hAnsi="Times New Roman"/>
          <w:i/>
          <w:sz w:val="24"/>
          <w:szCs w:val="24"/>
        </w:rPr>
        <w:t>Environmental Science</w:t>
      </w:r>
      <w:r>
        <w:rPr>
          <w:rFonts w:ascii="Times New Roman" w:hAnsi="Times New Roman"/>
          <w:sz w:val="24"/>
          <w:szCs w:val="24"/>
        </w:rPr>
        <w:t xml:space="preserve"> </w:t>
      </w:r>
      <w:r>
        <w:rPr>
          <w:rFonts w:ascii="Times New Roman" w:hAnsi="Times New Roman"/>
          <w:i/>
          <w:sz w:val="24"/>
          <w:szCs w:val="24"/>
        </w:rPr>
        <w:t>and Pollution</w:t>
      </w:r>
      <w:r>
        <w:rPr>
          <w:rFonts w:ascii="Times New Roman" w:hAnsi="Times New Roman"/>
          <w:sz w:val="24"/>
          <w:szCs w:val="24"/>
        </w:rPr>
        <w:t xml:space="preserve"> </w:t>
      </w:r>
      <w:r>
        <w:rPr>
          <w:rFonts w:ascii="Times New Roman" w:hAnsi="Times New Roman"/>
          <w:i/>
          <w:sz w:val="24"/>
          <w:szCs w:val="24"/>
        </w:rPr>
        <w:t>Research</w:t>
      </w:r>
      <w:r>
        <w:rPr>
          <w:rFonts w:ascii="Times New Roman" w:hAnsi="Times New Roman"/>
          <w:sz w:val="24"/>
          <w:szCs w:val="24"/>
        </w:rPr>
        <w:t>. 29:1-20.</w:t>
      </w:r>
    </w:p>
    <w:p w14:paraId="45FB0FA3"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Musa, M.I. (2025). The occurrence of heavy metals accumulation in the organs and tissues of Clarias </w:t>
      </w:r>
      <w:proofErr w:type="spellStart"/>
      <w:r>
        <w:rPr>
          <w:rFonts w:ascii="Times New Roman" w:hAnsi="Times New Roman"/>
          <w:sz w:val="24"/>
          <w:szCs w:val="24"/>
        </w:rPr>
        <w:t>gariepinus</w:t>
      </w:r>
      <w:proofErr w:type="spellEnd"/>
      <w:r>
        <w:rPr>
          <w:rFonts w:ascii="Times New Roman" w:hAnsi="Times New Roman"/>
          <w:sz w:val="24"/>
          <w:szCs w:val="24"/>
        </w:rPr>
        <w:t xml:space="preserve"> from River </w:t>
      </w:r>
      <w:proofErr w:type="spellStart"/>
      <w:r>
        <w:rPr>
          <w:rFonts w:ascii="Times New Roman" w:hAnsi="Times New Roman"/>
          <w:sz w:val="24"/>
          <w:szCs w:val="24"/>
        </w:rPr>
        <w:t>Hadejia</w:t>
      </w:r>
      <w:proofErr w:type="spellEnd"/>
      <w:r>
        <w:rPr>
          <w:rFonts w:ascii="Times New Roman" w:hAnsi="Times New Roman"/>
          <w:sz w:val="24"/>
          <w:szCs w:val="24"/>
        </w:rPr>
        <w:t xml:space="preserve"> and </w:t>
      </w:r>
      <w:proofErr w:type="spellStart"/>
      <w:r>
        <w:rPr>
          <w:rFonts w:ascii="Times New Roman" w:hAnsi="Times New Roman"/>
          <w:sz w:val="24"/>
          <w:szCs w:val="24"/>
        </w:rPr>
        <w:t>Nguru</w:t>
      </w:r>
      <w:proofErr w:type="spellEnd"/>
      <w:r>
        <w:rPr>
          <w:rFonts w:ascii="Times New Roman" w:hAnsi="Times New Roman"/>
          <w:sz w:val="24"/>
          <w:szCs w:val="24"/>
        </w:rPr>
        <w:t xml:space="preserve"> Lake. </w:t>
      </w:r>
      <w:r>
        <w:rPr>
          <w:rFonts w:ascii="Times New Roman" w:hAnsi="Times New Roman"/>
          <w:i/>
          <w:sz w:val="24"/>
          <w:szCs w:val="24"/>
        </w:rPr>
        <w:t>Sahel Journal</w:t>
      </w:r>
      <w:r>
        <w:rPr>
          <w:rFonts w:ascii="Times New Roman" w:hAnsi="Times New Roman"/>
          <w:sz w:val="24"/>
          <w:szCs w:val="24"/>
        </w:rPr>
        <w:t xml:space="preserve"> </w:t>
      </w:r>
      <w:r>
        <w:rPr>
          <w:rFonts w:ascii="Times New Roman" w:hAnsi="Times New Roman"/>
          <w:i/>
          <w:sz w:val="24"/>
          <w:szCs w:val="24"/>
        </w:rPr>
        <w:t>of</w:t>
      </w:r>
      <w:r>
        <w:rPr>
          <w:rFonts w:ascii="Times New Roman" w:hAnsi="Times New Roman"/>
          <w:sz w:val="24"/>
          <w:szCs w:val="24"/>
        </w:rPr>
        <w:t xml:space="preserve"> </w:t>
      </w:r>
      <w:r>
        <w:rPr>
          <w:rFonts w:ascii="Times New Roman" w:hAnsi="Times New Roman"/>
          <w:i/>
          <w:sz w:val="24"/>
          <w:szCs w:val="24"/>
        </w:rPr>
        <w:t>Life</w:t>
      </w:r>
      <w:r>
        <w:rPr>
          <w:rFonts w:ascii="Times New Roman" w:hAnsi="Times New Roman"/>
          <w:sz w:val="24"/>
          <w:szCs w:val="24"/>
        </w:rPr>
        <w:t xml:space="preserve"> </w:t>
      </w:r>
      <w:r>
        <w:rPr>
          <w:rFonts w:ascii="Times New Roman" w:hAnsi="Times New Roman"/>
          <w:i/>
          <w:sz w:val="24"/>
          <w:szCs w:val="24"/>
        </w:rPr>
        <w:t>Sciences</w:t>
      </w:r>
      <w:r>
        <w:rPr>
          <w:rFonts w:ascii="Times New Roman" w:hAnsi="Times New Roman"/>
          <w:sz w:val="24"/>
          <w:szCs w:val="24"/>
        </w:rPr>
        <w:t xml:space="preserve"> FUDMA. </w:t>
      </w:r>
      <w:r>
        <w:rPr>
          <w:rFonts w:ascii="Times New Roman" w:hAnsi="Times New Roman"/>
          <w:b/>
          <w:sz w:val="24"/>
          <w:szCs w:val="24"/>
        </w:rPr>
        <w:t>3</w:t>
      </w:r>
      <w:r>
        <w:rPr>
          <w:rFonts w:ascii="Times New Roman" w:hAnsi="Times New Roman"/>
          <w:sz w:val="24"/>
          <w:szCs w:val="24"/>
        </w:rPr>
        <w:t>(1):304-313.</w:t>
      </w:r>
    </w:p>
    <w:p w14:paraId="4B93AFF0"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Mzimela, H.M., Wepener, V. &amp; Cyrus, D.P. (2022). Metal bioaccumulation and associated environmental factors in freshwater fish. </w:t>
      </w:r>
      <w:r>
        <w:rPr>
          <w:rFonts w:ascii="Times New Roman" w:hAnsi="Times New Roman"/>
          <w:i/>
          <w:sz w:val="24"/>
          <w:szCs w:val="24"/>
        </w:rPr>
        <w:t>Environmental</w:t>
      </w:r>
      <w:r>
        <w:rPr>
          <w:rFonts w:ascii="Times New Roman" w:hAnsi="Times New Roman"/>
          <w:sz w:val="24"/>
          <w:szCs w:val="24"/>
        </w:rPr>
        <w:t xml:space="preserve"> </w:t>
      </w:r>
      <w:r>
        <w:rPr>
          <w:rFonts w:ascii="Times New Roman" w:hAnsi="Times New Roman"/>
          <w:i/>
          <w:sz w:val="24"/>
          <w:szCs w:val="24"/>
        </w:rPr>
        <w:t>Monitoring</w:t>
      </w:r>
      <w:r>
        <w:rPr>
          <w:rFonts w:ascii="Times New Roman" w:hAnsi="Times New Roman"/>
          <w:sz w:val="24"/>
          <w:szCs w:val="24"/>
        </w:rPr>
        <w:t xml:space="preserve"> </w:t>
      </w:r>
      <w:r>
        <w:rPr>
          <w:rFonts w:ascii="Times New Roman" w:hAnsi="Times New Roman"/>
          <w:i/>
          <w:sz w:val="24"/>
          <w:szCs w:val="24"/>
        </w:rPr>
        <w:t>and</w:t>
      </w:r>
      <w:r>
        <w:rPr>
          <w:rFonts w:ascii="Times New Roman" w:hAnsi="Times New Roman"/>
          <w:sz w:val="24"/>
          <w:szCs w:val="24"/>
        </w:rPr>
        <w:t xml:space="preserve"> </w:t>
      </w:r>
      <w:r>
        <w:rPr>
          <w:rFonts w:ascii="Times New Roman" w:hAnsi="Times New Roman"/>
          <w:i/>
          <w:sz w:val="24"/>
          <w:szCs w:val="24"/>
        </w:rPr>
        <w:t>Assessment</w:t>
      </w:r>
      <w:r>
        <w:rPr>
          <w:rFonts w:ascii="Times New Roman" w:hAnsi="Times New Roman"/>
          <w:sz w:val="24"/>
          <w:szCs w:val="24"/>
        </w:rPr>
        <w:t>. 194: 686.</w:t>
      </w:r>
    </w:p>
    <w:p w14:paraId="7BD16E37"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Naccarato, A., Cicero, N. &amp; Ferrantelli, V. (2024). Heavy metals in aquatic ecosystems: Sources, distribution, bioavailability and environmental risks. </w:t>
      </w:r>
      <w:r>
        <w:rPr>
          <w:rFonts w:ascii="Times New Roman" w:hAnsi="Times New Roman"/>
          <w:i/>
          <w:sz w:val="24"/>
          <w:szCs w:val="24"/>
        </w:rPr>
        <w:t>Environmental Research</w:t>
      </w:r>
      <w:r>
        <w:rPr>
          <w:rFonts w:ascii="Times New Roman" w:hAnsi="Times New Roman"/>
          <w:sz w:val="24"/>
          <w:szCs w:val="24"/>
        </w:rPr>
        <w:t>. 252:118779.</w:t>
      </w:r>
    </w:p>
    <w:p w14:paraId="2C7E20A1" w14:textId="77777777" w:rsidR="00953144" w:rsidRDefault="00953144" w:rsidP="00953144">
      <w:pPr>
        <w:ind w:left="720" w:hanging="720"/>
        <w:jc w:val="both"/>
        <w:rPr>
          <w:rFonts w:ascii="Times New Roman" w:hAnsi="Times New Roman"/>
          <w:sz w:val="24"/>
          <w:szCs w:val="24"/>
        </w:rPr>
      </w:pPr>
      <w:proofErr w:type="spellStart"/>
      <w:r>
        <w:rPr>
          <w:rFonts w:ascii="Times New Roman" w:hAnsi="Times New Roman"/>
          <w:sz w:val="24"/>
          <w:szCs w:val="24"/>
        </w:rPr>
        <w:t>Niyitanga</w:t>
      </w:r>
      <w:proofErr w:type="spellEnd"/>
      <w:r>
        <w:rPr>
          <w:rFonts w:ascii="Times New Roman" w:hAnsi="Times New Roman"/>
          <w:sz w:val="24"/>
          <w:szCs w:val="24"/>
        </w:rPr>
        <w:t xml:space="preserve">, S., Kim, J.D. &amp; Lee, S. (2022). Nutritional minerals in aquaculture: Sources, functions and requirements in fish nutrition. </w:t>
      </w:r>
      <w:r>
        <w:rPr>
          <w:rFonts w:ascii="Times New Roman" w:hAnsi="Times New Roman"/>
          <w:i/>
          <w:sz w:val="24"/>
          <w:szCs w:val="24"/>
        </w:rPr>
        <w:t>Aquaculture</w:t>
      </w:r>
      <w:r>
        <w:rPr>
          <w:rFonts w:ascii="Times New Roman" w:hAnsi="Times New Roman"/>
          <w:sz w:val="24"/>
          <w:szCs w:val="24"/>
        </w:rPr>
        <w:t xml:space="preserve"> </w:t>
      </w:r>
      <w:r>
        <w:rPr>
          <w:rFonts w:ascii="Times New Roman" w:hAnsi="Times New Roman"/>
          <w:i/>
          <w:sz w:val="24"/>
          <w:szCs w:val="24"/>
        </w:rPr>
        <w:t>Nutrition</w:t>
      </w:r>
      <w:r>
        <w:rPr>
          <w:rFonts w:ascii="Times New Roman" w:hAnsi="Times New Roman"/>
          <w:sz w:val="24"/>
          <w:szCs w:val="24"/>
        </w:rPr>
        <w:t xml:space="preserve">. </w:t>
      </w:r>
      <w:r>
        <w:rPr>
          <w:rFonts w:ascii="Times New Roman" w:hAnsi="Times New Roman"/>
          <w:b/>
          <w:sz w:val="24"/>
          <w:szCs w:val="24"/>
        </w:rPr>
        <w:t>28</w:t>
      </w:r>
      <w:r>
        <w:rPr>
          <w:rFonts w:ascii="Times New Roman" w:hAnsi="Times New Roman"/>
          <w:sz w:val="24"/>
          <w:szCs w:val="24"/>
        </w:rPr>
        <w:t>(5):1689-1704.</w:t>
      </w:r>
    </w:p>
    <w:p w14:paraId="7DB682A6" w14:textId="77777777" w:rsidR="00953144" w:rsidRDefault="00953144" w:rsidP="00953144">
      <w:pPr>
        <w:pStyle w:val="NormalWeb"/>
        <w:spacing w:before="0" w:beforeAutospacing="0" w:after="0" w:afterAutospacing="0" w:line="276" w:lineRule="auto"/>
        <w:ind w:left="720" w:hanging="720"/>
        <w:jc w:val="both"/>
      </w:pPr>
      <w:proofErr w:type="spellStart"/>
      <w:r>
        <w:t>Nwude</w:t>
      </w:r>
      <w:proofErr w:type="spellEnd"/>
      <w:r>
        <w:t xml:space="preserve">, D. O., Babayemi, J. O., &amp; </w:t>
      </w:r>
      <w:proofErr w:type="spellStart"/>
      <w:r>
        <w:t>Ajibode</w:t>
      </w:r>
      <w:proofErr w:type="spellEnd"/>
      <w:r>
        <w:t xml:space="preserve">, C. P. (2020). Heavy metal levels in freshwater fish from Ogun River, Nigeria. </w:t>
      </w:r>
      <w:r>
        <w:rPr>
          <w:rStyle w:val="Emphasis"/>
        </w:rPr>
        <w:t>Journal of Applied Sciences and Environmental Management, 24</w:t>
      </w:r>
      <w:r>
        <w:t xml:space="preserve">(8), 1433–1440. </w:t>
      </w:r>
    </w:p>
    <w:p w14:paraId="5DBF030E" w14:textId="77777777" w:rsidR="00953144" w:rsidRDefault="00953144" w:rsidP="00953144">
      <w:pPr>
        <w:pStyle w:val="NormalWeb"/>
        <w:spacing w:before="0" w:beforeAutospacing="0" w:after="0" w:afterAutospacing="0" w:line="276" w:lineRule="auto"/>
        <w:ind w:left="720" w:hanging="720"/>
        <w:jc w:val="both"/>
      </w:pPr>
      <w:proofErr w:type="spellStart"/>
      <w:r>
        <w:t>Odewale</w:t>
      </w:r>
      <w:proofErr w:type="spellEnd"/>
      <w:r>
        <w:t>, G. A. (2018). Enzymes as biomarkers of environmental stress in African catfish (</w:t>
      </w:r>
      <w:r>
        <w:rPr>
          <w:rStyle w:val="Emphasis"/>
        </w:rPr>
        <w:t xml:space="preserve">Clarias </w:t>
      </w:r>
      <w:proofErr w:type="spellStart"/>
      <w:r>
        <w:rPr>
          <w:rStyle w:val="Emphasis"/>
        </w:rPr>
        <w:t>gariepinus</w:t>
      </w:r>
      <w:proofErr w:type="spellEnd"/>
      <w:r>
        <w:t xml:space="preserve">) in Osun State, Nigeria. </w:t>
      </w:r>
      <w:r>
        <w:rPr>
          <w:rStyle w:val="Emphasis"/>
        </w:rPr>
        <w:t>BioMed Research International</w:t>
      </w:r>
      <w:r>
        <w:t>.</w:t>
      </w:r>
    </w:p>
    <w:p w14:paraId="03E50788"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Okocha, R.C., Bolarinwa, A.O., </w:t>
      </w:r>
      <w:proofErr w:type="spellStart"/>
      <w:r>
        <w:rPr>
          <w:rFonts w:ascii="Times New Roman" w:hAnsi="Times New Roman"/>
          <w:sz w:val="24"/>
          <w:szCs w:val="24"/>
        </w:rPr>
        <w:t>Oridupa</w:t>
      </w:r>
      <w:proofErr w:type="spellEnd"/>
      <w:r>
        <w:rPr>
          <w:rFonts w:ascii="Times New Roman" w:hAnsi="Times New Roman"/>
          <w:sz w:val="24"/>
          <w:szCs w:val="24"/>
        </w:rPr>
        <w:t xml:space="preserve">, O.A., </w:t>
      </w:r>
      <w:proofErr w:type="spellStart"/>
      <w:r>
        <w:rPr>
          <w:rFonts w:ascii="Times New Roman" w:hAnsi="Times New Roman"/>
          <w:sz w:val="24"/>
          <w:szCs w:val="24"/>
        </w:rPr>
        <w:t>Olatoye</w:t>
      </w:r>
      <w:proofErr w:type="spellEnd"/>
      <w:r>
        <w:rPr>
          <w:rFonts w:ascii="Times New Roman" w:hAnsi="Times New Roman"/>
          <w:sz w:val="24"/>
          <w:szCs w:val="24"/>
        </w:rPr>
        <w:t xml:space="preserve">, I.O., Ishola, S.A. &amp; Tiamiyu, A.M. </w:t>
      </w:r>
      <w:r>
        <w:rPr>
          <w:rFonts w:ascii="Times New Roman" w:hAnsi="Times New Roman"/>
          <w:i/>
          <w:sz w:val="24"/>
          <w:szCs w:val="24"/>
        </w:rPr>
        <w:t>et al</w:t>
      </w:r>
      <w:r>
        <w:rPr>
          <w:rFonts w:ascii="Times New Roman" w:hAnsi="Times New Roman"/>
          <w:sz w:val="24"/>
          <w:szCs w:val="24"/>
        </w:rPr>
        <w:t>. (2025). Heavy metals in African catfish (</w:t>
      </w:r>
      <w:r>
        <w:rPr>
          <w:rFonts w:ascii="Times New Roman" w:hAnsi="Times New Roman"/>
          <w:i/>
          <w:sz w:val="24"/>
          <w:szCs w:val="24"/>
        </w:rPr>
        <w:t xml:space="preserve">Clarias </w:t>
      </w:r>
      <w:proofErr w:type="spellStart"/>
      <w:r>
        <w:rPr>
          <w:rFonts w:ascii="Times New Roman" w:hAnsi="Times New Roman"/>
          <w:i/>
          <w:sz w:val="24"/>
          <w:szCs w:val="24"/>
        </w:rPr>
        <w:t>gariepinus</w:t>
      </w:r>
      <w:proofErr w:type="spellEnd"/>
      <w:r>
        <w:rPr>
          <w:rFonts w:ascii="Times New Roman" w:hAnsi="Times New Roman"/>
          <w:sz w:val="24"/>
          <w:szCs w:val="24"/>
        </w:rPr>
        <w:t xml:space="preserve">) and pondwater from commercial aquaculture farms in Southwestern Nigeria. </w:t>
      </w:r>
      <w:r>
        <w:rPr>
          <w:rFonts w:ascii="Times New Roman" w:hAnsi="Times New Roman"/>
          <w:i/>
          <w:sz w:val="24"/>
          <w:szCs w:val="24"/>
        </w:rPr>
        <w:t>NIPES Journal of Science and Technology</w:t>
      </w:r>
      <w:r>
        <w:rPr>
          <w:rFonts w:ascii="Times New Roman" w:hAnsi="Times New Roman"/>
          <w:sz w:val="24"/>
          <w:szCs w:val="24"/>
        </w:rPr>
        <w:t xml:space="preserve"> </w:t>
      </w:r>
      <w:r>
        <w:rPr>
          <w:rFonts w:ascii="Times New Roman" w:hAnsi="Times New Roman"/>
          <w:i/>
          <w:sz w:val="24"/>
          <w:szCs w:val="24"/>
        </w:rPr>
        <w:t>Research</w:t>
      </w:r>
      <w:r>
        <w:rPr>
          <w:rFonts w:ascii="Times New Roman" w:hAnsi="Times New Roman"/>
          <w:sz w:val="24"/>
          <w:szCs w:val="24"/>
        </w:rPr>
        <w:t xml:space="preserve">. </w:t>
      </w:r>
      <w:r>
        <w:rPr>
          <w:rFonts w:ascii="Times New Roman" w:hAnsi="Times New Roman"/>
          <w:b/>
          <w:sz w:val="24"/>
          <w:szCs w:val="24"/>
        </w:rPr>
        <w:t>7</w:t>
      </w:r>
      <w:r>
        <w:rPr>
          <w:rFonts w:ascii="Times New Roman" w:hAnsi="Times New Roman"/>
          <w:sz w:val="24"/>
          <w:szCs w:val="24"/>
        </w:rPr>
        <w:t>(1).</w:t>
      </w:r>
    </w:p>
    <w:p w14:paraId="045E9EE9" w14:textId="77777777" w:rsidR="00953144" w:rsidRDefault="00953144" w:rsidP="00953144">
      <w:pPr>
        <w:ind w:left="720" w:hanging="720"/>
        <w:jc w:val="both"/>
        <w:rPr>
          <w:rFonts w:ascii="Times New Roman" w:hAnsi="Times New Roman"/>
          <w:sz w:val="24"/>
          <w:szCs w:val="24"/>
        </w:rPr>
      </w:pPr>
      <w:proofErr w:type="spellStart"/>
      <w:r>
        <w:rPr>
          <w:rFonts w:ascii="Times New Roman" w:hAnsi="Times New Roman"/>
          <w:sz w:val="24"/>
          <w:szCs w:val="24"/>
        </w:rPr>
        <w:t>Okomoda</w:t>
      </w:r>
      <w:proofErr w:type="spellEnd"/>
      <w:r>
        <w:rPr>
          <w:rFonts w:ascii="Times New Roman" w:hAnsi="Times New Roman"/>
          <w:sz w:val="24"/>
          <w:szCs w:val="24"/>
        </w:rPr>
        <w:t xml:space="preserve">, V.T., Koh, I.C.C. &amp; Hassan, A. (2020). A review on the biology and aquaculture potential of African catfish </w:t>
      </w:r>
      <w:r>
        <w:rPr>
          <w:rFonts w:ascii="Times New Roman" w:hAnsi="Times New Roman"/>
          <w:i/>
          <w:sz w:val="24"/>
          <w:szCs w:val="24"/>
        </w:rPr>
        <w:t xml:space="preserve">Clarias </w:t>
      </w:r>
      <w:proofErr w:type="spellStart"/>
      <w:r>
        <w:rPr>
          <w:rFonts w:ascii="Times New Roman" w:hAnsi="Times New Roman"/>
          <w:i/>
          <w:sz w:val="24"/>
          <w:szCs w:val="24"/>
        </w:rPr>
        <w:t>gariepinus</w:t>
      </w:r>
      <w:proofErr w:type="spellEnd"/>
      <w:r>
        <w:rPr>
          <w:rFonts w:ascii="Times New Roman" w:hAnsi="Times New Roman"/>
          <w:sz w:val="24"/>
          <w:szCs w:val="24"/>
        </w:rPr>
        <w:t xml:space="preserve">. </w:t>
      </w:r>
      <w:r>
        <w:rPr>
          <w:rFonts w:ascii="Times New Roman" w:hAnsi="Times New Roman"/>
          <w:i/>
          <w:sz w:val="24"/>
          <w:szCs w:val="24"/>
        </w:rPr>
        <w:t>Aquaculture</w:t>
      </w:r>
      <w:r>
        <w:rPr>
          <w:rFonts w:ascii="Times New Roman" w:hAnsi="Times New Roman"/>
          <w:sz w:val="24"/>
          <w:szCs w:val="24"/>
        </w:rPr>
        <w:t xml:space="preserve"> </w:t>
      </w:r>
      <w:r>
        <w:rPr>
          <w:rFonts w:ascii="Times New Roman" w:hAnsi="Times New Roman"/>
          <w:i/>
          <w:sz w:val="24"/>
          <w:szCs w:val="24"/>
        </w:rPr>
        <w:t>Research</w:t>
      </w:r>
      <w:r>
        <w:rPr>
          <w:rFonts w:ascii="Times New Roman" w:hAnsi="Times New Roman"/>
          <w:sz w:val="24"/>
          <w:szCs w:val="24"/>
        </w:rPr>
        <w:t xml:space="preserve">. </w:t>
      </w:r>
      <w:r>
        <w:rPr>
          <w:rFonts w:ascii="Times New Roman" w:hAnsi="Times New Roman"/>
          <w:b/>
          <w:sz w:val="24"/>
          <w:szCs w:val="24"/>
        </w:rPr>
        <w:t>51</w:t>
      </w:r>
      <w:r>
        <w:rPr>
          <w:rFonts w:ascii="Times New Roman" w:hAnsi="Times New Roman"/>
          <w:sz w:val="24"/>
          <w:szCs w:val="24"/>
        </w:rPr>
        <w:t>(10): 3930-3941.</w:t>
      </w:r>
    </w:p>
    <w:p w14:paraId="3D031475"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Okonkwo, C.O., </w:t>
      </w:r>
      <w:proofErr w:type="spellStart"/>
      <w:r>
        <w:rPr>
          <w:rFonts w:ascii="Times New Roman" w:hAnsi="Times New Roman"/>
          <w:sz w:val="24"/>
          <w:szCs w:val="24"/>
        </w:rPr>
        <w:t>Onyenweaku</w:t>
      </w:r>
      <w:proofErr w:type="spellEnd"/>
      <w:r>
        <w:rPr>
          <w:rFonts w:ascii="Times New Roman" w:hAnsi="Times New Roman"/>
          <w:sz w:val="24"/>
          <w:szCs w:val="24"/>
        </w:rPr>
        <w:t xml:space="preserve">, E. &amp; </w:t>
      </w:r>
      <w:proofErr w:type="spellStart"/>
      <w:r>
        <w:rPr>
          <w:rFonts w:ascii="Times New Roman" w:hAnsi="Times New Roman"/>
          <w:sz w:val="24"/>
          <w:szCs w:val="24"/>
        </w:rPr>
        <w:t>Uwujibha</w:t>
      </w:r>
      <w:proofErr w:type="spellEnd"/>
      <w:r>
        <w:rPr>
          <w:rFonts w:ascii="Times New Roman" w:hAnsi="Times New Roman"/>
          <w:sz w:val="24"/>
          <w:szCs w:val="24"/>
        </w:rPr>
        <w:t xml:space="preserve">, J.O. (2020). Comparative assessment of nutrient composition of </w:t>
      </w:r>
      <w:proofErr w:type="spellStart"/>
      <w:r>
        <w:rPr>
          <w:rFonts w:ascii="Times New Roman" w:hAnsi="Times New Roman"/>
          <w:sz w:val="24"/>
          <w:szCs w:val="24"/>
        </w:rPr>
        <w:t>aquacultured</w:t>
      </w:r>
      <w:proofErr w:type="spellEnd"/>
      <w:r>
        <w:rPr>
          <w:rFonts w:ascii="Times New Roman" w:hAnsi="Times New Roman"/>
          <w:sz w:val="24"/>
          <w:szCs w:val="24"/>
        </w:rPr>
        <w:t xml:space="preserve"> and wild catfish (</w:t>
      </w:r>
      <w:r>
        <w:rPr>
          <w:rFonts w:ascii="Times New Roman" w:hAnsi="Times New Roman"/>
          <w:i/>
          <w:sz w:val="24"/>
          <w:szCs w:val="24"/>
        </w:rPr>
        <w:t xml:space="preserve">Clarias </w:t>
      </w:r>
      <w:proofErr w:type="spellStart"/>
      <w:r>
        <w:rPr>
          <w:rFonts w:ascii="Times New Roman" w:hAnsi="Times New Roman"/>
          <w:i/>
          <w:sz w:val="24"/>
          <w:szCs w:val="24"/>
        </w:rPr>
        <w:t>gariepinus</w:t>
      </w:r>
      <w:proofErr w:type="spellEnd"/>
      <w:r>
        <w:rPr>
          <w:rFonts w:ascii="Times New Roman" w:hAnsi="Times New Roman"/>
          <w:sz w:val="24"/>
          <w:szCs w:val="24"/>
        </w:rPr>
        <w:t xml:space="preserve">) in Cross Rivers State Nigeria. </w:t>
      </w:r>
      <w:r>
        <w:rPr>
          <w:rFonts w:ascii="Times New Roman" w:hAnsi="Times New Roman"/>
          <w:i/>
          <w:sz w:val="24"/>
          <w:szCs w:val="24"/>
        </w:rPr>
        <w:t>Asian Journal of Fisheries and Aquatic</w:t>
      </w:r>
      <w:r>
        <w:rPr>
          <w:rFonts w:ascii="Times New Roman" w:hAnsi="Times New Roman"/>
          <w:sz w:val="24"/>
          <w:szCs w:val="24"/>
        </w:rPr>
        <w:t xml:space="preserve"> </w:t>
      </w:r>
      <w:r>
        <w:rPr>
          <w:rFonts w:ascii="Times New Roman" w:hAnsi="Times New Roman"/>
          <w:i/>
          <w:sz w:val="24"/>
          <w:szCs w:val="24"/>
        </w:rPr>
        <w:t>Research</w:t>
      </w:r>
      <w:r>
        <w:rPr>
          <w:rFonts w:ascii="Times New Roman" w:hAnsi="Times New Roman"/>
          <w:sz w:val="24"/>
          <w:szCs w:val="24"/>
        </w:rPr>
        <w:t xml:space="preserve">. </w:t>
      </w:r>
      <w:r>
        <w:rPr>
          <w:rFonts w:ascii="Times New Roman" w:hAnsi="Times New Roman"/>
          <w:b/>
          <w:sz w:val="24"/>
          <w:szCs w:val="24"/>
        </w:rPr>
        <w:t>8</w:t>
      </w:r>
      <w:r>
        <w:rPr>
          <w:rFonts w:ascii="Times New Roman" w:hAnsi="Times New Roman"/>
          <w:sz w:val="24"/>
          <w:szCs w:val="24"/>
        </w:rPr>
        <w:t>(2):1-8.</w:t>
      </w:r>
    </w:p>
    <w:p w14:paraId="3A348EBE"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lastRenderedPageBreak/>
        <w:t xml:space="preserve">Olaoye, O.J., </w:t>
      </w:r>
      <w:proofErr w:type="spellStart"/>
      <w:r>
        <w:rPr>
          <w:rFonts w:ascii="Times New Roman" w:hAnsi="Times New Roman"/>
          <w:sz w:val="24"/>
          <w:szCs w:val="24"/>
        </w:rPr>
        <w:t>Ojebiyi</w:t>
      </w:r>
      <w:proofErr w:type="spellEnd"/>
      <w:r>
        <w:rPr>
          <w:rFonts w:ascii="Times New Roman" w:hAnsi="Times New Roman"/>
          <w:sz w:val="24"/>
          <w:szCs w:val="24"/>
        </w:rPr>
        <w:t xml:space="preserve">, W.G., </w:t>
      </w:r>
      <w:proofErr w:type="spellStart"/>
      <w:r>
        <w:rPr>
          <w:rFonts w:ascii="Times New Roman" w:hAnsi="Times New Roman"/>
          <w:sz w:val="24"/>
          <w:szCs w:val="24"/>
        </w:rPr>
        <w:t>Oyetade</w:t>
      </w:r>
      <w:proofErr w:type="spellEnd"/>
      <w:r>
        <w:rPr>
          <w:rFonts w:ascii="Times New Roman" w:hAnsi="Times New Roman"/>
          <w:sz w:val="24"/>
          <w:szCs w:val="24"/>
        </w:rPr>
        <w:t xml:space="preserve">, O.P. &amp; Ajiboye, K.J. (2023). Comparative economic analysis of earthen pond and concrete tank production systems among fish farmers in Lagos State, Nigeria. </w:t>
      </w:r>
      <w:r>
        <w:rPr>
          <w:rFonts w:ascii="Times New Roman" w:hAnsi="Times New Roman"/>
          <w:i/>
          <w:sz w:val="24"/>
          <w:szCs w:val="24"/>
        </w:rPr>
        <w:t>Aquaculture</w:t>
      </w:r>
      <w:r>
        <w:rPr>
          <w:rFonts w:ascii="Times New Roman" w:hAnsi="Times New Roman"/>
          <w:sz w:val="24"/>
          <w:szCs w:val="24"/>
        </w:rPr>
        <w:t xml:space="preserve"> </w:t>
      </w:r>
      <w:r>
        <w:rPr>
          <w:rFonts w:ascii="Times New Roman" w:hAnsi="Times New Roman"/>
          <w:i/>
          <w:sz w:val="24"/>
          <w:szCs w:val="24"/>
        </w:rPr>
        <w:t>Studies</w:t>
      </w:r>
      <w:r>
        <w:rPr>
          <w:rFonts w:ascii="Times New Roman" w:hAnsi="Times New Roman"/>
          <w:sz w:val="24"/>
          <w:szCs w:val="24"/>
        </w:rPr>
        <w:t xml:space="preserve">. </w:t>
      </w:r>
      <w:r>
        <w:rPr>
          <w:rFonts w:ascii="Times New Roman" w:hAnsi="Times New Roman"/>
          <w:b/>
          <w:sz w:val="24"/>
          <w:szCs w:val="24"/>
        </w:rPr>
        <w:t>23</w:t>
      </w:r>
      <w:r>
        <w:rPr>
          <w:rFonts w:ascii="Times New Roman" w:hAnsi="Times New Roman"/>
          <w:sz w:val="24"/>
          <w:szCs w:val="24"/>
        </w:rPr>
        <w:t>(4): 1-10.</w:t>
      </w:r>
    </w:p>
    <w:p w14:paraId="0D54D862" w14:textId="77777777" w:rsidR="00953144" w:rsidRDefault="00953144" w:rsidP="00953144">
      <w:pPr>
        <w:pStyle w:val="NormalWeb"/>
        <w:spacing w:before="0" w:beforeAutospacing="0" w:after="0" w:afterAutospacing="0" w:line="276" w:lineRule="auto"/>
        <w:ind w:left="720" w:hanging="720"/>
        <w:jc w:val="both"/>
      </w:pPr>
      <w:r>
        <w:t>Olawusi-Peters, O. O., Ayo-</w:t>
      </w:r>
      <w:proofErr w:type="spellStart"/>
      <w:r>
        <w:t>Olalusi</w:t>
      </w:r>
      <w:proofErr w:type="spellEnd"/>
      <w:r>
        <w:t xml:space="preserve">, C. I., &amp; Adeyemi, T. V. (2014). Bioaccumulation of some trace element (Zn, Fe, Pb and Cu) in the gills and tissues of </w:t>
      </w:r>
      <w:r>
        <w:rPr>
          <w:rStyle w:val="Emphasis"/>
        </w:rPr>
        <w:t xml:space="preserve">Clarias </w:t>
      </w:r>
      <w:proofErr w:type="spellStart"/>
      <w:r>
        <w:rPr>
          <w:rStyle w:val="Emphasis"/>
        </w:rPr>
        <w:t>gariepinus</w:t>
      </w:r>
      <w:proofErr w:type="spellEnd"/>
      <w:r>
        <w:t xml:space="preserve"> and </w:t>
      </w:r>
      <w:r>
        <w:rPr>
          <w:rStyle w:val="Emphasis"/>
        </w:rPr>
        <w:t>Oreochromis niloticus</w:t>
      </w:r>
      <w:r>
        <w:t xml:space="preserve"> in River </w:t>
      </w:r>
      <w:proofErr w:type="spellStart"/>
      <w:r>
        <w:t>Ogbese</w:t>
      </w:r>
      <w:proofErr w:type="spellEnd"/>
      <w:r>
        <w:t xml:space="preserve">, Ondo State, Nigeria. </w:t>
      </w:r>
      <w:r>
        <w:rPr>
          <w:rStyle w:val="Emphasis"/>
        </w:rPr>
        <w:t>Journal of Environmental Chemistry and Ecotoxicology, 6</w:t>
      </w:r>
      <w:r>
        <w:t xml:space="preserve">(2), 13–19. </w:t>
      </w:r>
    </w:p>
    <w:p w14:paraId="0AFDD46A" w14:textId="77777777" w:rsidR="00953144" w:rsidRDefault="00953144" w:rsidP="00953144">
      <w:pPr>
        <w:pStyle w:val="NormalWeb"/>
        <w:spacing w:before="0" w:beforeAutospacing="0" w:after="0" w:afterAutospacing="0" w:line="276" w:lineRule="auto"/>
        <w:ind w:left="720" w:hanging="720"/>
        <w:jc w:val="both"/>
      </w:pPr>
      <w:r>
        <w:t xml:space="preserve">Olayinka-Olagunju, J. O., Dosumu, A. A., &amp; Olatunji-Ojo, A. M. (2021). Bioaccumulation of heavy metals in pelagic and benthic fishes of </w:t>
      </w:r>
      <w:proofErr w:type="spellStart"/>
      <w:r>
        <w:t>Ogbese</w:t>
      </w:r>
      <w:proofErr w:type="spellEnd"/>
      <w:r>
        <w:t xml:space="preserve"> River, Ondo State, South-Western Nigeria. </w:t>
      </w:r>
      <w:r>
        <w:rPr>
          <w:rStyle w:val="Emphasis"/>
        </w:rPr>
        <w:t>Water, Air, &amp; Soil Pollution, 232</w:t>
      </w:r>
      <w:r>
        <w:t xml:space="preserve">, 44. </w:t>
      </w:r>
    </w:p>
    <w:p w14:paraId="46CA8B73" w14:textId="77777777" w:rsidR="00953144" w:rsidRDefault="00953144" w:rsidP="00953144">
      <w:pPr>
        <w:pStyle w:val="NormalWeb"/>
        <w:spacing w:before="0" w:beforeAutospacing="0" w:after="0" w:afterAutospacing="0" w:line="276" w:lineRule="auto"/>
        <w:ind w:left="720" w:hanging="720"/>
        <w:jc w:val="both"/>
      </w:pPr>
      <w:r>
        <w:t xml:space="preserve">Olowu, R. A., </w:t>
      </w:r>
      <w:proofErr w:type="spellStart"/>
      <w:r>
        <w:t>Osundiya</w:t>
      </w:r>
      <w:proofErr w:type="spellEnd"/>
      <w:r>
        <w:t xml:space="preserve">, M. O., Jimoh, A. A., Adeosun, F. I., Quadri, E. O., &amp; </w:t>
      </w:r>
      <w:proofErr w:type="spellStart"/>
      <w:r>
        <w:t>Alegbe</w:t>
      </w:r>
      <w:proofErr w:type="spellEnd"/>
      <w:r>
        <w:t>, M. J. (2019). Comparative assessment of potential toxic metals concentrations in water, sediment and fish (</w:t>
      </w:r>
      <w:r>
        <w:rPr>
          <w:rStyle w:val="Emphasis"/>
        </w:rPr>
        <w:t xml:space="preserve">Clarias </w:t>
      </w:r>
      <w:proofErr w:type="spellStart"/>
      <w:r>
        <w:rPr>
          <w:rStyle w:val="Emphasis"/>
        </w:rPr>
        <w:t>gariepinus</w:t>
      </w:r>
      <w:proofErr w:type="spellEnd"/>
      <w:r>
        <w:t xml:space="preserve">) in Epe Lagoon, earthen and concrete ponds in Epe Area of Lagos State. </w:t>
      </w:r>
      <w:r>
        <w:rPr>
          <w:rStyle w:val="Emphasis"/>
        </w:rPr>
        <w:t>Journal of Environmental Science and Toxicology</w:t>
      </w:r>
      <w:r>
        <w:t xml:space="preserve">. </w:t>
      </w:r>
    </w:p>
    <w:p w14:paraId="6354834E"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Olutumise, A.I. (2023). Impact of relaxing flood policy interventions on fish production: Lessons from earthen pond-based farmers in Southwest Nigeria. </w:t>
      </w:r>
      <w:r>
        <w:rPr>
          <w:rFonts w:ascii="Times New Roman" w:hAnsi="Times New Roman"/>
          <w:i/>
          <w:sz w:val="24"/>
          <w:szCs w:val="24"/>
        </w:rPr>
        <w:t>Aquaculture International</w:t>
      </w:r>
      <w:r>
        <w:rPr>
          <w:rFonts w:ascii="Times New Roman" w:hAnsi="Times New Roman"/>
          <w:sz w:val="24"/>
          <w:szCs w:val="24"/>
        </w:rPr>
        <w:t>. 31:1855-1878.</w:t>
      </w:r>
    </w:p>
    <w:p w14:paraId="3C3E40F2" w14:textId="77777777" w:rsidR="00953144" w:rsidRDefault="00953144" w:rsidP="00953144">
      <w:pPr>
        <w:pStyle w:val="NormalWeb"/>
        <w:spacing w:before="0" w:beforeAutospacing="0" w:after="0" w:afterAutospacing="0" w:line="276" w:lineRule="auto"/>
        <w:ind w:left="720" w:hanging="720"/>
        <w:jc w:val="both"/>
      </w:pPr>
      <w:proofErr w:type="spellStart"/>
      <w:r>
        <w:t>Onadje</w:t>
      </w:r>
      <w:proofErr w:type="spellEnd"/>
      <w:r>
        <w:t xml:space="preserve">, F. O., Chukwurah, A. I., </w:t>
      </w:r>
      <w:proofErr w:type="spellStart"/>
      <w:r>
        <w:t>Olannye</w:t>
      </w:r>
      <w:proofErr w:type="spellEnd"/>
      <w:r>
        <w:t>, D. U., Efe-</w:t>
      </w:r>
      <w:proofErr w:type="spellStart"/>
      <w:r>
        <w:t>Eyefia</w:t>
      </w:r>
      <w:proofErr w:type="spellEnd"/>
      <w:r>
        <w:t xml:space="preserve">, K., &amp; </w:t>
      </w:r>
      <w:proofErr w:type="spellStart"/>
      <w:r>
        <w:t>Oghene</w:t>
      </w:r>
      <w:proofErr w:type="spellEnd"/>
      <w:r>
        <w:t xml:space="preserve">, U. J. (2025). Bioaccumulation of cadmium, copper, and lead in edible tissues of </w:t>
      </w:r>
      <w:r>
        <w:rPr>
          <w:rStyle w:val="Emphasis"/>
        </w:rPr>
        <w:t xml:space="preserve">Clarias </w:t>
      </w:r>
      <w:proofErr w:type="spellStart"/>
      <w:r>
        <w:rPr>
          <w:rStyle w:val="Emphasis"/>
        </w:rPr>
        <w:t>gariepinus</w:t>
      </w:r>
      <w:proofErr w:type="spellEnd"/>
      <w:r>
        <w:t xml:space="preserve"> and </w:t>
      </w:r>
      <w:r>
        <w:rPr>
          <w:rStyle w:val="Emphasis"/>
        </w:rPr>
        <w:t>Oreochromis niloticus</w:t>
      </w:r>
      <w:r>
        <w:t xml:space="preserve"> from </w:t>
      </w:r>
      <w:proofErr w:type="spellStart"/>
      <w:r>
        <w:t>Anwai</w:t>
      </w:r>
      <w:proofErr w:type="spellEnd"/>
      <w:r>
        <w:t xml:space="preserve"> River, Nigeria. </w:t>
      </w:r>
      <w:r>
        <w:rPr>
          <w:rStyle w:val="Emphasis"/>
        </w:rPr>
        <w:t>Faculty of Natural and Applied Sciences Journal of Applied Chemical Science Research, 2</w:t>
      </w:r>
      <w:r>
        <w:t xml:space="preserve">(4), 52–59. https://doi.org/10.63561/jacsr.v2i4.1020 </w:t>
      </w:r>
    </w:p>
    <w:p w14:paraId="3B4E5630"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Prabhu, P.A.J., </w:t>
      </w:r>
      <w:proofErr w:type="spellStart"/>
      <w:r>
        <w:rPr>
          <w:rFonts w:ascii="Times New Roman" w:hAnsi="Times New Roman"/>
          <w:sz w:val="24"/>
          <w:szCs w:val="24"/>
        </w:rPr>
        <w:t>Schrama</w:t>
      </w:r>
      <w:proofErr w:type="spellEnd"/>
      <w:r>
        <w:rPr>
          <w:rFonts w:ascii="Times New Roman" w:hAnsi="Times New Roman"/>
          <w:sz w:val="24"/>
          <w:szCs w:val="24"/>
        </w:rPr>
        <w:t xml:space="preserve">, J.W. &amp; Kaushik, S.J. (2020). Mineral requirements of fish: A systematic review. </w:t>
      </w:r>
      <w:r>
        <w:rPr>
          <w:rFonts w:ascii="Times New Roman" w:hAnsi="Times New Roman"/>
          <w:i/>
          <w:sz w:val="24"/>
          <w:szCs w:val="24"/>
        </w:rPr>
        <w:t>Aquaculture</w:t>
      </w:r>
      <w:r>
        <w:rPr>
          <w:rFonts w:ascii="Times New Roman" w:hAnsi="Times New Roman"/>
          <w:sz w:val="24"/>
          <w:szCs w:val="24"/>
        </w:rPr>
        <w:t xml:space="preserve"> </w:t>
      </w:r>
      <w:r>
        <w:rPr>
          <w:rFonts w:ascii="Times New Roman" w:hAnsi="Times New Roman"/>
          <w:i/>
          <w:sz w:val="24"/>
          <w:szCs w:val="24"/>
        </w:rPr>
        <w:t>Nutrition</w:t>
      </w:r>
      <w:r>
        <w:rPr>
          <w:rFonts w:ascii="Times New Roman" w:hAnsi="Times New Roman"/>
          <w:sz w:val="24"/>
          <w:szCs w:val="24"/>
        </w:rPr>
        <w:t xml:space="preserve">. </w:t>
      </w:r>
      <w:r>
        <w:rPr>
          <w:rFonts w:ascii="Times New Roman" w:hAnsi="Times New Roman"/>
          <w:b/>
          <w:sz w:val="24"/>
          <w:szCs w:val="24"/>
        </w:rPr>
        <w:t>26</w:t>
      </w:r>
      <w:r>
        <w:rPr>
          <w:rFonts w:ascii="Times New Roman" w:hAnsi="Times New Roman"/>
          <w:sz w:val="24"/>
          <w:szCs w:val="24"/>
        </w:rPr>
        <w:t>(4):1144-1165.</w:t>
      </w:r>
    </w:p>
    <w:p w14:paraId="474D33D9"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Rajeshkumar, S., Liu, Y., Zhang, X. &amp; Wang, X. (2018). Bioaccumulation and ecological risk assessment of heavy metals in aquatic organisms. </w:t>
      </w:r>
      <w:r>
        <w:rPr>
          <w:rFonts w:ascii="Times New Roman" w:hAnsi="Times New Roman"/>
          <w:i/>
          <w:sz w:val="24"/>
          <w:szCs w:val="24"/>
        </w:rPr>
        <w:t>Environmental Science and Pollution</w:t>
      </w:r>
      <w:r>
        <w:rPr>
          <w:rFonts w:ascii="Times New Roman" w:hAnsi="Times New Roman"/>
          <w:sz w:val="24"/>
          <w:szCs w:val="24"/>
        </w:rPr>
        <w:t xml:space="preserve"> </w:t>
      </w:r>
      <w:r>
        <w:rPr>
          <w:rFonts w:ascii="Times New Roman" w:hAnsi="Times New Roman"/>
          <w:i/>
          <w:sz w:val="24"/>
          <w:szCs w:val="24"/>
        </w:rPr>
        <w:t>Research</w:t>
      </w:r>
      <w:r>
        <w:rPr>
          <w:rFonts w:ascii="Times New Roman" w:hAnsi="Times New Roman"/>
          <w:sz w:val="24"/>
          <w:szCs w:val="24"/>
        </w:rPr>
        <w:t>. 25:1-15.</w:t>
      </w:r>
    </w:p>
    <w:p w14:paraId="77CADF73"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Rico, A., Phu, T.M., Murray, F.J., van den Brink, P.J. &amp; Telfer, T.C. (2019). Water quality and chemical pollution in aquaculture systems: Implications for food safety and environmental sustainability. </w:t>
      </w:r>
      <w:r>
        <w:rPr>
          <w:rFonts w:ascii="Times New Roman" w:hAnsi="Times New Roman"/>
          <w:i/>
          <w:sz w:val="24"/>
          <w:szCs w:val="24"/>
        </w:rPr>
        <w:t>Aquaculture</w:t>
      </w:r>
      <w:r>
        <w:rPr>
          <w:rFonts w:ascii="Times New Roman" w:hAnsi="Times New Roman"/>
          <w:sz w:val="24"/>
          <w:szCs w:val="24"/>
        </w:rPr>
        <w:t>. 512:734380.</w:t>
      </w:r>
    </w:p>
    <w:p w14:paraId="3CEB33E4" w14:textId="77777777" w:rsidR="00953144" w:rsidRDefault="00953144" w:rsidP="00953144">
      <w:pPr>
        <w:pStyle w:val="NormalWeb"/>
        <w:spacing w:before="0" w:beforeAutospacing="0" w:after="0" w:afterAutospacing="0" w:line="276" w:lineRule="auto"/>
        <w:ind w:left="720" w:hanging="720"/>
        <w:jc w:val="both"/>
      </w:pPr>
      <w:r>
        <w:t xml:space="preserve">Shahjahan, M., Rahman, M. S., Islam, S. M., &amp; Uddin, M. H. (2022). Heavy metal accumulation and health risks in freshwater fish. </w:t>
      </w:r>
      <w:r>
        <w:rPr>
          <w:rStyle w:val="Emphasis"/>
        </w:rPr>
        <w:t>Environmental Science and Pollution Research, 29</w:t>
      </w:r>
      <w:r>
        <w:t xml:space="preserve">, 35612–35625. </w:t>
      </w:r>
    </w:p>
    <w:p w14:paraId="26328813"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Singh, G. &amp; Sharma, S. (2024). Heavy metal contamination in fish: Sources, mechanisms and consequences. </w:t>
      </w:r>
      <w:r>
        <w:rPr>
          <w:rFonts w:ascii="Times New Roman" w:hAnsi="Times New Roman"/>
          <w:i/>
          <w:sz w:val="24"/>
          <w:szCs w:val="24"/>
        </w:rPr>
        <w:t>Aquatic</w:t>
      </w:r>
      <w:r>
        <w:rPr>
          <w:rFonts w:ascii="Times New Roman" w:hAnsi="Times New Roman"/>
          <w:sz w:val="24"/>
          <w:szCs w:val="24"/>
        </w:rPr>
        <w:t xml:space="preserve"> </w:t>
      </w:r>
      <w:r>
        <w:rPr>
          <w:rFonts w:ascii="Times New Roman" w:hAnsi="Times New Roman"/>
          <w:i/>
          <w:sz w:val="24"/>
          <w:szCs w:val="24"/>
        </w:rPr>
        <w:t>Sciences</w:t>
      </w:r>
      <w:r>
        <w:rPr>
          <w:rFonts w:ascii="Times New Roman" w:hAnsi="Times New Roman"/>
          <w:sz w:val="24"/>
          <w:szCs w:val="24"/>
        </w:rPr>
        <w:t>. 86:107.</w:t>
      </w:r>
    </w:p>
    <w:p w14:paraId="7B9AF6FF" w14:textId="77777777" w:rsidR="00953144" w:rsidRDefault="00953144" w:rsidP="00953144">
      <w:pPr>
        <w:ind w:left="720" w:hanging="720"/>
        <w:jc w:val="both"/>
        <w:rPr>
          <w:rFonts w:ascii="Times New Roman" w:hAnsi="Times New Roman"/>
          <w:sz w:val="24"/>
          <w:szCs w:val="24"/>
        </w:rPr>
      </w:pPr>
      <w:proofErr w:type="spellStart"/>
      <w:r>
        <w:rPr>
          <w:rFonts w:ascii="Times New Roman" w:hAnsi="Times New Roman"/>
          <w:sz w:val="24"/>
          <w:szCs w:val="24"/>
        </w:rPr>
        <w:t>Tchounwou</w:t>
      </w:r>
      <w:proofErr w:type="spellEnd"/>
      <w:r>
        <w:rPr>
          <w:rFonts w:ascii="Times New Roman" w:hAnsi="Times New Roman"/>
          <w:sz w:val="24"/>
          <w:szCs w:val="24"/>
        </w:rPr>
        <w:t xml:space="preserve">, P.B., </w:t>
      </w:r>
      <w:proofErr w:type="spellStart"/>
      <w:r>
        <w:rPr>
          <w:rFonts w:ascii="Times New Roman" w:hAnsi="Times New Roman"/>
          <w:sz w:val="24"/>
          <w:szCs w:val="24"/>
        </w:rPr>
        <w:t>Yedjou</w:t>
      </w:r>
      <w:proofErr w:type="spellEnd"/>
      <w:r>
        <w:rPr>
          <w:rFonts w:ascii="Times New Roman" w:hAnsi="Times New Roman"/>
          <w:sz w:val="24"/>
          <w:szCs w:val="24"/>
        </w:rPr>
        <w:t xml:space="preserve">, C.G., Patlolla, A.K. &amp; Sutton, D.J. (2019). Heavy metal toxicity and the environment. </w:t>
      </w:r>
      <w:r>
        <w:rPr>
          <w:rFonts w:ascii="Times New Roman" w:hAnsi="Times New Roman"/>
          <w:i/>
          <w:sz w:val="24"/>
          <w:szCs w:val="24"/>
        </w:rPr>
        <w:t>EXS</w:t>
      </w:r>
      <w:r>
        <w:rPr>
          <w:rFonts w:ascii="Times New Roman" w:hAnsi="Times New Roman"/>
          <w:sz w:val="24"/>
          <w:szCs w:val="24"/>
        </w:rPr>
        <w:t>. 101:133-164.</w:t>
      </w:r>
    </w:p>
    <w:p w14:paraId="03029A63" w14:textId="77777777" w:rsidR="00953144" w:rsidRDefault="00953144" w:rsidP="00953144">
      <w:pPr>
        <w:pStyle w:val="NormalWeb"/>
        <w:spacing w:before="0" w:beforeAutospacing="0" w:after="0" w:afterAutospacing="0" w:line="276" w:lineRule="auto"/>
        <w:ind w:left="720" w:hanging="720"/>
        <w:jc w:val="both"/>
      </w:pPr>
      <w:proofErr w:type="spellStart"/>
      <w:r>
        <w:t>Tunçsoy</w:t>
      </w:r>
      <w:proofErr w:type="spellEnd"/>
      <w:r>
        <w:t xml:space="preserve">, M., Duran, S., Ay, Ö., </w:t>
      </w:r>
      <w:proofErr w:type="spellStart"/>
      <w:r>
        <w:t>Cicik</w:t>
      </w:r>
      <w:proofErr w:type="spellEnd"/>
      <w:r>
        <w:t xml:space="preserve">, B., &amp; Erdem, C. (2016). Accumulation of copper in gill, liver, spleen, kidney and muscle tissues of </w:t>
      </w:r>
      <w:r>
        <w:rPr>
          <w:rStyle w:val="Emphasis"/>
        </w:rPr>
        <w:t xml:space="preserve">Clarias </w:t>
      </w:r>
      <w:proofErr w:type="spellStart"/>
      <w:r>
        <w:rPr>
          <w:rStyle w:val="Emphasis"/>
        </w:rPr>
        <w:t>gariepinus</w:t>
      </w:r>
      <w:proofErr w:type="spellEnd"/>
      <w:r>
        <w:t xml:space="preserve"> exposed to the metal singly and in mixture with chitosan. </w:t>
      </w:r>
      <w:r>
        <w:rPr>
          <w:rStyle w:val="Emphasis"/>
        </w:rPr>
        <w:t>Bulletin of Environmental Contamination and Toxicology, 97</w:t>
      </w:r>
      <w:r>
        <w:t xml:space="preserve">, 709–714. </w:t>
      </w:r>
    </w:p>
    <w:p w14:paraId="15E98449" w14:textId="77777777" w:rsidR="00953144" w:rsidRDefault="00953144" w:rsidP="00953144">
      <w:pPr>
        <w:ind w:left="720" w:hanging="720"/>
        <w:jc w:val="both"/>
        <w:rPr>
          <w:rFonts w:ascii="Times New Roman" w:hAnsi="Times New Roman"/>
          <w:sz w:val="24"/>
          <w:szCs w:val="24"/>
        </w:rPr>
      </w:pPr>
      <w:proofErr w:type="spellStart"/>
      <w:r>
        <w:rPr>
          <w:rFonts w:ascii="Times New Roman" w:hAnsi="Times New Roman"/>
          <w:sz w:val="24"/>
          <w:szCs w:val="24"/>
        </w:rPr>
        <w:t>Turchini</w:t>
      </w:r>
      <w:proofErr w:type="spellEnd"/>
      <w:r>
        <w:rPr>
          <w:rFonts w:ascii="Times New Roman" w:hAnsi="Times New Roman"/>
          <w:sz w:val="24"/>
          <w:szCs w:val="24"/>
        </w:rPr>
        <w:t xml:space="preserve">, G.M., </w:t>
      </w:r>
      <w:proofErr w:type="spellStart"/>
      <w:r>
        <w:rPr>
          <w:rFonts w:ascii="Times New Roman" w:hAnsi="Times New Roman"/>
          <w:sz w:val="24"/>
          <w:szCs w:val="24"/>
        </w:rPr>
        <w:t>Trushenski</w:t>
      </w:r>
      <w:proofErr w:type="spellEnd"/>
      <w:r>
        <w:rPr>
          <w:rFonts w:ascii="Times New Roman" w:hAnsi="Times New Roman"/>
          <w:sz w:val="24"/>
          <w:szCs w:val="24"/>
        </w:rPr>
        <w:t xml:space="preserve">, J.T. &amp; Glencross, B. D. (2019). Thoughts for the future of aquaculture nutrition: Realigning perspectives to reflect contemporary science. </w:t>
      </w:r>
      <w:r>
        <w:rPr>
          <w:rFonts w:ascii="Times New Roman" w:hAnsi="Times New Roman"/>
          <w:i/>
          <w:sz w:val="24"/>
          <w:szCs w:val="24"/>
        </w:rPr>
        <w:t>North American</w:t>
      </w:r>
      <w:r>
        <w:rPr>
          <w:rFonts w:ascii="Times New Roman" w:hAnsi="Times New Roman"/>
          <w:sz w:val="24"/>
          <w:szCs w:val="24"/>
        </w:rPr>
        <w:t xml:space="preserve"> </w:t>
      </w:r>
      <w:r>
        <w:rPr>
          <w:rFonts w:ascii="Times New Roman" w:hAnsi="Times New Roman"/>
          <w:i/>
          <w:sz w:val="24"/>
          <w:szCs w:val="24"/>
        </w:rPr>
        <w:t>Journal</w:t>
      </w:r>
      <w:r>
        <w:rPr>
          <w:rFonts w:ascii="Times New Roman" w:hAnsi="Times New Roman"/>
          <w:sz w:val="24"/>
          <w:szCs w:val="24"/>
        </w:rPr>
        <w:t xml:space="preserve"> </w:t>
      </w:r>
      <w:r>
        <w:rPr>
          <w:rFonts w:ascii="Times New Roman" w:hAnsi="Times New Roman"/>
          <w:i/>
          <w:sz w:val="24"/>
          <w:szCs w:val="24"/>
        </w:rPr>
        <w:t>of Aquaculture</w:t>
      </w:r>
      <w:r>
        <w:rPr>
          <w:rFonts w:ascii="Times New Roman" w:hAnsi="Times New Roman"/>
          <w:sz w:val="24"/>
          <w:szCs w:val="24"/>
        </w:rPr>
        <w:t xml:space="preserve">. </w:t>
      </w:r>
      <w:r>
        <w:rPr>
          <w:rFonts w:ascii="Times New Roman" w:hAnsi="Times New Roman"/>
          <w:b/>
          <w:sz w:val="24"/>
          <w:szCs w:val="24"/>
        </w:rPr>
        <w:t>81</w:t>
      </w:r>
      <w:r>
        <w:rPr>
          <w:rFonts w:ascii="Times New Roman" w:hAnsi="Times New Roman"/>
          <w:sz w:val="24"/>
          <w:szCs w:val="24"/>
        </w:rPr>
        <w:t>(1):13-39.</w:t>
      </w:r>
    </w:p>
    <w:p w14:paraId="3A84A077" w14:textId="77777777" w:rsidR="00953144" w:rsidRDefault="00953144" w:rsidP="00953144">
      <w:pPr>
        <w:pStyle w:val="NormalWeb"/>
        <w:spacing w:before="0" w:beforeAutospacing="0" w:after="0" w:afterAutospacing="0" w:line="276" w:lineRule="auto"/>
        <w:ind w:left="720" w:hanging="720"/>
        <w:jc w:val="both"/>
      </w:pPr>
      <w:r>
        <w:t xml:space="preserve">Türkmen, M., Türkmen, A., Tepe, Y., &amp; Ateş, A. (2019). Determination of metal concentrations in fish species and evaluation of health risks. </w:t>
      </w:r>
      <w:r>
        <w:rPr>
          <w:rStyle w:val="Emphasis"/>
        </w:rPr>
        <w:t>Environmental Monitoring and Assessment, 191</w:t>
      </w:r>
      <w:r>
        <w:t>(7), 451.</w:t>
      </w:r>
    </w:p>
    <w:p w14:paraId="0D0CCBB3"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United States Environmental Protection Agency. (1996). </w:t>
      </w:r>
      <w:r>
        <w:rPr>
          <w:rFonts w:ascii="Times New Roman" w:hAnsi="Times New Roman"/>
          <w:i/>
          <w:iCs/>
          <w:sz w:val="24"/>
          <w:szCs w:val="24"/>
        </w:rPr>
        <w:t>Method 3050B: Acid digestion of sediments, sludges, and soils</w:t>
      </w:r>
      <w:r>
        <w:rPr>
          <w:rFonts w:ascii="Times New Roman" w:hAnsi="Times New Roman"/>
          <w:sz w:val="24"/>
          <w:szCs w:val="24"/>
        </w:rPr>
        <w:t xml:space="preserve">. U.S. Environmental Protection Agency. </w:t>
      </w:r>
    </w:p>
    <w:p w14:paraId="3EEF5D08" w14:textId="77777777" w:rsidR="00953144" w:rsidRDefault="00953144" w:rsidP="00953144">
      <w:pPr>
        <w:ind w:left="720" w:hanging="720"/>
        <w:jc w:val="both"/>
        <w:rPr>
          <w:rFonts w:ascii="Times New Roman" w:eastAsia="Calibri" w:hAnsi="Times New Roman"/>
          <w:sz w:val="24"/>
          <w:szCs w:val="24"/>
        </w:rPr>
      </w:pPr>
      <w:r>
        <w:rPr>
          <w:rFonts w:ascii="Times New Roman" w:hAnsi="Times New Roman"/>
          <w:sz w:val="24"/>
          <w:szCs w:val="24"/>
        </w:rPr>
        <w:t xml:space="preserve">Wang, S., Chen, C. &amp; Zhang, Y. (2020). Environmental factors controlling the mobility and bioavailability of heavy metals in aquatic ecosystems. </w:t>
      </w:r>
      <w:r>
        <w:rPr>
          <w:rFonts w:ascii="Times New Roman" w:hAnsi="Times New Roman"/>
          <w:i/>
          <w:sz w:val="24"/>
          <w:szCs w:val="24"/>
        </w:rPr>
        <w:t>Science of the Total Environment</w:t>
      </w:r>
      <w:r>
        <w:rPr>
          <w:rFonts w:ascii="Times New Roman" w:hAnsi="Times New Roman"/>
          <w:sz w:val="24"/>
          <w:szCs w:val="24"/>
        </w:rPr>
        <w:t>. 714:136848.</w:t>
      </w:r>
    </w:p>
    <w:p w14:paraId="7FD0CEEC" w14:textId="77777777" w:rsidR="00953144" w:rsidRDefault="00953144" w:rsidP="00953144">
      <w:pPr>
        <w:pStyle w:val="NormalWeb"/>
        <w:spacing w:before="0" w:beforeAutospacing="0" w:after="0" w:afterAutospacing="0" w:line="276" w:lineRule="auto"/>
        <w:ind w:left="720" w:hanging="720"/>
        <w:jc w:val="both"/>
      </w:pPr>
      <w:r>
        <w:t xml:space="preserve">World Health Organization (WHO). (2022). </w:t>
      </w:r>
      <w:r>
        <w:rPr>
          <w:rStyle w:val="Emphasis"/>
        </w:rPr>
        <w:t>Lead poisoning and health</w:t>
      </w:r>
      <w:r>
        <w:t>. World Health Organization.</w:t>
      </w:r>
    </w:p>
    <w:p w14:paraId="089F3DD5" w14:textId="77777777" w:rsidR="00953144" w:rsidRDefault="00953144" w:rsidP="00953144">
      <w:pPr>
        <w:pStyle w:val="NormalWeb"/>
        <w:spacing w:before="0" w:beforeAutospacing="0" w:after="0" w:afterAutospacing="0" w:line="276" w:lineRule="auto"/>
        <w:ind w:left="720" w:hanging="720"/>
        <w:jc w:val="both"/>
      </w:pPr>
      <w:r>
        <w:lastRenderedPageBreak/>
        <w:t xml:space="preserve">Yahaya, T. O., Oladele, E. O., </w:t>
      </w:r>
      <w:proofErr w:type="spellStart"/>
      <w:r>
        <w:t>Fatodu</w:t>
      </w:r>
      <w:proofErr w:type="spellEnd"/>
      <w:r>
        <w:t xml:space="preserve">, I. A., Abdulazeez, A., &amp; </w:t>
      </w:r>
      <w:proofErr w:type="spellStart"/>
      <w:r>
        <w:t>Yeldu</w:t>
      </w:r>
      <w:proofErr w:type="spellEnd"/>
      <w:r>
        <w:t xml:space="preserve">, Y. I. (2021). The concentration and health risk assessment of heavy metals and microorganisms in the groundwater of Lagos, Southwest Nigeria. </w:t>
      </w:r>
      <w:proofErr w:type="spellStart"/>
      <w:r>
        <w:rPr>
          <w:rStyle w:val="Emphasis"/>
        </w:rPr>
        <w:t>arXiv</w:t>
      </w:r>
      <w:proofErr w:type="spellEnd"/>
      <w:r>
        <w:t xml:space="preserve">. </w:t>
      </w:r>
    </w:p>
    <w:p w14:paraId="6013BEDD" w14:textId="77777777" w:rsidR="00953144" w:rsidRDefault="00953144" w:rsidP="00953144">
      <w:pPr>
        <w:pStyle w:val="NormalWeb"/>
        <w:spacing w:before="0" w:beforeAutospacing="0" w:after="0" w:afterAutospacing="0" w:line="276" w:lineRule="auto"/>
        <w:ind w:left="720" w:hanging="720"/>
        <w:jc w:val="both"/>
      </w:pPr>
      <w:r>
        <w:t xml:space="preserve">Younis, A. M., Ismail, I. S., &amp; Mohamed, M. E. (2021). Bioaccumulation and health risk assessment of heavy metals in edible fish species. </w:t>
      </w:r>
      <w:r>
        <w:rPr>
          <w:rStyle w:val="Emphasis"/>
        </w:rPr>
        <w:t>Environmental Nanotechnology, Monitoring and Management, 15</w:t>
      </w:r>
      <w:r>
        <w:t>, 100415.</w:t>
      </w:r>
    </w:p>
    <w:p w14:paraId="708DFDBF" w14:textId="77777777" w:rsidR="00953144" w:rsidRDefault="00953144" w:rsidP="00953144">
      <w:pPr>
        <w:ind w:left="720" w:hanging="720"/>
        <w:jc w:val="both"/>
        <w:rPr>
          <w:rFonts w:ascii="Times New Roman" w:hAnsi="Times New Roman"/>
          <w:sz w:val="24"/>
          <w:szCs w:val="24"/>
        </w:rPr>
      </w:pPr>
      <w:r>
        <w:rPr>
          <w:rFonts w:ascii="Times New Roman" w:hAnsi="Times New Roman"/>
          <w:sz w:val="24"/>
          <w:szCs w:val="24"/>
        </w:rPr>
        <w:t xml:space="preserve">Yusuf, A., Abdullahi, S.A., </w:t>
      </w:r>
      <w:proofErr w:type="spellStart"/>
      <w:r>
        <w:rPr>
          <w:rFonts w:ascii="Times New Roman" w:hAnsi="Times New Roman"/>
          <w:sz w:val="24"/>
          <w:szCs w:val="24"/>
        </w:rPr>
        <w:t>Abolude</w:t>
      </w:r>
      <w:proofErr w:type="spellEnd"/>
      <w:r>
        <w:rPr>
          <w:rFonts w:ascii="Times New Roman" w:hAnsi="Times New Roman"/>
          <w:sz w:val="24"/>
          <w:szCs w:val="24"/>
        </w:rPr>
        <w:t xml:space="preserve">, D.S. &amp; Oladipo, J.K. (2025). Assessment of heavy metal concentration in water and tissues of Clarias </w:t>
      </w:r>
      <w:proofErr w:type="spellStart"/>
      <w:r>
        <w:rPr>
          <w:rFonts w:ascii="Times New Roman" w:hAnsi="Times New Roman"/>
          <w:sz w:val="24"/>
          <w:szCs w:val="24"/>
        </w:rPr>
        <w:t>gariepinus</w:t>
      </w:r>
      <w:proofErr w:type="spellEnd"/>
      <w:r>
        <w:rPr>
          <w:rFonts w:ascii="Times New Roman" w:hAnsi="Times New Roman"/>
          <w:sz w:val="24"/>
          <w:szCs w:val="24"/>
        </w:rPr>
        <w:t xml:space="preserve"> and Oreochromis niloticus from Lower River Niger, Oguro-Ajaokuta, Kogi State, Nigeria: Implications for human health. </w:t>
      </w:r>
      <w:r>
        <w:rPr>
          <w:rFonts w:ascii="Times New Roman" w:hAnsi="Times New Roman"/>
          <w:i/>
          <w:sz w:val="24"/>
          <w:szCs w:val="24"/>
        </w:rPr>
        <w:t>Nigerian Journal of Fisheries</w:t>
      </w:r>
      <w:r>
        <w:rPr>
          <w:rFonts w:ascii="Times New Roman" w:hAnsi="Times New Roman"/>
          <w:sz w:val="24"/>
          <w:szCs w:val="24"/>
        </w:rPr>
        <w:t xml:space="preserve"> </w:t>
      </w:r>
      <w:r>
        <w:rPr>
          <w:rFonts w:ascii="Times New Roman" w:hAnsi="Times New Roman"/>
          <w:i/>
          <w:sz w:val="24"/>
          <w:szCs w:val="24"/>
        </w:rPr>
        <w:t>and</w:t>
      </w:r>
      <w:r>
        <w:rPr>
          <w:rFonts w:ascii="Times New Roman" w:hAnsi="Times New Roman"/>
          <w:sz w:val="24"/>
          <w:szCs w:val="24"/>
        </w:rPr>
        <w:t xml:space="preserve"> </w:t>
      </w:r>
      <w:r>
        <w:rPr>
          <w:rFonts w:ascii="Times New Roman" w:hAnsi="Times New Roman"/>
          <w:i/>
          <w:sz w:val="24"/>
          <w:szCs w:val="24"/>
        </w:rPr>
        <w:t>Aquaculture</w:t>
      </w:r>
      <w:r>
        <w:rPr>
          <w:rFonts w:ascii="Times New Roman" w:hAnsi="Times New Roman"/>
          <w:sz w:val="24"/>
          <w:szCs w:val="24"/>
        </w:rPr>
        <w:t xml:space="preserve">. </w:t>
      </w:r>
      <w:r>
        <w:rPr>
          <w:rFonts w:ascii="Times New Roman" w:hAnsi="Times New Roman"/>
          <w:b/>
          <w:sz w:val="24"/>
          <w:szCs w:val="24"/>
        </w:rPr>
        <w:t>13</w:t>
      </w:r>
      <w:r>
        <w:rPr>
          <w:rFonts w:ascii="Times New Roman" w:hAnsi="Times New Roman"/>
          <w:sz w:val="24"/>
          <w:szCs w:val="24"/>
        </w:rPr>
        <w:t>(1).</w:t>
      </w:r>
    </w:p>
    <w:p w14:paraId="124C83F2" w14:textId="77777777" w:rsidR="00B01FCD" w:rsidRPr="00FB3A86" w:rsidRDefault="00B01FCD" w:rsidP="00441B6F">
      <w:pPr>
        <w:pStyle w:val="Reference"/>
        <w:numPr>
          <w:ilvl w:val="0"/>
          <w:numId w:val="0"/>
        </w:numPr>
        <w:spacing w:line="240" w:lineRule="auto"/>
        <w:rPr>
          <w:rFonts w:ascii="Arial" w:hAnsi="Arial" w:cs="Arial"/>
        </w:rPr>
      </w:pPr>
    </w:p>
    <w:p w14:paraId="6819C852" w14:textId="77777777" w:rsidR="00B01FCD" w:rsidRPr="00FB3A86" w:rsidRDefault="00B01FCD" w:rsidP="00441B6F">
      <w:pPr>
        <w:pStyle w:val="Appendix"/>
        <w:spacing w:after="0"/>
        <w:jc w:val="both"/>
        <w:rPr>
          <w:rFonts w:ascii="Arial" w:hAnsi="Arial" w:cs="Arial"/>
          <w:b w:val="0"/>
        </w:rPr>
      </w:pPr>
    </w:p>
    <w:sectPr w:rsidR="00B01FCD" w:rsidRPr="00FB3A86" w:rsidSect="0030446E">
      <w:headerReference w:type="even" r:id="rId16"/>
      <w:headerReference w:type="default" r:id="rId17"/>
      <w:footerReference w:type="default" r:id="rId18"/>
      <w:headerReference w:type="first" r:id="rId19"/>
      <w:type w:val="nextPag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13396" w14:textId="77777777" w:rsidR="0055031B" w:rsidRDefault="0055031B" w:rsidP="00C37E61">
      <w:r>
        <w:separator/>
      </w:r>
    </w:p>
  </w:endnote>
  <w:endnote w:type="continuationSeparator" w:id="0">
    <w:p w14:paraId="75B36827" w14:textId="77777777" w:rsidR="0055031B" w:rsidRDefault="0055031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EB8C" w14:textId="77777777" w:rsidR="0030446E" w:rsidRDefault="003044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3D5A9" w14:textId="77777777" w:rsidR="0030446E" w:rsidRDefault="003044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BEE6" w14:textId="42FFC132" w:rsidR="00CB397B" w:rsidRPr="0030446E" w:rsidRDefault="00CB397B" w:rsidP="003044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DAC54" w14:textId="77777777" w:rsidR="00CB397B" w:rsidRPr="00C37E61" w:rsidRDefault="00CB397B"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1513B" w14:textId="77777777" w:rsidR="0055031B" w:rsidRDefault="0055031B" w:rsidP="00C37E61">
      <w:r>
        <w:separator/>
      </w:r>
    </w:p>
  </w:footnote>
  <w:footnote w:type="continuationSeparator" w:id="0">
    <w:p w14:paraId="0449EABE" w14:textId="77777777" w:rsidR="0055031B" w:rsidRDefault="0055031B"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C61AA" w14:textId="7B1433E6" w:rsidR="0030446E" w:rsidRDefault="0030446E">
    <w:pPr>
      <w:pStyle w:val="Header"/>
    </w:pPr>
    <w:r>
      <w:rPr>
        <w:noProof/>
      </w:rPr>
      <w:pict w14:anchorId="709E11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764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6953" w14:textId="5AB79145" w:rsidR="0030446E" w:rsidRDefault="0030446E">
    <w:pPr>
      <w:pStyle w:val="Header"/>
    </w:pPr>
    <w:r>
      <w:rPr>
        <w:noProof/>
      </w:rPr>
      <w:pict w14:anchorId="509762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764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455B" w14:textId="75C12EDF" w:rsidR="00CB397B" w:rsidRPr="00296529" w:rsidRDefault="0030446E" w:rsidP="00296529">
    <w:pPr>
      <w:ind w:left="2160"/>
      <w:jc w:val="center"/>
      <w:rPr>
        <w:rFonts w:ascii="Times New Roman" w:eastAsia="Calibri" w:hAnsi="Times New Roman"/>
        <w:i/>
        <w:sz w:val="18"/>
        <w:szCs w:val="22"/>
      </w:rPr>
    </w:pPr>
    <w:r>
      <w:rPr>
        <w:noProof/>
      </w:rPr>
      <w:pict w14:anchorId="742CCC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764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FC85780" w14:textId="77777777" w:rsidR="00CB397B" w:rsidRPr="00296529" w:rsidRDefault="00CB397B"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3D1A01F" w14:textId="77777777" w:rsidR="00CB397B" w:rsidRPr="00296529" w:rsidRDefault="00CB397B"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BF8863A" w14:textId="77777777" w:rsidR="00CB397B" w:rsidRPr="00296529" w:rsidRDefault="00CB397B"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842250D" w14:textId="77777777" w:rsidR="00CB397B" w:rsidRDefault="00CB397B"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C945696" w14:textId="77777777" w:rsidR="00CB397B" w:rsidRDefault="00CB397B"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1CAA3CA" w14:textId="77777777" w:rsidR="00CB397B" w:rsidRDefault="00CB397B">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C451" w14:textId="1C163379" w:rsidR="0030446E" w:rsidRDefault="0030446E">
    <w:pPr>
      <w:pStyle w:val="Header"/>
    </w:pPr>
    <w:r>
      <w:rPr>
        <w:noProof/>
      </w:rPr>
      <w:pict w14:anchorId="37D5B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764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C686CA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DD105" w14:textId="573FBB42" w:rsidR="0030446E" w:rsidRDefault="0030446E">
    <w:pPr>
      <w:pStyle w:val="Header"/>
    </w:pPr>
    <w:r>
      <w:rPr>
        <w:noProof/>
      </w:rPr>
      <w:pict w14:anchorId="2EC1AE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764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D15BE99">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187D" w14:textId="29398265" w:rsidR="0030446E" w:rsidRPr="00296529" w:rsidRDefault="0030446E" w:rsidP="00296529">
    <w:pPr>
      <w:ind w:left="2160"/>
      <w:jc w:val="center"/>
      <w:rPr>
        <w:rFonts w:ascii="Times New Roman" w:eastAsia="Calibri" w:hAnsi="Times New Roman"/>
        <w:i/>
        <w:sz w:val="18"/>
        <w:szCs w:val="22"/>
      </w:rPr>
    </w:pPr>
    <w:r>
      <w:rPr>
        <w:noProof/>
      </w:rPr>
      <w:pict w14:anchorId="324C03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2764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20760DE">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0E4465A" w14:textId="77777777" w:rsidR="0030446E" w:rsidRPr="00296529" w:rsidRDefault="0030446E"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06BEDD3" w14:textId="77777777" w:rsidR="0030446E" w:rsidRPr="00296529" w:rsidRDefault="0030446E"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78F6655" w14:textId="77777777" w:rsidR="0030446E" w:rsidRPr="00296529" w:rsidRDefault="0030446E"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355AAF0" w14:textId="77777777" w:rsidR="0030446E" w:rsidRDefault="0030446E"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88B993E" w14:textId="77777777" w:rsidR="0030446E" w:rsidRDefault="0030446E"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E82DA7B" w14:textId="77777777" w:rsidR="0030446E" w:rsidRDefault="0030446E">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A"/>
    <w:multiLevelType w:val="multilevel"/>
    <w:tmpl w:val="84F083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10"/>
    <w:multiLevelType w:val="multilevel"/>
    <w:tmpl w:val="742A07F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1C"/>
    <w:multiLevelType w:val="multilevel"/>
    <w:tmpl w:val="C45EC1F6"/>
    <w:lvl w:ilvl="0">
      <w:start w:val="1"/>
      <w:numFmt w:val="lowerRoman"/>
      <w:lvlText w:val="%1."/>
      <w:lvlJc w:val="left"/>
      <w:pPr>
        <w:tabs>
          <w:tab w:val="left" w:pos="720"/>
        </w:tabs>
        <w:ind w:left="720" w:hanging="360"/>
      </w:pPr>
      <w:rPr>
        <w:sz w:val="24"/>
        <w:szCs w:val="24"/>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0000024"/>
    <w:multiLevelType w:val="multilevel"/>
    <w:tmpl w:val="FD5A06A8"/>
    <w:lvl w:ilvl="0">
      <w:start w:val="1"/>
      <w:numFmt w:val="lowerRoman"/>
      <w:lvlText w:val="%1."/>
      <w:lvlJc w:val="left"/>
      <w:pPr>
        <w:tabs>
          <w:tab w:val="left" w:pos="720"/>
        </w:tabs>
        <w:ind w:left="720" w:hanging="360"/>
      </w:pPr>
      <w:rPr>
        <w:sz w:val="24"/>
        <w:szCs w:val="24"/>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5F576B0"/>
    <w:multiLevelType w:val="multilevel"/>
    <w:tmpl w:val="2A36D328"/>
    <w:lvl w:ilvl="0">
      <w:start w:val="1"/>
      <w:numFmt w:val="lowerRoman"/>
      <w:lvlText w:val="%1."/>
      <w:lvlJc w:val="righ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762717BC"/>
    <w:multiLevelType w:val="hybridMultilevel"/>
    <w:tmpl w:val="C400CF0A"/>
    <w:lvl w:ilvl="0" w:tplc="41A825E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2"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62372961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67557210">
    <w:abstractNumId w:val="19"/>
  </w:num>
  <w:num w:numId="3" w16cid:durableId="896168707">
    <w:abstractNumId w:val="27"/>
  </w:num>
  <w:num w:numId="4" w16cid:durableId="130739310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204639070">
    <w:abstractNumId w:val="11"/>
  </w:num>
  <w:num w:numId="6" w16cid:durableId="881791730">
    <w:abstractNumId w:val="10"/>
  </w:num>
  <w:num w:numId="7" w16cid:durableId="1017731743">
    <w:abstractNumId w:val="5"/>
  </w:num>
  <w:num w:numId="8" w16cid:durableId="1780373395">
    <w:abstractNumId w:val="16"/>
  </w:num>
  <w:num w:numId="9" w16cid:durableId="661159417">
    <w:abstractNumId w:val="31"/>
  </w:num>
  <w:num w:numId="10" w16cid:durableId="1725249643">
    <w:abstractNumId w:val="6"/>
  </w:num>
  <w:num w:numId="11" w16cid:durableId="1048531612">
    <w:abstractNumId w:val="22"/>
  </w:num>
  <w:num w:numId="12" w16cid:durableId="1853303263">
    <w:abstractNumId w:val="7"/>
  </w:num>
  <w:num w:numId="13" w16cid:durableId="1371608307">
    <w:abstractNumId w:val="21"/>
  </w:num>
  <w:num w:numId="14" w16cid:durableId="500587419">
    <w:abstractNumId w:val="12"/>
  </w:num>
  <w:num w:numId="15" w16cid:durableId="1104302967">
    <w:abstractNumId w:val="25"/>
  </w:num>
  <w:num w:numId="16" w16cid:durableId="75170458">
    <w:abstractNumId w:val="9"/>
  </w:num>
  <w:num w:numId="17" w16cid:durableId="324284682">
    <w:abstractNumId w:val="26"/>
  </w:num>
  <w:num w:numId="18" w16cid:durableId="290324616">
    <w:abstractNumId w:val="18"/>
  </w:num>
  <w:num w:numId="19" w16cid:durableId="1673295053">
    <w:abstractNumId w:val="34"/>
  </w:num>
  <w:num w:numId="20" w16cid:durableId="152916328">
    <w:abstractNumId w:val="15"/>
  </w:num>
  <w:num w:numId="21" w16cid:durableId="1916159808">
    <w:abstractNumId w:val="13"/>
  </w:num>
  <w:num w:numId="22" w16cid:durableId="1146359854">
    <w:abstractNumId w:val="17"/>
  </w:num>
  <w:num w:numId="23" w16cid:durableId="958534659">
    <w:abstractNumId w:val="23"/>
  </w:num>
  <w:num w:numId="24" w16cid:durableId="1037975059">
    <w:abstractNumId w:val="32"/>
  </w:num>
  <w:num w:numId="25" w16cid:durableId="1582912768">
    <w:abstractNumId w:val="8"/>
  </w:num>
  <w:num w:numId="26" w16cid:durableId="966273246">
    <w:abstractNumId w:val="20"/>
  </w:num>
  <w:num w:numId="27" w16cid:durableId="1855875961">
    <w:abstractNumId w:val="24"/>
  </w:num>
  <w:num w:numId="28" w16cid:durableId="360252035">
    <w:abstractNumId w:val="33"/>
  </w:num>
  <w:num w:numId="29" w16cid:durableId="1366906532">
    <w:abstractNumId w:val="30"/>
  </w:num>
  <w:num w:numId="30" w16cid:durableId="257569863">
    <w:abstractNumId w:val="14"/>
  </w:num>
  <w:num w:numId="31" w16cid:durableId="254482943">
    <w:abstractNumId w:val="3"/>
    <w:lvlOverride w:ilvl="0">
      <w:startOverride w:val="1"/>
    </w:lvlOverride>
    <w:lvlOverride w:ilvl="1"/>
    <w:lvlOverride w:ilvl="2"/>
    <w:lvlOverride w:ilvl="3"/>
    <w:lvlOverride w:ilvl="4"/>
    <w:lvlOverride w:ilvl="5"/>
    <w:lvlOverride w:ilvl="6"/>
    <w:lvlOverride w:ilvl="7"/>
    <w:lvlOverride w:ilvl="8"/>
  </w:num>
  <w:num w:numId="32" w16cid:durableId="2070415705">
    <w:abstractNumId w:val="1"/>
  </w:num>
  <w:num w:numId="33" w16cid:durableId="1675062377">
    <w:abstractNumId w:val="4"/>
    <w:lvlOverride w:ilvl="0">
      <w:startOverride w:val="1"/>
    </w:lvlOverride>
    <w:lvlOverride w:ilvl="1"/>
    <w:lvlOverride w:ilvl="2"/>
    <w:lvlOverride w:ilvl="3"/>
    <w:lvlOverride w:ilvl="4"/>
    <w:lvlOverride w:ilvl="5"/>
    <w:lvlOverride w:ilvl="6"/>
    <w:lvlOverride w:ilvl="7"/>
    <w:lvlOverride w:ilvl="8"/>
  </w:num>
  <w:num w:numId="34" w16cid:durableId="313489849">
    <w:abstractNumId w:val="2"/>
  </w:num>
  <w:num w:numId="35" w16cid:durableId="346828858">
    <w:abstractNumId w:val="28"/>
  </w:num>
  <w:num w:numId="36" w16cid:durableId="180036881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A270A"/>
    <w:rsid w:val="000A47FA"/>
    <w:rsid w:val="000A65D3"/>
    <w:rsid w:val="000B1E33"/>
    <w:rsid w:val="000D689F"/>
    <w:rsid w:val="000E7B7B"/>
    <w:rsid w:val="000E7D62"/>
    <w:rsid w:val="00103357"/>
    <w:rsid w:val="00123C9F"/>
    <w:rsid w:val="00126190"/>
    <w:rsid w:val="0012712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64791"/>
    <w:rsid w:val="00283105"/>
    <w:rsid w:val="00284C4C"/>
    <w:rsid w:val="00287E68"/>
    <w:rsid w:val="00296529"/>
    <w:rsid w:val="002B27FB"/>
    <w:rsid w:val="002B685A"/>
    <w:rsid w:val="002C57D2"/>
    <w:rsid w:val="002D74AC"/>
    <w:rsid w:val="002E0D56"/>
    <w:rsid w:val="0030446E"/>
    <w:rsid w:val="00311D4C"/>
    <w:rsid w:val="00315186"/>
    <w:rsid w:val="0033343E"/>
    <w:rsid w:val="003512C2"/>
    <w:rsid w:val="00371FB6"/>
    <w:rsid w:val="003763C1"/>
    <w:rsid w:val="00376BBE"/>
    <w:rsid w:val="0039224F"/>
    <w:rsid w:val="003A43A4"/>
    <w:rsid w:val="003A7E18"/>
    <w:rsid w:val="003C4C86"/>
    <w:rsid w:val="003C6258"/>
    <w:rsid w:val="003E2904"/>
    <w:rsid w:val="003F77D0"/>
    <w:rsid w:val="00401927"/>
    <w:rsid w:val="0041027F"/>
    <w:rsid w:val="00412475"/>
    <w:rsid w:val="00423789"/>
    <w:rsid w:val="00440F43"/>
    <w:rsid w:val="00441B6F"/>
    <w:rsid w:val="00446221"/>
    <w:rsid w:val="00450E62"/>
    <w:rsid w:val="004539DB"/>
    <w:rsid w:val="00471A80"/>
    <w:rsid w:val="004B3B89"/>
    <w:rsid w:val="004D305E"/>
    <w:rsid w:val="004D4277"/>
    <w:rsid w:val="00502516"/>
    <w:rsid w:val="00505F06"/>
    <w:rsid w:val="00506828"/>
    <w:rsid w:val="0053056E"/>
    <w:rsid w:val="0055031B"/>
    <w:rsid w:val="00554FDA"/>
    <w:rsid w:val="00563B0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E4E4A"/>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3144"/>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77AD2"/>
    <w:rsid w:val="00B95236"/>
    <w:rsid w:val="00B96BD9"/>
    <w:rsid w:val="00BA1B01"/>
    <w:rsid w:val="00BA2641"/>
    <w:rsid w:val="00BB37AA"/>
    <w:rsid w:val="00BC0C81"/>
    <w:rsid w:val="00BC53A0"/>
    <w:rsid w:val="00BE62AD"/>
    <w:rsid w:val="00BF121F"/>
    <w:rsid w:val="00BF1F80"/>
    <w:rsid w:val="00BF2D51"/>
    <w:rsid w:val="00C166EF"/>
    <w:rsid w:val="00C17EB0"/>
    <w:rsid w:val="00C27F5F"/>
    <w:rsid w:val="00C30A0F"/>
    <w:rsid w:val="00C37E61"/>
    <w:rsid w:val="00C70F1B"/>
    <w:rsid w:val="00C71A47"/>
    <w:rsid w:val="00C7464C"/>
    <w:rsid w:val="00C85588"/>
    <w:rsid w:val="00CB397B"/>
    <w:rsid w:val="00CB76B6"/>
    <w:rsid w:val="00CD6755"/>
    <w:rsid w:val="00CD6856"/>
    <w:rsid w:val="00CE0089"/>
    <w:rsid w:val="00CE793C"/>
    <w:rsid w:val="00CF193C"/>
    <w:rsid w:val="00D173F1"/>
    <w:rsid w:val="00D255BE"/>
    <w:rsid w:val="00D74CB0"/>
    <w:rsid w:val="00D8295D"/>
    <w:rsid w:val="00DC2A65"/>
    <w:rsid w:val="00DE15F0"/>
    <w:rsid w:val="00DE5663"/>
    <w:rsid w:val="00DE78AA"/>
    <w:rsid w:val="00DF1953"/>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50C49"/>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rsid w:val="00CB39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B397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B397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B397B"/>
    <w:pPr>
      <w:keepNext/>
      <w:keepLines/>
      <w:spacing w:before="80" w:after="40" w:line="276" w:lineRule="auto"/>
      <w:outlineLvl w:val="4"/>
    </w:pPr>
    <w:rPr>
      <w:rFonts w:ascii="Calibri" w:eastAsia="SimSun" w:hAnsi="Calibri" w:cs="SimSun"/>
      <w:color w:val="365F91"/>
      <w:kern w:val="2"/>
      <w:sz w:val="24"/>
      <w:szCs w:val="24"/>
    </w:rPr>
  </w:style>
  <w:style w:type="paragraph" w:styleId="Heading6">
    <w:name w:val="heading 6"/>
    <w:basedOn w:val="Normal"/>
    <w:next w:val="Normal"/>
    <w:link w:val="Heading6Char"/>
    <w:uiPriority w:val="9"/>
    <w:semiHidden/>
    <w:unhideWhenUsed/>
    <w:qFormat/>
    <w:rsid w:val="00CB397B"/>
    <w:pPr>
      <w:keepNext/>
      <w:keepLines/>
      <w:spacing w:before="40" w:line="276" w:lineRule="auto"/>
      <w:outlineLvl w:val="5"/>
    </w:pPr>
    <w:rPr>
      <w:rFonts w:ascii="Calibri" w:eastAsia="SimSun" w:hAnsi="Calibri" w:cs="SimSun"/>
      <w:i/>
      <w:iCs/>
      <w:color w:val="595959"/>
      <w:kern w:val="2"/>
      <w:sz w:val="24"/>
      <w:szCs w:val="24"/>
    </w:rPr>
  </w:style>
  <w:style w:type="paragraph" w:styleId="Heading7">
    <w:name w:val="heading 7"/>
    <w:basedOn w:val="Normal"/>
    <w:next w:val="Normal"/>
    <w:link w:val="Heading7Char"/>
    <w:uiPriority w:val="9"/>
    <w:semiHidden/>
    <w:unhideWhenUsed/>
    <w:qFormat/>
    <w:rsid w:val="00CB397B"/>
    <w:pPr>
      <w:keepNext/>
      <w:keepLines/>
      <w:spacing w:before="40" w:line="276" w:lineRule="auto"/>
      <w:outlineLvl w:val="6"/>
    </w:pPr>
    <w:rPr>
      <w:rFonts w:ascii="Calibri" w:eastAsia="SimSun" w:hAnsi="Calibri" w:cs="SimSun"/>
      <w:color w:val="595959"/>
      <w:kern w:val="2"/>
      <w:sz w:val="24"/>
      <w:szCs w:val="24"/>
    </w:rPr>
  </w:style>
  <w:style w:type="paragraph" w:styleId="Heading8">
    <w:name w:val="heading 8"/>
    <w:basedOn w:val="Normal"/>
    <w:next w:val="Normal"/>
    <w:link w:val="Heading8Char"/>
    <w:uiPriority w:val="9"/>
    <w:semiHidden/>
    <w:unhideWhenUsed/>
    <w:qFormat/>
    <w:rsid w:val="00CB397B"/>
    <w:pPr>
      <w:keepNext/>
      <w:keepLines/>
      <w:spacing w:line="276" w:lineRule="auto"/>
      <w:outlineLvl w:val="7"/>
    </w:pPr>
    <w:rPr>
      <w:rFonts w:ascii="Calibri" w:eastAsia="SimSun" w:hAnsi="Calibri" w:cs="SimSun"/>
      <w:i/>
      <w:iCs/>
      <w:color w:val="272727"/>
      <w:kern w:val="2"/>
      <w:sz w:val="24"/>
      <w:szCs w:val="24"/>
    </w:rPr>
  </w:style>
  <w:style w:type="paragraph" w:styleId="Heading9">
    <w:name w:val="heading 9"/>
    <w:basedOn w:val="Normal"/>
    <w:next w:val="Normal"/>
    <w:link w:val="Heading9Char"/>
    <w:uiPriority w:val="9"/>
    <w:semiHidden/>
    <w:unhideWhenUsed/>
    <w:qFormat/>
    <w:rsid w:val="00CB397B"/>
    <w:pPr>
      <w:keepNext/>
      <w:keepLines/>
      <w:spacing w:line="276" w:lineRule="auto"/>
      <w:outlineLvl w:val="8"/>
    </w:pPr>
    <w:rPr>
      <w:rFonts w:ascii="Calibri" w:eastAsia="SimSun" w:hAnsi="Calibri" w:cs="SimSun"/>
      <w:color w:val="272727"/>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link w:val="TitleChar"/>
    <w:uiPriority w:val="10"/>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uiPriority w:val="99"/>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link w:val="HeaderChar"/>
    <w:uiPriority w:val="99"/>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uiPriority w:val="99"/>
    <w:rsid w:val="00030174"/>
    <w:rPr>
      <w:color w:val="FF0080"/>
      <w:u w:val="single"/>
    </w:rPr>
  </w:style>
  <w:style w:type="character" w:styleId="FollowedHyperlink">
    <w:name w:val="FollowedHyperlink"/>
    <w:basedOn w:val="DefaultParagraphFont"/>
    <w:uiPriority w:val="99"/>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w6asjqtextbase">
    <w:name w:val="w6asjq_textbase"/>
    <w:basedOn w:val="Normal"/>
    <w:rsid w:val="00BC0C81"/>
    <w:pPr>
      <w:spacing w:before="100" w:beforeAutospacing="1" w:after="100" w:afterAutospacing="1"/>
    </w:pPr>
    <w:rPr>
      <w:rFonts w:ascii="Times New Roman" w:hAnsi="Times New Roman"/>
      <w:sz w:val="24"/>
      <w:szCs w:val="24"/>
    </w:rPr>
  </w:style>
  <w:style w:type="character" w:customStyle="1" w:styleId="w6asjqtextbase1">
    <w:name w:val="w6asjq_textbase1"/>
    <w:basedOn w:val="DefaultParagraphFont"/>
    <w:rsid w:val="00BC0C81"/>
  </w:style>
  <w:style w:type="paragraph" w:styleId="NormalWeb">
    <w:name w:val="Normal (Web)"/>
    <w:basedOn w:val="Normal"/>
    <w:uiPriority w:val="99"/>
    <w:unhideWhenUsed/>
    <w:rsid w:val="00BC0C8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BC0C81"/>
    <w:rPr>
      <w:b/>
      <w:bCs/>
    </w:rPr>
  </w:style>
  <w:style w:type="character" w:customStyle="1" w:styleId="Heading2Char">
    <w:name w:val="Heading 2 Char"/>
    <w:basedOn w:val="DefaultParagraphFont"/>
    <w:link w:val="Heading2"/>
    <w:uiPriority w:val="9"/>
    <w:semiHidden/>
    <w:rsid w:val="00CB397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CB397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B397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B397B"/>
    <w:rPr>
      <w:rFonts w:ascii="Calibri" w:eastAsia="SimSun" w:hAnsi="Calibri" w:cs="SimSun"/>
      <w:color w:val="365F91"/>
      <w:kern w:val="2"/>
      <w:sz w:val="24"/>
      <w:szCs w:val="24"/>
    </w:rPr>
  </w:style>
  <w:style w:type="character" w:customStyle="1" w:styleId="Heading6Char">
    <w:name w:val="Heading 6 Char"/>
    <w:basedOn w:val="DefaultParagraphFont"/>
    <w:link w:val="Heading6"/>
    <w:uiPriority w:val="9"/>
    <w:semiHidden/>
    <w:rsid w:val="00CB397B"/>
    <w:rPr>
      <w:rFonts w:ascii="Calibri" w:eastAsia="SimSun" w:hAnsi="Calibri" w:cs="SimSun"/>
      <w:i/>
      <w:iCs/>
      <w:color w:val="595959"/>
      <w:kern w:val="2"/>
      <w:sz w:val="24"/>
      <w:szCs w:val="24"/>
    </w:rPr>
  </w:style>
  <w:style w:type="character" w:customStyle="1" w:styleId="Heading7Char">
    <w:name w:val="Heading 7 Char"/>
    <w:basedOn w:val="DefaultParagraphFont"/>
    <w:link w:val="Heading7"/>
    <w:uiPriority w:val="9"/>
    <w:semiHidden/>
    <w:rsid w:val="00CB397B"/>
    <w:rPr>
      <w:rFonts w:ascii="Calibri" w:eastAsia="SimSun" w:hAnsi="Calibri" w:cs="SimSun"/>
      <w:color w:val="595959"/>
      <w:kern w:val="2"/>
      <w:sz w:val="24"/>
      <w:szCs w:val="24"/>
    </w:rPr>
  </w:style>
  <w:style w:type="character" w:customStyle="1" w:styleId="Heading8Char">
    <w:name w:val="Heading 8 Char"/>
    <w:basedOn w:val="DefaultParagraphFont"/>
    <w:link w:val="Heading8"/>
    <w:uiPriority w:val="9"/>
    <w:semiHidden/>
    <w:rsid w:val="00CB397B"/>
    <w:rPr>
      <w:rFonts w:ascii="Calibri" w:eastAsia="SimSun" w:hAnsi="Calibri" w:cs="SimSun"/>
      <w:i/>
      <w:iCs/>
      <w:color w:val="272727"/>
      <w:kern w:val="2"/>
      <w:sz w:val="24"/>
      <w:szCs w:val="24"/>
    </w:rPr>
  </w:style>
  <w:style w:type="character" w:customStyle="1" w:styleId="Heading9Char">
    <w:name w:val="Heading 9 Char"/>
    <w:basedOn w:val="DefaultParagraphFont"/>
    <w:link w:val="Heading9"/>
    <w:uiPriority w:val="9"/>
    <w:semiHidden/>
    <w:rsid w:val="00CB397B"/>
    <w:rPr>
      <w:rFonts w:ascii="Calibri" w:eastAsia="SimSun" w:hAnsi="Calibri" w:cs="SimSun"/>
      <w:color w:val="272727"/>
      <w:kern w:val="2"/>
      <w:sz w:val="24"/>
      <w:szCs w:val="24"/>
    </w:rPr>
  </w:style>
  <w:style w:type="character" w:customStyle="1" w:styleId="Heading1Char">
    <w:name w:val="Heading 1 Char"/>
    <w:basedOn w:val="DefaultParagraphFont"/>
    <w:link w:val="Heading1"/>
    <w:uiPriority w:val="9"/>
    <w:rsid w:val="00CB397B"/>
    <w:rPr>
      <w:rFonts w:ascii="Arial" w:hAnsi="Arial"/>
      <w:b/>
      <w:kern w:val="28"/>
      <w:sz w:val="28"/>
    </w:rPr>
  </w:style>
  <w:style w:type="paragraph" w:customStyle="1" w:styleId="msonormal0">
    <w:name w:val="msonormal"/>
    <w:basedOn w:val="Normal"/>
    <w:uiPriority w:val="99"/>
    <w:rsid w:val="00CB397B"/>
    <w:pPr>
      <w:spacing w:before="100" w:beforeAutospacing="1" w:after="100" w:afterAutospacing="1"/>
    </w:pPr>
    <w:rPr>
      <w:rFonts w:ascii="Times New Roman" w:hAnsi="Times New Roman"/>
      <w:sz w:val="24"/>
      <w:szCs w:val="24"/>
    </w:rPr>
  </w:style>
  <w:style w:type="character" w:customStyle="1" w:styleId="HeaderChar">
    <w:name w:val="Header Char"/>
    <w:basedOn w:val="DefaultParagraphFont"/>
    <w:link w:val="Header"/>
    <w:uiPriority w:val="99"/>
    <w:rsid w:val="00CB397B"/>
    <w:rPr>
      <w:rFonts w:ascii="Helvetica" w:hAnsi="Helvetica"/>
    </w:rPr>
  </w:style>
  <w:style w:type="character" w:customStyle="1" w:styleId="FooterChar">
    <w:name w:val="Footer Char"/>
    <w:basedOn w:val="DefaultParagraphFont"/>
    <w:link w:val="Footer"/>
    <w:uiPriority w:val="99"/>
    <w:rsid w:val="00CB397B"/>
    <w:rPr>
      <w:rFonts w:ascii="Helvetica" w:hAnsi="Helvetica"/>
    </w:rPr>
  </w:style>
  <w:style w:type="character" w:customStyle="1" w:styleId="TitleChar">
    <w:name w:val="Title Char"/>
    <w:basedOn w:val="DefaultParagraphFont"/>
    <w:link w:val="Title"/>
    <w:uiPriority w:val="10"/>
    <w:rsid w:val="00CB397B"/>
    <w:rPr>
      <w:rFonts w:ascii="Helvetica" w:hAnsi="Helvetica"/>
      <w:b/>
      <w:kern w:val="28"/>
      <w:sz w:val="36"/>
    </w:rPr>
  </w:style>
  <w:style w:type="paragraph" w:styleId="Subtitle">
    <w:name w:val="Subtitle"/>
    <w:basedOn w:val="Normal"/>
    <w:next w:val="Normal"/>
    <w:link w:val="SubtitleChar"/>
    <w:uiPriority w:val="11"/>
    <w:qFormat/>
    <w:rsid w:val="00CB397B"/>
    <w:pPr>
      <w:spacing w:after="160" w:line="276" w:lineRule="auto"/>
    </w:pPr>
    <w:rPr>
      <w:rFonts w:ascii="Calibri" w:eastAsia="SimSun" w:hAnsi="Calibri" w:cs="SimSun"/>
      <w:color w:val="595959"/>
      <w:spacing w:val="15"/>
      <w:kern w:val="2"/>
      <w:sz w:val="28"/>
      <w:szCs w:val="28"/>
    </w:rPr>
  </w:style>
  <w:style w:type="character" w:customStyle="1" w:styleId="SubtitleChar">
    <w:name w:val="Subtitle Char"/>
    <w:basedOn w:val="DefaultParagraphFont"/>
    <w:link w:val="Subtitle"/>
    <w:uiPriority w:val="11"/>
    <w:rsid w:val="00CB397B"/>
    <w:rPr>
      <w:rFonts w:ascii="Calibri" w:eastAsia="SimSun" w:hAnsi="Calibri" w:cs="SimSun"/>
      <w:color w:val="595959"/>
      <w:spacing w:val="15"/>
      <w:kern w:val="2"/>
      <w:sz w:val="28"/>
      <w:szCs w:val="28"/>
    </w:rPr>
  </w:style>
  <w:style w:type="paragraph" w:styleId="ListParagraph">
    <w:name w:val="List Paragraph"/>
    <w:basedOn w:val="Normal"/>
    <w:uiPriority w:val="34"/>
    <w:qFormat/>
    <w:rsid w:val="00CB397B"/>
    <w:pPr>
      <w:spacing w:after="160" w:line="276" w:lineRule="auto"/>
      <w:ind w:left="720"/>
      <w:contextualSpacing/>
    </w:pPr>
    <w:rPr>
      <w:rFonts w:ascii="Calibri" w:eastAsia="SimSun" w:hAnsi="Calibri" w:cs="SimSun"/>
      <w:kern w:val="2"/>
      <w:sz w:val="24"/>
      <w:szCs w:val="24"/>
    </w:rPr>
  </w:style>
  <w:style w:type="paragraph" w:styleId="Quote">
    <w:name w:val="Quote"/>
    <w:basedOn w:val="Normal"/>
    <w:next w:val="Normal"/>
    <w:link w:val="QuoteChar"/>
    <w:uiPriority w:val="29"/>
    <w:qFormat/>
    <w:rsid w:val="00CB397B"/>
    <w:pPr>
      <w:spacing w:before="160" w:after="160" w:line="276" w:lineRule="auto"/>
      <w:jc w:val="center"/>
    </w:pPr>
    <w:rPr>
      <w:rFonts w:ascii="Calibri" w:eastAsia="SimSun" w:hAnsi="Calibri" w:cs="SimSun"/>
      <w:i/>
      <w:iCs/>
      <w:color w:val="404040"/>
      <w:kern w:val="2"/>
      <w:sz w:val="24"/>
      <w:szCs w:val="24"/>
    </w:rPr>
  </w:style>
  <w:style w:type="character" w:customStyle="1" w:styleId="QuoteChar">
    <w:name w:val="Quote Char"/>
    <w:basedOn w:val="DefaultParagraphFont"/>
    <w:link w:val="Quote"/>
    <w:uiPriority w:val="29"/>
    <w:rsid w:val="00CB397B"/>
    <w:rPr>
      <w:rFonts w:ascii="Calibri" w:eastAsia="SimSun" w:hAnsi="Calibri" w:cs="SimSun"/>
      <w:i/>
      <w:iCs/>
      <w:color w:val="404040"/>
      <w:kern w:val="2"/>
      <w:sz w:val="24"/>
      <w:szCs w:val="24"/>
    </w:rPr>
  </w:style>
  <w:style w:type="paragraph" w:styleId="IntenseQuote">
    <w:name w:val="Intense Quote"/>
    <w:basedOn w:val="Normal"/>
    <w:next w:val="Normal"/>
    <w:link w:val="IntenseQuoteChar"/>
    <w:uiPriority w:val="30"/>
    <w:qFormat/>
    <w:rsid w:val="00CB397B"/>
    <w:pPr>
      <w:pBdr>
        <w:top w:val="single" w:sz="4" w:space="10" w:color="365F91"/>
        <w:bottom w:val="single" w:sz="4" w:space="10" w:color="365F91"/>
      </w:pBdr>
      <w:spacing w:before="360" w:after="360" w:line="276" w:lineRule="auto"/>
      <w:ind w:left="864" w:right="864"/>
      <w:jc w:val="center"/>
    </w:pPr>
    <w:rPr>
      <w:rFonts w:ascii="Calibri" w:eastAsia="SimSun" w:hAnsi="Calibri" w:cs="SimSun"/>
      <w:i/>
      <w:iCs/>
      <w:color w:val="365F91"/>
      <w:kern w:val="2"/>
      <w:sz w:val="24"/>
      <w:szCs w:val="24"/>
    </w:rPr>
  </w:style>
  <w:style w:type="character" w:customStyle="1" w:styleId="IntenseQuoteChar">
    <w:name w:val="Intense Quote Char"/>
    <w:basedOn w:val="DefaultParagraphFont"/>
    <w:link w:val="IntenseQuote"/>
    <w:uiPriority w:val="30"/>
    <w:rsid w:val="00CB397B"/>
    <w:rPr>
      <w:rFonts w:ascii="Calibri" w:eastAsia="SimSun" w:hAnsi="Calibri" w:cs="SimSun"/>
      <w:i/>
      <w:iCs/>
      <w:color w:val="365F91"/>
      <w:kern w:val="2"/>
      <w:sz w:val="24"/>
      <w:szCs w:val="24"/>
    </w:rPr>
  </w:style>
  <w:style w:type="character" w:styleId="IntenseEmphasis">
    <w:name w:val="Intense Emphasis"/>
    <w:basedOn w:val="DefaultParagraphFont"/>
    <w:uiPriority w:val="21"/>
    <w:qFormat/>
    <w:rsid w:val="00CB397B"/>
    <w:rPr>
      <w:i/>
      <w:iCs/>
      <w:color w:val="365F91"/>
    </w:rPr>
  </w:style>
  <w:style w:type="character" w:styleId="IntenseReference">
    <w:name w:val="Intense Reference"/>
    <w:basedOn w:val="DefaultParagraphFont"/>
    <w:uiPriority w:val="32"/>
    <w:qFormat/>
    <w:rsid w:val="00CB397B"/>
    <w:rPr>
      <w:b/>
      <w:bCs/>
      <w:smallCaps/>
      <w:color w:val="365F91"/>
      <w:spacing w:val="5"/>
    </w:rPr>
  </w:style>
  <w:style w:type="character" w:customStyle="1" w:styleId="mord">
    <w:name w:val="mord"/>
    <w:basedOn w:val="DefaultParagraphFont"/>
    <w:rsid w:val="00CB397B"/>
  </w:style>
  <w:style w:type="character" w:customStyle="1" w:styleId="mrel">
    <w:name w:val="mrel"/>
    <w:basedOn w:val="DefaultParagraphFont"/>
    <w:rsid w:val="00CB397B"/>
  </w:style>
  <w:style w:type="character" w:customStyle="1" w:styleId="mbin">
    <w:name w:val="mbin"/>
    <w:basedOn w:val="DefaultParagraphFont"/>
    <w:rsid w:val="00CB397B"/>
  </w:style>
  <w:style w:type="character" w:customStyle="1" w:styleId="vlist-s">
    <w:name w:val="vlist-s"/>
    <w:basedOn w:val="DefaultParagraphFont"/>
    <w:rsid w:val="00CB3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32461013">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5796529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06319270">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7097894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40003043">
      <w:bodyDiv w:val="1"/>
      <w:marLeft w:val="0"/>
      <w:marRight w:val="0"/>
      <w:marTop w:val="0"/>
      <w:marBottom w:val="0"/>
      <w:divBdr>
        <w:top w:val="none" w:sz="0" w:space="0" w:color="auto"/>
        <w:left w:val="none" w:sz="0" w:space="0" w:color="auto"/>
        <w:bottom w:val="none" w:sz="0" w:space="0" w:color="auto"/>
        <w:right w:val="none" w:sz="0" w:space="0" w:color="auto"/>
      </w:divBdr>
    </w:div>
    <w:div w:id="1284924018">
      <w:bodyDiv w:val="1"/>
      <w:marLeft w:val="0"/>
      <w:marRight w:val="0"/>
      <w:marTop w:val="0"/>
      <w:marBottom w:val="0"/>
      <w:divBdr>
        <w:top w:val="none" w:sz="0" w:space="0" w:color="auto"/>
        <w:left w:val="none" w:sz="0" w:space="0" w:color="auto"/>
        <w:bottom w:val="none" w:sz="0" w:space="0" w:color="auto"/>
        <w:right w:val="none" w:sz="0" w:space="0" w:color="auto"/>
      </w:divBdr>
    </w:div>
    <w:div w:id="1407269075">
      <w:bodyDiv w:val="1"/>
      <w:marLeft w:val="0"/>
      <w:marRight w:val="0"/>
      <w:marTop w:val="0"/>
      <w:marBottom w:val="0"/>
      <w:divBdr>
        <w:top w:val="none" w:sz="0" w:space="0" w:color="auto"/>
        <w:left w:val="none" w:sz="0" w:space="0" w:color="auto"/>
        <w:bottom w:val="none" w:sz="0" w:space="0" w:color="auto"/>
        <w:right w:val="none" w:sz="0" w:space="0" w:color="auto"/>
      </w:divBdr>
    </w:div>
    <w:div w:id="1656684732">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06459848">
      <w:bodyDiv w:val="1"/>
      <w:marLeft w:val="0"/>
      <w:marRight w:val="0"/>
      <w:marTop w:val="0"/>
      <w:marBottom w:val="0"/>
      <w:divBdr>
        <w:top w:val="none" w:sz="0" w:space="0" w:color="auto"/>
        <w:left w:val="none" w:sz="0" w:space="0" w:color="auto"/>
        <w:bottom w:val="none" w:sz="0" w:space="0" w:color="auto"/>
        <w:right w:val="none" w:sz="0" w:space="0" w:color="auto"/>
      </w:divBdr>
    </w:div>
    <w:div w:id="1860047169">
      <w:bodyDiv w:val="1"/>
      <w:marLeft w:val="0"/>
      <w:marRight w:val="0"/>
      <w:marTop w:val="0"/>
      <w:marBottom w:val="0"/>
      <w:divBdr>
        <w:top w:val="none" w:sz="0" w:space="0" w:color="auto"/>
        <w:left w:val="none" w:sz="0" w:space="0" w:color="auto"/>
        <w:bottom w:val="none" w:sz="0" w:space="0" w:color="auto"/>
        <w:right w:val="none" w:sz="0" w:space="0" w:color="auto"/>
      </w:divBdr>
      <w:divsChild>
        <w:div w:id="2131583146">
          <w:marLeft w:val="0"/>
          <w:marRight w:val="0"/>
          <w:marTop w:val="0"/>
          <w:marBottom w:val="0"/>
          <w:divBdr>
            <w:top w:val="none" w:sz="0" w:space="0" w:color="auto"/>
            <w:left w:val="none" w:sz="0" w:space="0" w:color="auto"/>
            <w:bottom w:val="none" w:sz="0" w:space="0" w:color="auto"/>
            <w:right w:val="none" w:sz="0" w:space="0" w:color="auto"/>
          </w:divBdr>
          <w:divsChild>
            <w:div w:id="1561474132">
              <w:marLeft w:val="0"/>
              <w:marRight w:val="0"/>
              <w:marTop w:val="0"/>
              <w:marBottom w:val="0"/>
              <w:divBdr>
                <w:top w:val="none" w:sz="0" w:space="0" w:color="auto"/>
                <w:left w:val="none" w:sz="0" w:space="0" w:color="auto"/>
                <w:bottom w:val="none" w:sz="0" w:space="0" w:color="auto"/>
                <w:right w:val="none" w:sz="0" w:space="0" w:color="auto"/>
              </w:divBdr>
              <w:divsChild>
                <w:div w:id="357781388">
                  <w:marLeft w:val="0"/>
                  <w:marRight w:val="0"/>
                  <w:marTop w:val="0"/>
                  <w:marBottom w:val="0"/>
                  <w:divBdr>
                    <w:top w:val="none" w:sz="0" w:space="0" w:color="auto"/>
                    <w:left w:val="none" w:sz="0" w:space="0" w:color="auto"/>
                    <w:bottom w:val="none" w:sz="0" w:space="0" w:color="auto"/>
                    <w:right w:val="none" w:sz="0" w:space="0" w:color="auto"/>
                  </w:divBdr>
                  <w:divsChild>
                    <w:div w:id="1373967722">
                      <w:marLeft w:val="0"/>
                      <w:marRight w:val="0"/>
                      <w:marTop w:val="0"/>
                      <w:marBottom w:val="0"/>
                      <w:divBdr>
                        <w:top w:val="none" w:sz="0" w:space="0" w:color="auto"/>
                        <w:left w:val="none" w:sz="0" w:space="0" w:color="auto"/>
                        <w:bottom w:val="none" w:sz="0" w:space="0" w:color="auto"/>
                        <w:right w:val="none" w:sz="0" w:space="0" w:color="auto"/>
                      </w:divBdr>
                      <w:divsChild>
                        <w:div w:id="2042782369">
                          <w:marLeft w:val="0"/>
                          <w:marRight w:val="0"/>
                          <w:marTop w:val="0"/>
                          <w:marBottom w:val="0"/>
                          <w:divBdr>
                            <w:top w:val="none" w:sz="0" w:space="0" w:color="auto"/>
                            <w:left w:val="none" w:sz="0" w:space="0" w:color="auto"/>
                            <w:bottom w:val="none" w:sz="0" w:space="0" w:color="auto"/>
                            <w:right w:val="none" w:sz="0" w:space="0" w:color="auto"/>
                          </w:divBdr>
                          <w:divsChild>
                            <w:div w:id="1921671875">
                              <w:marLeft w:val="0"/>
                              <w:marRight w:val="0"/>
                              <w:marTop w:val="0"/>
                              <w:marBottom w:val="0"/>
                              <w:divBdr>
                                <w:top w:val="none" w:sz="0" w:space="0" w:color="auto"/>
                                <w:left w:val="none" w:sz="0" w:space="0" w:color="auto"/>
                                <w:bottom w:val="none" w:sz="0" w:space="0" w:color="auto"/>
                                <w:right w:val="none" w:sz="0" w:space="0" w:color="auto"/>
                              </w:divBdr>
                              <w:divsChild>
                                <w:div w:id="1907491266">
                                  <w:marLeft w:val="0"/>
                                  <w:marRight w:val="0"/>
                                  <w:marTop w:val="0"/>
                                  <w:marBottom w:val="0"/>
                                  <w:divBdr>
                                    <w:top w:val="none" w:sz="0" w:space="0" w:color="auto"/>
                                    <w:left w:val="none" w:sz="0" w:space="0" w:color="auto"/>
                                    <w:bottom w:val="none" w:sz="0" w:space="0" w:color="auto"/>
                                    <w:right w:val="none" w:sz="0" w:space="0" w:color="auto"/>
                                  </w:divBdr>
                                  <w:divsChild>
                                    <w:div w:id="1051884739">
                                      <w:marLeft w:val="0"/>
                                      <w:marRight w:val="0"/>
                                      <w:marTop w:val="0"/>
                                      <w:marBottom w:val="0"/>
                                      <w:divBdr>
                                        <w:top w:val="none" w:sz="0" w:space="0" w:color="auto"/>
                                        <w:left w:val="none" w:sz="0" w:space="0" w:color="auto"/>
                                        <w:bottom w:val="none" w:sz="0" w:space="0" w:color="auto"/>
                                        <w:right w:val="none" w:sz="0" w:space="0" w:color="auto"/>
                                      </w:divBdr>
                                      <w:divsChild>
                                        <w:div w:id="138479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4617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38/s41598-020-62024-9" TargetMode="Externa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sciaf.2020.e0029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CB67B-2A05-483C-B177-F2CDDC51B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65</TotalTime>
  <Pages>24</Pages>
  <Words>11232</Words>
  <Characters>64027</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75109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10</cp:revision>
  <cp:lastPrinted>1999-07-06T11:00:00Z</cp:lastPrinted>
  <dcterms:created xsi:type="dcterms:W3CDTF">2026-09-12T17:30:00Z</dcterms:created>
  <dcterms:modified xsi:type="dcterms:W3CDTF">2026-09-15T10:41:00Z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24756342-6d39-4685-bf97-7e0b18421ab6</vt:lpwstr>
  </property>
</Properties>
</file>