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E5CD4" w14:textId="77777777" w:rsidR="00AA70DA" w:rsidRDefault="00000000">
      <w:pPr>
        <w:pStyle w:val="Title"/>
        <w:jc w:val="center"/>
      </w:pPr>
      <w:r>
        <w:t>Reliability and Condition Monitoring of DC-Link Capacitors in Power Electronic Converters</w:t>
      </w:r>
    </w:p>
    <w:p w14:paraId="3891CB72" w14:textId="77777777" w:rsidR="00AA70DA" w:rsidRDefault="00000000">
      <w:pPr>
        <w:pStyle w:val="Heading1"/>
      </w:pPr>
      <w:r>
        <w:t>ABSTRACT</w:t>
      </w:r>
    </w:p>
    <w:p w14:paraId="4C36A0FE" w14:textId="77777777" w:rsidR="00AA70DA" w:rsidRDefault="00000000">
      <w:pPr>
        <w:pStyle w:val="Body"/>
      </w:pPr>
      <w:r>
        <w:rPr>
          <w:b/>
        </w:rPr>
        <w:t>Aims:</w:t>
      </w:r>
      <w:r>
        <w:t xml:space="preserve"> To organize the reliability and condition-monitoring problem for DC-link capacitors used in power electronic converters.</w:t>
      </w:r>
    </w:p>
    <w:p w14:paraId="66CAFC2C" w14:textId="77777777" w:rsidR="00AA70DA" w:rsidRDefault="00000000">
      <w:pPr>
        <w:pStyle w:val="Body"/>
      </w:pPr>
      <w:r>
        <w:rPr>
          <w:b/>
        </w:rPr>
        <w:t>Study design:</w:t>
      </w:r>
      <w:r>
        <w:t xml:space="preserve"> Focused narrative review covering electrolytic, film and ceramic capacitor technologies, ageing mechanisms and online monitoring.</w:t>
      </w:r>
    </w:p>
    <w:p w14:paraId="14392444" w14:textId="77777777" w:rsidR="00AA70DA" w:rsidRDefault="00000000">
      <w:pPr>
        <w:pStyle w:val="Body"/>
      </w:pPr>
      <w:r>
        <w:rPr>
          <w:b/>
        </w:rPr>
        <w:t>Methodology:</w:t>
      </w:r>
      <w:r>
        <w:t xml:space="preserve"> Journal studies were compared by physical mechanism, measurement or modelling assumptions, operating conditions and limits on transfer to other applications. Bibliographic details and DOI identifiers were checked. No new experimental dataset is presented.</w:t>
      </w:r>
    </w:p>
    <w:p w14:paraId="6F30F6FA" w14:textId="77777777" w:rsidR="00AA70DA" w:rsidRDefault="00000000">
      <w:pPr>
        <w:pStyle w:val="Body"/>
      </w:pPr>
      <w:r>
        <w:rPr>
          <w:b/>
        </w:rPr>
        <w:t>Findings:</w:t>
      </w:r>
      <w:r>
        <w:t xml:space="preserve"> Temperature, ripple current, voltage stress and humidity drive different degradation processes. Capacitance and equivalent series resistance are useful indicators, but either parameter alone can misclassify health. Online methods based on ripple, transient response or controlled signal injection can reduce maintenance uncertainty when assumptions are stated.</w:t>
      </w:r>
    </w:p>
    <w:p w14:paraId="447FD074" w14:textId="77777777" w:rsidR="00AA70DA" w:rsidRDefault="00000000">
      <w:pPr>
        <w:pStyle w:val="Body"/>
      </w:pPr>
      <w:r>
        <w:rPr>
          <w:b/>
        </w:rPr>
        <w:t>Conclusion:</w:t>
      </w:r>
      <w:r>
        <w:t xml:space="preserve"> Capacitor health monitoring should be designed with converter control and measurement boundaries in mind. A useful indicator must be observable during normal operation and linked to a defined end-of-life criterion.</w:t>
      </w:r>
    </w:p>
    <w:p w14:paraId="766CC0E3" w14:textId="77777777" w:rsidR="00AA70DA" w:rsidRDefault="00000000">
      <w:pPr>
        <w:pStyle w:val="Body"/>
      </w:pPr>
      <w:r>
        <w:t>Keywords: DC-link capacitors; condition monitoring; reliability; equivalent series resistance; electrolytic capacitors; film capacitors</w:t>
      </w:r>
    </w:p>
    <w:p w14:paraId="4530C0FF" w14:textId="77777777" w:rsidR="00AA70DA" w:rsidRDefault="00000000">
      <w:pPr>
        <w:pStyle w:val="Heading1"/>
      </w:pPr>
      <w:r>
        <w:t>1. INTRODUCTION</w:t>
      </w:r>
    </w:p>
    <w:p w14:paraId="7A68CC47" w14:textId="77777777" w:rsidR="00AA70DA" w:rsidRDefault="00000000">
      <w:pPr>
        <w:pStyle w:val="Body"/>
      </w:pPr>
      <w:r>
        <w:t>DC-link capacitors buffer pulsating energy, reduce bus ripple and provide a low-impedance switching path. Their failure can create overvoltage, increased ripple and converter shutdown. Wang and Blaabjerg (2014) identify capacitors as a major reliability concern.</w:t>
      </w:r>
    </w:p>
    <w:p w14:paraId="2171B13D" w14:textId="77777777" w:rsidR="00AA70DA" w:rsidRDefault="00000000">
      <w:pPr>
        <w:pStyle w:val="Body"/>
      </w:pPr>
      <w:r>
        <w:t>The DC-link capacitor is an energy-buffering element that connects the source-side and load-side dynamics of a converter. It absorbs switching-frequency current, limits bus-voltage ripple and provides a low-impedance path during rapid power changes. Its health therefore influences semiconductor voltage stress, control stability, conducted emissions and the ability of the converter to ride through disturbances.</w:t>
      </w:r>
    </w:p>
    <w:p w14:paraId="21A924F0" w14:textId="77777777" w:rsidR="00AA70DA" w:rsidRDefault="00000000">
      <w:pPr>
        <w:pStyle w:val="Body"/>
      </w:pPr>
      <w:r>
        <w:t>Failure is rarely represented by a single abrupt event. Capacitance may decline gradually, ESR may increase, leakage may rise, and local heating may accelerate the same degradation process. A monitoring method that observes only one parameter can miss an important failure mode or generate a false alarm when the selected parameter is affected by modulation, ambient temperature or sensor drift.</w:t>
      </w:r>
    </w:p>
    <w:p w14:paraId="70FAD25E" w14:textId="77777777" w:rsidR="00AA70DA" w:rsidRDefault="00000000">
      <w:pPr>
        <w:pStyle w:val="Body"/>
      </w:pPr>
      <w:r>
        <w:t xml:space="preserve">The monitoring boundary is also a design choice. A laboratory impedance </w:t>
      </w:r>
      <w:proofErr w:type="spellStart"/>
      <w:r>
        <w:t>analyser</w:t>
      </w:r>
      <w:proofErr w:type="spellEnd"/>
      <w:r>
        <w:t xml:space="preserve"> can estimate capacitor parameters accurately after shutdown, whereas an online estimator must work with limited voltage and current measurements during normal switching. The latter is more useful for predictive maintenance but requires an explicit model of the converter and its operating conditions.</w:t>
      </w:r>
    </w:p>
    <w:p w14:paraId="61654F6A" w14:textId="77777777" w:rsidR="00AA70DA" w:rsidRDefault="00000000">
      <w:pPr>
        <w:pStyle w:val="Heading1"/>
      </w:pPr>
      <w:r>
        <w:lastRenderedPageBreak/>
        <w:t>2. REVIEW APPROACH AND EVIDENCE BOUNDARIES</w:t>
      </w:r>
    </w:p>
    <w:p w14:paraId="06A48BAC" w14:textId="77777777" w:rsidR="00AA70DA" w:rsidRDefault="00000000">
      <w:pPr>
        <w:pStyle w:val="Body"/>
      </w:pPr>
      <w:r>
        <w:t xml:space="preserve">This paper is a focused narrative review of capacitor degradation, electrical parameter estimation and the interpretation of health indicators. The literature update for this revision was conducted on 4 October 2026 using targeted web searches of publisher records and institutional research repositories, followed by bibliographic checking against </w:t>
      </w:r>
      <w:proofErr w:type="spellStart"/>
      <w:r>
        <w:t>Crossref</w:t>
      </w:r>
      <w:proofErr w:type="spellEnd"/>
      <w:r>
        <w:t xml:space="preserve"> records. Search phrases included DC link capacitor monitoring; ESR estimation; capacitor charge balance; signal injection; discharge recursive least squares. These searches were used to locate relevant journal literature and inspect the evidence supporting the specific comparisons made below; they were not a systematic search of every bibliographic database.</w:t>
      </w:r>
    </w:p>
    <w:p w14:paraId="718F0A1E" w14:textId="77777777" w:rsidR="00AA70DA" w:rsidRDefault="00000000">
      <w:pPr>
        <w:pStyle w:val="Body"/>
      </w:pPr>
      <w:r>
        <w:t xml:space="preserve">The retained evidence comprises technology reviews, impedance-based methods, event-based estimators and topology-specific monitoring studies. Recent studies were </w:t>
      </w:r>
      <w:proofErr w:type="spellStart"/>
      <w:r>
        <w:t>prioritised</w:t>
      </w:r>
      <w:proofErr w:type="spellEnd"/>
      <w:r>
        <w:t>, with older journal articles retained only where they establish a directly relevant physical mechanism or analytical foundation. The reference set is restricted to published journal literature. Source selection was based on relevance to the stated engineering question rather than citation counts or a prespecified numerical screening score.</w:t>
      </w:r>
    </w:p>
    <w:p w14:paraId="1784096D" w14:textId="77777777" w:rsidR="00AA70DA" w:rsidRDefault="00000000">
      <w:pPr>
        <w:pStyle w:val="Body"/>
      </w:pPr>
      <w:r>
        <w:t>For each cited study, the synthesis distinguishes the investigated structure or converter, the measured or modelled quantity, the reported operating conditions and the limit on transferring the finding to another application. Publisher information, accessible article text and abstracts were used according to availability. Where only an abstract or bibliographic record was accessible, discussion is confined to the findings explicitly stated there. Reference titles, author information, publication details and DOI strings were checked against the retrieved records; online-first and issue publication dates were reconciled where they differed.</w:t>
      </w:r>
    </w:p>
    <w:p w14:paraId="3F6A5D0F" w14:textId="77777777" w:rsidR="00AA70DA" w:rsidRDefault="00000000">
      <w:pPr>
        <w:pStyle w:val="Body"/>
      </w:pPr>
      <w:r>
        <w:t>No exhaustive screening count, formal risk-of-bias score or pooled effect size is claimed. Numerical examples from published studies are attributed to those studies, while algebraic examples are identified as explanatory calculations. No new experimental dataset was generated. The resulting design implications are the authors’ qualitative synthesis and should be evaluated within their stated assumptions rather than treated as independently validated performance improvements.</w:t>
      </w:r>
    </w:p>
    <w:p w14:paraId="6E80E6B5" w14:textId="77777777" w:rsidR="00AA70DA" w:rsidRDefault="00000000">
      <w:pPr>
        <w:pStyle w:val="Heading1"/>
      </w:pPr>
      <w:r>
        <w:t>3. TECHNOLOGIES AND FAILURE MECHANISMS</w:t>
      </w:r>
    </w:p>
    <w:p w14:paraId="621F9AEC" w14:textId="77777777" w:rsidR="00AA70DA" w:rsidRDefault="00000000">
      <w:pPr>
        <w:pStyle w:val="Body"/>
      </w:pPr>
      <w:proofErr w:type="spellStart"/>
      <w:r>
        <w:t>Aluminium</w:t>
      </w:r>
      <w:proofErr w:type="spellEnd"/>
      <w:r>
        <w:t xml:space="preserve"> electrolytic capacitors provide high capacitance and </w:t>
      </w:r>
      <w:proofErr w:type="spellStart"/>
      <w:r>
        <w:t>favourable</w:t>
      </w:r>
      <w:proofErr w:type="spellEnd"/>
      <w:r>
        <w:t xml:space="preserve"> cost, but electrolyte evaporation, seal degradation and ripple-current heating can shorten life. Temperature at the hot spot is more informative than ambient temperature alone because the internal core may experience a higher thermal stress than the enclosure suggests.</w:t>
      </w:r>
    </w:p>
    <w:p w14:paraId="71874299" w14:textId="77777777" w:rsidR="00AA70DA" w:rsidRDefault="00000000">
      <w:pPr>
        <w:pStyle w:val="Body"/>
      </w:pPr>
      <w:r>
        <w:t xml:space="preserve">Metallized polypropylene film capacitors have low loss and self-healing </w:t>
      </w:r>
      <w:proofErr w:type="spellStart"/>
      <w:r>
        <w:t>behaviour</w:t>
      </w:r>
      <w:proofErr w:type="spellEnd"/>
      <w:r>
        <w:t xml:space="preserve">, which makes them attractive in high-power DC links. Self-healing is not free: repeated clearing events remove </w:t>
      </w:r>
      <w:proofErr w:type="spellStart"/>
      <w:r>
        <w:t>metallisation</w:t>
      </w:r>
      <w:proofErr w:type="spellEnd"/>
      <w:r>
        <w:t>, increase local loss and may reduce effective capacitance. Humidity, partial discharge, winding stress and thermal gradients can also change the ageing path.</w:t>
      </w:r>
    </w:p>
    <w:p w14:paraId="6D12D2E0" w14:textId="77777777" w:rsidR="00AA70DA" w:rsidRDefault="00000000">
      <w:pPr>
        <w:pStyle w:val="Body"/>
      </w:pPr>
      <w:r>
        <w:t xml:space="preserve">Ceramic capacitors can provide low impedance at high frequency, but effective capacitance may fall with dc bias and change with temperature or mechanical stress. A bank that appears adequate from its zero-bias nominal value may therefore offer less energy storage </w:t>
      </w:r>
      <w:r>
        <w:lastRenderedPageBreak/>
        <w:t>during operation. Technology comparison should use the capacitance under the actual electrical bias and frequency range.</w:t>
      </w:r>
    </w:p>
    <w:p w14:paraId="0630DFC7" w14:textId="77777777" w:rsidR="00AA70DA" w:rsidRDefault="00000000">
      <w:pPr>
        <w:pStyle w:val="Body"/>
      </w:pPr>
      <w:r>
        <w:t xml:space="preserve">For any technology, the relevant loss is tied to the ripple-current spectrum rather than only its RMS total. A compact estimate is Ploss = </w:t>
      </w:r>
      <w:proofErr w:type="gramStart"/>
      <w:r>
        <w:t>Iripple,rms</w:t>
      </w:r>
      <w:proofErr w:type="gramEnd"/>
      <w:r>
        <w:t>² ESR, but ESR is frequency- and temperature-dependent and the current may contain multiple dominant harmonics. A thermal model should use the waveform or a spectrum that preserves the heating contribution of the important components.</w:t>
      </w:r>
    </w:p>
    <w:p w14:paraId="1C058746" w14:textId="77777777" w:rsidR="00AA70DA" w:rsidRDefault="00000000">
      <w:pPr>
        <w:pStyle w:val="Heading21"/>
      </w:pPr>
      <w:r>
        <w:t>3.1 Linking construction to the observable failure mechanism</w:t>
      </w:r>
    </w:p>
    <w:p w14:paraId="1B2341D4" w14:textId="77777777" w:rsidR="00AA70DA" w:rsidRDefault="00000000">
      <w:pPr>
        <w:pStyle w:val="Body"/>
      </w:pPr>
      <w:r>
        <w:t xml:space="preserve">The capacitor technology determines which physical changes are plausible and which measurements are informative. In an </w:t>
      </w:r>
      <w:proofErr w:type="spellStart"/>
      <w:r>
        <w:t>aluminium</w:t>
      </w:r>
      <w:proofErr w:type="spellEnd"/>
      <w:r>
        <w:t xml:space="preserve"> electrolytic capacitor, changes in electrolyte and internal contacts can affect resistive loss as well as capacitance. In a </w:t>
      </w:r>
      <w:proofErr w:type="spellStart"/>
      <w:r>
        <w:t>metallised</w:t>
      </w:r>
      <w:proofErr w:type="spellEnd"/>
      <w:r>
        <w:t xml:space="preserve"> film capacitor, local dielectric clearing can remove active electrode area while permitting continued operation. In a ceramic component, bias dependence, cracking and termination stress can dominate different parts of the response. These mechanisms should not be compressed into one generic ageing curve. Wang and Blaabjerg (2014) provide a foundational comparison of capacitor technologies for DC-link applications. Their framework remains useful when interpreting newer monitoring methods because an estimator cannot diagnose a mechanism that its underlying component model excludes.</w:t>
      </w:r>
    </w:p>
    <w:p w14:paraId="32A11ABD" w14:textId="77777777" w:rsidR="00AA70DA" w:rsidRDefault="00000000">
      <w:pPr>
        <w:pStyle w:val="Body"/>
      </w:pPr>
      <w:r>
        <w:t xml:space="preserve">The electrical construction also determines how damage appears at the terminals. A large capacitor bank can contain parallel units, internal series sections and interconnections whose resistances are comparable to a small change in the capacitor ESR. The measured bank impedance therefore includes more than the dielectric and electrode system. A loose connection or unequal current sharing can increase local temperature without a proportional change in the aggregate capacitance. Conversely, one degraded unit in a large parallel bank may produce only a small terminal change. The monitoring boundary must state whether the objective is the complete bank, a module or an individual capacitor. Detection capability at one boundary does not imply </w:t>
      </w:r>
      <w:proofErr w:type="spellStart"/>
      <w:r>
        <w:t>localisation</w:t>
      </w:r>
      <w:proofErr w:type="spellEnd"/>
      <w:r>
        <w:t xml:space="preserve"> at another.</w:t>
      </w:r>
    </w:p>
    <w:p w14:paraId="698B8B64" w14:textId="77777777" w:rsidR="00AA70DA" w:rsidRDefault="00000000">
      <w:pPr>
        <w:pStyle w:val="Body"/>
      </w:pPr>
      <w:r>
        <w:t>An application-oriented failure definition is consequently more useful than a universal percentage. A capacitor can remain electrically functional while the bank no longer satisfies allowable ripple, transient energy or temperature limits. Another application may tolerate the same parameter drift without loss of function. A component procurement threshold and a converter maintenance threshold serve different purposes. The former supports consistent acceptance testing; the latter must account for the actual operating margin. This review therefore interprets parameter changes through their converter consequence rather than treating every published capacitance or ESR threshold as interchangeable.</w:t>
      </w:r>
    </w:p>
    <w:p w14:paraId="296F6727" w14:textId="77777777" w:rsidR="00AA70DA" w:rsidRDefault="00000000">
      <w:pPr>
        <w:pStyle w:val="Heading21"/>
      </w:pPr>
      <w:r>
        <w:t>3.2 Frequency-dependent heating and the thermal feedback loop</w:t>
      </w:r>
    </w:p>
    <w:p w14:paraId="31D50542" w14:textId="77777777" w:rsidR="00AA70DA" w:rsidRDefault="00000000">
      <w:pPr>
        <w:pStyle w:val="Body"/>
      </w:pPr>
      <w:r>
        <w:t>For a ripple current decomposed into orthogonal harmonic components, a useful loss model is P_loss ≈ Σ I_</w:t>
      </w:r>
      <w:proofErr w:type="gramStart"/>
      <w:r>
        <w:t>k,rms</w:t>
      </w:r>
      <w:proofErr w:type="gramEnd"/>
      <w:r>
        <w:t>² ESR(</w:t>
      </w:r>
      <w:proofErr w:type="spellStart"/>
      <w:r>
        <w:t>f_</w:t>
      </w:r>
      <w:proofErr w:type="gramStart"/>
      <w:r>
        <w:t>k,T</w:t>
      </w:r>
      <w:proofErr w:type="spellEnd"/>
      <w:proofErr w:type="gramEnd"/>
      <w:r>
        <w:t xml:space="preserve">), where </w:t>
      </w:r>
      <w:proofErr w:type="spellStart"/>
      <w:r>
        <w:t>f_k</w:t>
      </w:r>
      <w:proofErr w:type="spellEnd"/>
      <w:r>
        <w:t xml:space="preserve"> is harmonic frequency and T is the relevant capacitor temperature. The familiar single-frequency expression is a special case. The spectral form explains why two current waveforms with the same total RMS value can produce different heating when ESR varies with frequency. It also explains why switching-frequency changes cannot be evaluated solely from a reduction in ripple amplitude. A design </w:t>
      </w:r>
      <w:r>
        <w:lastRenderedPageBreak/>
        <w:t>calculation should retain the frequency components that contribute materially to loss and state how ESR was measured or modelled over that range.</w:t>
      </w:r>
    </w:p>
    <w:p w14:paraId="54377065" w14:textId="77777777" w:rsidR="00AA70DA" w:rsidRDefault="00000000">
      <w:pPr>
        <w:pStyle w:val="Body"/>
      </w:pPr>
      <w:r>
        <w:t>Heating and degradation form a feedback loop. Greater resistive loss raises internal temperature, which can accelerate a temperature-sensitive degradation process and further alter the electrical parameters. The direction and strength of the immediate temperature dependence must still be distinguished from irreversible ageing. For example, an ESR measurement made at a different temperature can shift even if the capacitor has not aged. A condition monitor should therefore compare values at a common reference condition or apply a justified correction. Without this step, seasonal ambient changes or a modified cooling arrangement may be misinterpreted as degradation.</w:t>
      </w:r>
    </w:p>
    <w:p w14:paraId="6DDFAE1A" w14:textId="77777777" w:rsidR="00AA70DA" w:rsidRDefault="00000000">
      <w:pPr>
        <w:pStyle w:val="Body"/>
      </w:pPr>
      <w:r>
        <w:t xml:space="preserve">Case temperature is an accessible but imperfect proxy for internal hot-spot temperature. The thermal path from the active winding to the case depends on construction, mounting and airflow. During a transient, the case may lag the interior, so </w:t>
      </w:r>
      <w:proofErr w:type="gramStart"/>
      <w:r>
        <w:t>a</w:t>
      </w:r>
      <w:proofErr w:type="gramEnd"/>
      <w:r>
        <w:t xml:space="preserve"> apparently acceptable surface value does not establish that the internal temperature remains low. Conversely, a high case temperature can result from </w:t>
      </w:r>
      <w:proofErr w:type="spellStart"/>
      <w:r>
        <w:t>neighbouring</w:t>
      </w:r>
      <w:proofErr w:type="spellEnd"/>
      <w:r>
        <w:t xml:space="preserve"> components. A useful thermal model should distinguish heat generated internally from heat entering through the environment. This becomes especially relevant in compact converters, where semiconductor losses and shared enclosures can couple the capacitor’s temperature to operating changes elsewhere in the system.</w:t>
      </w:r>
    </w:p>
    <w:p w14:paraId="39270C5D" w14:textId="77777777" w:rsidR="00AA70DA" w:rsidRDefault="00000000">
      <w:pPr>
        <w:pStyle w:val="Heading21"/>
      </w:pPr>
      <w:r>
        <w:t>3.3 Lifetime models and mission-profile transfer</w:t>
      </w:r>
    </w:p>
    <w:p w14:paraId="2A121B70" w14:textId="77777777" w:rsidR="00AA70DA" w:rsidRDefault="00000000">
      <w:pPr>
        <w:pStyle w:val="Body"/>
      </w:pPr>
      <w:r>
        <w:t>A lifetime model converts a stress history into an estimate of accumulated degradation or survival. Its validity depends on the mechanism and stress range used for calibration. A simple temperature acceleration law may be helpful when one thermally activated process dominates, but it should not be extended automatically to humidity-driven corrosion, mechanical cracking or dielectric breakdown. Likewise, a voltage acceleration exponent identified for one dielectric and construction may not apply to another. The distinction is not merely statistical: changing stress can change the dominant physical mechanism. An accelerated test is useful only when the accelerated mechanism remains relevant to the intended application.</w:t>
      </w:r>
    </w:p>
    <w:p w14:paraId="13B34E63" w14:textId="77777777" w:rsidR="00AA70DA" w:rsidRDefault="00000000">
      <w:pPr>
        <w:pStyle w:val="Body"/>
      </w:pPr>
      <w:r>
        <w:t>A mission profile should therefore include more than operating hours. Bus-voltage dwell, ripple spectrum, ambient temperature, cooling state, start-stop cycles and exposure to humidity can change the accumulated stress. A converter that spends most of its time at partial load can have a different ageing trajectory from one tested continuously at rated power. A maintenance model should also account for future duty, since remaining life is conditional on what happens next. Reporting one lifetime number without a mission assumption gives a misleading impression of certainty. The appropriate output may instead be a range under several plausible future operating scenarios.</w:t>
      </w:r>
    </w:p>
    <w:p w14:paraId="60D2F65E" w14:textId="77777777" w:rsidR="00AA70DA" w:rsidRDefault="00000000">
      <w:pPr>
        <w:pStyle w:val="Heading1"/>
      </w:pPr>
      <w:r>
        <w:t>4. HEALTH INDICATORS</w:t>
      </w:r>
    </w:p>
    <w:p w14:paraId="18425C27" w14:textId="77777777" w:rsidR="00AA70DA" w:rsidRDefault="00000000">
      <w:pPr>
        <w:pStyle w:val="Body"/>
      </w:pPr>
      <w:r>
        <w:t>Capacitance reduction, ESR increase, dissipation factor, leakage current and temperature are common indicators. Zhao et al. (2021) show that monitoring methods differ in whether they estimate a parameter directly or infer it from converter behavior. Dang and Kwak (2020) review methods across capacitor types and emphasize operating conditions.</w:t>
      </w:r>
    </w:p>
    <w:p w14:paraId="44D5FC24" w14:textId="77777777" w:rsidR="00AA70DA" w:rsidRDefault="00000000">
      <w:pPr>
        <w:pStyle w:val="Body"/>
      </w:pPr>
      <w:r>
        <w:lastRenderedPageBreak/>
        <w:t>A monitoring system should report excitation source, frequency band, parameter model, estimator uncertainty and end-of-life threshold.</w:t>
      </w:r>
    </w:p>
    <w:p w14:paraId="6036BEDA" w14:textId="77777777" w:rsidR="00AA70DA" w:rsidRDefault="00000000">
      <w:pPr>
        <w:pStyle w:val="Body"/>
      </w:pPr>
      <w:r>
        <w:t xml:space="preserve">Capacitance reduction often reflects loss of active dielectric area, electrolyte depletion or </w:t>
      </w:r>
      <w:proofErr w:type="spellStart"/>
      <w:r>
        <w:t>metallisation</w:t>
      </w:r>
      <w:proofErr w:type="spellEnd"/>
      <w:r>
        <w:t xml:space="preserve"> loss, whereas ESR increase is more directly connected to resistive heating. The two parameters may not drift at the same rate. A condition monitor should therefore track their joint trajectory and identify whether the application has a capacitance-driven voltage-ripple limit or an ESR-driven thermal limit.</w:t>
      </w:r>
    </w:p>
    <w:p w14:paraId="2F449FDE" w14:textId="77777777" w:rsidR="00AA70DA" w:rsidRDefault="00000000">
      <w:pPr>
        <w:pStyle w:val="Body"/>
      </w:pPr>
      <w:r>
        <w:t>Temperature can be used as both a stress variable and a health indicator. If ripple current and ambient conditions are known, a rising internal temperature at comparable load may indicate increasing ESR or deteriorating thermal contact. Temperature alone is not sufficient, however, because a change in cooling or airflow can produce the same observation.</w:t>
      </w:r>
    </w:p>
    <w:p w14:paraId="76B5C5FC" w14:textId="77777777" w:rsidR="00AA70DA" w:rsidRDefault="00000000">
      <w:pPr>
        <w:pStyle w:val="Body"/>
      </w:pPr>
      <w:r>
        <w:t>Leakage current, dissipation factor, dielectric loss, ripple-voltage amplitude and transient response provide additional evidence. Their usefulness depends on sensor placement and bandwidth. For example, a voltage-ripple estimate can be dominated by converter control or wiring inductance unless the measurement location and spectral window are fixed.</w:t>
      </w:r>
    </w:p>
    <w:p w14:paraId="3679598C" w14:textId="77777777" w:rsidR="00AA70DA" w:rsidRDefault="00000000">
      <w:pPr>
        <w:pStyle w:val="Body"/>
      </w:pPr>
      <w:r>
        <w:t>End-of-life thresholds should be linked to the converter requirement. A manufacturer percentage may be appropriate for procurement screening, while a system may reach an unacceptable bus-ripple or semiconductor-voltage limit earlier. The threshold should state whether it is based on capacitance, ESR, temperature, ripple or a combined rule.</w:t>
      </w:r>
    </w:p>
    <w:p w14:paraId="686D1338" w14:textId="77777777" w:rsidR="00AA70DA" w:rsidRDefault="00000000">
      <w:pPr>
        <w:pStyle w:val="Heading21"/>
      </w:pPr>
      <w:r>
        <w:t>4.1 Parameter estimation is not the same as health diagnosis</w:t>
      </w:r>
    </w:p>
    <w:p w14:paraId="3B87307F" w14:textId="77777777" w:rsidR="00AA70DA" w:rsidRDefault="00000000">
      <w:pPr>
        <w:pStyle w:val="Body"/>
      </w:pPr>
      <w:r>
        <w:t>An estimator answers a question such as what capacitance or ESR best explains the measured waveform under a specified circuit model. Diagnosis asks what physical condition that estimate implies. Prognosis asks how the condition is likely to evolve toward an end-of-life criterion. These are successive inference steps with different evidence requirements. Zhao et al. (2021) compare monitoring techniques across DC-link applications, while Dang and Kwak (2020) review their use across converter contexts. The present synthesis builds on that distinction by requiring the diagnostic and prognostic assumptions to be stated separately from the parameter-estimation algorithm.</w:t>
      </w:r>
    </w:p>
    <w:p w14:paraId="4C5C5A38" w14:textId="77777777" w:rsidR="00AA70DA" w:rsidRDefault="00000000">
      <w:pPr>
        <w:pStyle w:val="Body"/>
      </w:pPr>
      <w:r>
        <w:t>Consider a measured increase in bus ripple. It may indicate reduced capacitance, but it can also result from increased load pulsation, a change in source impedance, altered modulation or a control disturbance. Even when capacitance is accurately estimated, the cause of its change still depends on technology and operating condition. A health monitor should therefore use contextual variables rather than mapping a single waveform amplitude directly to a failure label. If those variables are unavailable, its claim should remain limited to anomaly detection. An anomaly can justify inspection without proving a particular ageing mechanism or remaining service life.</w:t>
      </w:r>
    </w:p>
    <w:p w14:paraId="0DFDE745" w14:textId="77777777" w:rsidR="00AA70DA" w:rsidRDefault="00000000">
      <w:pPr>
        <w:pStyle w:val="Body"/>
      </w:pPr>
      <w:r>
        <w:t xml:space="preserve">The same caution applies to a stable estimate. An unchanged aggregate capacitance does not exclude increasing ESR, insulation deterioration or a local interconnection problem. Monitoring two parameters is often more informative, but more outputs do not automatically improve diagnosis if they are extracted from the same poorly conditioned data. The key question is whether the observations contain independent information about the proposed failure mechanisms. A combined electrical and thermal measurement can help when the </w:t>
      </w:r>
      <w:r>
        <w:lastRenderedPageBreak/>
        <w:t xml:space="preserve">thermal boundary is </w:t>
      </w:r>
      <w:proofErr w:type="spellStart"/>
      <w:r>
        <w:t>characterised</w:t>
      </w:r>
      <w:proofErr w:type="spellEnd"/>
      <w:r>
        <w:t>, but it can also introduce a new ambiguity if cooling changes are ignored. Fig. 2 separates these inference stages explicitly.</w:t>
      </w:r>
    </w:p>
    <w:p w14:paraId="609DFC22" w14:textId="77777777" w:rsidR="00AA70DA" w:rsidRDefault="00000000">
      <w:pPr>
        <w:pStyle w:val="Heading21"/>
      </w:pPr>
      <w:r>
        <w:t>4.2 Observability and the choice of excitation</w:t>
      </w:r>
    </w:p>
    <w:p w14:paraId="27DE9BCA" w14:textId="77777777" w:rsidR="00AA70DA" w:rsidRDefault="00000000">
      <w:pPr>
        <w:pStyle w:val="Body"/>
      </w:pPr>
      <w:r>
        <w:t>The simplest small-signal series model is Z(</w:t>
      </w:r>
      <w:proofErr w:type="spellStart"/>
      <w:r>
        <w:t>jω</w:t>
      </w:r>
      <w:proofErr w:type="spellEnd"/>
      <w:r>
        <w:t xml:space="preserve">) = ESR + </w:t>
      </w:r>
      <w:proofErr w:type="spellStart"/>
      <w:r>
        <w:t>jωESL</w:t>
      </w:r>
      <w:proofErr w:type="spellEnd"/>
      <w:r>
        <w:t xml:space="preserve"> + 1/(</w:t>
      </w:r>
      <w:proofErr w:type="spellStart"/>
      <w:r>
        <w:t>jωC</w:t>
      </w:r>
      <w:proofErr w:type="spellEnd"/>
      <w:r>
        <w:t>), where ESL is equivalent series inductance. At frequencies dominated by the capacitive term, the response is sensitive to C but may be weakly sensitive to ESR. At higher frequencies, ESR or inductance can dominate. Estimating both C and ESR from a single narrow band can therefore be ill-conditioned. The useful frequency range depends on the component and interconnection. A monitoring method should identify the band in which each parameter is observable and show that other circuit terms do not explain the same measured response equally well.</w:t>
      </w:r>
    </w:p>
    <w:p w14:paraId="220B5C64" w14:textId="77777777" w:rsidR="00AA70DA" w:rsidRDefault="00000000">
      <w:pPr>
        <w:pStyle w:val="Body"/>
      </w:pPr>
      <w:r>
        <w:t xml:space="preserve">The concept of observability also applies in the time domain. A nearly constant bus voltage with very little capacitor current carries little information for estimating capacitance from charge balance. An algorithm can still return a smooth numerical value, but that smoothness may reflect its previous estimate or </w:t>
      </w:r>
      <w:proofErr w:type="spellStart"/>
      <w:r>
        <w:t>regularisation</w:t>
      </w:r>
      <w:proofErr w:type="spellEnd"/>
      <w:r>
        <w:t xml:space="preserve"> rather than new evidence. Confidence should decrease when excitation is insufficient. A practical estimator can hold the last trustworthy estimate and record that no informative update occurred. This is preferable to presenting every control cycle as an independent measurement of ageing, especially when the true degradation process is much slower than the converter dynamics.</w:t>
      </w:r>
    </w:p>
    <w:p w14:paraId="28E43129" w14:textId="77777777" w:rsidR="00AA70DA" w:rsidRDefault="00000000">
      <w:pPr>
        <w:pStyle w:val="Heading21"/>
      </w:pPr>
      <w:r>
        <w:t>4.3 Bias and uncertainty in charge-balance methods</w:t>
      </w:r>
    </w:p>
    <w:p w14:paraId="553EBAA6" w14:textId="77777777" w:rsidR="00AA70DA" w:rsidRDefault="00000000">
      <w:pPr>
        <w:pStyle w:val="Body"/>
      </w:pPr>
      <w:r>
        <w:t xml:space="preserve">For a selected interval, an </w:t>
      </w:r>
      <w:proofErr w:type="spellStart"/>
      <w:r>
        <w:t>idealised</w:t>
      </w:r>
      <w:proofErr w:type="spellEnd"/>
      <w:r>
        <w:t xml:space="preserve"> capacitance estimate is </w:t>
      </w:r>
      <w:proofErr w:type="spellStart"/>
      <w:r>
        <w:t>C_hat</w:t>
      </w:r>
      <w:proofErr w:type="spellEnd"/>
      <w:r>
        <w:t xml:space="preserve"> = ∫</w:t>
      </w:r>
      <w:proofErr w:type="spellStart"/>
      <w:r>
        <w:t>i_C</w:t>
      </w:r>
      <w:proofErr w:type="spellEnd"/>
      <w:r>
        <w:t>(t)dt/</w:t>
      </w:r>
      <w:proofErr w:type="spellStart"/>
      <w:r>
        <w:t>Δv_C</w:t>
      </w:r>
      <w:proofErr w:type="spellEnd"/>
      <w:r>
        <w:t xml:space="preserve">. The expression assumes that </w:t>
      </w:r>
      <w:proofErr w:type="spellStart"/>
      <w:r>
        <w:t>i_C</w:t>
      </w:r>
      <w:proofErr w:type="spellEnd"/>
      <w:r>
        <w:t xml:space="preserve"> is the current entering the capacitor and that the measured voltage change represents its capacitive component. Leakage, an unmeasured parallel path, ESR-related steps or sensor offset can violate those assumptions. The estimate also becomes sensitive to noise when </w:t>
      </w:r>
      <w:proofErr w:type="spellStart"/>
      <w:r>
        <w:t>Δv_C</w:t>
      </w:r>
      <w:proofErr w:type="spellEnd"/>
      <w:r>
        <w:t xml:space="preserve"> is small. Increasing the observation interval can improve the voltage change but allows more opportunity for offset accumulation and changing operating conditions. The interval length is therefore a design choice that balances signal strength against model validity.</w:t>
      </w:r>
    </w:p>
    <w:p w14:paraId="628B5A74" w14:textId="77777777" w:rsidR="00AA70DA" w:rsidRDefault="00000000">
      <w:pPr>
        <w:pStyle w:val="Body"/>
      </w:pPr>
      <w:r>
        <w:t xml:space="preserve">If a constant current-sensor offset b is integrated over an interval </w:t>
      </w:r>
      <w:proofErr w:type="spellStart"/>
      <w:r>
        <w:t>Δt</w:t>
      </w:r>
      <w:proofErr w:type="spellEnd"/>
      <w:r>
        <w:t xml:space="preserve">, it introduces a charge error </w:t>
      </w:r>
      <w:proofErr w:type="spellStart"/>
      <w:r>
        <w:t>bΔt</w:t>
      </w:r>
      <w:proofErr w:type="spellEnd"/>
      <w:r>
        <w:t>. This direct algebraic result explains why a longer record does not necessarily improve accuracy. A voltage offset that is constant at both endpoints may cancel in the difference, but drift or unequal filtering can remain. Reconstructing capacitor current from other converter currents introduces their gain, offset and timing errors as well as uncertainty in switching-state identification. These errors should be propagated into the capacitance estimate. Reporting an average percentage error alone can conceal operating regions where the measurement has too little sensitivity to support a reliable health decision.</w:t>
      </w:r>
    </w:p>
    <w:p w14:paraId="171A006A" w14:textId="77777777" w:rsidR="00AA70DA" w:rsidRDefault="00000000">
      <w:pPr>
        <w:pStyle w:val="Body"/>
      </w:pPr>
      <w:r>
        <w:t xml:space="preserve">Fig. 1 </w:t>
      </w:r>
      <w:proofErr w:type="spellStart"/>
      <w:r>
        <w:t>summarises</w:t>
      </w:r>
      <w:proofErr w:type="spellEnd"/>
      <w:r>
        <w:t xml:space="preserve"> the physical and measurement relationships discussed in this section.</w:t>
      </w:r>
    </w:p>
    <w:p w14:paraId="5B8EA80A" w14:textId="77777777" w:rsidR="00AA70DA" w:rsidRDefault="00000000">
      <w:pPr>
        <w:keepNext/>
        <w:jc w:val="center"/>
      </w:pPr>
      <w:r>
        <w:rPr>
          <w:noProof/>
        </w:rPr>
        <w:lastRenderedPageBreak/>
        <w:drawing>
          <wp:inline distT="0" distB="0" distL="0" distR="0" wp14:anchorId="470D1AEB" wp14:editId="5CCE8C6D">
            <wp:extent cx="5212080" cy="178975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acitor_1.png"/>
                    <pic:cNvPicPr/>
                  </pic:nvPicPr>
                  <pic:blipFill>
                    <a:blip r:embed="rId8"/>
                    <a:stretch>
                      <a:fillRect/>
                    </a:stretch>
                  </pic:blipFill>
                  <pic:spPr>
                    <a:xfrm>
                      <a:off x="0" y="0"/>
                      <a:ext cx="5212080" cy="1789751"/>
                    </a:xfrm>
                    <a:prstGeom prst="rect">
                      <a:avLst/>
                    </a:prstGeom>
                  </pic:spPr>
                </pic:pic>
              </a:graphicData>
            </a:graphic>
          </wp:inline>
        </w:drawing>
      </w:r>
    </w:p>
    <w:p w14:paraId="0AD1770E" w14:textId="77777777" w:rsidR="00AA70DA" w:rsidRDefault="00000000">
      <w:pPr>
        <w:pStyle w:val="Caption1"/>
      </w:pPr>
      <w:r>
        <w:t>Fig. 1. Measurement and interpretation pathway for capacitor condition monitoring. C is capacitance, ESR is equivalent series resistance and T is temperature. Original conceptual schematic; no experimental or simulated performance data are plotted.</w:t>
      </w:r>
    </w:p>
    <w:p w14:paraId="20D10B63" w14:textId="77777777" w:rsidR="00AA70DA" w:rsidRDefault="00000000">
      <w:pPr>
        <w:pStyle w:val="Heading1"/>
      </w:pPr>
      <w:r>
        <w:t>5. ONLINE MONITORING</w:t>
      </w:r>
    </w:p>
    <w:p w14:paraId="0EAE8A64" w14:textId="77777777" w:rsidR="00AA70DA" w:rsidRDefault="00000000">
      <w:pPr>
        <w:pStyle w:val="Body"/>
      </w:pPr>
      <w:r>
        <w:t>Non-invasive signal injection can estimate capacitor parameters without stopping a converter. Ribeiro et al. (2024) demonstrate signal injection for a three-level NPC converter and report simultaneous ESR and capacitance estimation. Other approaches use natural ripple, charge-discharge trajectories, dissipation factor or reconstructed capacitor current.</w:t>
      </w:r>
    </w:p>
    <w:p w14:paraId="58FFE55C" w14:textId="77777777" w:rsidR="00AA70DA" w:rsidRDefault="00000000">
      <w:pPr>
        <w:pStyle w:val="Body"/>
      </w:pPr>
      <w:r>
        <w:t>The intervention must be small enough not to disturb power quality or control stability. Observability depends on topology, modulation, sensor bandwidth and separation from switching harmonics.</w:t>
      </w:r>
    </w:p>
    <w:p w14:paraId="6C0EDBC0" w14:textId="77777777" w:rsidR="00AA70DA" w:rsidRDefault="00000000">
      <w:pPr>
        <w:pStyle w:val="Body"/>
      </w:pPr>
      <w:r>
        <w:t>Natural-ripple methods use the converter’s own voltage and current waveforms. They avoid deliberate excitation, but their observability changes with duty cycle, load, modulation and operating point. The estimator should reject intervals in which the converter is not sufficiently excited or should report a confidence measure alongside the estimated parameter.</w:t>
      </w:r>
    </w:p>
    <w:p w14:paraId="11115315" w14:textId="77777777" w:rsidR="00AA70DA" w:rsidRDefault="00000000">
      <w:pPr>
        <w:pStyle w:val="Body"/>
      </w:pPr>
      <w:r>
        <w:t>Signal injection provides a controlled frequency component that can be separated from the switching waveform. The injected amplitude must remain small enough to preserve power quality and control stability, and the chosen frequency must distinguish the capacitor from inductors, wiring and sensor dynamics. A calibration step with a known impedance is useful for identifying the combined measurement path.</w:t>
      </w:r>
    </w:p>
    <w:p w14:paraId="60AD09B2" w14:textId="77777777" w:rsidR="00AA70DA" w:rsidRDefault="00000000">
      <w:pPr>
        <w:pStyle w:val="Body"/>
      </w:pPr>
      <w:r>
        <w:t>Charge-discharge and transient-trajectory methods infer capacitance from the relationship between current and bus-voltage change. They can be effective during controlled operating events, but the estimate is sensitive to current-sensor offset, parasitic capacitance, control action and the duration of the selected interval. These assumptions should be stated explicitly.</w:t>
      </w:r>
    </w:p>
    <w:p w14:paraId="6959CCED" w14:textId="77777777" w:rsidR="00AA70DA" w:rsidRDefault="00000000">
      <w:pPr>
        <w:pStyle w:val="Body"/>
      </w:pPr>
      <w:r>
        <w:t>Online estimators become more reliable when they combine a parameter model with thermal and mission-profile information. Recursive least squares, Kalman filtering and impedance-based estimators can track slow changes, but they should not be presented as failure predictors unless their uncertainty and end-of-life decision rule have been validated on representative ageing data.</w:t>
      </w:r>
    </w:p>
    <w:p w14:paraId="35178314" w14:textId="77777777" w:rsidR="00AA70DA" w:rsidRDefault="00000000">
      <w:pPr>
        <w:pStyle w:val="Heading21"/>
      </w:pPr>
      <w:r>
        <w:lastRenderedPageBreak/>
        <w:t>5.1 Natural ripple and switching transients</w:t>
      </w:r>
    </w:p>
    <w:p w14:paraId="620C6E14" w14:textId="77777777" w:rsidR="00AA70DA" w:rsidRDefault="00000000">
      <w:pPr>
        <w:pStyle w:val="Body"/>
      </w:pPr>
      <w:r>
        <w:t xml:space="preserve">Natural-ripple methods are attractive because they use excitation already present in the converter. Their practical limitation is that the available information changes with load, topology and control. A useful operating point for ESR estimation may be a poor one for capacitance estimation. Signal processing can isolate a frequency band, but it cannot create information absent from the waveform. The reported accuracy should therefore be mapped over the operating range rather than demonstrated only at one </w:t>
      </w:r>
      <w:proofErr w:type="spellStart"/>
      <w:r>
        <w:t>favourable</w:t>
      </w:r>
      <w:proofErr w:type="spellEnd"/>
      <w:r>
        <w:t xml:space="preserve"> point. The method should also state whether an informative measurement remains available during light load, idle periods or abnormal source conditions.</w:t>
      </w:r>
    </w:p>
    <w:p w14:paraId="11E7F0FA" w14:textId="77777777" w:rsidR="00AA70DA" w:rsidRDefault="00000000">
      <w:pPr>
        <w:pStyle w:val="Body"/>
      </w:pPr>
      <w:r>
        <w:t>Xiang et al. (2021) proposed using the damping of switching ringing to monitor ESR in a voltage-source converter. This represents a different observation route from directly dividing ripple voltage by ripple current. The appeal is that a transient often treated as unwanted noise can contain impedance information. The limitation is that ringing also depends on parasitic inductance, capacitance and the surrounding circuit. Transfer to another layout therefore requires reassessing the equivalent circuit and measurement bandwidth. A damping-based indicator should not be interpreted as a capacitor-only property unless the contributions from the rest of the resonant path are sufficiently controlled.</w:t>
      </w:r>
    </w:p>
    <w:p w14:paraId="0A145607" w14:textId="77777777" w:rsidR="00AA70DA" w:rsidRDefault="00000000">
      <w:pPr>
        <w:pStyle w:val="Body"/>
      </w:pPr>
      <w:proofErr w:type="spellStart"/>
      <w:r>
        <w:t>Laadjal</w:t>
      </w:r>
      <w:proofErr w:type="spellEnd"/>
      <w:r>
        <w:t xml:space="preserve"> et al. (2021) studied short-time Fourier-transform-based diagnosis of DC-link electrolytic capacitors in boost converters. Time-frequency analysis can make changing waveform features easier to follow, but a classification feature remains conditional on the converter that generates it. Changes in operating mode or disturbance spectrum can resemble changes associated with a degraded component. For this reason, diagnostic demonstrations should distinguish capacitor variation from load and control variation in the evaluation data. A method that </w:t>
      </w:r>
      <w:proofErr w:type="spellStart"/>
      <w:r>
        <w:t>recognises</w:t>
      </w:r>
      <w:proofErr w:type="spellEnd"/>
      <w:r>
        <w:t xml:space="preserve"> deliberately substituted components under one operating condition may still require additional evidence before it can distinguish gradual field ageing from normal operational changes.</w:t>
      </w:r>
    </w:p>
    <w:p w14:paraId="49350EA7" w14:textId="77777777" w:rsidR="00AA70DA" w:rsidRDefault="00000000">
      <w:pPr>
        <w:pStyle w:val="Heading21"/>
      </w:pPr>
      <w:r>
        <w:t>5.2 Controlled injection in a multilevel converter</w:t>
      </w:r>
    </w:p>
    <w:p w14:paraId="137FFAC8" w14:textId="77777777" w:rsidR="00AA70DA" w:rsidRDefault="00000000">
      <w:pPr>
        <w:pStyle w:val="Body"/>
      </w:pPr>
      <w:r>
        <w:t>Ribeiro et al. (2024) reported an online method for three-level neutral-point-clamped converters using signal injection and wavelet decomposition to estimate capacitance and ESR in their relevant frequency regions. The combination is valuable because it addresses the different sensitivity requirements of the two parameters. However, the evidence belongs to the studied converter and injection arrangement. A method described as noninvasive in hardware can still alter a control waveform or impose a small electrical disturbance. Its implementation burden should therefore be reported in terms of sensors, software changes, injected signal and effect on normal conversion, rather than with one undifferentiated label.</w:t>
      </w:r>
    </w:p>
    <w:p w14:paraId="2FC48387" w14:textId="77777777" w:rsidR="00AA70DA" w:rsidRDefault="00000000">
      <w:pPr>
        <w:pStyle w:val="Body"/>
      </w:pPr>
      <w:r>
        <w:t>A controlled disturbance is useful when natural excitation is weak or inconsistent. Its frequency must be chosen to provide parameter sensitivity without producing unacceptable bus ripple, current distortion or interaction with a control loop. Its amplitude must exceed measurement noise while preserving the operating constraints. These requirements can conflict. Increasing injection amplitude may improve estimation but worsen power quality; reducing amplitude can make the result dominated by sensor error. The useful outcome is a stated operating envelope in which both estimation and converter performance are acceptable. An accuracy number reported without the associated disturbance is insufficient for comparing methods.</w:t>
      </w:r>
    </w:p>
    <w:p w14:paraId="20F6A6B7" w14:textId="77777777" w:rsidR="00AA70DA" w:rsidRDefault="00000000">
      <w:pPr>
        <w:pStyle w:val="Body"/>
      </w:pPr>
      <w:r>
        <w:lastRenderedPageBreak/>
        <w:t>Lin and Pan (2025) used recognition of inserted windows and time slicing to estimate submodule capacitance in an MMC with nearest-level modulation. The publication reports simulation and experimental support for the method. Its relevance is the use of identifiable switching intervals to create a meaningful charge-balance observation without adding dedicated sensors. The limitation is equally instructive: the informative interval arises from the topology and modulation. A two-level converter does not necessarily provide the same window. This study therefore exemplifies topology-aware estimation, rather than a universal algorithm that can be transferred by retaining only its numerical update equation.</w:t>
      </w:r>
    </w:p>
    <w:p w14:paraId="316677B3" w14:textId="77777777" w:rsidR="00AA70DA" w:rsidRDefault="00000000">
      <w:pPr>
        <w:pStyle w:val="Heading21"/>
      </w:pPr>
      <w:r>
        <w:t>5.3 Discharge events and deliberately created measurement intervals</w:t>
      </w:r>
    </w:p>
    <w:p w14:paraId="430AD0DD" w14:textId="77777777" w:rsidR="00AA70DA" w:rsidRDefault="00000000">
      <w:pPr>
        <w:pStyle w:val="Body"/>
      </w:pPr>
      <w:proofErr w:type="spellStart"/>
      <w:r>
        <w:t>Oliszewski</w:t>
      </w:r>
      <w:proofErr w:type="spellEnd"/>
      <w:r>
        <w:t xml:space="preserve"> et al. (2025) examined discharge-based repetitive recursive least squares for a hybrid-electric aircraft DC link. They report an effective capacitance range of 881–1044 µF with estimation error below 5% under the evaluated conditions, within a wider investigated range. Reporting the effective range is important: it shows that an algorithm’s useful domain may be narrower than the parameter range explored. Repeatedly processing a short data package can improve convergence of an estimator, but it does not create independent new measurements. The quality of that package and the suitability of the discharge model remain decisive.</w:t>
      </w:r>
    </w:p>
    <w:p w14:paraId="10FB8907" w14:textId="77777777" w:rsidR="00AA70DA" w:rsidRDefault="00000000">
      <w:pPr>
        <w:pStyle w:val="Body"/>
      </w:pPr>
      <w:r>
        <w:t>Qian et al. (2025) introduced a DC-link series-switch arrangement for monitoring capacitance in a brushless-DC motor-drive context. The controlled charging interval and current reconstruction illustrate how circuit architecture can be changed to improve observability. This is a meaningful trade-off rather than a free diagnostic addition: extra components and control states must be assessed for loss, cost, reliability and disturbance. Moreover, a capacitance estimate is still an input to a lifetime assessment. The mapping from that estimate to remaining life requires a degradation relationship and a justified end-of-life criterion for the chosen capacitor family.</w:t>
      </w:r>
    </w:p>
    <w:p w14:paraId="1CC483BF" w14:textId="77777777" w:rsidR="00AA70DA" w:rsidRDefault="00000000">
      <w:pPr>
        <w:pStyle w:val="Body"/>
      </w:pPr>
      <w:r>
        <w:t xml:space="preserve">A useful comparison between event-based and continuous monitoring therefore begins with the required update rate. Slow ageing may permit measurements during planned shutdown, discharge or a </w:t>
      </w:r>
      <w:proofErr w:type="spellStart"/>
      <w:r>
        <w:t>favourable</w:t>
      </w:r>
      <w:proofErr w:type="spellEnd"/>
      <w:r>
        <w:t xml:space="preserve"> operating window. Rapid protection decisions require different signals and response times. Continuously running a sophisticated estimator is not necessarily better if the parameter changes slowly and the normal waveform provides weak excitation. Conversely, a shutdown-only method can miss a fault developing between maintenance events. The chosen architecture should state the fastest relevant degradation or failure process and explain how its measurement schedule can detect that process in time to act.</w:t>
      </w:r>
    </w:p>
    <w:p w14:paraId="39FF04B0" w14:textId="77777777" w:rsidR="00AA70DA" w:rsidRDefault="00000000">
      <w:pPr>
        <w:pStyle w:val="Heading21"/>
      </w:pPr>
      <w:r>
        <w:t>5.4 Recursive estimators and data-driven methods</w:t>
      </w:r>
    </w:p>
    <w:p w14:paraId="0763A6AA" w14:textId="77777777" w:rsidR="00AA70DA" w:rsidRDefault="00000000">
      <w:pPr>
        <w:pStyle w:val="Body"/>
      </w:pPr>
      <w:r>
        <w:t xml:space="preserve">Recursive least squares and Kalman-family estimators offer practical ways to update parameters as data arrive. Their tuning controls how strongly new data influence the estimate and how much variation is attributed to noise or parameter drift. A rapid adaptation setting can follow operational changes but may mistake them for ageing. A slow setting can </w:t>
      </w:r>
      <w:proofErr w:type="spellStart"/>
      <w:r>
        <w:t>stabilise</w:t>
      </w:r>
      <w:proofErr w:type="spellEnd"/>
      <w:r>
        <w:t xml:space="preserve"> the trend but delay detection. The estimator should therefore be evaluated against both slow parameter changes and abrupt disturbances. Its internal covariance or confidence output should not be accepted as a complete uncertainty bound unless model mismatch and sensor bias have been represented adequately.</w:t>
      </w:r>
    </w:p>
    <w:p w14:paraId="14FD6941" w14:textId="77777777" w:rsidR="00AA70DA" w:rsidRDefault="00000000">
      <w:pPr>
        <w:pStyle w:val="Body"/>
      </w:pPr>
      <w:r>
        <w:lastRenderedPageBreak/>
        <w:t>Data-driven models introduce a related transfer problem. Training and evaluation data must be separated at the level that matters for deployment, such as distinct capacitors, operating missions or converters. Randomly separating adjacent samples from one ageing trajectory can make performance appear stronger than it is because the samples share almost the same underlying state. A useful benchmark tests new specimens and changed operating conditions. Physics-informed constraints can prevent impossible outputs, but they do not compensate for a training set that lacks relevant failure mechanisms. The evidence should therefore distinguish interpolation within known conditions from prediction under a new mission.</w:t>
      </w:r>
    </w:p>
    <w:p w14:paraId="58BB9D81" w14:textId="77777777" w:rsidR="00AA70DA" w:rsidRDefault="00000000">
      <w:pPr>
        <w:pStyle w:val="Heading1"/>
      </w:pPr>
      <w:r>
        <w:t>6. DESIGN COMPARISON</w:t>
      </w:r>
    </w:p>
    <w:p w14:paraId="3096553A" w14:textId="77777777" w:rsidR="00AA70DA" w:rsidRDefault="00000000">
      <w:pPr>
        <w:pStyle w:val="Body"/>
      </w:pPr>
      <w:r>
        <w:t>The choice of monitoring family should follow the required decision. A maintenance alarm can tolerate a slower trend estimate, whereas protection against a rapid thermal excursion requires a fast and conservative signal. Table 2 relates monitoring choice to converter context and the main validation burden.</w:t>
      </w:r>
    </w:p>
    <w:p w14:paraId="1250531C" w14:textId="77777777" w:rsidR="00AA70DA" w:rsidRDefault="00000000">
      <w:pPr>
        <w:pStyle w:val="Heading21"/>
      </w:pPr>
      <w:r>
        <w:t>6.1 Selecting a monitor from the maintenance decision backward</w:t>
      </w:r>
    </w:p>
    <w:p w14:paraId="2E912620" w14:textId="77777777" w:rsidR="00AA70DA" w:rsidRDefault="00000000">
      <w:pPr>
        <w:pStyle w:val="Body"/>
      </w:pPr>
      <w:r>
        <w:t>The monitoring problem becomes clearer when the desired action is specified first. A maintenance planner may need an indication that remaining margin is declining over weeks. A controller may need to derate current during a thermal excursion. A protection system may need to respond to a rapidly developing fault. These actions require different bandwidths, confidence levels and acceptable false-alarm rates. A slow but accurate capacitance estimator may be well suited to maintenance and unsuitable for short-circuit protection. Table 2 therefore compares the type of decision supported by each monitoring family, rather than treating estimation accuracy as the only performance metric.</w:t>
      </w:r>
    </w:p>
    <w:p w14:paraId="11706202" w14:textId="77777777" w:rsidR="00AA70DA" w:rsidRDefault="00000000">
      <w:pPr>
        <w:pStyle w:val="Body"/>
      </w:pPr>
      <w:r>
        <w:t>An alarm threshold should include measurement uncertainty and operational variability. If the confidence interval overlaps the nominal region, a repeated measurement under better excitation may be more informative than an immediate replacement decision. If a physically plausible trend persists across comparable operating points, the evidence for degradation becomes stronger. Hysteresis and persistence requirements can reduce repeated alarm toggling, but their delay must remain acceptable for the failure process. The monitoring logic should also distinguish unavailable information from a healthy state. A failed sensor or unobservable operating interval should not be silently converted into a reassuring health estimate.</w:t>
      </w:r>
    </w:p>
    <w:p w14:paraId="1F6CAC0A" w14:textId="77777777" w:rsidR="00AA70DA" w:rsidRDefault="00000000">
      <w:pPr>
        <w:pStyle w:val="Heading21"/>
      </w:pPr>
      <w:r>
        <w:t>6.2 Functional limits and an illustrative energy calculation</w:t>
      </w:r>
    </w:p>
    <w:p w14:paraId="2710AFC9" w14:textId="77777777" w:rsidR="00AA70DA" w:rsidRDefault="00000000">
      <w:pPr>
        <w:pStyle w:val="Body"/>
      </w:pPr>
      <w:r>
        <w:t xml:space="preserve">The capacitor’s stored energy is E = CV²/2 under the ideal capacitance model. If a DC link must support a power deficit P for a short time while voltage falls from </w:t>
      </w:r>
      <w:proofErr w:type="spellStart"/>
      <w:r>
        <w:t>V_high</w:t>
      </w:r>
      <w:proofErr w:type="spellEnd"/>
      <w:r>
        <w:t xml:space="preserve"> to </w:t>
      </w:r>
      <w:proofErr w:type="spellStart"/>
      <w:r>
        <w:t>V_low</w:t>
      </w:r>
      <w:proofErr w:type="spellEnd"/>
      <w:r>
        <w:t xml:space="preserve">, the ideal energy balance gives </w:t>
      </w:r>
      <w:proofErr w:type="spellStart"/>
      <w:r>
        <w:t>C_required</w:t>
      </w:r>
      <w:proofErr w:type="spellEnd"/>
      <w:r>
        <w:t xml:space="preserve"> = 2PΔt</w:t>
      </w:r>
      <w:proofErr w:type="gramStart"/>
      <w:r>
        <w:t>/(</w:t>
      </w:r>
      <w:proofErr w:type="gramEnd"/>
      <w:r>
        <w:t>V_high² − V_low²). This is a screening relation that neglects loss, controller dynamics and other energy stores. It demonstrates how a capacitance threshold can be derived from a converter requirement rather than selected solely from a generic percentage. The result must be supplemented by ripple-current, temperature and voltage constraints before it becomes a component specification.</w:t>
      </w:r>
    </w:p>
    <w:p w14:paraId="463475AE" w14:textId="77777777" w:rsidR="00AA70DA" w:rsidRDefault="00000000">
      <w:pPr>
        <w:pStyle w:val="Body"/>
      </w:pPr>
      <w:r>
        <w:t xml:space="preserve">The same reasoning shows why capacitance and ESR thresholds can lead to different decisions. A capacitor may retain adequate energy storage while its loss creates an </w:t>
      </w:r>
      <w:r>
        <w:lastRenderedPageBreak/>
        <w:t xml:space="preserve">unacceptable internal temperature. Conversely, a relatively low-loss bank may no longer supply the required ride-through energy after capacitance loss. A combined health assessment should track the limiting margin, not average the two indicators into a score without physical meaning. If a composite index is used, its relationship to each functional limit should be explicit. </w:t>
      </w:r>
      <w:proofErr w:type="gramStart"/>
      <w:r>
        <w:t>Otherwise</w:t>
      </w:r>
      <w:proofErr w:type="gramEnd"/>
      <w:r>
        <w:t xml:space="preserve"> a good value in one parameter can numerically conceal a dangerous value in another.</w:t>
      </w:r>
    </w:p>
    <w:p w14:paraId="65936EDF" w14:textId="77777777" w:rsidR="00AA70DA" w:rsidRDefault="00000000">
      <w:pPr>
        <w:pStyle w:val="Body"/>
      </w:pPr>
      <w:r>
        <w:t xml:space="preserve">Table 1 </w:t>
      </w:r>
      <w:proofErr w:type="spellStart"/>
      <w:r>
        <w:t>summarises</w:t>
      </w:r>
      <w:proofErr w:type="spellEnd"/>
      <w:r>
        <w:t xml:space="preserve"> evidence categories discussed in the cited literature and the limits on applying their findings elsewhere.</w:t>
      </w:r>
    </w:p>
    <w:p w14:paraId="641158F8" w14:textId="77777777" w:rsidR="00AA70DA" w:rsidRDefault="00000000">
      <w:pPr>
        <w:pStyle w:val="Caption1"/>
        <w:keepNext/>
      </w:pPr>
      <w:r>
        <w:t>Table 1. Condition-monitoring families and their main evidence burden</w:t>
      </w:r>
    </w:p>
    <w:tbl>
      <w:tblPr>
        <w:tblW w:w="0" w:type="auto"/>
        <w:tblLayout w:type="fixed"/>
        <w:tblLook w:val="04A0" w:firstRow="1" w:lastRow="0" w:firstColumn="1" w:lastColumn="0" w:noHBand="0" w:noVBand="1"/>
      </w:tblPr>
      <w:tblGrid>
        <w:gridCol w:w="1888"/>
        <w:gridCol w:w="3119"/>
        <w:gridCol w:w="3201"/>
      </w:tblGrid>
      <w:tr w:rsidR="00AA70DA" w14:paraId="61E54329" w14:textId="77777777">
        <w:trPr>
          <w:cantSplit/>
          <w:tblHeader/>
        </w:trPr>
        <w:tc>
          <w:tcPr>
            <w:tcW w:w="1888" w:type="dxa"/>
            <w:tcBorders>
              <w:top w:val="single" w:sz="4" w:space="0" w:color="D9D9D9"/>
              <w:left w:val="single" w:sz="4" w:space="0" w:color="D9D9D9"/>
              <w:bottom w:val="single" w:sz="4" w:space="0" w:color="D9D9D9"/>
              <w:right w:val="single" w:sz="4" w:space="0" w:color="D9D9D9"/>
            </w:tcBorders>
            <w:shd w:val="clear" w:color="auto" w:fill="EEEEEE"/>
          </w:tcPr>
          <w:p w14:paraId="088F1AE2" w14:textId="77777777" w:rsidR="00AA70DA" w:rsidRDefault="00000000">
            <w:pPr>
              <w:spacing w:after="0" w:line="480" w:lineRule="auto"/>
            </w:pPr>
            <w:r>
              <w:rPr>
                <w:b/>
                <w:sz w:val="18"/>
              </w:rPr>
              <w:t>Monitoring family</w:t>
            </w:r>
          </w:p>
        </w:tc>
        <w:tc>
          <w:tcPr>
            <w:tcW w:w="3119" w:type="dxa"/>
            <w:tcBorders>
              <w:top w:val="single" w:sz="4" w:space="0" w:color="D9D9D9"/>
              <w:left w:val="single" w:sz="4" w:space="0" w:color="D9D9D9"/>
              <w:bottom w:val="single" w:sz="4" w:space="0" w:color="D9D9D9"/>
              <w:right w:val="single" w:sz="4" w:space="0" w:color="D9D9D9"/>
            </w:tcBorders>
            <w:shd w:val="clear" w:color="auto" w:fill="EEEEEE"/>
          </w:tcPr>
          <w:p w14:paraId="7506FC15" w14:textId="77777777" w:rsidR="00AA70DA" w:rsidRDefault="00000000">
            <w:pPr>
              <w:spacing w:after="0" w:line="480" w:lineRule="auto"/>
            </w:pPr>
            <w:r>
              <w:rPr>
                <w:b/>
                <w:sz w:val="18"/>
              </w:rPr>
              <w:t>Observable quantity</w:t>
            </w:r>
          </w:p>
        </w:tc>
        <w:tc>
          <w:tcPr>
            <w:tcW w:w="3201" w:type="dxa"/>
            <w:tcBorders>
              <w:top w:val="single" w:sz="4" w:space="0" w:color="D9D9D9"/>
              <w:left w:val="single" w:sz="4" w:space="0" w:color="D9D9D9"/>
              <w:bottom w:val="single" w:sz="4" w:space="0" w:color="D9D9D9"/>
              <w:right w:val="single" w:sz="4" w:space="0" w:color="D9D9D9"/>
            </w:tcBorders>
            <w:shd w:val="clear" w:color="auto" w:fill="EEEEEE"/>
          </w:tcPr>
          <w:p w14:paraId="2801A35F" w14:textId="77777777" w:rsidR="00AA70DA" w:rsidRDefault="00000000">
            <w:pPr>
              <w:spacing w:after="0" w:line="480" w:lineRule="auto"/>
            </w:pPr>
            <w:r>
              <w:rPr>
                <w:b/>
                <w:sz w:val="18"/>
              </w:rPr>
              <w:t>Main limitation</w:t>
            </w:r>
          </w:p>
        </w:tc>
      </w:tr>
      <w:tr w:rsidR="00AA70DA" w14:paraId="117540FE" w14:textId="77777777">
        <w:trPr>
          <w:cantSplit/>
        </w:trPr>
        <w:tc>
          <w:tcPr>
            <w:tcW w:w="1888" w:type="dxa"/>
            <w:tcBorders>
              <w:top w:val="single" w:sz="4" w:space="0" w:color="D9D9D9"/>
              <w:left w:val="single" w:sz="4" w:space="0" w:color="D9D9D9"/>
              <w:bottom w:val="single" w:sz="4" w:space="0" w:color="D9D9D9"/>
              <w:right w:val="single" w:sz="4" w:space="0" w:color="D9D9D9"/>
            </w:tcBorders>
          </w:tcPr>
          <w:p w14:paraId="334E58F5" w14:textId="77777777" w:rsidR="00AA70DA" w:rsidRDefault="00000000">
            <w:pPr>
              <w:spacing w:after="0" w:line="480" w:lineRule="auto"/>
            </w:pPr>
            <w:r>
              <w:rPr>
                <w:sz w:val="18"/>
              </w:rPr>
              <w:t>Natural ripple</w:t>
            </w:r>
          </w:p>
        </w:tc>
        <w:tc>
          <w:tcPr>
            <w:tcW w:w="3119" w:type="dxa"/>
            <w:tcBorders>
              <w:top w:val="single" w:sz="4" w:space="0" w:color="D9D9D9"/>
              <w:left w:val="single" w:sz="4" w:space="0" w:color="D9D9D9"/>
              <w:bottom w:val="single" w:sz="4" w:space="0" w:color="D9D9D9"/>
              <w:right w:val="single" w:sz="4" w:space="0" w:color="D9D9D9"/>
            </w:tcBorders>
          </w:tcPr>
          <w:p w14:paraId="5FB77968" w14:textId="77777777" w:rsidR="00AA70DA" w:rsidRDefault="00000000">
            <w:pPr>
              <w:spacing w:after="0" w:line="480" w:lineRule="auto"/>
            </w:pPr>
            <w:r>
              <w:rPr>
                <w:sz w:val="18"/>
              </w:rPr>
              <w:t>Voltage/current ripple or impedance features</w:t>
            </w:r>
          </w:p>
        </w:tc>
        <w:tc>
          <w:tcPr>
            <w:tcW w:w="3201" w:type="dxa"/>
            <w:tcBorders>
              <w:top w:val="single" w:sz="4" w:space="0" w:color="D9D9D9"/>
              <w:left w:val="single" w:sz="4" w:space="0" w:color="D9D9D9"/>
              <w:bottom w:val="single" w:sz="4" w:space="0" w:color="D9D9D9"/>
              <w:right w:val="single" w:sz="4" w:space="0" w:color="D9D9D9"/>
            </w:tcBorders>
          </w:tcPr>
          <w:p w14:paraId="1CB972C9" w14:textId="77777777" w:rsidR="00AA70DA" w:rsidRDefault="00000000">
            <w:pPr>
              <w:spacing w:after="0" w:line="480" w:lineRule="auto"/>
            </w:pPr>
            <w:r>
              <w:rPr>
                <w:sz w:val="18"/>
              </w:rPr>
              <w:t>Excitation changes with load and modulation</w:t>
            </w:r>
          </w:p>
        </w:tc>
      </w:tr>
      <w:tr w:rsidR="00AA70DA" w14:paraId="51744585" w14:textId="77777777">
        <w:trPr>
          <w:cantSplit/>
        </w:trPr>
        <w:tc>
          <w:tcPr>
            <w:tcW w:w="1888" w:type="dxa"/>
            <w:tcBorders>
              <w:top w:val="single" w:sz="4" w:space="0" w:color="D9D9D9"/>
              <w:left w:val="single" w:sz="4" w:space="0" w:color="D9D9D9"/>
              <w:bottom w:val="single" w:sz="4" w:space="0" w:color="D9D9D9"/>
              <w:right w:val="single" w:sz="4" w:space="0" w:color="D9D9D9"/>
            </w:tcBorders>
          </w:tcPr>
          <w:p w14:paraId="5A4B1E0C" w14:textId="77777777" w:rsidR="00AA70DA" w:rsidRDefault="00000000">
            <w:pPr>
              <w:spacing w:after="0" w:line="480" w:lineRule="auto"/>
            </w:pPr>
            <w:r>
              <w:rPr>
                <w:sz w:val="18"/>
              </w:rPr>
              <w:t>Signal injection</w:t>
            </w:r>
          </w:p>
        </w:tc>
        <w:tc>
          <w:tcPr>
            <w:tcW w:w="3119" w:type="dxa"/>
            <w:tcBorders>
              <w:top w:val="single" w:sz="4" w:space="0" w:color="D9D9D9"/>
              <w:left w:val="single" w:sz="4" w:space="0" w:color="D9D9D9"/>
              <w:bottom w:val="single" w:sz="4" w:space="0" w:color="D9D9D9"/>
              <w:right w:val="single" w:sz="4" w:space="0" w:color="D9D9D9"/>
            </w:tcBorders>
          </w:tcPr>
          <w:p w14:paraId="0ECCA108" w14:textId="77777777" w:rsidR="00AA70DA" w:rsidRDefault="00000000">
            <w:pPr>
              <w:spacing w:after="0" w:line="480" w:lineRule="auto"/>
            </w:pPr>
            <w:r>
              <w:rPr>
                <w:sz w:val="18"/>
              </w:rPr>
              <w:t>Response at a selected frequency</w:t>
            </w:r>
          </w:p>
        </w:tc>
        <w:tc>
          <w:tcPr>
            <w:tcW w:w="3201" w:type="dxa"/>
            <w:tcBorders>
              <w:top w:val="single" w:sz="4" w:space="0" w:color="D9D9D9"/>
              <w:left w:val="single" w:sz="4" w:space="0" w:color="D9D9D9"/>
              <w:bottom w:val="single" w:sz="4" w:space="0" w:color="D9D9D9"/>
              <w:right w:val="single" w:sz="4" w:space="0" w:color="D9D9D9"/>
            </w:tcBorders>
          </w:tcPr>
          <w:p w14:paraId="5B4A6E3F" w14:textId="77777777" w:rsidR="00AA70DA" w:rsidRDefault="00000000">
            <w:pPr>
              <w:spacing w:after="0" w:line="480" w:lineRule="auto"/>
            </w:pPr>
            <w:r>
              <w:rPr>
                <w:sz w:val="18"/>
              </w:rPr>
              <w:t>Injection can disturb control or power quality</w:t>
            </w:r>
          </w:p>
        </w:tc>
      </w:tr>
      <w:tr w:rsidR="00AA70DA" w14:paraId="72C0B408" w14:textId="77777777">
        <w:trPr>
          <w:cantSplit/>
        </w:trPr>
        <w:tc>
          <w:tcPr>
            <w:tcW w:w="1888" w:type="dxa"/>
            <w:tcBorders>
              <w:top w:val="single" w:sz="4" w:space="0" w:color="D9D9D9"/>
              <w:left w:val="single" w:sz="4" w:space="0" w:color="D9D9D9"/>
              <w:bottom w:val="single" w:sz="4" w:space="0" w:color="D9D9D9"/>
              <w:right w:val="single" w:sz="4" w:space="0" w:color="D9D9D9"/>
            </w:tcBorders>
          </w:tcPr>
          <w:p w14:paraId="749BE8F6" w14:textId="77777777" w:rsidR="00AA70DA" w:rsidRDefault="00000000">
            <w:pPr>
              <w:spacing w:after="0" w:line="480" w:lineRule="auto"/>
            </w:pPr>
            <w:r>
              <w:rPr>
                <w:sz w:val="18"/>
              </w:rPr>
              <w:t>Charge-discharge event</w:t>
            </w:r>
          </w:p>
        </w:tc>
        <w:tc>
          <w:tcPr>
            <w:tcW w:w="3119" w:type="dxa"/>
            <w:tcBorders>
              <w:top w:val="single" w:sz="4" w:space="0" w:color="D9D9D9"/>
              <w:left w:val="single" w:sz="4" w:space="0" w:color="D9D9D9"/>
              <w:bottom w:val="single" w:sz="4" w:space="0" w:color="D9D9D9"/>
              <w:right w:val="single" w:sz="4" w:space="0" w:color="D9D9D9"/>
            </w:tcBorders>
          </w:tcPr>
          <w:p w14:paraId="1C4529EB" w14:textId="77777777" w:rsidR="00AA70DA" w:rsidRDefault="00000000">
            <w:pPr>
              <w:spacing w:after="0" w:line="480" w:lineRule="auto"/>
            </w:pPr>
            <w:r>
              <w:rPr>
                <w:sz w:val="18"/>
              </w:rPr>
              <w:t>Voltage trajectory and reconstructed current</w:t>
            </w:r>
          </w:p>
        </w:tc>
        <w:tc>
          <w:tcPr>
            <w:tcW w:w="3201" w:type="dxa"/>
            <w:tcBorders>
              <w:top w:val="single" w:sz="4" w:space="0" w:color="D9D9D9"/>
              <w:left w:val="single" w:sz="4" w:space="0" w:color="D9D9D9"/>
              <w:bottom w:val="single" w:sz="4" w:space="0" w:color="D9D9D9"/>
              <w:right w:val="single" w:sz="4" w:space="0" w:color="D9D9D9"/>
            </w:tcBorders>
          </w:tcPr>
          <w:p w14:paraId="2465DC49" w14:textId="77777777" w:rsidR="00AA70DA" w:rsidRDefault="00000000">
            <w:pPr>
              <w:spacing w:after="0" w:line="480" w:lineRule="auto"/>
            </w:pPr>
            <w:r>
              <w:rPr>
                <w:sz w:val="18"/>
              </w:rPr>
              <w:t xml:space="preserve">Sensitive to offsets, </w:t>
            </w:r>
            <w:proofErr w:type="spellStart"/>
            <w:r>
              <w:rPr>
                <w:sz w:val="18"/>
              </w:rPr>
              <w:t>parasitics</w:t>
            </w:r>
            <w:proofErr w:type="spellEnd"/>
            <w:r>
              <w:rPr>
                <w:sz w:val="18"/>
              </w:rPr>
              <w:t xml:space="preserve"> and interval selection</w:t>
            </w:r>
          </w:p>
        </w:tc>
      </w:tr>
      <w:tr w:rsidR="00AA70DA" w14:paraId="13548943" w14:textId="77777777">
        <w:trPr>
          <w:cantSplit/>
        </w:trPr>
        <w:tc>
          <w:tcPr>
            <w:tcW w:w="1888" w:type="dxa"/>
            <w:tcBorders>
              <w:top w:val="single" w:sz="4" w:space="0" w:color="D9D9D9"/>
              <w:left w:val="single" w:sz="4" w:space="0" w:color="D9D9D9"/>
              <w:bottom w:val="single" w:sz="4" w:space="0" w:color="D9D9D9"/>
              <w:right w:val="single" w:sz="4" w:space="0" w:color="D9D9D9"/>
            </w:tcBorders>
          </w:tcPr>
          <w:p w14:paraId="65C79D1A" w14:textId="77777777" w:rsidR="00AA70DA" w:rsidRDefault="00000000">
            <w:pPr>
              <w:spacing w:after="0" w:line="480" w:lineRule="auto"/>
            </w:pPr>
            <w:r>
              <w:rPr>
                <w:sz w:val="18"/>
              </w:rPr>
              <w:t>Switching-ring damping</w:t>
            </w:r>
          </w:p>
        </w:tc>
        <w:tc>
          <w:tcPr>
            <w:tcW w:w="3119" w:type="dxa"/>
            <w:tcBorders>
              <w:top w:val="single" w:sz="4" w:space="0" w:color="D9D9D9"/>
              <w:left w:val="single" w:sz="4" w:space="0" w:color="D9D9D9"/>
              <w:bottom w:val="single" w:sz="4" w:space="0" w:color="D9D9D9"/>
              <w:right w:val="single" w:sz="4" w:space="0" w:color="D9D9D9"/>
            </w:tcBorders>
          </w:tcPr>
          <w:p w14:paraId="35E2D493" w14:textId="77777777" w:rsidR="00AA70DA" w:rsidRDefault="00000000">
            <w:pPr>
              <w:spacing w:after="0" w:line="480" w:lineRule="auto"/>
            </w:pPr>
            <w:r>
              <w:rPr>
                <w:sz w:val="18"/>
              </w:rPr>
              <w:t>Transient decay and resonant response</w:t>
            </w:r>
          </w:p>
        </w:tc>
        <w:tc>
          <w:tcPr>
            <w:tcW w:w="3201" w:type="dxa"/>
            <w:tcBorders>
              <w:top w:val="single" w:sz="4" w:space="0" w:color="D9D9D9"/>
              <w:left w:val="single" w:sz="4" w:space="0" w:color="D9D9D9"/>
              <w:bottom w:val="single" w:sz="4" w:space="0" w:color="D9D9D9"/>
              <w:right w:val="single" w:sz="4" w:space="0" w:color="D9D9D9"/>
            </w:tcBorders>
          </w:tcPr>
          <w:p w14:paraId="5A01D4FB" w14:textId="77777777" w:rsidR="00AA70DA" w:rsidRDefault="00000000">
            <w:pPr>
              <w:spacing w:after="0" w:line="480" w:lineRule="auto"/>
            </w:pPr>
            <w:r>
              <w:rPr>
                <w:sz w:val="18"/>
              </w:rPr>
              <w:t xml:space="preserve">Layout </w:t>
            </w:r>
            <w:proofErr w:type="spellStart"/>
            <w:r>
              <w:rPr>
                <w:sz w:val="18"/>
              </w:rPr>
              <w:t>parasitics</w:t>
            </w:r>
            <w:proofErr w:type="spellEnd"/>
            <w:r>
              <w:rPr>
                <w:sz w:val="18"/>
              </w:rPr>
              <w:t xml:space="preserve"> are part of the observation</w:t>
            </w:r>
          </w:p>
        </w:tc>
      </w:tr>
      <w:tr w:rsidR="00AA70DA" w14:paraId="44EC00B5" w14:textId="77777777">
        <w:trPr>
          <w:cantSplit/>
        </w:trPr>
        <w:tc>
          <w:tcPr>
            <w:tcW w:w="1888" w:type="dxa"/>
            <w:tcBorders>
              <w:top w:val="single" w:sz="4" w:space="0" w:color="D9D9D9"/>
              <w:left w:val="single" w:sz="4" w:space="0" w:color="D9D9D9"/>
              <w:bottom w:val="single" w:sz="4" w:space="0" w:color="D9D9D9"/>
              <w:right w:val="single" w:sz="4" w:space="0" w:color="D9D9D9"/>
            </w:tcBorders>
          </w:tcPr>
          <w:p w14:paraId="2D228E48" w14:textId="77777777" w:rsidR="00AA70DA" w:rsidRDefault="00000000">
            <w:pPr>
              <w:spacing w:after="0" w:line="480" w:lineRule="auto"/>
            </w:pPr>
            <w:r>
              <w:rPr>
                <w:sz w:val="18"/>
              </w:rPr>
              <w:t>Data-driven estimator</w:t>
            </w:r>
          </w:p>
        </w:tc>
        <w:tc>
          <w:tcPr>
            <w:tcW w:w="3119" w:type="dxa"/>
            <w:tcBorders>
              <w:top w:val="single" w:sz="4" w:space="0" w:color="D9D9D9"/>
              <w:left w:val="single" w:sz="4" w:space="0" w:color="D9D9D9"/>
              <w:bottom w:val="single" w:sz="4" w:space="0" w:color="D9D9D9"/>
              <w:right w:val="single" w:sz="4" w:space="0" w:color="D9D9D9"/>
            </w:tcBorders>
          </w:tcPr>
          <w:p w14:paraId="21B929D0" w14:textId="77777777" w:rsidR="00AA70DA" w:rsidRDefault="00000000">
            <w:pPr>
              <w:spacing w:after="0" w:line="480" w:lineRule="auto"/>
            </w:pPr>
            <w:r>
              <w:rPr>
                <w:sz w:val="18"/>
              </w:rPr>
              <w:t>Features from operating data</w:t>
            </w:r>
          </w:p>
        </w:tc>
        <w:tc>
          <w:tcPr>
            <w:tcW w:w="3201" w:type="dxa"/>
            <w:tcBorders>
              <w:top w:val="single" w:sz="4" w:space="0" w:color="D9D9D9"/>
              <w:left w:val="single" w:sz="4" w:space="0" w:color="D9D9D9"/>
              <w:bottom w:val="single" w:sz="4" w:space="0" w:color="D9D9D9"/>
              <w:right w:val="single" w:sz="4" w:space="0" w:color="D9D9D9"/>
            </w:tcBorders>
          </w:tcPr>
          <w:p w14:paraId="5785D93E" w14:textId="77777777" w:rsidR="00AA70DA" w:rsidRDefault="00000000">
            <w:pPr>
              <w:spacing w:after="0" w:line="480" w:lineRule="auto"/>
            </w:pPr>
            <w:r>
              <w:rPr>
                <w:sz w:val="18"/>
              </w:rPr>
              <w:t>Needs unseen missions and physical validation</w:t>
            </w:r>
          </w:p>
        </w:tc>
      </w:tr>
    </w:tbl>
    <w:p w14:paraId="2CE3E9C9" w14:textId="77777777" w:rsidR="00AA70DA" w:rsidRDefault="00000000">
      <w:pPr>
        <w:pStyle w:val="Body"/>
      </w:pPr>
      <w:r>
        <w:t>Table 2 links the engineering decision to the evidence needed to support it. These are qualitative design considerations, not new experimental results.</w:t>
      </w:r>
    </w:p>
    <w:p w14:paraId="3E8C892E" w14:textId="77777777" w:rsidR="00AA70DA" w:rsidRDefault="00000000">
      <w:pPr>
        <w:pStyle w:val="Caption1"/>
        <w:keepNext/>
      </w:pPr>
      <w:r>
        <w:t>Table 2. Matching monitoring output to the intended maintenance decision</w:t>
      </w:r>
    </w:p>
    <w:tbl>
      <w:tblPr>
        <w:tblW w:w="0" w:type="auto"/>
        <w:tblLayout w:type="fixed"/>
        <w:tblLook w:val="04A0" w:firstRow="1" w:lastRow="0" w:firstColumn="1" w:lastColumn="0" w:noHBand="0" w:noVBand="1"/>
      </w:tblPr>
      <w:tblGrid>
        <w:gridCol w:w="1888"/>
        <w:gridCol w:w="3119"/>
        <w:gridCol w:w="3201"/>
      </w:tblGrid>
      <w:tr w:rsidR="00AA70DA" w14:paraId="68BC8176" w14:textId="77777777">
        <w:trPr>
          <w:cantSplit/>
          <w:tblHeader/>
        </w:trPr>
        <w:tc>
          <w:tcPr>
            <w:tcW w:w="1888" w:type="dxa"/>
            <w:tcBorders>
              <w:top w:val="single" w:sz="4" w:space="0" w:color="D9D9D9"/>
              <w:left w:val="single" w:sz="4" w:space="0" w:color="D9D9D9"/>
              <w:bottom w:val="single" w:sz="4" w:space="0" w:color="D9D9D9"/>
              <w:right w:val="single" w:sz="4" w:space="0" w:color="D9D9D9"/>
            </w:tcBorders>
            <w:shd w:val="clear" w:color="auto" w:fill="EEEEEE"/>
          </w:tcPr>
          <w:p w14:paraId="3077764A" w14:textId="77777777" w:rsidR="00AA70DA" w:rsidRDefault="00000000">
            <w:pPr>
              <w:spacing w:after="0" w:line="480" w:lineRule="auto"/>
            </w:pPr>
            <w:r>
              <w:rPr>
                <w:b/>
                <w:sz w:val="18"/>
              </w:rPr>
              <w:t>Decision</w:t>
            </w:r>
          </w:p>
        </w:tc>
        <w:tc>
          <w:tcPr>
            <w:tcW w:w="3119" w:type="dxa"/>
            <w:tcBorders>
              <w:top w:val="single" w:sz="4" w:space="0" w:color="D9D9D9"/>
              <w:left w:val="single" w:sz="4" w:space="0" w:color="D9D9D9"/>
              <w:bottom w:val="single" w:sz="4" w:space="0" w:color="D9D9D9"/>
              <w:right w:val="single" w:sz="4" w:space="0" w:color="D9D9D9"/>
            </w:tcBorders>
            <w:shd w:val="clear" w:color="auto" w:fill="EEEEEE"/>
          </w:tcPr>
          <w:p w14:paraId="7201C0C8" w14:textId="77777777" w:rsidR="00AA70DA" w:rsidRDefault="00000000">
            <w:pPr>
              <w:spacing w:after="0" w:line="480" w:lineRule="auto"/>
            </w:pPr>
            <w:r>
              <w:rPr>
                <w:b/>
                <w:sz w:val="18"/>
              </w:rPr>
              <w:t>Suitable evidence</w:t>
            </w:r>
          </w:p>
        </w:tc>
        <w:tc>
          <w:tcPr>
            <w:tcW w:w="3201" w:type="dxa"/>
            <w:tcBorders>
              <w:top w:val="single" w:sz="4" w:space="0" w:color="D9D9D9"/>
              <w:left w:val="single" w:sz="4" w:space="0" w:color="D9D9D9"/>
              <w:bottom w:val="single" w:sz="4" w:space="0" w:color="D9D9D9"/>
              <w:right w:val="single" w:sz="4" w:space="0" w:color="D9D9D9"/>
            </w:tcBorders>
            <w:shd w:val="clear" w:color="auto" w:fill="EEEEEE"/>
          </w:tcPr>
          <w:p w14:paraId="484DB8EF" w14:textId="77777777" w:rsidR="00AA70DA" w:rsidRDefault="00000000">
            <w:pPr>
              <w:spacing w:after="0" w:line="480" w:lineRule="auto"/>
            </w:pPr>
            <w:r>
              <w:rPr>
                <w:b/>
                <w:sz w:val="18"/>
              </w:rPr>
              <w:t>Validation need</w:t>
            </w:r>
          </w:p>
        </w:tc>
      </w:tr>
      <w:tr w:rsidR="00AA70DA" w14:paraId="2AFFEB96" w14:textId="77777777">
        <w:trPr>
          <w:cantSplit/>
        </w:trPr>
        <w:tc>
          <w:tcPr>
            <w:tcW w:w="1888" w:type="dxa"/>
            <w:tcBorders>
              <w:top w:val="single" w:sz="4" w:space="0" w:color="D9D9D9"/>
              <w:left w:val="single" w:sz="4" w:space="0" w:color="D9D9D9"/>
              <w:bottom w:val="single" w:sz="4" w:space="0" w:color="D9D9D9"/>
              <w:right w:val="single" w:sz="4" w:space="0" w:color="D9D9D9"/>
            </w:tcBorders>
          </w:tcPr>
          <w:p w14:paraId="22BF8780" w14:textId="77777777" w:rsidR="00AA70DA" w:rsidRDefault="00000000">
            <w:pPr>
              <w:spacing w:after="0" w:line="480" w:lineRule="auto"/>
            </w:pPr>
            <w:r>
              <w:rPr>
                <w:sz w:val="18"/>
              </w:rPr>
              <w:t>Screening alarm</w:t>
            </w:r>
          </w:p>
        </w:tc>
        <w:tc>
          <w:tcPr>
            <w:tcW w:w="3119" w:type="dxa"/>
            <w:tcBorders>
              <w:top w:val="single" w:sz="4" w:space="0" w:color="D9D9D9"/>
              <w:left w:val="single" w:sz="4" w:space="0" w:color="D9D9D9"/>
              <w:bottom w:val="single" w:sz="4" w:space="0" w:color="D9D9D9"/>
              <w:right w:val="single" w:sz="4" w:space="0" w:color="D9D9D9"/>
            </w:tcBorders>
          </w:tcPr>
          <w:p w14:paraId="28BE081A" w14:textId="77777777" w:rsidR="00AA70DA" w:rsidRDefault="00000000">
            <w:pPr>
              <w:spacing w:after="0" w:line="480" w:lineRule="auto"/>
            </w:pPr>
            <w:r>
              <w:rPr>
                <w:sz w:val="18"/>
              </w:rPr>
              <w:t>Trend in C, ESR or temperature with confidence</w:t>
            </w:r>
          </w:p>
        </w:tc>
        <w:tc>
          <w:tcPr>
            <w:tcW w:w="3201" w:type="dxa"/>
            <w:tcBorders>
              <w:top w:val="single" w:sz="4" w:space="0" w:color="D9D9D9"/>
              <w:left w:val="single" w:sz="4" w:space="0" w:color="D9D9D9"/>
              <w:bottom w:val="single" w:sz="4" w:space="0" w:color="D9D9D9"/>
              <w:right w:val="single" w:sz="4" w:space="0" w:color="D9D9D9"/>
            </w:tcBorders>
          </w:tcPr>
          <w:p w14:paraId="1D4995AE" w14:textId="77777777" w:rsidR="00AA70DA" w:rsidRDefault="00000000">
            <w:pPr>
              <w:spacing w:after="0" w:line="480" w:lineRule="auto"/>
            </w:pPr>
            <w:r>
              <w:rPr>
                <w:sz w:val="18"/>
              </w:rPr>
              <w:t>Repeatability under comparable operation</w:t>
            </w:r>
          </w:p>
        </w:tc>
      </w:tr>
      <w:tr w:rsidR="00AA70DA" w14:paraId="58240492" w14:textId="77777777">
        <w:trPr>
          <w:cantSplit/>
        </w:trPr>
        <w:tc>
          <w:tcPr>
            <w:tcW w:w="1888" w:type="dxa"/>
            <w:tcBorders>
              <w:top w:val="single" w:sz="4" w:space="0" w:color="D9D9D9"/>
              <w:left w:val="single" w:sz="4" w:space="0" w:color="D9D9D9"/>
              <w:bottom w:val="single" w:sz="4" w:space="0" w:color="D9D9D9"/>
              <w:right w:val="single" w:sz="4" w:space="0" w:color="D9D9D9"/>
            </w:tcBorders>
          </w:tcPr>
          <w:p w14:paraId="36FD95E3" w14:textId="77777777" w:rsidR="00AA70DA" w:rsidRDefault="00000000">
            <w:pPr>
              <w:spacing w:after="0" w:line="480" w:lineRule="auto"/>
            </w:pPr>
            <w:r>
              <w:rPr>
                <w:sz w:val="18"/>
              </w:rPr>
              <w:t>Derating</w:t>
            </w:r>
          </w:p>
        </w:tc>
        <w:tc>
          <w:tcPr>
            <w:tcW w:w="3119" w:type="dxa"/>
            <w:tcBorders>
              <w:top w:val="single" w:sz="4" w:space="0" w:color="D9D9D9"/>
              <w:left w:val="single" w:sz="4" w:space="0" w:color="D9D9D9"/>
              <w:bottom w:val="single" w:sz="4" w:space="0" w:color="D9D9D9"/>
              <w:right w:val="single" w:sz="4" w:space="0" w:color="D9D9D9"/>
            </w:tcBorders>
          </w:tcPr>
          <w:p w14:paraId="396BE860" w14:textId="77777777" w:rsidR="00AA70DA" w:rsidRDefault="00000000">
            <w:pPr>
              <w:spacing w:after="0" w:line="480" w:lineRule="auto"/>
            </w:pPr>
            <w:r>
              <w:rPr>
                <w:sz w:val="18"/>
              </w:rPr>
              <w:t>Fast thermal or ripple margin estimate</w:t>
            </w:r>
          </w:p>
        </w:tc>
        <w:tc>
          <w:tcPr>
            <w:tcW w:w="3201" w:type="dxa"/>
            <w:tcBorders>
              <w:top w:val="single" w:sz="4" w:space="0" w:color="D9D9D9"/>
              <w:left w:val="single" w:sz="4" w:space="0" w:color="D9D9D9"/>
              <w:bottom w:val="single" w:sz="4" w:space="0" w:color="D9D9D9"/>
              <w:right w:val="single" w:sz="4" w:space="0" w:color="D9D9D9"/>
            </w:tcBorders>
          </w:tcPr>
          <w:p w14:paraId="7BBE8C94" w14:textId="77777777" w:rsidR="00AA70DA" w:rsidRDefault="00000000">
            <w:pPr>
              <w:spacing w:after="0" w:line="480" w:lineRule="auto"/>
            </w:pPr>
            <w:r>
              <w:rPr>
                <w:sz w:val="18"/>
              </w:rPr>
              <w:t>Response time and conservative threshold</w:t>
            </w:r>
          </w:p>
        </w:tc>
      </w:tr>
      <w:tr w:rsidR="00AA70DA" w14:paraId="36D8B78B" w14:textId="77777777">
        <w:trPr>
          <w:cantSplit/>
        </w:trPr>
        <w:tc>
          <w:tcPr>
            <w:tcW w:w="1888" w:type="dxa"/>
            <w:tcBorders>
              <w:top w:val="single" w:sz="4" w:space="0" w:color="D9D9D9"/>
              <w:left w:val="single" w:sz="4" w:space="0" w:color="D9D9D9"/>
              <w:bottom w:val="single" w:sz="4" w:space="0" w:color="D9D9D9"/>
              <w:right w:val="single" w:sz="4" w:space="0" w:color="D9D9D9"/>
            </w:tcBorders>
          </w:tcPr>
          <w:p w14:paraId="78D04A26" w14:textId="77777777" w:rsidR="00AA70DA" w:rsidRDefault="00000000">
            <w:pPr>
              <w:spacing w:after="0" w:line="480" w:lineRule="auto"/>
            </w:pPr>
            <w:r>
              <w:rPr>
                <w:sz w:val="18"/>
              </w:rPr>
              <w:t>Planned replacement</w:t>
            </w:r>
          </w:p>
        </w:tc>
        <w:tc>
          <w:tcPr>
            <w:tcW w:w="3119" w:type="dxa"/>
            <w:tcBorders>
              <w:top w:val="single" w:sz="4" w:space="0" w:color="D9D9D9"/>
              <w:left w:val="single" w:sz="4" w:space="0" w:color="D9D9D9"/>
              <w:bottom w:val="single" w:sz="4" w:space="0" w:color="D9D9D9"/>
              <w:right w:val="single" w:sz="4" w:space="0" w:color="D9D9D9"/>
            </w:tcBorders>
          </w:tcPr>
          <w:p w14:paraId="69B99055" w14:textId="77777777" w:rsidR="00AA70DA" w:rsidRDefault="00000000">
            <w:pPr>
              <w:spacing w:after="0" w:line="480" w:lineRule="auto"/>
            </w:pPr>
            <w:r>
              <w:rPr>
                <w:sz w:val="18"/>
              </w:rPr>
              <w:t>Long-term parameter trajectory and mission profile</w:t>
            </w:r>
          </w:p>
        </w:tc>
        <w:tc>
          <w:tcPr>
            <w:tcW w:w="3201" w:type="dxa"/>
            <w:tcBorders>
              <w:top w:val="single" w:sz="4" w:space="0" w:color="D9D9D9"/>
              <w:left w:val="single" w:sz="4" w:space="0" w:color="D9D9D9"/>
              <w:bottom w:val="single" w:sz="4" w:space="0" w:color="D9D9D9"/>
              <w:right w:val="single" w:sz="4" w:space="0" w:color="D9D9D9"/>
            </w:tcBorders>
          </w:tcPr>
          <w:p w14:paraId="0EE308E3" w14:textId="77777777" w:rsidR="00AA70DA" w:rsidRDefault="00000000">
            <w:pPr>
              <w:spacing w:after="0" w:line="480" w:lineRule="auto"/>
            </w:pPr>
            <w:r>
              <w:rPr>
                <w:sz w:val="18"/>
              </w:rPr>
              <w:t>End-of-life criterion and uncertainty</w:t>
            </w:r>
          </w:p>
        </w:tc>
      </w:tr>
      <w:tr w:rsidR="00AA70DA" w14:paraId="4611DAAF" w14:textId="77777777">
        <w:trPr>
          <w:cantSplit/>
        </w:trPr>
        <w:tc>
          <w:tcPr>
            <w:tcW w:w="1888" w:type="dxa"/>
            <w:tcBorders>
              <w:top w:val="single" w:sz="4" w:space="0" w:color="D9D9D9"/>
              <w:left w:val="single" w:sz="4" w:space="0" w:color="D9D9D9"/>
              <w:bottom w:val="single" w:sz="4" w:space="0" w:color="D9D9D9"/>
              <w:right w:val="single" w:sz="4" w:space="0" w:color="D9D9D9"/>
            </w:tcBorders>
          </w:tcPr>
          <w:p w14:paraId="3306297C" w14:textId="77777777" w:rsidR="00AA70DA" w:rsidRDefault="00000000">
            <w:pPr>
              <w:spacing w:after="0" w:line="480" w:lineRule="auto"/>
            </w:pPr>
            <w:r>
              <w:rPr>
                <w:sz w:val="18"/>
              </w:rPr>
              <w:t>Remaining-life estimate</w:t>
            </w:r>
          </w:p>
        </w:tc>
        <w:tc>
          <w:tcPr>
            <w:tcW w:w="3119" w:type="dxa"/>
            <w:tcBorders>
              <w:top w:val="single" w:sz="4" w:space="0" w:color="D9D9D9"/>
              <w:left w:val="single" w:sz="4" w:space="0" w:color="D9D9D9"/>
              <w:bottom w:val="single" w:sz="4" w:space="0" w:color="D9D9D9"/>
              <w:right w:val="single" w:sz="4" w:space="0" w:color="D9D9D9"/>
            </w:tcBorders>
          </w:tcPr>
          <w:p w14:paraId="0E7259A9" w14:textId="77777777" w:rsidR="00AA70DA" w:rsidRDefault="00000000">
            <w:pPr>
              <w:spacing w:after="0" w:line="480" w:lineRule="auto"/>
            </w:pPr>
            <w:r>
              <w:rPr>
                <w:sz w:val="18"/>
              </w:rPr>
              <w:t>Ageing model plus representative field history</w:t>
            </w:r>
          </w:p>
        </w:tc>
        <w:tc>
          <w:tcPr>
            <w:tcW w:w="3201" w:type="dxa"/>
            <w:tcBorders>
              <w:top w:val="single" w:sz="4" w:space="0" w:color="D9D9D9"/>
              <w:left w:val="single" w:sz="4" w:space="0" w:color="D9D9D9"/>
              <w:bottom w:val="single" w:sz="4" w:space="0" w:color="D9D9D9"/>
              <w:right w:val="single" w:sz="4" w:space="0" w:color="D9D9D9"/>
            </w:tcBorders>
          </w:tcPr>
          <w:p w14:paraId="53E6532D" w14:textId="77777777" w:rsidR="00AA70DA" w:rsidRDefault="00000000">
            <w:pPr>
              <w:spacing w:after="0" w:line="480" w:lineRule="auto"/>
            </w:pPr>
            <w:r>
              <w:rPr>
                <w:sz w:val="18"/>
              </w:rPr>
              <w:t>New specimens, missions and failure observations</w:t>
            </w:r>
          </w:p>
        </w:tc>
      </w:tr>
    </w:tbl>
    <w:p w14:paraId="35FF56A6" w14:textId="77777777" w:rsidR="00AA70DA" w:rsidRDefault="00000000">
      <w:pPr>
        <w:pStyle w:val="Body"/>
      </w:pPr>
      <w:r>
        <w:t>Fig. 2 brings these considerations together as a conceptual assessment framework.</w:t>
      </w:r>
    </w:p>
    <w:p w14:paraId="1FABE770" w14:textId="77777777" w:rsidR="00AA70DA" w:rsidRDefault="00000000">
      <w:pPr>
        <w:keepNext/>
        <w:jc w:val="center"/>
      </w:pPr>
      <w:r>
        <w:rPr>
          <w:noProof/>
        </w:rPr>
        <w:lastRenderedPageBreak/>
        <w:drawing>
          <wp:inline distT="0" distB="0" distL="0" distR="0" wp14:anchorId="7AEE1061" wp14:editId="19F750D4">
            <wp:extent cx="5212080" cy="218122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acitor_2.png"/>
                    <pic:cNvPicPr/>
                  </pic:nvPicPr>
                  <pic:blipFill>
                    <a:blip r:embed="rId9"/>
                    <a:stretch>
                      <a:fillRect/>
                    </a:stretch>
                  </pic:blipFill>
                  <pic:spPr>
                    <a:xfrm>
                      <a:off x="0" y="0"/>
                      <a:ext cx="5212080" cy="2181226"/>
                    </a:xfrm>
                    <a:prstGeom prst="rect">
                      <a:avLst/>
                    </a:prstGeom>
                  </pic:spPr>
                </pic:pic>
              </a:graphicData>
            </a:graphic>
          </wp:inline>
        </w:drawing>
      </w:r>
    </w:p>
    <w:p w14:paraId="20DA71F5" w14:textId="77777777" w:rsidR="00AA70DA" w:rsidRDefault="00000000">
      <w:pPr>
        <w:pStyle w:val="Caption1"/>
      </w:pPr>
      <w:r>
        <w:t>Fig. 2. Successive inference steps from measured parameters to maintenance decisions. Estimation accuracy alone does not establish remaining useful life. Original conceptual schematic; no experimental or simulated performance data are plotted.</w:t>
      </w:r>
    </w:p>
    <w:p w14:paraId="7752754E" w14:textId="77777777" w:rsidR="00AA70DA" w:rsidRDefault="00000000">
      <w:pPr>
        <w:pStyle w:val="Heading1"/>
      </w:pPr>
      <w:r>
        <w:t>7. LIMITATIONS AND DIRECTIONS</w:t>
      </w:r>
    </w:p>
    <w:p w14:paraId="316B1F1B" w14:textId="77777777" w:rsidR="00AA70DA" w:rsidRDefault="00000000">
      <w:pPr>
        <w:pStyle w:val="Body"/>
      </w:pPr>
      <w:r>
        <w:t>Capacitor selection should begin with the mission profile: bus voltage, ripple spectrum, ambient temperature, cooling, humidity and operating hours. Manufacturer calculators are useful only when their definitions match the application.</w:t>
      </w:r>
    </w:p>
    <w:p w14:paraId="75952CB1" w14:textId="77777777" w:rsidR="00AA70DA" w:rsidRDefault="00000000">
      <w:pPr>
        <w:pStyle w:val="Body"/>
      </w:pPr>
      <w:r>
        <w:t>The review is limited by inconsistent end-of-life definitions and scarce long-duration field data. Accurate parameter estimation does not guarantee failure prediction if the selected indicator is not the controlling degradation mechanism.</w:t>
      </w:r>
    </w:p>
    <w:p w14:paraId="76E072FD" w14:textId="77777777" w:rsidR="00AA70DA" w:rsidRDefault="00000000">
      <w:pPr>
        <w:pStyle w:val="Body"/>
      </w:pPr>
      <w:r>
        <w:t>The main limitation in the literature is the mismatch between short laboratory ageing tests and long, variable field missions. Ripple spectrum, ambient temperature, cooling, humidity, bus-voltage dwell time and control events interact over thousands of hours. A method validated under one profile should not be assumed to predict another profile without recalibration.</w:t>
      </w:r>
    </w:p>
    <w:p w14:paraId="1BA85B4F" w14:textId="77777777" w:rsidR="00AA70DA" w:rsidRDefault="00000000">
      <w:pPr>
        <w:pStyle w:val="Body"/>
      </w:pPr>
      <w:r>
        <w:t>A second limitation is inconsistent end-of-life definition. Some studies use a percentage change in capacitance, others use ESR, leakage, temperature or a functional converter limit. Future reports should provide the physical indicator, the decision threshold, the confidence interval and the associated converter consequence.</w:t>
      </w:r>
    </w:p>
    <w:p w14:paraId="24C3A1DE" w14:textId="77777777" w:rsidR="00AA70DA" w:rsidRDefault="00000000">
      <w:pPr>
        <w:pStyle w:val="Body"/>
      </w:pPr>
      <w:r>
        <w:t>Future work should combine physics-informed ageing models with data-driven estimators. The physics model can constrain implausible trends, while field data can capture installation-specific cooling and load histories. The result should be an uncertainty-aware health state that supports maintenance decisions without claiming more precision than the sensors and model justify.</w:t>
      </w:r>
    </w:p>
    <w:p w14:paraId="00259606" w14:textId="77777777" w:rsidR="00AA70DA" w:rsidRDefault="00000000">
      <w:pPr>
        <w:pStyle w:val="Heading21"/>
      </w:pPr>
      <w:r>
        <w:t>7.1 Evidence needed before claiming remaining useful life</w:t>
      </w:r>
    </w:p>
    <w:p w14:paraId="3CF90586" w14:textId="77777777" w:rsidR="00AA70DA" w:rsidRDefault="00000000">
      <w:pPr>
        <w:pStyle w:val="Body"/>
      </w:pPr>
      <w:r>
        <w:t xml:space="preserve">A credible remaining-life claim requires ageing trajectories, failure or end-of-life observations, and a model of future exposure. Short experiments that substitute several nominal capacitances can validate the estimator’s ability to distinguish parameter values, but they do not reproduce the full degradation process. Artificially increasing series resistance </w:t>
      </w:r>
      <w:r>
        <w:lastRenderedPageBreak/>
        <w:t>similarly tests part of the electrical response without necessarily reproducing internal heating or local damage. Such experiments are useful when described accurately. Their evidential role is parameter-estimation validation, followed by additional work on mechanism-specific ageing and prediction uncertainty.</w:t>
      </w:r>
    </w:p>
    <w:p w14:paraId="3855B901" w14:textId="77777777" w:rsidR="00AA70DA" w:rsidRDefault="00000000">
      <w:pPr>
        <w:pStyle w:val="Body"/>
      </w:pPr>
      <w:r>
        <w:t>Field evaluation should record the conditions that can explain changes in the monitored signal. Maintenance, cooling-system changes, firmware updates and sensor replacement can alter the observation without changing the capacitor’s intrinsic condition. A historical trend is interpretable only if these events are tracked. The evaluation should also report missed detections and false alarms, since a method can appear accurate on selected degraded examples while producing unacceptable maintenance burden in normal service. The practical value lies in improving decisions under realistic uncertainty, rather than in producing a visually smooth health curve.</w:t>
      </w:r>
    </w:p>
    <w:p w14:paraId="4BA71CA0" w14:textId="77777777" w:rsidR="00AA70DA" w:rsidRDefault="00000000">
      <w:pPr>
        <w:pStyle w:val="Body"/>
      </w:pPr>
      <w:r>
        <w:t xml:space="preserve">The strongest future contribution would connect a measured electrical trend, a </w:t>
      </w:r>
      <w:proofErr w:type="spellStart"/>
      <w:r>
        <w:t>characterised</w:t>
      </w:r>
      <w:proofErr w:type="spellEnd"/>
      <w:r>
        <w:t xml:space="preserve"> thermal state and a verified physical degradation mechanism within one representative mission. This would permit a clearer assessment of when a parameter remains a useful health indicator and when another mechanism takes over. The present narrative review does not establish such a unified lifetime model. It instead identifies the assumptions required at each step from waveform acquisition to maintenance action. Making those assumptions visible is necessary for transferring a successful laboratory estimator into a converter whose operating conditions and failure consequences differ from the original experiment.</w:t>
      </w:r>
    </w:p>
    <w:p w14:paraId="650207FB" w14:textId="77777777" w:rsidR="00AA70DA" w:rsidRDefault="00000000">
      <w:pPr>
        <w:pStyle w:val="Heading21"/>
      </w:pPr>
      <w:r>
        <w:t>7.2 Deployment boundaries and validation design</w:t>
      </w:r>
    </w:p>
    <w:p w14:paraId="19F90A91" w14:textId="77777777" w:rsidR="00AA70DA" w:rsidRDefault="00000000">
      <w:pPr>
        <w:pStyle w:val="Body"/>
      </w:pPr>
      <w:proofErr w:type="spellStart"/>
      <w:r>
        <w:t>Yamasoto</w:t>
      </w:r>
      <w:proofErr w:type="spellEnd"/>
      <w:r>
        <w:t xml:space="preserve"> and Hasegawa (2025) address capacitance estimation for a converter with a front-end diode rectifier under an unbalanced three-phase supply, without an additional current sensor. This scope is significant because the input supply condition is part of the estimation problem. A method developed around a balanced-source assumption cannot automatically be transferred to an unbalanced supply. The study should therefore be read as evidence for its stated converter and source conditions, rather than as a general demonstration that supply disturbances are irrelevant to capacitor monitoring.</w:t>
      </w:r>
    </w:p>
    <w:p w14:paraId="0217231D" w14:textId="77777777" w:rsidR="00AA70DA" w:rsidRDefault="00000000">
      <w:pPr>
        <w:pStyle w:val="Body"/>
      </w:pPr>
      <w:r>
        <w:t xml:space="preserve">Deployment assessment should separate three questions: whether the required electrical information exists, whether it can be measured reliably and whether the resulting parameter estimate identifies degradation. A topology can provide a useful charging or discharging interval but still require bandwidth or </w:t>
      </w:r>
      <w:proofErr w:type="spellStart"/>
      <w:r>
        <w:t>synchronisation</w:t>
      </w:r>
      <w:proofErr w:type="spellEnd"/>
      <w:r>
        <w:t xml:space="preserve"> beyond the installed sensors. An accurate estimate can also change with temperature or operating state. These distinctions explain why a successful laboratory estimator may require additional integration work before it can support maintenance decisions in an existing converter.</w:t>
      </w:r>
    </w:p>
    <w:p w14:paraId="4CAAB91F" w14:textId="77777777" w:rsidR="00AA70DA" w:rsidRDefault="00000000">
      <w:pPr>
        <w:pStyle w:val="Body"/>
      </w:pPr>
      <w:r>
        <w:t>A validation dataset should cover operating conditions that could otherwise imitate deterioration. Examples include changes in input voltage, load, switching frequency and capacitor temperature. Deliberately changing capacitance or series resistance can test estimator sensitivity, but the modification should be documented because a substituted component may alter parasitic inductance and connection resistance as well. Evidence obtained with an artificial fault is useful for a defined parameter change; it is not automatically a complete representation of natural ageing.</w:t>
      </w:r>
    </w:p>
    <w:p w14:paraId="4C8CACD6" w14:textId="77777777" w:rsidR="00AA70DA" w:rsidRDefault="00000000">
      <w:pPr>
        <w:pStyle w:val="Body"/>
      </w:pPr>
      <w:r>
        <w:lastRenderedPageBreak/>
        <w:t xml:space="preserve">Independent validation also requires separating tuning data from evaluation data. If an estimator threshold or correction curve is chosen using a set of operating points, accuracy at those same points is insufficient evidence of </w:t>
      </w:r>
      <w:proofErr w:type="spellStart"/>
      <w:r>
        <w:t>generalisation</w:t>
      </w:r>
      <w:proofErr w:type="spellEnd"/>
      <w:r>
        <w:t>. Evaluation at additional conditions helps determine whether the method captures the intended electrical relationship or relies on a narrow calibration. For online monitoring, periods in which estimation is unavailable should be reported as well as periods in which it succeeds. A method that is accurate only during rare operating windows may still be useful, but its monitoring interval must be compatible with the maintenance objective.</w:t>
      </w:r>
    </w:p>
    <w:p w14:paraId="4BCF5EAA" w14:textId="77777777" w:rsidR="00AA70DA" w:rsidRDefault="00000000">
      <w:pPr>
        <w:pStyle w:val="Body"/>
      </w:pPr>
      <w:r>
        <w:t>Finally, a health-monitoring implementation should retain enough context to interpret an alarm retrospectively. Recording the estimated parameter together with temperature, operating mode and estimator confidence can distinguish persistent changes from isolated disturbances. The maintenance response can then be based on repeated evidence and converter operating requirements. This is a proposed engineering interpretation of the reviewed methods; the present review does not validate an alarm threshold, a failure probability or a remaining-life prediction for a particular capacitor bank.</w:t>
      </w:r>
    </w:p>
    <w:p w14:paraId="6D6F8030" w14:textId="77777777" w:rsidR="00AA70DA" w:rsidRDefault="00000000">
      <w:pPr>
        <w:pStyle w:val="Heading1"/>
      </w:pPr>
      <w:r>
        <w:t>8. CONCLUSION</w:t>
      </w:r>
    </w:p>
    <w:p w14:paraId="207EF501" w14:textId="77777777" w:rsidR="001D7528" w:rsidRPr="00713D45" w:rsidRDefault="001D7528" w:rsidP="001D7528">
      <w:pPr>
        <w:spacing w:beforeAutospacing="1" w:afterAutospacing="1" w:line="240" w:lineRule="auto"/>
        <w:rPr>
          <w:rFonts w:ascii="Times New Roman" w:hAnsi="Times New Roman"/>
          <w:sz w:val="24"/>
          <w:szCs w:val="24"/>
          <w:lang w:eastAsia="en-GB"/>
        </w:rPr>
      </w:pPr>
      <w:r w:rsidRPr="00713D45">
        <w:rPr>
          <w:rFonts w:ascii="Times New Roman" w:hAnsi="Times New Roman"/>
          <w:sz w:val="24"/>
          <w:szCs w:val="24"/>
          <w:lang w:eastAsia="en-GB"/>
        </w:rPr>
        <w:t>DC-link capacitor condition monitoring should be treated as a system-level reliability problem rather than solely as a parameter-estimation task. The appropriate health indicator depends on capacitor technology, converter topology, thermal conditions, ripple-current spectrum and the functional limit of the application. Capacitance and equivalent series resistance provide useful information, but their interpretation requires adequate excitation, measurement confidence and operating context. Natural-ripple, transient, signal-injection and recursive estimation methods each offer advantages while remaining subject to topology- and condition-specific limitations. Consequently, accurate electrical parameter estimation should not be interpreted automatically as reliable diagnosis or remaining-life prediction. Future monitoring strategies should integrate electrical measurements, thermal information, mission-profile stresses and explicit uncertainty with a clearly defined end-of-life criterion to support defensible maintenance decisions.</w:t>
      </w:r>
    </w:p>
    <w:p w14:paraId="739983D2" w14:textId="77777777" w:rsidR="00AA70DA" w:rsidRDefault="00000000">
      <w:pPr>
        <w:pStyle w:val="Heading1"/>
      </w:pPr>
      <w:r>
        <w:t>COMPETING INTERESTS</w:t>
      </w:r>
    </w:p>
    <w:p w14:paraId="6362F484" w14:textId="77777777" w:rsidR="00AA70DA" w:rsidRDefault="00000000">
      <w:pPr>
        <w:pStyle w:val="Body"/>
      </w:pPr>
      <w:r>
        <w:t>The authors declare that no competing interests exist.</w:t>
      </w:r>
    </w:p>
    <w:p w14:paraId="230699F5" w14:textId="77777777" w:rsidR="00AA70DA" w:rsidRDefault="00000000">
      <w:pPr>
        <w:pStyle w:val="Heading1"/>
      </w:pPr>
      <w:r>
        <w:t>CONSENT AND ETHICAL APPROVAL</w:t>
      </w:r>
    </w:p>
    <w:p w14:paraId="4F4D1A01" w14:textId="77777777" w:rsidR="00AA70DA" w:rsidRDefault="00000000">
      <w:pPr>
        <w:pStyle w:val="Body"/>
      </w:pPr>
      <w:r>
        <w:t>Not applicable. This literature-based review does not involve human participants, animals or unpublished participant data.</w:t>
      </w:r>
    </w:p>
    <w:p w14:paraId="5BEB7593" w14:textId="77777777" w:rsidR="00AA70DA" w:rsidRDefault="00000000">
      <w:pPr>
        <w:pStyle w:val="Heading1"/>
      </w:pPr>
      <w:r>
        <w:t>DATA AVAILABILITY</w:t>
      </w:r>
    </w:p>
    <w:p w14:paraId="730A60BD" w14:textId="77777777" w:rsidR="00AA70DA" w:rsidRDefault="00000000">
      <w:pPr>
        <w:pStyle w:val="Body"/>
      </w:pPr>
      <w:r>
        <w:t>No new experimental dataset was generated. The published journal sources supporting the discussion are listed in the references.</w:t>
      </w:r>
    </w:p>
    <w:p w14:paraId="5D0D2F94" w14:textId="77777777" w:rsidR="00CA0229" w:rsidRDefault="00CA0229" w:rsidP="001D7528">
      <w:pPr>
        <w:spacing w:after="0" w:line="240" w:lineRule="auto"/>
        <w:rPr>
          <w:rFonts w:ascii="Times New Roman" w:hAnsi="Times New Roman"/>
          <w:b/>
        </w:rPr>
      </w:pPr>
    </w:p>
    <w:p w14:paraId="087E20C2" w14:textId="77777777" w:rsidR="00CA0229" w:rsidRDefault="00CA0229" w:rsidP="001D7528">
      <w:pPr>
        <w:spacing w:after="0" w:line="240" w:lineRule="auto"/>
        <w:rPr>
          <w:rFonts w:ascii="Times New Roman" w:hAnsi="Times New Roman"/>
          <w:b/>
        </w:rPr>
      </w:pPr>
    </w:p>
    <w:p w14:paraId="5399A674" w14:textId="77777777" w:rsidR="00CA0229" w:rsidRDefault="00CA0229" w:rsidP="001D7528">
      <w:pPr>
        <w:spacing w:after="0" w:line="240" w:lineRule="auto"/>
        <w:rPr>
          <w:rFonts w:ascii="Times New Roman" w:hAnsi="Times New Roman"/>
          <w:b/>
        </w:rPr>
      </w:pPr>
    </w:p>
    <w:p w14:paraId="570B8821" w14:textId="69BB5ADC" w:rsidR="001D7528" w:rsidRDefault="001D7528" w:rsidP="001D7528">
      <w:pPr>
        <w:spacing w:after="0" w:line="240" w:lineRule="auto"/>
        <w:rPr>
          <w:rFonts w:ascii="Times New Roman" w:hAnsi="Times New Roman"/>
          <w:b/>
        </w:rPr>
      </w:pPr>
      <w:r w:rsidRPr="000839CE">
        <w:rPr>
          <w:rFonts w:ascii="Times New Roman" w:hAnsi="Times New Roman"/>
          <w:b/>
        </w:rPr>
        <w:lastRenderedPageBreak/>
        <w:t>Declaration of AI Use</w:t>
      </w:r>
    </w:p>
    <w:p w14:paraId="70723360" w14:textId="77777777" w:rsidR="001D7528" w:rsidRDefault="001D7528" w:rsidP="001D7528">
      <w:pPr>
        <w:spacing w:after="0" w:line="240" w:lineRule="auto"/>
        <w:rPr>
          <w:rFonts w:ascii="Times New Roman" w:hAnsi="Times New Roman"/>
          <w:b/>
        </w:rPr>
      </w:pPr>
    </w:p>
    <w:p w14:paraId="6829DE76" w14:textId="77777777" w:rsidR="001D7528" w:rsidRDefault="001D7528" w:rsidP="001D7528">
      <w:pPr>
        <w:spacing w:after="0" w:line="240" w:lineRule="auto"/>
        <w:rPr>
          <w:rFonts w:ascii="Times New Roman" w:hAnsi="Times New Roman"/>
          <w:b/>
        </w:rPr>
      </w:pPr>
    </w:p>
    <w:p w14:paraId="294846FC" w14:textId="77777777" w:rsidR="001D7528" w:rsidRDefault="001D7528" w:rsidP="001D7528">
      <w:pPr>
        <w:spacing w:after="0" w:line="240" w:lineRule="auto"/>
        <w:rPr>
          <w:rFonts w:ascii="Times New Roman" w:hAnsi="Times New Roman"/>
          <w:b/>
        </w:rPr>
      </w:pPr>
    </w:p>
    <w:p w14:paraId="54D7FD86" w14:textId="77777777" w:rsidR="001D7528" w:rsidRPr="002D08AC" w:rsidRDefault="001D7528" w:rsidP="001D7528">
      <w:pPr>
        <w:spacing w:after="0" w:line="240" w:lineRule="auto"/>
        <w:rPr>
          <w:rFonts w:cs="Arial"/>
        </w:rPr>
      </w:pPr>
      <w:r w:rsidRPr="002D08AC">
        <w:rPr>
          <w:rFonts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FA32EC0" w14:textId="77777777" w:rsidR="001D7528" w:rsidRDefault="001D7528">
      <w:pPr>
        <w:pStyle w:val="Body"/>
      </w:pPr>
    </w:p>
    <w:p w14:paraId="702E38C7" w14:textId="77777777" w:rsidR="00AA70DA" w:rsidRDefault="00000000">
      <w:pPr>
        <w:pStyle w:val="Heading1"/>
      </w:pPr>
      <w:r>
        <w:t>REFERENCES</w:t>
      </w:r>
    </w:p>
    <w:p w14:paraId="38452FE4" w14:textId="77777777" w:rsidR="00AA70DA" w:rsidRDefault="00000000">
      <w:pPr>
        <w:pStyle w:val="Body"/>
      </w:pPr>
      <w:r>
        <w:t>1. Wang, H., Blaabjerg, F. (2014). Reliability of Capacitors for DC-Link Applications in Power Electronic Converters—An Overview. IEEE Transactions on Industry Applications, 50(5), 3569-3578. https://doi.org/10.1109/TIA.2014.2308357</w:t>
      </w:r>
    </w:p>
    <w:p w14:paraId="514B1292" w14:textId="77777777" w:rsidR="00AA70DA" w:rsidRDefault="00000000">
      <w:pPr>
        <w:pStyle w:val="Body"/>
      </w:pPr>
      <w:r>
        <w:t>2. Lin, W., Pan, J. (2025). Inserted Window Recognition Based Capacitor Condition Monitoring Method for MMC Sub-Module with Nearest Level Modulation. Energies, 18(5), 1119. https://doi.org/10.3390/en18051119</w:t>
      </w:r>
    </w:p>
    <w:p w14:paraId="48145596" w14:textId="77777777" w:rsidR="00AA70DA" w:rsidRDefault="00000000">
      <w:pPr>
        <w:pStyle w:val="Body"/>
      </w:pPr>
      <w:r>
        <w:t>3. Zhao, Z., Davari, P., Lu, W., Wang, H., Blaabjerg, F. (2021). An Overview of Condition Monitoring Techniques for Capacitors in DC-Link Applications. IEEE Transactions on Power Electronics, 36(4), 3692-3716. https://doi.org/10.1109/TPEL.2020.3023469</w:t>
      </w:r>
    </w:p>
    <w:p w14:paraId="4F244092" w14:textId="77777777" w:rsidR="00AA70DA" w:rsidRDefault="00000000">
      <w:pPr>
        <w:pStyle w:val="Body"/>
      </w:pPr>
      <w:r>
        <w:t>4. Dang, H. L., Kwak, S. (2020). Review of Health Monitoring Techniques for Capacitors Used in Power Electronics Converters. Sensors, 20(13), 3740. https://doi.org/10.3390/s20133740</w:t>
      </w:r>
    </w:p>
    <w:p w14:paraId="3CCDFC27" w14:textId="77777777" w:rsidR="00AA70DA" w:rsidRDefault="00000000">
      <w:pPr>
        <w:pStyle w:val="Body"/>
      </w:pPr>
      <w:r>
        <w:t>5. Ribeiro, R. L. A., Alves, D. K., de Sousa, R. P. R., Oliveira, A. C. (2024). Online condition monitoring for DC-link capacitors of three-level NPC converters using noninvasive signal injection. Computers and Electrical Engineering, 119, 109577. https://doi.org/10.1016/j.compeleceng.2024.109577</w:t>
      </w:r>
    </w:p>
    <w:p w14:paraId="454F3936" w14:textId="77777777" w:rsidR="00AA70DA" w:rsidRDefault="00000000">
      <w:pPr>
        <w:pStyle w:val="Body"/>
      </w:pPr>
      <w:r>
        <w:t xml:space="preserve">6. Xiang, D., Zheng, Y., Li, H., Gu, Y., Zhao, N., Zheng, J. (2021). Online ESR Monitoring of DC-Link Capacitor in Voltage-Source-Converter Using Damping Characteristic of Switching </w:t>
      </w:r>
      <w:proofErr w:type="spellStart"/>
      <w:r>
        <w:t>Ringings</w:t>
      </w:r>
      <w:proofErr w:type="spellEnd"/>
      <w:r>
        <w:t>. IEEE Transactions on Power Electronics, 36(7), 7429-7441. https://doi.org/10.1109/TPEL.2020.3042218</w:t>
      </w:r>
    </w:p>
    <w:p w14:paraId="0B52ACAE" w14:textId="77777777" w:rsidR="00AA70DA" w:rsidRDefault="00000000">
      <w:pPr>
        <w:pStyle w:val="Body"/>
      </w:pPr>
      <w:r>
        <w:t xml:space="preserve">7. </w:t>
      </w:r>
      <w:proofErr w:type="spellStart"/>
      <w:r>
        <w:t>Laadjal</w:t>
      </w:r>
      <w:proofErr w:type="spellEnd"/>
      <w:r>
        <w:t>, K., Sahraoui, M., Cardoso, A. J. M. (2021). On-Line Fault Diagnosis of DC-Link Electrolytic Capacitors in Boost Converters Using the STFT Technique. IEEE Transactions on Power Electronics, 36(6), 6303-6312. https://doi.org/10.1109/TPEL.2020.3040499</w:t>
      </w:r>
    </w:p>
    <w:p w14:paraId="7DB73D70" w14:textId="77777777" w:rsidR="00AA70DA" w:rsidRDefault="00000000">
      <w:pPr>
        <w:pStyle w:val="Body"/>
      </w:pPr>
      <w:r>
        <w:t>8. Oliszewski, S., Pawlak, M., Dybkowski, M. (2025). Discharge-Based DC-Bus Voltage Link Capacitor Monitoring with Repetitive Recursive Least Squares Method for Hybrid-Electric Aircraft. Energies, 18(17), 4743. https://doi.org/10.3390/en18174743</w:t>
      </w:r>
    </w:p>
    <w:p w14:paraId="79BCF4A9" w14:textId="77777777" w:rsidR="00AA70DA" w:rsidRDefault="00000000">
      <w:pPr>
        <w:pStyle w:val="Body"/>
      </w:pPr>
      <w:r>
        <w:t>9. Qian, Z., Gong, S., Xiao, S., Lin, Z., Li, X. (2025). Online Monitoring Method for Capacitor Lifetime in Brushless DC Motor Drive Systems with DC-Link Series Switch. World Electric Vehicle Journal, 16(6), 330. https://doi.org/10.3390/wevj16060330</w:t>
      </w:r>
    </w:p>
    <w:p w14:paraId="6102E4B7" w14:textId="77777777" w:rsidR="00AA70DA" w:rsidRDefault="00000000">
      <w:pPr>
        <w:pStyle w:val="Body"/>
      </w:pPr>
      <w:r>
        <w:t xml:space="preserve">10. </w:t>
      </w:r>
      <w:proofErr w:type="spellStart"/>
      <w:r>
        <w:t>Yamasoto</w:t>
      </w:r>
      <w:proofErr w:type="spellEnd"/>
      <w:r>
        <w:t>, T., Hasegawa, K. (2025). Condition monitoring of a DC-link capacitor in an inverter with a front-end diode rectifier under imbalanced three-phase supply voltage. Microelectronics Reliability, 173, 115873. https://doi.org/10.1016/j.microrel.2025.115873</w:t>
      </w:r>
    </w:p>
    <w:sectPr w:rsidR="00AA70DA" w:rsidSect="001D7528">
      <w:headerReference w:type="even" r:id="rId10"/>
      <w:headerReference w:type="default" r:id="rId11"/>
      <w:footerReference w:type="even" r:id="rId12"/>
      <w:footerReference w:type="default" r:id="rId13"/>
      <w:headerReference w:type="first" r:id="rId14"/>
      <w:footerReference w:type="first" r:id="rId15"/>
      <w:pgSz w:w="12240" w:h="15840" w:code="1"/>
      <w:pgMar w:top="1440" w:right="2016" w:bottom="2016" w:left="2016" w:header="720" w:footer="1296"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72463" w14:textId="77777777" w:rsidR="00AD4C7D" w:rsidRDefault="00AD4C7D" w:rsidP="00C37E61">
      <w:r>
        <w:separator/>
      </w:r>
    </w:p>
  </w:endnote>
  <w:endnote w:type="continuationSeparator" w:id="0">
    <w:p w14:paraId="609B9409" w14:textId="77777777" w:rsidR="00AD4C7D" w:rsidRDefault="00AD4C7D"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11E51" w14:textId="77777777" w:rsidR="00BF121F" w:rsidRDefault="00BF12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89FD7" w14:textId="77777777" w:rsidR="00AA70DA" w:rsidRDefault="00000000">
    <w:pPr>
      <w:suppressLineNumbers/>
      <w:spacing w:after="0" w:line="240" w:lineRule="auto"/>
      <w:jc w:val="center"/>
    </w:pPr>
    <w:r>
      <w:fldChar w:fldCharType="begin"/>
    </w:r>
    <w:r>
      <w:instrText>PAGE</w:instrText>
    </w:r>
    <w:r>
      <w:fldChar w:fldCharType="separate"/>
    </w:r>
    <w:r w:rsidR="001D7528">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F63A9" w14:textId="106401F0" w:rsidR="00754C9A" w:rsidRPr="00CA0229" w:rsidRDefault="00754C9A" w:rsidP="00CA02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EDDA4" w14:textId="77777777" w:rsidR="00AD4C7D" w:rsidRDefault="00AD4C7D" w:rsidP="00C37E61">
      <w:r>
        <w:separator/>
      </w:r>
    </w:p>
  </w:footnote>
  <w:footnote w:type="continuationSeparator" w:id="0">
    <w:p w14:paraId="45B0F553" w14:textId="77777777" w:rsidR="00AD4C7D" w:rsidRDefault="00AD4C7D"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53DE9" w14:textId="118A7F10" w:rsidR="00BF121F" w:rsidRDefault="00CA0229">
    <w:pPr>
      <w:pStyle w:val="Header"/>
    </w:pPr>
    <w:r>
      <w:rPr>
        <w:noProof/>
      </w:rPr>
      <w:pict w14:anchorId="5EFC56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753579"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8C959" w14:textId="42D2145D" w:rsidR="00717A22" w:rsidRDefault="00CA0229">
    <w:r>
      <w:rPr>
        <w:noProof/>
      </w:rPr>
      <w:pict w14:anchorId="7A0592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753580"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Arial&quot;;font-size:1pt" string="UNDER PEER REVIEW"/>
        </v:shape>
      </w:pict>
    </w:r>
    <w:r w:rsidR="00000000">
      <w:c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E1DE9" w14:textId="2EE48A9A" w:rsidR="00296529" w:rsidRPr="00296529" w:rsidRDefault="00CA0229" w:rsidP="00296529">
    <w:pPr>
      <w:ind w:left="2160"/>
      <w:jc w:val="center"/>
      <w:rPr>
        <w:rFonts w:ascii="Times New Roman" w:eastAsia="Calibri" w:hAnsi="Times New Roman"/>
        <w:i/>
        <w:sz w:val="18"/>
        <w:szCs w:val="22"/>
      </w:rPr>
    </w:pPr>
    <w:r>
      <w:rPr>
        <w:noProof/>
      </w:rPr>
      <w:pict w14:anchorId="186327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753578"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Arial&quot;;font-size:1pt" string="UNDER PEER REVIEW"/>
        </v:shape>
      </w:pict>
    </w:r>
  </w:p>
  <w:p w14:paraId="72DE6250"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586E7BD7"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2191CCC9"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716A0126"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0ABB0F9C"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45529070" w14:textId="77777777" w:rsidR="00296529" w:rsidRDefault="00754C9A">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99379733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127817547">
    <w:abstractNumId w:val="15"/>
  </w:num>
  <w:num w:numId="3" w16cid:durableId="270210722">
    <w:abstractNumId w:val="23"/>
  </w:num>
  <w:num w:numId="4" w16cid:durableId="1842087515">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417219888">
    <w:abstractNumId w:val="7"/>
  </w:num>
  <w:num w:numId="6" w16cid:durableId="1798571421">
    <w:abstractNumId w:val="6"/>
  </w:num>
  <w:num w:numId="7" w16cid:durableId="922571905">
    <w:abstractNumId w:val="1"/>
  </w:num>
  <w:num w:numId="8" w16cid:durableId="1218055954">
    <w:abstractNumId w:val="12"/>
  </w:num>
  <w:num w:numId="9" w16cid:durableId="329874782">
    <w:abstractNumId w:val="25"/>
  </w:num>
  <w:num w:numId="10" w16cid:durableId="1967344970">
    <w:abstractNumId w:val="2"/>
  </w:num>
  <w:num w:numId="11" w16cid:durableId="412317892">
    <w:abstractNumId w:val="18"/>
  </w:num>
  <w:num w:numId="12" w16cid:durableId="1162699396">
    <w:abstractNumId w:val="3"/>
  </w:num>
  <w:num w:numId="13" w16cid:durableId="1799378455">
    <w:abstractNumId w:val="17"/>
  </w:num>
  <w:num w:numId="14" w16cid:durableId="1847285408">
    <w:abstractNumId w:val="8"/>
  </w:num>
  <w:num w:numId="15" w16cid:durableId="302076680">
    <w:abstractNumId w:val="21"/>
  </w:num>
  <w:num w:numId="16" w16cid:durableId="2101171267">
    <w:abstractNumId w:val="5"/>
  </w:num>
  <w:num w:numId="17" w16cid:durableId="2095474162">
    <w:abstractNumId w:val="22"/>
  </w:num>
  <w:num w:numId="18" w16cid:durableId="726026076">
    <w:abstractNumId w:val="14"/>
  </w:num>
  <w:num w:numId="19" w16cid:durableId="1507742585">
    <w:abstractNumId w:val="28"/>
  </w:num>
  <w:num w:numId="20" w16cid:durableId="1414359059">
    <w:abstractNumId w:val="11"/>
  </w:num>
  <w:num w:numId="21" w16cid:durableId="780808669">
    <w:abstractNumId w:val="9"/>
  </w:num>
  <w:num w:numId="22" w16cid:durableId="85656562">
    <w:abstractNumId w:val="13"/>
  </w:num>
  <w:num w:numId="23" w16cid:durableId="1114595123">
    <w:abstractNumId w:val="19"/>
  </w:num>
  <w:num w:numId="24" w16cid:durableId="1717074228">
    <w:abstractNumId w:val="26"/>
  </w:num>
  <w:num w:numId="25" w16cid:durableId="1206672560">
    <w:abstractNumId w:val="4"/>
  </w:num>
  <w:num w:numId="26" w16cid:durableId="121193178">
    <w:abstractNumId w:val="16"/>
  </w:num>
  <w:num w:numId="27" w16cid:durableId="1448308770">
    <w:abstractNumId w:val="20"/>
  </w:num>
  <w:num w:numId="28" w16cid:durableId="2027902646">
    <w:abstractNumId w:val="27"/>
  </w:num>
  <w:num w:numId="29" w16cid:durableId="452793216">
    <w:abstractNumId w:val="24"/>
  </w:num>
  <w:num w:numId="30" w16cid:durableId="51111528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6219"/>
    <w:rsid w:val="00000F8F"/>
    <w:rsid w:val="00030174"/>
    <w:rsid w:val="0004579C"/>
    <w:rsid w:val="000A47FA"/>
    <w:rsid w:val="000A65D3"/>
    <w:rsid w:val="000B1E33"/>
    <w:rsid w:val="000D689F"/>
    <w:rsid w:val="000E7B7B"/>
    <w:rsid w:val="000E7D62"/>
    <w:rsid w:val="00103357"/>
    <w:rsid w:val="00123C9F"/>
    <w:rsid w:val="00126190"/>
    <w:rsid w:val="00130F17"/>
    <w:rsid w:val="001320BF"/>
    <w:rsid w:val="00163BC4"/>
    <w:rsid w:val="00191062"/>
    <w:rsid w:val="00192B72"/>
    <w:rsid w:val="001A29D8"/>
    <w:rsid w:val="001A5CAA"/>
    <w:rsid w:val="001B0427"/>
    <w:rsid w:val="001D3A51"/>
    <w:rsid w:val="001D7528"/>
    <w:rsid w:val="001E10D2"/>
    <w:rsid w:val="001E25B4"/>
    <w:rsid w:val="001E44FE"/>
    <w:rsid w:val="00200595"/>
    <w:rsid w:val="00204835"/>
    <w:rsid w:val="00231920"/>
    <w:rsid w:val="0023195C"/>
    <w:rsid w:val="0024282C"/>
    <w:rsid w:val="002460DC"/>
    <w:rsid w:val="00250985"/>
    <w:rsid w:val="002556F6"/>
    <w:rsid w:val="00283105"/>
    <w:rsid w:val="00284C4C"/>
    <w:rsid w:val="00287E68"/>
    <w:rsid w:val="00296529"/>
    <w:rsid w:val="00297885"/>
    <w:rsid w:val="002B27FB"/>
    <w:rsid w:val="002B685A"/>
    <w:rsid w:val="002C57D2"/>
    <w:rsid w:val="002E0D56"/>
    <w:rsid w:val="00315186"/>
    <w:rsid w:val="0033343E"/>
    <w:rsid w:val="003512C2"/>
    <w:rsid w:val="00360A1F"/>
    <w:rsid w:val="00371FB6"/>
    <w:rsid w:val="003755E0"/>
    <w:rsid w:val="003763C1"/>
    <w:rsid w:val="00376BBE"/>
    <w:rsid w:val="0039224F"/>
    <w:rsid w:val="003A43A4"/>
    <w:rsid w:val="003A7E18"/>
    <w:rsid w:val="003C4C86"/>
    <w:rsid w:val="003C6258"/>
    <w:rsid w:val="003E2904"/>
    <w:rsid w:val="00401927"/>
    <w:rsid w:val="0041027F"/>
    <w:rsid w:val="00412475"/>
    <w:rsid w:val="00423789"/>
    <w:rsid w:val="00440F43"/>
    <w:rsid w:val="00441B6F"/>
    <w:rsid w:val="00446221"/>
    <w:rsid w:val="00450E62"/>
    <w:rsid w:val="004539DB"/>
    <w:rsid w:val="00471A80"/>
    <w:rsid w:val="004D305E"/>
    <w:rsid w:val="004D4277"/>
    <w:rsid w:val="004D5BA0"/>
    <w:rsid w:val="00502516"/>
    <w:rsid w:val="00505F06"/>
    <w:rsid w:val="00506828"/>
    <w:rsid w:val="0053056E"/>
    <w:rsid w:val="00534BAA"/>
    <w:rsid w:val="00554FDA"/>
    <w:rsid w:val="005C784C"/>
    <w:rsid w:val="005D17F6"/>
    <w:rsid w:val="005E5539"/>
    <w:rsid w:val="00602BF5"/>
    <w:rsid w:val="00617FDD"/>
    <w:rsid w:val="00633614"/>
    <w:rsid w:val="00633F68"/>
    <w:rsid w:val="00636EB2"/>
    <w:rsid w:val="006375B8"/>
    <w:rsid w:val="0066510A"/>
    <w:rsid w:val="00673F9F"/>
    <w:rsid w:val="00686953"/>
    <w:rsid w:val="00687DEA"/>
    <w:rsid w:val="00687E67"/>
    <w:rsid w:val="006967F7"/>
    <w:rsid w:val="006A250C"/>
    <w:rsid w:val="006B21D3"/>
    <w:rsid w:val="006B57D0"/>
    <w:rsid w:val="006D30FF"/>
    <w:rsid w:val="006D6940"/>
    <w:rsid w:val="006F11EC"/>
    <w:rsid w:val="0070082C"/>
    <w:rsid w:val="00717A22"/>
    <w:rsid w:val="007369E6"/>
    <w:rsid w:val="00746E59"/>
    <w:rsid w:val="00754C9A"/>
    <w:rsid w:val="0075599A"/>
    <w:rsid w:val="00761D52"/>
    <w:rsid w:val="0077749E"/>
    <w:rsid w:val="00790ADA"/>
    <w:rsid w:val="007D2288"/>
    <w:rsid w:val="007E088F"/>
    <w:rsid w:val="007F7B32"/>
    <w:rsid w:val="00804BC2"/>
    <w:rsid w:val="0081431A"/>
    <w:rsid w:val="0083216F"/>
    <w:rsid w:val="00860000"/>
    <w:rsid w:val="00863BD3"/>
    <w:rsid w:val="008641ED"/>
    <w:rsid w:val="00866D66"/>
    <w:rsid w:val="008671C6"/>
    <w:rsid w:val="00875803"/>
    <w:rsid w:val="008B459E"/>
    <w:rsid w:val="008E13AE"/>
    <w:rsid w:val="008E1506"/>
    <w:rsid w:val="008E710C"/>
    <w:rsid w:val="008F69D6"/>
    <w:rsid w:val="00902823"/>
    <w:rsid w:val="00915CA6"/>
    <w:rsid w:val="00927834"/>
    <w:rsid w:val="009500A6"/>
    <w:rsid w:val="00957878"/>
    <w:rsid w:val="00957C18"/>
    <w:rsid w:val="009659BA"/>
    <w:rsid w:val="00983040"/>
    <w:rsid w:val="009B3FB9"/>
    <w:rsid w:val="009C2465"/>
    <w:rsid w:val="009D35A0"/>
    <w:rsid w:val="009D7EB7"/>
    <w:rsid w:val="009E048A"/>
    <w:rsid w:val="009E08E9"/>
    <w:rsid w:val="009E3DB9"/>
    <w:rsid w:val="009E6E35"/>
    <w:rsid w:val="009F0EDA"/>
    <w:rsid w:val="00A03B96"/>
    <w:rsid w:val="00A05B19"/>
    <w:rsid w:val="00A1134E"/>
    <w:rsid w:val="00A24E7E"/>
    <w:rsid w:val="00A258C3"/>
    <w:rsid w:val="00A347C0"/>
    <w:rsid w:val="00A51431"/>
    <w:rsid w:val="00A539AD"/>
    <w:rsid w:val="00A94063"/>
    <w:rsid w:val="00AA6219"/>
    <w:rsid w:val="00AA70DA"/>
    <w:rsid w:val="00AA74E0"/>
    <w:rsid w:val="00AB703F"/>
    <w:rsid w:val="00AC6BB8"/>
    <w:rsid w:val="00AD4C7D"/>
    <w:rsid w:val="00AE008F"/>
    <w:rsid w:val="00B01FCD"/>
    <w:rsid w:val="00B1776C"/>
    <w:rsid w:val="00B52583"/>
    <w:rsid w:val="00B52896"/>
    <w:rsid w:val="00B95236"/>
    <w:rsid w:val="00B96BD9"/>
    <w:rsid w:val="00BA1B01"/>
    <w:rsid w:val="00BA2641"/>
    <w:rsid w:val="00BB37AA"/>
    <w:rsid w:val="00BC53A0"/>
    <w:rsid w:val="00BE62AD"/>
    <w:rsid w:val="00BF121F"/>
    <w:rsid w:val="00BF1F80"/>
    <w:rsid w:val="00C166EF"/>
    <w:rsid w:val="00C17EB0"/>
    <w:rsid w:val="00C27F5F"/>
    <w:rsid w:val="00C30A0F"/>
    <w:rsid w:val="00C37E61"/>
    <w:rsid w:val="00C70F1B"/>
    <w:rsid w:val="00C71A47"/>
    <w:rsid w:val="00C7464C"/>
    <w:rsid w:val="00C85588"/>
    <w:rsid w:val="00C93CAA"/>
    <w:rsid w:val="00CA0229"/>
    <w:rsid w:val="00CD6755"/>
    <w:rsid w:val="00CD6856"/>
    <w:rsid w:val="00CE0089"/>
    <w:rsid w:val="00CE793C"/>
    <w:rsid w:val="00CF193C"/>
    <w:rsid w:val="00D173F1"/>
    <w:rsid w:val="00D36784"/>
    <w:rsid w:val="00D74CB0"/>
    <w:rsid w:val="00D8295D"/>
    <w:rsid w:val="00DC2A65"/>
    <w:rsid w:val="00DE15F0"/>
    <w:rsid w:val="00DE5663"/>
    <w:rsid w:val="00DE78AA"/>
    <w:rsid w:val="00E053D0"/>
    <w:rsid w:val="00E15994"/>
    <w:rsid w:val="00E3114E"/>
    <w:rsid w:val="00E31A70"/>
    <w:rsid w:val="00E35B02"/>
    <w:rsid w:val="00E66496"/>
    <w:rsid w:val="00E66B35"/>
    <w:rsid w:val="00E66E10"/>
    <w:rsid w:val="00E769F6"/>
    <w:rsid w:val="00E8407C"/>
    <w:rsid w:val="00E84F3C"/>
    <w:rsid w:val="00EA012C"/>
    <w:rsid w:val="00EC6A55"/>
    <w:rsid w:val="00ED0288"/>
    <w:rsid w:val="00EE17F9"/>
    <w:rsid w:val="00EE52CB"/>
    <w:rsid w:val="00EF581D"/>
    <w:rsid w:val="00EF7FD8"/>
    <w:rsid w:val="00F06F59"/>
    <w:rsid w:val="00F17988"/>
    <w:rsid w:val="00F469F0"/>
    <w:rsid w:val="00F53273"/>
    <w:rsid w:val="00F755E4"/>
    <w:rsid w:val="00F77D02"/>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D0F158"/>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pPr>
      <w:spacing w:after="100" w:line="276" w:lineRule="auto"/>
    </w:pPr>
    <w:rPr>
      <w:rFonts w:ascii="Arial" w:hAnsi="Arial"/>
      <w:color w:val="000000"/>
    </w:rPr>
  </w:style>
  <w:style w:type="paragraph" w:styleId="Heading1">
    <w:name w:val="heading 1"/>
    <w:basedOn w:val="Normal"/>
    <w:next w:val="Normal"/>
    <w:qFormat/>
    <w:rsid w:val="00423789"/>
    <w:pPr>
      <w:keepNext/>
      <w:spacing w:before="180"/>
      <w:outlineLvl w:val="0"/>
    </w:pPr>
    <w:rPr>
      <w:b/>
      <w:kern w:val="28"/>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keepNext/>
      <w:spacing w:after="1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customStyle="1" w:styleId="Heading21">
    <w:name w:val="Heading 21"/>
    <w:pPr>
      <w:keepNext/>
      <w:spacing w:before="180" w:after="100" w:line="276" w:lineRule="auto"/>
    </w:pPr>
    <w:rPr>
      <w:rFonts w:ascii="Arial" w:hAnsi="Arial"/>
      <w:b/>
      <w:color w:val="000000"/>
      <w:sz w:val="22"/>
    </w:rPr>
  </w:style>
  <w:style w:type="paragraph" w:customStyle="1" w:styleId="Caption1">
    <w:name w:val="Caption1"/>
    <w:pPr>
      <w:spacing w:after="100" w:line="276" w:lineRule="auto"/>
    </w:pPr>
    <w:rPr>
      <w:rFonts w:ascii="Arial" w:hAnsi="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18</TotalTime>
  <Pages>15</Pages>
  <Words>6868</Words>
  <Characters>39153</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45930</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Reliability and Condition Monitoring of DC-Link Capacitors in Power Electronic Converters</dc:title>
  <dc:creator>Neha Singh</dc:creator>
  <cp:lastModifiedBy>SDI 1166</cp:lastModifiedBy>
  <cp:revision>28</cp:revision>
  <cp:lastPrinted>1999-07-06T11:00:00Z</cp:lastPrinted>
  <dcterms:created xsi:type="dcterms:W3CDTF">2014-10-25T14:34:00Z</dcterms:created>
  <dcterms:modified xsi:type="dcterms:W3CDTF">2026-10-06T07:09:00Z</dcterms:modified>
</cp:coreProperties>
</file>