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3139F" w14:textId="77777777" w:rsidR="00172353" w:rsidRDefault="00000000">
      <w:pPr>
        <w:pStyle w:val="Title"/>
        <w:jc w:val="center"/>
      </w:pPr>
      <w:r>
        <w:t>Dynamic On-Resistance and Charge Trapping in Gallium Nitride Power Devices</w:t>
      </w:r>
    </w:p>
    <w:p w14:paraId="68F33ABA" w14:textId="77777777" w:rsidR="009057A5" w:rsidRDefault="009057A5">
      <w:pPr>
        <w:pStyle w:val="Heading1"/>
      </w:pPr>
    </w:p>
    <w:p w14:paraId="47559CB5" w14:textId="77777777" w:rsidR="009057A5" w:rsidRDefault="009057A5">
      <w:pPr>
        <w:pStyle w:val="Heading1"/>
      </w:pPr>
    </w:p>
    <w:p w14:paraId="0BC81656" w14:textId="5620E748" w:rsidR="00172353" w:rsidRDefault="00000000">
      <w:pPr>
        <w:pStyle w:val="Heading1"/>
      </w:pPr>
      <w:r>
        <w:t>ABSTRACT</w:t>
      </w:r>
    </w:p>
    <w:p w14:paraId="160D9AF1" w14:textId="77777777" w:rsidR="00172353" w:rsidRDefault="00000000">
      <w:pPr>
        <w:pStyle w:val="Body"/>
      </w:pPr>
      <w:r>
        <w:rPr>
          <w:b/>
        </w:rPr>
        <w:t>Aims:</w:t>
      </w:r>
      <w:r>
        <w:t xml:space="preserve"> To explain how charge trapping changes dynamic on-resistance in gallium-nitride power devices and how measurement practice affects reported values.</w:t>
      </w:r>
    </w:p>
    <w:p w14:paraId="22FDBDC9" w14:textId="77777777" w:rsidR="00172353" w:rsidRDefault="00000000">
      <w:pPr>
        <w:pStyle w:val="Body"/>
      </w:pPr>
      <w:r>
        <w:rPr>
          <w:b/>
        </w:rPr>
        <w:t>Study design:</w:t>
      </w:r>
      <w:r>
        <w:t xml:space="preserve"> Focused narrative review of device physics, pulsed and continuous switching measurements, converter implications.</w:t>
      </w:r>
    </w:p>
    <w:p w14:paraId="7B667E44" w14:textId="77777777" w:rsidR="00172353" w:rsidRDefault="00000000">
      <w:pPr>
        <w:pStyle w:val="Body"/>
      </w:pPr>
      <w:r>
        <w:rPr>
          <w:b/>
        </w:rPr>
        <w:t>Methodology:</w:t>
      </w:r>
      <w:r>
        <w:t xml:space="preserve"> Journal studies were compared by physical mechanism, measurement or modelling assumptions, operating conditions and limits on transfer to other applications. Bibliographic details and DOI identifiers were checked. No new experimental dataset is presented.</w:t>
      </w:r>
    </w:p>
    <w:p w14:paraId="2606E407" w14:textId="77777777" w:rsidR="00172353" w:rsidRDefault="00000000">
      <w:pPr>
        <w:pStyle w:val="Body"/>
      </w:pPr>
      <w:r>
        <w:rPr>
          <w:b/>
        </w:rPr>
        <w:t>Findings:</w:t>
      </w:r>
      <w:r>
        <w:t xml:space="preserve"> Dynamic on-resistance is history-dependent and may arise from buffer, surface and gate-related trapping. Double-pulse tests can be sensitive to blocking time and measurement delay. Continuous multi-megahertz measurements show that the dynamic penalty may approach an asymptote for a tested device, but this cannot be generalized across technologies without controlled comparison.</w:t>
      </w:r>
    </w:p>
    <w:p w14:paraId="7166949E" w14:textId="77777777" w:rsidR="00172353" w:rsidRDefault="00000000">
      <w:pPr>
        <w:pStyle w:val="Body"/>
      </w:pPr>
      <w:r>
        <w:rPr>
          <w:b/>
        </w:rPr>
        <w:t>Conclusion:</w:t>
      </w:r>
      <w:r>
        <w:t xml:space="preserve"> </w:t>
      </w:r>
      <w:proofErr w:type="spellStart"/>
      <w:r>
        <w:t>GaN</w:t>
      </w:r>
      <w:proofErr w:type="spellEnd"/>
      <w:r>
        <w:t xml:space="preserve"> device selection and converter loss estimation require a defined dynamic-resistance protocol. Static datasheet resistance is not sufficient for high-frequency design.</w:t>
      </w:r>
    </w:p>
    <w:p w14:paraId="07605475" w14:textId="77777777" w:rsidR="00172353" w:rsidRDefault="00000000">
      <w:pPr>
        <w:pStyle w:val="Body"/>
      </w:pPr>
      <w:r>
        <w:t>Keywords: gallium nitride; dynamic on-resistance; current collapse; charge trapping; power HEMT; double-pulse testing</w:t>
      </w:r>
    </w:p>
    <w:p w14:paraId="1594C514" w14:textId="77777777" w:rsidR="00172353" w:rsidRDefault="00000000">
      <w:pPr>
        <w:pStyle w:val="Heading1"/>
      </w:pPr>
      <w:r>
        <w:t>1. INTRODUCTION</w:t>
      </w:r>
    </w:p>
    <w:p w14:paraId="07594911" w14:textId="77777777" w:rsidR="00172353" w:rsidRDefault="00000000">
      <w:pPr>
        <w:pStyle w:val="Body"/>
      </w:pPr>
      <w:proofErr w:type="spellStart"/>
      <w:r>
        <w:t>GaN</w:t>
      </w:r>
      <w:proofErr w:type="spellEnd"/>
      <w:r>
        <w:t xml:space="preserve"> HEMTs support high-frequency switching because of low charge and high carrier transport capability. The device can nevertheless show higher on-state resistance after turn-on than its dc value. This dynamic on-resistance increases conduction loss and can alter thermal design. Yang et al. (2019) connect the phenomenon to buffer traps, surface traps and gate instability.</w:t>
      </w:r>
    </w:p>
    <w:p w14:paraId="0754B884" w14:textId="77777777" w:rsidR="00172353" w:rsidRDefault="00000000">
      <w:pPr>
        <w:pStyle w:val="Body"/>
      </w:pPr>
      <w:r>
        <w:t xml:space="preserve">The distinction between static and dynamic resistance becomes important when a </w:t>
      </w:r>
      <w:proofErr w:type="spellStart"/>
      <w:r>
        <w:t>GaN</w:t>
      </w:r>
      <w:proofErr w:type="spellEnd"/>
      <w:r>
        <w:t xml:space="preserve"> transistor is used as a fast commutation device. Static RON is measured after a defined low-voltage bias and thermal settling sequence, whereas dynamic RON reflects the electrical history immediately preceding the on-state measurement. The two values can lead to different conduction-loss estimates even when the gate voltage and current are nominally identical.</w:t>
      </w:r>
    </w:p>
    <w:p w14:paraId="5837614A" w14:textId="77777777" w:rsidR="00172353" w:rsidRDefault="00000000">
      <w:pPr>
        <w:pStyle w:val="Body"/>
      </w:pPr>
      <w:r>
        <w:t xml:space="preserve">At converter level, a temporary increase in RON raises conduction loss during the same interval in which switching stress may already be high. The additional loss changes junction temperature, and temperature changes trap emission, threshold voltage and carrier mobility. </w:t>
      </w:r>
      <w:r>
        <w:lastRenderedPageBreak/>
        <w:t>Dynamic resistance should therefore be treated as a state variable of the device and not as a fixed correction factor applied to a data-sheet value.</w:t>
      </w:r>
    </w:p>
    <w:p w14:paraId="5F9C3CB5" w14:textId="77777777" w:rsidR="00172353" w:rsidRDefault="00000000">
      <w:pPr>
        <w:pStyle w:val="Heading1"/>
      </w:pPr>
      <w:r>
        <w:t>2. REVIEW APPROACH AND EVIDENCE BOUNDARIES</w:t>
      </w:r>
    </w:p>
    <w:p w14:paraId="07D1CA04" w14:textId="77777777" w:rsidR="00172353" w:rsidRDefault="00000000">
      <w:pPr>
        <w:pStyle w:val="Body"/>
      </w:pPr>
      <w:r>
        <w:t xml:space="preserve">This paper is a focused narrative review of charge trapping, dynamic on-resistance and its measurement in </w:t>
      </w:r>
      <w:proofErr w:type="spellStart"/>
      <w:r>
        <w:t>GaN</w:t>
      </w:r>
      <w:proofErr w:type="spellEnd"/>
      <w:r>
        <w:t xml:space="preserve"> power devices. The literature update for this revision was conducted on 4 October 2026 using targeted web searches of publisher records and institutional research repositories, followed by bibliographic checking against </w:t>
      </w:r>
      <w:proofErr w:type="spellStart"/>
      <w:r>
        <w:t>Crossref</w:t>
      </w:r>
      <w:proofErr w:type="spellEnd"/>
      <w:r>
        <w:t xml:space="preserve"> records. Search phrases included </w:t>
      </w:r>
      <w:proofErr w:type="spellStart"/>
      <w:r>
        <w:t>GaN</w:t>
      </w:r>
      <w:proofErr w:type="spellEnd"/>
      <w:r>
        <w:t xml:space="preserve"> dynamic on resistance; charge trapping; double pulse measurement; buffer charging; forward reverse conduction. These searches were used to locate relevant journal literature and inspect the evidence supporting the specific comparisons made below; they were not a systematic search of every bibliographic database.</w:t>
      </w:r>
    </w:p>
    <w:p w14:paraId="163FC243" w14:textId="77777777" w:rsidR="00172353" w:rsidRDefault="00000000">
      <w:pPr>
        <w:pStyle w:val="Body"/>
      </w:pPr>
      <w:r>
        <w:t xml:space="preserve">The retained evidence comprises mechanism studies, controlled device measurements, </w:t>
      </w:r>
      <w:proofErr w:type="spellStart"/>
      <w:r>
        <w:t>characterisation</w:t>
      </w:r>
      <w:proofErr w:type="spellEnd"/>
      <w:r>
        <w:t xml:space="preserve"> reviews and converter-oriented interpretations. Recent studies were </w:t>
      </w:r>
      <w:proofErr w:type="spellStart"/>
      <w:r>
        <w:t>prioritised</w:t>
      </w:r>
      <w:proofErr w:type="spellEnd"/>
      <w:r>
        <w:t>, with older journal articles retained only where they establish a directly relevant physical mechanism or analytical foundation. The reference set is restricted to published journal literature. Source selection was based on relevance to the stated engineering question rather than citation counts or a prespecified numerical screening score.</w:t>
      </w:r>
    </w:p>
    <w:p w14:paraId="270C50C5" w14:textId="77777777" w:rsidR="00172353" w:rsidRDefault="00000000">
      <w:pPr>
        <w:pStyle w:val="Body"/>
      </w:pPr>
      <w:r>
        <w:t>For each cited study, the synthesis distinguishes the investigated structure or converter, the measured or modelled quantity, the reported operating conditions and the limit on transferring the finding to another application. Publisher information, accessible article text and abstracts were used according to availability. Where only an abstract or bibliographic record was accessible, discussion is confined to the findings explicitly stated there. Reference titles, author information, publication details and DOI strings were checked against the retrieved records; online-first and issue publication dates were reconciled where they differed.</w:t>
      </w:r>
    </w:p>
    <w:p w14:paraId="1E835389" w14:textId="77777777" w:rsidR="00172353" w:rsidRDefault="00000000">
      <w:pPr>
        <w:pStyle w:val="Body"/>
      </w:pPr>
      <w:r>
        <w:t>No exhaustive screening count, formal risk-of-bias score or pooled effect size is claimed. Numerical examples from published studies are attributed to those studies, while algebraic examples are identified as explanatory calculations. No new experimental dataset was generated. The resulting design implications are the authors’ qualitative synthesis and should be evaluated within their stated assumptions rather than treated as independently validated performance improvements.</w:t>
      </w:r>
    </w:p>
    <w:p w14:paraId="2F286A90" w14:textId="77777777" w:rsidR="00172353" w:rsidRDefault="00000000">
      <w:pPr>
        <w:pStyle w:val="Heading1"/>
      </w:pPr>
      <w:r>
        <w:t>3. PHYSICAL ORIGINS</w:t>
      </w:r>
    </w:p>
    <w:p w14:paraId="3C8CEE34" w14:textId="77777777" w:rsidR="00172353" w:rsidRDefault="00000000">
      <w:pPr>
        <w:pStyle w:val="Body"/>
      </w:pPr>
      <w:r>
        <w:t xml:space="preserve">Off-state drain bias can populate traps in the buffer or surface region. During turn-on, trapped charge reduces available channel charge and produces current collapse. Gate stress can shift threshold voltage and change on-state voltage. The response depends on capture and </w:t>
      </w:r>
      <w:proofErr w:type="spellStart"/>
      <w:r>
        <w:t>detrapping</w:t>
      </w:r>
      <w:proofErr w:type="spellEnd"/>
      <w:r>
        <w:t xml:space="preserve"> time constants, field distribution and temperature.</w:t>
      </w:r>
    </w:p>
    <w:p w14:paraId="059B1D35" w14:textId="77777777" w:rsidR="00172353" w:rsidRDefault="00000000">
      <w:pPr>
        <w:pStyle w:val="Body"/>
      </w:pPr>
      <w:r>
        <w:t>Charge trapping can occur at the surface, in buffer layers, near the barrier or around field-management structures. The observable effect depends on the energy distribution and density of traps, the electric field during the off-state, and the time available for capture and emission. A device may consequently show a rapid transient increase followed by partial recovery, or a slower memory effect that persists across switching cycles.</w:t>
      </w:r>
    </w:p>
    <w:p w14:paraId="2ABC2557" w14:textId="77777777" w:rsidR="00172353" w:rsidRDefault="00000000">
      <w:pPr>
        <w:pStyle w:val="Body"/>
      </w:pPr>
      <w:r>
        <w:lastRenderedPageBreak/>
        <w:t>The measured on-state voltage contains contributions from the channel, access regions, contacts, package resistance and the measurement loop. Separating these terms requires a carefully defined current path and, when possible, a reference measurement at low drain stress. Otherwise, an apparent dynamic RON increase may include probe inductance, common-source inductance, clamp recovery or current-sensor delay.</w:t>
      </w:r>
    </w:p>
    <w:p w14:paraId="0EF13F18" w14:textId="77777777" w:rsidR="00172353" w:rsidRDefault="00000000">
      <w:pPr>
        <w:pStyle w:val="Body"/>
      </w:pPr>
      <w:r>
        <w:t xml:space="preserve">Temperature adds another state dependency. Higher temperature can alter carrier mobility and trap emission rates, while self-heating during the measurement changes the voltage used to calculate </w:t>
      </w:r>
      <w:proofErr w:type="spellStart"/>
      <w:proofErr w:type="gramStart"/>
      <w:r>
        <w:t>RON,dyn</w:t>
      </w:r>
      <w:proofErr w:type="spellEnd"/>
      <w:proofErr w:type="gramEnd"/>
      <w:r>
        <w:t>. A useful protocol either limits the pulse energy enough to keep temperature nearly constant or records the temperature trajectory and incorporates it into the interpretation.</w:t>
      </w:r>
    </w:p>
    <w:p w14:paraId="580E2FF1" w14:textId="77777777" w:rsidR="00172353" w:rsidRDefault="00000000">
      <w:pPr>
        <w:pStyle w:val="Body"/>
      </w:pPr>
      <w:r>
        <w:t xml:space="preserve">The relation </w:t>
      </w:r>
      <w:proofErr w:type="spellStart"/>
      <w:proofErr w:type="gramStart"/>
      <w:r>
        <w:t>RON,dyn</w:t>
      </w:r>
      <w:proofErr w:type="spellEnd"/>
      <w:proofErr w:type="gramEnd"/>
      <w:r>
        <w:t xml:space="preserve"> = </w:t>
      </w:r>
      <w:proofErr w:type="spellStart"/>
      <w:proofErr w:type="gramStart"/>
      <w:r>
        <w:t>VDS,on</w:t>
      </w:r>
      <w:proofErr w:type="spellEnd"/>
      <w:proofErr w:type="gramEnd"/>
      <w:r>
        <w:t xml:space="preserve"> / ID is therefore an operational definition. It becomes meaningful only after the sampling instant, bandwidth, voltage reference, current reference and allowed transient have been specified. Reporting only a ratio without the sampling window can hide the most important difference between two experiments. Zulauf et al. (2020a) discuss the importance of a consistent </w:t>
      </w:r>
      <w:proofErr w:type="spellStart"/>
      <w:r>
        <w:t>characterisation</w:t>
      </w:r>
      <w:proofErr w:type="spellEnd"/>
      <w:r>
        <w:t xml:space="preserve"> framework.</w:t>
      </w:r>
    </w:p>
    <w:p w14:paraId="3352218B" w14:textId="77777777" w:rsidR="00172353" w:rsidRDefault="00000000">
      <w:pPr>
        <w:pStyle w:val="Heading21"/>
      </w:pPr>
      <w:r>
        <w:t>3.1 Charge occupancy and the electrical meaning of memory</w:t>
      </w:r>
    </w:p>
    <w:p w14:paraId="70DDA809" w14:textId="77777777" w:rsidR="00172353" w:rsidRDefault="00000000">
      <w:pPr>
        <w:pStyle w:val="Body"/>
      </w:pPr>
      <w:r>
        <w:t xml:space="preserve">The term dynamic on-resistance describes a state-dependent electrical response, rather than a second fixed resistance that can be read independently of the test sequence. A trap can capture or release charge as the local electric field, carrier population and temperature change. The resulting charge alters the electrostatic environment experienced by the conducting channel. Consequently, two measurements taken at identical terminal voltage and current can differ if the preceding bias history differs. Yang et al. (2019) </w:t>
      </w:r>
      <w:proofErr w:type="spellStart"/>
      <w:r>
        <w:t>organise</w:t>
      </w:r>
      <w:proofErr w:type="spellEnd"/>
      <w:r>
        <w:t xml:space="preserve"> the problem around buffer trapping, surface trapping and gate instability. These mechanisms should be distinguished because they imply different stress conditions and different routes for mitigation.</w:t>
      </w:r>
    </w:p>
    <w:p w14:paraId="0284599C" w14:textId="77777777" w:rsidR="00172353" w:rsidRDefault="00000000">
      <w:pPr>
        <w:pStyle w:val="Body"/>
      </w:pPr>
      <w:r>
        <w:t>A simple explanatory occupancy model is dx/dt = (1 − x)/</w:t>
      </w:r>
      <w:proofErr w:type="spellStart"/>
      <w:r>
        <w:t>τ_c</w:t>
      </w:r>
      <w:proofErr w:type="spellEnd"/>
      <w:r>
        <w:t xml:space="preserve"> − x/</w:t>
      </w:r>
      <w:proofErr w:type="spellStart"/>
      <w:r>
        <w:t>τ_e</w:t>
      </w:r>
      <w:proofErr w:type="spellEnd"/>
      <w:r>
        <w:t xml:space="preserve">, where x is the occupied fraction of a trap population and </w:t>
      </w:r>
      <w:proofErr w:type="spellStart"/>
      <w:r>
        <w:t>τ_c</w:t>
      </w:r>
      <w:proofErr w:type="spellEnd"/>
      <w:r>
        <w:t xml:space="preserve"> and </w:t>
      </w:r>
      <w:proofErr w:type="spellStart"/>
      <w:r>
        <w:t>τ_e</w:t>
      </w:r>
      <w:proofErr w:type="spellEnd"/>
      <w:r>
        <w:t xml:space="preserve"> are capture and emission time constants under a specified bias and temperature. This expression is a conceptual rate model; it is not a fitted result for the devices reviewed here. Under changing bias, its coefficients change, and several populations can contribute simultaneously. A resistance model might then contain a term proportional to one or more occupancy variables. The usefulness of such a model lies in retaining electrical history. Its limitation is that different combinations of populations and time constants can reproduce similar terminal waveforms.</w:t>
      </w:r>
    </w:p>
    <w:p w14:paraId="2A6E5E5C" w14:textId="77777777" w:rsidR="00172353" w:rsidRDefault="00000000">
      <w:pPr>
        <w:pStyle w:val="Body"/>
      </w:pPr>
      <w:r>
        <w:t>This non-uniqueness matters when interpreting a recovery curve. A multiexponential fit can describe the observation without uniquely identifying the physical trap location or energy. A change in current can also include temperature relaxation, access-region electrostatics or a threshold-voltage shift. Additional experiments are therefore needed to distinguish mechanisms. Drain stress, gate stress, temperature sweeps and suitable optical or spectroscopic measurements probe different aspects of the problem. Zou et al. (2023) review trap-</w:t>
      </w:r>
      <w:proofErr w:type="spellStart"/>
      <w:r>
        <w:t>characterisation</w:t>
      </w:r>
      <w:proofErr w:type="spellEnd"/>
      <w:r>
        <w:t xml:space="preserve"> methods and their scopes. Their classification supports using complementary measurements rather than assigning every resistance transient to one assumed trap solely because a fitted time constant appears plausible.</w:t>
      </w:r>
    </w:p>
    <w:p w14:paraId="6726BB1A" w14:textId="77777777" w:rsidR="00172353" w:rsidRDefault="00000000">
      <w:pPr>
        <w:pStyle w:val="Heading21"/>
      </w:pPr>
      <w:r>
        <w:lastRenderedPageBreak/>
        <w:t>3.2 Why off-state voltage does not give a universal monotonic trend</w:t>
      </w:r>
    </w:p>
    <w:p w14:paraId="53E4B075" w14:textId="77777777" w:rsidR="00172353" w:rsidRDefault="00000000">
      <w:pPr>
        <w:pStyle w:val="Body"/>
      </w:pPr>
      <w:r>
        <w:t>The intuitive expectation that greater blocking voltage always produces greater dynamic resistance is incomplete. Wang et al. (2021) examined a commercial p-</w:t>
      </w:r>
      <w:proofErr w:type="spellStart"/>
      <w:r>
        <w:t>GaN</w:t>
      </w:r>
      <w:proofErr w:type="spellEnd"/>
      <w:r>
        <w:t xml:space="preserve">-gate device using double- and multiple-pulse tests and reported a non-monotonic dependence on off-state voltage. For their device, the highest </w:t>
      </w:r>
      <w:proofErr w:type="spellStart"/>
      <w:r>
        <w:t>normalised</w:t>
      </w:r>
      <w:proofErr w:type="spellEnd"/>
      <w:r>
        <w:t xml:space="preserve"> resistance was about 1.22 at intermediate stress voltages, while higher voltages did not produce the same degradation. Their interpretation relates the response to competing charge and leakage processes. The important lesson is not the numerical ratio, which belongs to that device and protocol, but the possibility that increased field changes both trapping and discharge pathways.</w:t>
      </w:r>
    </w:p>
    <w:p w14:paraId="07525472" w14:textId="77777777" w:rsidR="00172353" w:rsidRDefault="00000000">
      <w:pPr>
        <w:pStyle w:val="Body"/>
      </w:pPr>
      <w:r>
        <w:t>For a converter designer, this result changes the meaning of a single worst-case test. Testing only at the maximum bus voltage may fail to capture the largest resistance increase if the device has a non-monotonic response. A voltage sweep should therefore include intermediate points and preserve stress duration, gate bias and measurement delay. A similar caution applies to extrapolation across device families. Field plates, buffer compensation and substrate bias alter the internal field distribution, so the same external voltage need not produce the same internal stress. Gill et al. (2024) review the interaction between dynamic stress and field distribution, providing a broader context for this dependence.</w:t>
      </w:r>
    </w:p>
    <w:p w14:paraId="7C7E4804" w14:textId="77777777" w:rsidR="00172353" w:rsidRDefault="00000000">
      <w:pPr>
        <w:pStyle w:val="Body"/>
      </w:pPr>
      <w:r>
        <w:t xml:space="preserve">Recent physical evidence also challenges overly local explanations of buffer charging. </w:t>
      </w:r>
      <w:proofErr w:type="spellStart"/>
      <w:r>
        <w:t>Butej</w:t>
      </w:r>
      <w:proofErr w:type="spellEnd"/>
      <w:r>
        <w:t xml:space="preserve"> et al. (2024) combined threshold-voltage and dynamic-resistance observations to examine charge redistribution during off-state stress. Their interpretation includes lateral hole transport and electron injection under the gate. The use of multiple terminal indicators is significant because threshold shift and access-region resistance provide different information. Nevertheless, the resulting model belongs to the investigated structure and measurement conditions. It should not be imposed unchanged on a </w:t>
      </w:r>
      <w:proofErr w:type="spellStart"/>
      <w:r>
        <w:t>cascode</w:t>
      </w:r>
      <w:proofErr w:type="spellEnd"/>
      <w:r>
        <w:t xml:space="preserve"> or another gate architecture. The study strengthens the case for structure-aware interpretation, while leaving open how many internal state variables a practical converter model </w:t>
      </w:r>
      <w:proofErr w:type="gramStart"/>
      <w:r>
        <w:t>needs</w:t>
      </w:r>
      <w:proofErr w:type="gramEnd"/>
      <w:r>
        <w:t>.</w:t>
      </w:r>
    </w:p>
    <w:p w14:paraId="139DC0E9" w14:textId="77777777" w:rsidR="00172353" w:rsidRDefault="00000000">
      <w:pPr>
        <w:pStyle w:val="Heading21"/>
      </w:pPr>
      <w:r>
        <w:t>3.3 Surface treatment and the limits of a material-level remedy</w:t>
      </w:r>
    </w:p>
    <w:p w14:paraId="25FE5D13" w14:textId="77777777" w:rsidR="00172353" w:rsidRDefault="00000000">
      <w:pPr>
        <w:pStyle w:val="Body"/>
      </w:pPr>
      <w:r>
        <w:t>Kim et al. (2023) compared in situ and ex situ silicon-nitride passivation in normally-on and normally-off AlGaN/</w:t>
      </w:r>
      <w:proofErr w:type="spellStart"/>
      <w:r>
        <w:t>GaN</w:t>
      </w:r>
      <w:proofErr w:type="spellEnd"/>
      <w:r>
        <w:t xml:space="preserve"> MISHEMTs. </w:t>
      </w:r>
      <w:proofErr w:type="spellStart"/>
      <w:proofErr w:type="gramStart"/>
      <w:r>
        <w:t>Their</w:t>
      </w:r>
      <w:proofErr w:type="spellEnd"/>
      <w:proofErr w:type="gramEnd"/>
      <w:r>
        <w:t xml:space="preserve"> in situ passivated devices showed smaller dynamic-resistance increases under the reported conditions, with different improvements in the two device configurations. This supports the role of surface and interface preparation in suppressing trapping. It does not establish that one passivation process eliminates every source of dynamic resistance. Buffer charging and gate instability can remain, and process changes can also affect leakage, threshold </w:t>
      </w:r>
      <w:proofErr w:type="spellStart"/>
      <w:r>
        <w:t>behaviour</w:t>
      </w:r>
      <w:proofErr w:type="spellEnd"/>
      <w:r>
        <w:t xml:space="preserve"> and manufacturability. The appropriate conclusion is mechanism-specific improvement, assessed alongside the other device properties.</w:t>
      </w:r>
    </w:p>
    <w:p w14:paraId="2A455EBF" w14:textId="77777777" w:rsidR="00172353" w:rsidRDefault="00000000">
      <w:pPr>
        <w:pStyle w:val="Body"/>
      </w:pPr>
      <w:r>
        <w:t xml:space="preserve">The distinction between normally-on, normally-off and </w:t>
      </w:r>
      <w:proofErr w:type="spellStart"/>
      <w:r>
        <w:t>cascode</w:t>
      </w:r>
      <w:proofErr w:type="spellEnd"/>
      <w:r>
        <w:t xml:space="preserve"> arrangements is consequently more than a label. Their gate control, internal voltage distribution and current paths differ. A </w:t>
      </w:r>
      <w:proofErr w:type="spellStart"/>
      <w:r>
        <w:t>cascode</w:t>
      </w:r>
      <w:proofErr w:type="spellEnd"/>
      <w:r>
        <w:t xml:space="preserve"> measurement can include </w:t>
      </w:r>
      <w:proofErr w:type="spellStart"/>
      <w:r>
        <w:t>behaviour</w:t>
      </w:r>
      <w:proofErr w:type="spellEnd"/>
      <w:r>
        <w:t xml:space="preserve"> from both the low-voltage control device and the </w:t>
      </w:r>
      <w:proofErr w:type="spellStart"/>
      <w:r>
        <w:t>GaN</w:t>
      </w:r>
      <w:proofErr w:type="spellEnd"/>
      <w:r>
        <w:t xml:space="preserve"> element, as well as internal package interconnections. Elangovan et al. (2023) investigated a multi-chip </w:t>
      </w:r>
      <w:proofErr w:type="spellStart"/>
      <w:r>
        <w:t>cascode</w:t>
      </w:r>
      <w:proofErr w:type="spellEnd"/>
      <w:r>
        <w:t xml:space="preserve"> module and observed a response that cannot be reduced to a generic expectation of increasing resistance under harsher switching. Such evidence argues against transferring a dynamic-resistance percentage from </w:t>
      </w:r>
      <w:r>
        <w:lastRenderedPageBreak/>
        <w:t xml:space="preserve">one architecture to another. It also suggests reporting the actual device structure whenever it is available, rather than presenting all </w:t>
      </w:r>
      <w:proofErr w:type="spellStart"/>
      <w:r>
        <w:t>GaN</w:t>
      </w:r>
      <w:proofErr w:type="spellEnd"/>
      <w:r>
        <w:t xml:space="preserve"> devices as a homogeneous population.</w:t>
      </w:r>
    </w:p>
    <w:p w14:paraId="42508BBF" w14:textId="77777777" w:rsidR="00172353" w:rsidRDefault="00000000">
      <w:pPr>
        <w:pStyle w:val="Heading1"/>
      </w:pPr>
      <w:r>
        <w:t>4. MEASUREMENT PROTOCOLS</w:t>
      </w:r>
    </w:p>
    <w:p w14:paraId="270DE75E" w14:textId="77777777" w:rsidR="00172353" w:rsidRDefault="00000000">
      <w:pPr>
        <w:pStyle w:val="Body"/>
      </w:pPr>
      <w:r>
        <w:t>Yang et al. (2019) review wafer- and board-level approaches. Zulauf et al. (2020b) report continuous measurements up to 5 MHz under ZVS and show why blocking time, on-time, temperature and frequency must be controlled together.</w:t>
      </w:r>
    </w:p>
    <w:p w14:paraId="5B71D7D7" w14:textId="77777777" w:rsidR="00172353" w:rsidRDefault="00000000">
      <w:pPr>
        <w:pStyle w:val="Body"/>
      </w:pPr>
      <w:r>
        <w:t xml:space="preserve">A robust double-pulse test begins by defining the off-state drain bias and its duration, the gate bias during blocking, the first-pulse current, the second-pulse current, the delay to the voltage sample and the thermal starting condition. The fixture should </w:t>
      </w:r>
      <w:proofErr w:type="spellStart"/>
      <w:r>
        <w:t>minimise</w:t>
      </w:r>
      <w:proofErr w:type="spellEnd"/>
      <w:r>
        <w:t xml:space="preserve"> common-source inductance and provide sufficient bandwidth without introducing excessive ringing that is later interpreted as channel voltage.</w:t>
      </w:r>
    </w:p>
    <w:p w14:paraId="39723304" w14:textId="77777777" w:rsidR="00172353" w:rsidRDefault="00000000">
      <w:pPr>
        <w:pStyle w:val="Body"/>
      </w:pPr>
      <w:r>
        <w:t>The sampling delay is a central decision. Sampling too early includes commutation transients and parasitic inductive voltage; sampling too late allows the device temperature and trap occupancy to change. A sweep of sampling delay can reveal whether a reported penalty is an instantaneous effect, a short transient or a slowly varying state.</w:t>
      </w:r>
    </w:p>
    <w:p w14:paraId="6D1BE71C" w14:textId="77777777" w:rsidR="00172353" w:rsidRDefault="00000000">
      <w:pPr>
        <w:pStyle w:val="Body"/>
      </w:pPr>
      <w:r>
        <w:t>Continuous switching tests complement double-pulse measurements because they expose memory across many cycles. Frequency, duty ratio, dead time, hard- or soft-switching condition and recovery interval should be varied independently where possible. The same device can show different dynamic resistance under an isolated stress pulse and under a steady converter waveform.</w:t>
      </w:r>
    </w:p>
    <w:p w14:paraId="627E0206" w14:textId="77777777" w:rsidR="00172353" w:rsidRDefault="00000000">
      <w:pPr>
        <w:pStyle w:val="Body"/>
      </w:pPr>
      <w:r>
        <w:t>Electrical thermometry, infrared observation where the package permits it, and calibrated loss measurements can help separate trapping from heating. Reference devices and repeated stress-recovery sequences are also useful for detecting instrument drift. The report must contain enough detail to reproduce the waveform and timing.</w:t>
      </w:r>
    </w:p>
    <w:p w14:paraId="17208CE7" w14:textId="77777777" w:rsidR="00172353" w:rsidRDefault="00000000">
      <w:pPr>
        <w:pStyle w:val="Heading21"/>
      </w:pPr>
      <w:r>
        <w:t>4.1 Defining a measurement that another laboratory can reproduce</w:t>
      </w:r>
    </w:p>
    <w:p w14:paraId="56CA42E6" w14:textId="77777777" w:rsidR="00172353" w:rsidRDefault="00000000">
      <w:pPr>
        <w:pStyle w:val="Body"/>
      </w:pPr>
      <w:r>
        <w:t>A reproducible result requires a defined initial state, stress interval, transition sequence and observation window. The initial state can be established by an explicitly reported rest or conditioning procedure; it should not be described simply as fresh if previous electrical exposure is unknown. The stress interval includes drain and gate bias, temperature and duration. The transition sequence establishes whether the device undergoes hard or soft switching and whether reverse conduction occurs. Finally, the observation window specifies when voltage and current are sampled relative to the physical transition. These definitions determine which part of the recovery response is represented by the quoted resistance.</w:t>
      </w:r>
    </w:p>
    <w:p w14:paraId="28754840" w14:textId="77777777" w:rsidR="00172353" w:rsidRDefault="00000000">
      <w:pPr>
        <w:pStyle w:val="Body"/>
      </w:pPr>
      <w:r>
        <w:t xml:space="preserve">The ratio </w:t>
      </w:r>
      <w:proofErr w:type="spellStart"/>
      <w:r>
        <w:t>R_dyn</w:t>
      </w:r>
      <w:proofErr w:type="spellEnd"/>
      <w:r>
        <w:t>/</w:t>
      </w:r>
      <w:proofErr w:type="spellStart"/>
      <w:r>
        <w:t>R_ref</w:t>
      </w:r>
      <w:proofErr w:type="spellEnd"/>
      <w:r>
        <w:t xml:space="preserve"> is useful only when the denominator is equally well defined. The reference resistance should correspond to a stated gate voltage, current and temperature, with a controlled electrical history. Comparing a hot dynamic measurement with a cold low-current reference mixes thermal and trapping contributions. Comparing different gate voltages changes channel enhancement. A report should therefore state both the absolute resistance and the ratio, together with the reference conditions. This makes it possible to distinguish an apparently large percentage caused by a small denominator from a practically important increase in conduction loss. Fig. 1 identifies these measurement intervals conceptually without presenting experimental waveforms.</w:t>
      </w:r>
    </w:p>
    <w:p w14:paraId="366178CC" w14:textId="77777777" w:rsidR="00172353" w:rsidRDefault="00000000">
      <w:pPr>
        <w:pStyle w:val="Body"/>
      </w:pPr>
      <w:r>
        <w:lastRenderedPageBreak/>
        <w:t>The on-state voltage presents a demanding dynamic-range problem. An instrument must survive or reject a large blocking voltage and then resolve a much smaller conducting voltage shortly after a fast transition. A clamp circuit can protect the sensitive measurement path and improve usable resolution, but its own settling, leakage and parasitic capacitance become part of the measurement. A delayed sample can reduce switching artefacts while simultaneously allowing the device to recover. There is therefore no universal delay that is both artefact-free and representative of the earliest conducting state. The delay must be justified against the instrument response and the physical question.</w:t>
      </w:r>
    </w:p>
    <w:p w14:paraId="5463F0C4" w14:textId="77777777" w:rsidR="00172353" w:rsidRDefault="00000000">
      <w:pPr>
        <w:pStyle w:val="Heading21"/>
      </w:pPr>
      <w:r>
        <w:t>4.2 Uncertainty in the voltage-to-current ratio</w:t>
      </w:r>
    </w:p>
    <w:p w14:paraId="1918740F" w14:textId="77777777" w:rsidR="00172353" w:rsidRDefault="00000000">
      <w:pPr>
        <w:pStyle w:val="Body"/>
      </w:pPr>
      <w:r>
        <w:t xml:space="preserve">For R = V/I, a first-order uncertainty approximation for uncorrelated voltage and current errors is </w:t>
      </w:r>
      <w:proofErr w:type="spellStart"/>
      <w:r>
        <w:t>u_R</w:t>
      </w:r>
      <w:proofErr w:type="spellEnd"/>
      <w:r>
        <w:t>/R ≈ [(</w:t>
      </w:r>
      <w:proofErr w:type="spellStart"/>
      <w:r>
        <w:t>u_V</w:t>
      </w:r>
      <w:proofErr w:type="spellEnd"/>
      <w:r>
        <w:t>/</w:t>
      </w:r>
      <w:proofErr w:type="gramStart"/>
      <w:r>
        <w:t>V)²</w:t>
      </w:r>
      <w:proofErr w:type="gramEnd"/>
      <w:r>
        <w:t xml:space="preserve"> + (</w:t>
      </w:r>
      <w:proofErr w:type="spellStart"/>
      <w:r>
        <w:t>u_I</w:t>
      </w:r>
      <w:proofErr w:type="spellEnd"/>
      <w:r>
        <w:t>/</w:t>
      </w:r>
      <w:proofErr w:type="gramStart"/>
      <w:r>
        <w:t>I)²</w:t>
      </w:r>
      <w:proofErr w:type="gramEnd"/>
      <w:r>
        <w:t>]</w:t>
      </w:r>
      <w:proofErr w:type="gramStart"/>
      <w:r>
        <w:t>^(</w:t>
      </w:r>
      <w:proofErr w:type="gramEnd"/>
      <w:r>
        <w:t>1/2). This relation is an uncertainty-propagation formula, not a device model. At small on-state voltage, even a modest voltage offset can dominate the relative error. At small current, the current-channel error becomes similarly important. Correlated noise, common timing errors and systematic offsets require additional treatment. Reporting only oscilloscope resolution is insufficient because probe gain, offset, bandwidth, clamp recovery and channel alignment also affect the result.</w:t>
      </w:r>
    </w:p>
    <w:p w14:paraId="5A2929A8" w14:textId="77777777" w:rsidR="00172353" w:rsidRDefault="00000000">
      <w:pPr>
        <w:pStyle w:val="Body"/>
      </w:pPr>
      <w:r>
        <w:t xml:space="preserve">A practical uncertainty check should include a resistance or device state with </w:t>
      </w:r>
      <w:proofErr w:type="spellStart"/>
      <w:proofErr w:type="gramStart"/>
      <w:r>
        <w:t>a</w:t>
      </w:r>
      <w:proofErr w:type="spellEnd"/>
      <w:proofErr w:type="gramEnd"/>
      <w:r>
        <w:t xml:space="preserve"> independently </w:t>
      </w:r>
      <w:proofErr w:type="spellStart"/>
      <w:r>
        <w:t>characterised</w:t>
      </w:r>
      <w:proofErr w:type="spellEnd"/>
      <w:r>
        <w:t xml:space="preserve"> response under conditions that the fixture can measure. Such a check cannot prove that every switching artefact has been removed, but it can reveal gross gain and offset errors. The fixture should also be assessed for unintended voltage pickup from power-loop inductance. An observed voltage immediately after turn-on can include L di/dt as well as the channel drop. If the sample is taken before that contribution settles, dividing by current produces an apparent resistance that is partly a circuit transient. Four-terminal sensing and careful placement reduce this problem without eliminating the need for timing analysis.</w:t>
      </w:r>
    </w:p>
    <w:p w14:paraId="782FF36F" w14:textId="77777777" w:rsidR="00172353" w:rsidRDefault="00000000">
      <w:pPr>
        <w:pStyle w:val="Body"/>
      </w:pPr>
      <w:r>
        <w:t xml:space="preserve">Channel </w:t>
      </w:r>
      <w:proofErr w:type="spellStart"/>
      <w:r>
        <w:t>synchronisation</w:t>
      </w:r>
      <w:proofErr w:type="spellEnd"/>
      <w:r>
        <w:t xml:space="preserve"> becomes especially consequential when current rises rapidly. A voltage sample divided by a current sample from a different physical instant can create a ratio that never existed in the circuit. </w:t>
      </w:r>
      <w:proofErr w:type="spellStart"/>
      <w:r>
        <w:t>Deskew</w:t>
      </w:r>
      <w:proofErr w:type="spellEnd"/>
      <w:r>
        <w:t xml:space="preserve"> should therefore be performed using a suitable common event, and its residual uncertainty should be considered alongside amplitude errors. Averaging many pulses reduces random noise but may obscure cycle-dependent recovery or drift. The publication should state whether each point is a single event, an average of identical prepared events, or a sample from a continuous switching sequence. These choices answer different questions and should not be silently interchanged.</w:t>
      </w:r>
    </w:p>
    <w:p w14:paraId="629AEE9F" w14:textId="77777777" w:rsidR="00172353" w:rsidRDefault="00000000">
      <w:pPr>
        <w:pStyle w:val="Heading21"/>
      </w:pPr>
      <w:r>
        <w:t>4.3 Combining device spectroscopy with converter-oriented measurements</w:t>
      </w:r>
    </w:p>
    <w:p w14:paraId="6CC128FE" w14:textId="77777777" w:rsidR="00172353" w:rsidRDefault="00000000">
      <w:pPr>
        <w:pStyle w:val="Body"/>
      </w:pPr>
      <w:r>
        <w:t>Trap spectroscopy and switching tests serve complementary purposes. Spectroscopic methods seek information about defect populations, energies or locations, while a converter-oriented measurement asks what resistance occurs under an operating waveform. A useful mechanism identified through spectroscopy may have limited impact at the temperatures and time scales of an application. Conversely, a large converter penalty may arise from several unresolved mechanisms. Connecting the two requires matching the relevant bias history and temporal range. The mechanism map in Fig. 2 is therefore deliberately separated from the measured ratio: a terminal observation constrains possible explanations but does not uniquely identify one.</w:t>
      </w:r>
    </w:p>
    <w:p w14:paraId="494E934E" w14:textId="77777777" w:rsidR="00172353" w:rsidRDefault="00000000">
      <w:pPr>
        <w:pStyle w:val="Body"/>
      </w:pPr>
      <w:r>
        <w:lastRenderedPageBreak/>
        <w:t xml:space="preserve">Cusumano, Vella and Sirchia (2025) used triangular gate pulses to study hysteresis and threshold-voltage </w:t>
      </w:r>
      <w:proofErr w:type="spellStart"/>
      <w:r>
        <w:t>behaviour</w:t>
      </w:r>
      <w:proofErr w:type="spellEnd"/>
      <w:r>
        <w:t>, while Cusumano, Sirchia and Vella (2025) used rectangular pulses to examine dynamic resistance and recovery. Their complementary pulse shapes show that the measurement stimulus itself determines which aspects of charge dynamics become visible. The reported responses should not be converted into a universal penalty for a high-voltage converter, especially when the stress voltage and gate sequence differ. Instead, they provide examples of how controlled waveform changes can reveal history dependence that a single static curve would miss.</w:t>
      </w:r>
    </w:p>
    <w:p w14:paraId="6675FB10" w14:textId="77777777" w:rsidR="00172353" w:rsidRDefault="00000000">
      <w:pPr>
        <w:pStyle w:val="Body"/>
      </w:pPr>
      <w:r>
        <w:t xml:space="preserve">Fig. 1 </w:t>
      </w:r>
      <w:proofErr w:type="spellStart"/>
      <w:r>
        <w:t>summarises</w:t>
      </w:r>
      <w:proofErr w:type="spellEnd"/>
      <w:r>
        <w:t xml:space="preserve"> the physical and measurement relationships discussed in this section.</w:t>
      </w:r>
    </w:p>
    <w:p w14:paraId="572D8BF3" w14:textId="77777777" w:rsidR="00172353" w:rsidRDefault="00000000">
      <w:pPr>
        <w:keepNext/>
        <w:jc w:val="center"/>
      </w:pPr>
      <w:r>
        <w:rPr>
          <w:noProof/>
        </w:rPr>
        <w:drawing>
          <wp:inline distT="0" distB="0" distL="0" distR="0" wp14:anchorId="55D7316A" wp14:editId="3B8F8886">
            <wp:extent cx="5212080" cy="179149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n_1.png"/>
                    <pic:cNvPicPr/>
                  </pic:nvPicPr>
                  <pic:blipFill>
                    <a:blip r:embed="rId8"/>
                    <a:stretch>
                      <a:fillRect/>
                    </a:stretch>
                  </pic:blipFill>
                  <pic:spPr>
                    <a:xfrm>
                      <a:off x="0" y="0"/>
                      <a:ext cx="5212080" cy="1791494"/>
                    </a:xfrm>
                    <a:prstGeom prst="rect">
                      <a:avLst/>
                    </a:prstGeom>
                  </pic:spPr>
                </pic:pic>
              </a:graphicData>
            </a:graphic>
          </wp:inline>
        </w:drawing>
      </w:r>
    </w:p>
    <w:p w14:paraId="095EBBC7" w14:textId="77777777" w:rsidR="00172353" w:rsidRDefault="00000000">
      <w:pPr>
        <w:pStyle w:val="Caption1"/>
      </w:pPr>
      <w:r>
        <w:t>Fig. 1. Stress, switching and sampling intervals in a conceptual dynamic-resistance test. The observation window must be defined relative to the physical switching event. Original conceptual schematic; no experimental or simulated performance data are plotted.</w:t>
      </w:r>
    </w:p>
    <w:p w14:paraId="1256743F" w14:textId="77777777" w:rsidR="00172353" w:rsidRDefault="00000000">
      <w:pPr>
        <w:pStyle w:val="Heading1"/>
      </w:pPr>
      <w:r>
        <w:t>5. TRAPPING AND FREQUENCY</w:t>
      </w:r>
    </w:p>
    <w:p w14:paraId="19B65C25" w14:textId="77777777" w:rsidR="00172353" w:rsidRDefault="00000000">
      <w:pPr>
        <w:pStyle w:val="Body"/>
      </w:pPr>
      <w:r>
        <w:t>The relation between switching frequency and dynamic resistance is not necessarily monotonic. Higher frequency shortens blocking and on-time, while repeated switching may accumulate charge. The net result depends on the trap distribution and stress sequence.</w:t>
      </w:r>
    </w:p>
    <w:p w14:paraId="03F9C752" w14:textId="77777777" w:rsidR="00172353" w:rsidRDefault="00000000">
      <w:pPr>
        <w:pStyle w:val="Body"/>
      </w:pPr>
      <w:r>
        <w:t>Cusumano, Sirchia and Vella (2025) use rectangular gate pulses to study trapping, while Basile et al. (2024) examine current collapse in automotive-grade devices. Gate amplitude, drain stress, temperature and history should be reported together.</w:t>
      </w:r>
    </w:p>
    <w:p w14:paraId="20603A08" w14:textId="77777777" w:rsidR="00172353" w:rsidRDefault="00000000">
      <w:pPr>
        <w:pStyle w:val="Body"/>
      </w:pPr>
      <w:r>
        <w:t>Frequency changes both the number of stress events per unit time and the duration available for charge capture and emission. The dynamic penalty may increase when switching becomes more frequent, but it may also approach a plateau if the relevant trap population reaches a quasi-steady occupancy. A monotonic frequency correction is therefore not justified without a device-specific experiment.</w:t>
      </w:r>
    </w:p>
    <w:p w14:paraId="269F02F3" w14:textId="77777777" w:rsidR="00172353" w:rsidRDefault="00000000">
      <w:pPr>
        <w:pStyle w:val="Body"/>
      </w:pPr>
      <w:r>
        <w:t>Duty cycle and blocking voltage can be as important as frequency. A short high-voltage off-state may populate a trap distribution differently from a longer lower-voltage stress, even when the average switching frequency is equal. Gate amplitude and gate resistance further modify the time spent in intermediate field conditions.</w:t>
      </w:r>
    </w:p>
    <w:p w14:paraId="3D40E70A" w14:textId="77777777" w:rsidR="00172353" w:rsidRDefault="00000000">
      <w:pPr>
        <w:pStyle w:val="Body"/>
      </w:pPr>
      <w:r>
        <w:t xml:space="preserve">For converter modelling, the most useful representation is often a family of </w:t>
      </w:r>
      <w:proofErr w:type="spellStart"/>
      <w:proofErr w:type="gramStart"/>
      <w:r>
        <w:t>RON,dyn</w:t>
      </w:r>
      <w:proofErr w:type="spellEnd"/>
      <w:proofErr w:type="gramEnd"/>
      <w:r>
        <w:t xml:space="preserve"> values indexed by stress voltage, current, temperature and recovery time, rather than a single multiplier. When data are limited, a bounded lookup table is preferable to an apparently precise fitted curve that is valid only for one laboratory waveform.</w:t>
      </w:r>
    </w:p>
    <w:p w14:paraId="7DEC3E66" w14:textId="77777777" w:rsidR="00172353" w:rsidRDefault="00000000">
      <w:pPr>
        <w:pStyle w:val="Heading21"/>
      </w:pPr>
      <w:r>
        <w:lastRenderedPageBreak/>
        <w:t>5.1 Single events and steady periodic operation</w:t>
      </w:r>
    </w:p>
    <w:p w14:paraId="6B22D21A" w14:textId="77777777" w:rsidR="00172353" w:rsidRDefault="00000000">
      <w:pPr>
        <w:pStyle w:val="Body"/>
      </w:pPr>
      <w:r>
        <w:t xml:space="preserve">A double-pulse measurement commonly begins from a deliberately prepared state. Continuous switching evolves toward a history determined by the balance of capture and release over many cycles. The first event after a long off interval can therefore differ from the thousandth event under periodic operation. Neither observation is intrinsically more correct: start-up, burst operation and sustained power conversion each require their corresponding history. A device qualification intended for a converter should identify which of these regimes matters and how the test reproduces it. </w:t>
      </w:r>
      <w:proofErr w:type="gramStart"/>
      <w:r>
        <w:t>Otherwise</w:t>
      </w:r>
      <w:proofErr w:type="gramEnd"/>
      <w:r>
        <w:t xml:space="preserve"> a well-executed measurement can still be irrelevant to the intended duty.</w:t>
      </w:r>
    </w:p>
    <w:p w14:paraId="31E323CF" w14:textId="77777777" w:rsidR="00172353" w:rsidRDefault="00000000">
      <w:pPr>
        <w:pStyle w:val="Body"/>
      </w:pPr>
      <w:r>
        <w:t xml:space="preserve">Zulauf et al. (2020b) examined multi-megahertz operation and found that dynamic effects for the tested device did not continue increasing without bound as switching frequency rose. The work extends the measurement question beyond isolated pulses toward repetitive operation. Its significance is the demonstration of a device- and condition-dependent frequency response, not a guarantee that high switching frequency suppresses trapping in every </w:t>
      </w:r>
      <w:proofErr w:type="spellStart"/>
      <w:r>
        <w:t>GaN</w:t>
      </w:r>
      <w:proofErr w:type="spellEnd"/>
      <w:r>
        <w:t xml:space="preserve"> technology. Frequency also changes electrical loss and thermal conditions. A meaningful comparison should therefore distinguish a change caused by trap occupancy from a change caused by increased temperature or altered switching trajectory.</w:t>
      </w:r>
    </w:p>
    <w:p w14:paraId="71E1997B" w14:textId="77777777" w:rsidR="00172353" w:rsidRDefault="00000000">
      <w:pPr>
        <w:pStyle w:val="Body"/>
      </w:pPr>
      <w:r>
        <w:t>Duty ratio further prevents frequency from being a sufficient descriptor. At the same frequency, a longer off interval changes blocking exposure, while a longer conducting interval changes recovery opportunity and heating. Burst mode introduces a third time scale: a sequence of rapid pulses separated by a much longer pause. The state at the first pulse in each burst may repeatedly return toward a different condition from the later pulses. For loss estimation, averaging one resistance across the entire burst can therefore be misleading. The appropriate quantity is the resistance weighted by the actual current and the duration of conduction at each state.</w:t>
      </w:r>
    </w:p>
    <w:p w14:paraId="76CA095A" w14:textId="77777777" w:rsidR="00172353" w:rsidRDefault="00000000">
      <w:pPr>
        <w:pStyle w:val="Heading21"/>
      </w:pPr>
      <w:r>
        <w:t>5.2 Temperature and reversibility</w:t>
      </w:r>
    </w:p>
    <w:p w14:paraId="3FD5C3B2" w14:textId="77777777" w:rsidR="00172353" w:rsidRDefault="00000000">
      <w:pPr>
        <w:pStyle w:val="Body"/>
      </w:pPr>
      <w:r>
        <w:t>Temperature modifies carrier mobility and trap kinetics simultaneously. A hotter device can have a larger baseline resistance while releasing some trapped charge faster. The net dynamic ratio may consequently move differently from the absolute resistance. A decrease in the ratio with temperature does not necessarily mean lower conduction loss, and a larger absolute resistance does not uniquely indicate more trapped charge. The measurement should ideally provide temperature-conditioned reference and dynamic values so that these contributions can be separated. This is a modelling requirement, rather than a claim that every mechanism has the same temperature dependence.</w:t>
      </w:r>
    </w:p>
    <w:p w14:paraId="06C16334" w14:textId="77777777" w:rsidR="00172353" w:rsidRDefault="00000000">
      <w:pPr>
        <w:pStyle w:val="Body"/>
      </w:pPr>
      <w:r>
        <w:t xml:space="preserve">Reversible trapping should also be distinguished from persistent degradation. If a parameter recovers after a specified rest or thermal treatment, that observation supports a recoverable component under those conditions. It does not prove that no permanent change occurred elsewhere in the device. Conversely, a measurement made before a slow recovery completes should not automatically be labelled irreversible damage. A reliability experiment needs a defined recovery check and should report leakage, threshold </w:t>
      </w:r>
      <w:proofErr w:type="spellStart"/>
      <w:r>
        <w:t>behaviour</w:t>
      </w:r>
      <w:proofErr w:type="spellEnd"/>
      <w:r>
        <w:t xml:space="preserve"> and resistance where relevant. Basile et al. (2024) provide an automotive-device context for current-collapse investigation, but qualification of a different part still requires its own stress and recovery sequence.</w:t>
      </w:r>
    </w:p>
    <w:p w14:paraId="440765B5" w14:textId="77777777" w:rsidR="00172353" w:rsidRDefault="00000000">
      <w:pPr>
        <w:pStyle w:val="Heading1"/>
      </w:pPr>
      <w:r>
        <w:lastRenderedPageBreak/>
        <w:t>6. CONVERTER IMPLICATIONS</w:t>
      </w:r>
    </w:p>
    <w:p w14:paraId="6AD5A3D9" w14:textId="77777777" w:rsidR="00172353" w:rsidRDefault="00000000">
      <w:pPr>
        <w:pStyle w:val="Body"/>
      </w:pPr>
      <w:r>
        <w:t>Dynamic resistance should be inserted into the conduction-loss model at the time scale relevant to the switching sequence. In a hard-switched leg, the high-current interval and the preceding blocking stress may be strongly correlated. In a resonant or soft-switched stage, the voltage and current trajectories may reduce some stress while introducing a different recovery history. The device test should resemble the converter state sequence when the result is used for design.</w:t>
      </w:r>
    </w:p>
    <w:p w14:paraId="20FBA688" w14:textId="77777777" w:rsidR="00172353" w:rsidRDefault="00000000">
      <w:pPr>
        <w:pStyle w:val="Body"/>
      </w:pPr>
      <w:r>
        <w:t xml:space="preserve">A practical workflow is to measure </w:t>
      </w:r>
      <w:proofErr w:type="spellStart"/>
      <w:proofErr w:type="gramStart"/>
      <w:r>
        <w:t>RON,dyn</w:t>
      </w:r>
      <w:proofErr w:type="spellEnd"/>
      <w:proofErr w:type="gramEnd"/>
      <w:r>
        <w:t xml:space="preserve"> over the expected operating envelope, fit conservative bounds, calculate the resulting conduction loss, and then repeat the measurement at the predicted junction temperature. This loop captures the feedback between resistance, loss and temperature without claiming that one test condition represents every mission profile.</w:t>
      </w:r>
    </w:p>
    <w:p w14:paraId="71307C0E" w14:textId="77777777" w:rsidR="00172353" w:rsidRDefault="00000000">
      <w:pPr>
        <w:pStyle w:val="Body"/>
      </w:pPr>
      <w:r>
        <w:t xml:space="preserve">Gate-driver layout and package inductance matter because a false VDS measurement can be mistaken for dynamic RON. Kelvin source connections, controlled probe grounding, calibrated current sensing and a defined reference plane should be treated as part of the device </w:t>
      </w:r>
      <w:proofErr w:type="spellStart"/>
      <w:r>
        <w:t>characterisation</w:t>
      </w:r>
      <w:proofErr w:type="spellEnd"/>
      <w:r>
        <w:t xml:space="preserve"> fixture, not as optional laboratory details.</w:t>
      </w:r>
    </w:p>
    <w:p w14:paraId="6C141E51" w14:textId="77777777" w:rsidR="00172353" w:rsidRDefault="00000000">
      <w:pPr>
        <w:pStyle w:val="Heading21"/>
      </w:pPr>
      <w:r>
        <w:t>6.1 From a resistance ratio to a conduction-loss estimate</w:t>
      </w:r>
    </w:p>
    <w:p w14:paraId="5ADC05BB" w14:textId="77777777" w:rsidR="00172353" w:rsidRDefault="00000000">
      <w:pPr>
        <w:pStyle w:val="Body"/>
      </w:pPr>
      <w:r>
        <w:t xml:space="preserve">The conduction loss over a representative period T can be expressed as </w:t>
      </w:r>
      <w:proofErr w:type="spellStart"/>
      <w:r>
        <w:t>P_cond</w:t>
      </w:r>
      <w:proofErr w:type="spellEnd"/>
      <w:r>
        <w:t xml:space="preserve"> = (1/</w:t>
      </w:r>
      <w:proofErr w:type="gramStart"/>
      <w:r>
        <w:t>T)∫</w:t>
      </w:r>
      <w:proofErr w:type="gramEnd"/>
      <w:r>
        <w:t>i²(t)</w:t>
      </w:r>
      <w:proofErr w:type="spellStart"/>
      <w:r>
        <w:t>R_on</w:t>
      </w:r>
      <w:proofErr w:type="spellEnd"/>
      <w:r>
        <w:t>(t)dt over conducting intervals. This expression explains why a single dynamic-resistance percentage is not a complete converter model. Resistance and current can vary together, and the largest resistance may occur when current is small or for only a short interval. Conversely, a moderate increase during the highest-current portion can have a large thermal consequence. A useful approximation divides the waveform into intervals with known current and an appropriately conditioned resistance. The accuracy of that approximation should be checked before adding further model complexity.</w:t>
      </w:r>
    </w:p>
    <w:p w14:paraId="45D4BDF6" w14:textId="77777777" w:rsidR="00172353" w:rsidRDefault="00000000">
      <w:pPr>
        <w:pStyle w:val="Body"/>
      </w:pPr>
      <w:r>
        <w:t xml:space="preserve">An illustrative algebraic comparison clarifies the weighting. If resistance increases by a fraction δ only during an interval contributing a fraction g of the original i²-weighted conduction integral, the incremental conduction loss is approximately </w:t>
      </w:r>
      <w:proofErr w:type="spellStart"/>
      <w:r>
        <w:t>δg</w:t>
      </w:r>
      <w:proofErr w:type="spellEnd"/>
      <w:r>
        <w:t xml:space="preserve"> of the baseline, provided other waveform quantities remain unchanged. This is a conditional calculation, not a numerical result from a converter. It shows why applying the maximum measured ratio throughout the entire cycle can be overly conservative, while using only a late recovered sample can be optimistic. The correct choice depends on the location of the sample relative to the current waveform and the application’s history.</w:t>
      </w:r>
    </w:p>
    <w:p w14:paraId="0D8856D8" w14:textId="77777777" w:rsidR="00172353" w:rsidRDefault="00000000">
      <w:pPr>
        <w:pStyle w:val="Body"/>
      </w:pPr>
      <w:r>
        <w:t>Switching loss must remain distinct from this conduction estimate. A dynamic-resistance test may correlate with switching stress, but the ratio alone does not determine turn-on or turn-off energy. The current and voltage trajectories during switching, output capacitance and gate drive must be considered separately. Total device loss combines these terms, and the resulting temperature feeds back into both the baseline resistance and trapping kinetics. A reduced electrothermal model can represent this interaction, but its parameters should be calibrated against independent waveforms. Reproducing the same experiment used for fitting is a consistency check, not strong evidence of predictive performance.</w:t>
      </w:r>
    </w:p>
    <w:p w14:paraId="42785317" w14:textId="77777777" w:rsidR="00172353" w:rsidRDefault="00000000">
      <w:pPr>
        <w:pStyle w:val="Heading21"/>
      </w:pPr>
      <w:r>
        <w:lastRenderedPageBreak/>
        <w:t>6.2 Forward and reverse conduction and topology dependence</w:t>
      </w:r>
    </w:p>
    <w:p w14:paraId="1D188328" w14:textId="77777777" w:rsidR="00172353" w:rsidRDefault="00000000">
      <w:pPr>
        <w:pStyle w:val="Body"/>
      </w:pPr>
      <w:r>
        <w:t xml:space="preserve">Xie et al. (2024) examined dynamic resistance under forward and reverse conduction using a multigroup double-pulse approach. This distinction is relevant to bridge converters because current direction and gate state can vary within a switching period. A forward-conduction ratio should not be assigned automatically to reverse conduction. The voltage drop can also contain contributions whose interpretation differs from a simple ohmic channel model. A converter study should therefore identify the conduction mode to which each parameter belongs and </w:t>
      </w:r>
      <w:proofErr w:type="gramStart"/>
      <w:r>
        <w:t>use</w:t>
      </w:r>
      <w:proofErr w:type="gramEnd"/>
      <w:r>
        <w:t xml:space="preserve"> the corresponding model rather than forcing all current directions into one resistance value.</w:t>
      </w:r>
    </w:p>
    <w:p w14:paraId="506C5B4A" w14:textId="77777777" w:rsidR="00172353" w:rsidRDefault="00000000">
      <w:pPr>
        <w:pStyle w:val="Body"/>
      </w:pPr>
      <w:r>
        <w:t>Topology also changes the history presented to each switch. Two devices in the same bridge can experience different blocking durations, temperatures and transient events even when their nominal part numbers match. Synchronous operation, discontinuous current and burst control can alter those differences. The useful modelling boundary is consequently the individual device trajectory within the converter, rather than the converter’s average switching frequency alone. This does not imply that every switch requires an elaborate trap model. It means that simplification should follow evidence that the omitted history has little effect on the decision being made.</w:t>
      </w:r>
    </w:p>
    <w:p w14:paraId="67F703D7" w14:textId="77777777" w:rsidR="00172353" w:rsidRDefault="00000000">
      <w:pPr>
        <w:pStyle w:val="Heading21"/>
      </w:pPr>
      <w:r>
        <w:t>6.3 Mitigation choices and their competing consequences</w:t>
      </w:r>
    </w:p>
    <w:p w14:paraId="0A5B46C5" w14:textId="77777777" w:rsidR="00172353" w:rsidRDefault="00000000">
      <w:pPr>
        <w:pStyle w:val="Body"/>
      </w:pPr>
      <w:r>
        <w:t xml:space="preserve">Device selection, layout, gate drive and control can all change the observed dynamic penalty, but they act through different mechanisms. Selecting a device with a more suitable buffer or passivation targets the device physics. Reducing overshoot changes electrical stress. Modifying gate drive changes transition </w:t>
      </w:r>
      <w:proofErr w:type="spellStart"/>
      <w:r>
        <w:t>behaviour</w:t>
      </w:r>
      <w:proofErr w:type="spellEnd"/>
      <w:r>
        <w:t xml:space="preserve"> and may also alter measurement artefacts. Altering switching patterns changes dwell times and recovery. These options should be compared using the same mission profile and measurement definition. </w:t>
      </w:r>
      <w:proofErr w:type="gramStart"/>
      <w:r>
        <w:t>Otherwise</w:t>
      </w:r>
      <w:proofErr w:type="gramEnd"/>
      <w:r>
        <w:t xml:space="preserve"> a reported improvement may result from changing the observation window rather than improving the device’s </w:t>
      </w:r>
      <w:proofErr w:type="spellStart"/>
      <w:r>
        <w:t>behaviour</w:t>
      </w:r>
      <w:proofErr w:type="spellEnd"/>
      <w:r>
        <w:t xml:space="preserve"> under the original duty.</w:t>
      </w:r>
    </w:p>
    <w:p w14:paraId="6AB6AA1D" w14:textId="77777777" w:rsidR="00172353" w:rsidRDefault="00000000">
      <w:pPr>
        <w:pStyle w:val="Body"/>
      </w:pPr>
      <w:r>
        <w:t>A control strategy that reduces trapping exposure may impose additional switching, conduction or control-complexity costs. Similarly, a slower transition can reduce overshoot while increasing switching energy. The decision should therefore be based on total loss, voltage margin and reliable operation together. The synthesis in Table 2 is intended to connect the measured quantity with the engineering decision it can support. It deliberately avoids ranking commercial technologies because the reviewed experiments are not a matched comparison. A universal ranking would require controlled samples, common temperature and stress conditions, and sufficient information about measurement uncertainty and device-to-device variation.</w:t>
      </w:r>
    </w:p>
    <w:p w14:paraId="7CA8FD5D" w14:textId="77777777" w:rsidR="00172353" w:rsidRDefault="00000000">
      <w:pPr>
        <w:pStyle w:val="Body"/>
      </w:pPr>
      <w:r>
        <w:t xml:space="preserve">Table 1 </w:t>
      </w:r>
      <w:proofErr w:type="spellStart"/>
      <w:r>
        <w:t>summarises</w:t>
      </w:r>
      <w:proofErr w:type="spellEnd"/>
      <w:r>
        <w:t xml:space="preserve"> evidence categories discussed in the cited literature and the limits on applying their findings elsewhere.</w:t>
      </w:r>
    </w:p>
    <w:p w14:paraId="7A0CC906" w14:textId="77777777" w:rsidR="00172353" w:rsidRDefault="00000000">
      <w:pPr>
        <w:pStyle w:val="Caption1"/>
        <w:keepNext/>
      </w:pPr>
      <w:r>
        <w:t>Table 1. Selected dynamic-resistance evidence and the condition needed for transfer</w:t>
      </w:r>
    </w:p>
    <w:tbl>
      <w:tblPr>
        <w:tblW w:w="0" w:type="auto"/>
        <w:tblLayout w:type="fixed"/>
        <w:tblLook w:val="04A0" w:firstRow="1" w:lastRow="0" w:firstColumn="1" w:lastColumn="0" w:noHBand="0" w:noVBand="1"/>
      </w:tblPr>
      <w:tblGrid>
        <w:gridCol w:w="1888"/>
        <w:gridCol w:w="3119"/>
        <w:gridCol w:w="3201"/>
      </w:tblGrid>
      <w:tr w:rsidR="00172353" w14:paraId="374B18F3" w14:textId="77777777">
        <w:trPr>
          <w:cantSplit/>
          <w:tblHeader/>
        </w:trPr>
        <w:tc>
          <w:tcPr>
            <w:tcW w:w="1888" w:type="dxa"/>
            <w:tcBorders>
              <w:top w:val="single" w:sz="4" w:space="0" w:color="D9D9D9"/>
              <w:left w:val="single" w:sz="4" w:space="0" w:color="D9D9D9"/>
              <w:bottom w:val="single" w:sz="4" w:space="0" w:color="D9D9D9"/>
              <w:right w:val="single" w:sz="4" w:space="0" w:color="D9D9D9"/>
            </w:tcBorders>
            <w:shd w:val="clear" w:color="auto" w:fill="EEEEEE"/>
          </w:tcPr>
          <w:p w14:paraId="5788EF47" w14:textId="77777777" w:rsidR="00172353" w:rsidRDefault="00000000">
            <w:pPr>
              <w:spacing w:after="0" w:line="480" w:lineRule="auto"/>
            </w:pPr>
            <w:r>
              <w:rPr>
                <w:b/>
                <w:sz w:val="18"/>
              </w:rPr>
              <w:t>Study focus</w:t>
            </w:r>
          </w:p>
        </w:tc>
        <w:tc>
          <w:tcPr>
            <w:tcW w:w="3119" w:type="dxa"/>
            <w:tcBorders>
              <w:top w:val="single" w:sz="4" w:space="0" w:color="D9D9D9"/>
              <w:left w:val="single" w:sz="4" w:space="0" w:color="D9D9D9"/>
              <w:bottom w:val="single" w:sz="4" w:space="0" w:color="D9D9D9"/>
              <w:right w:val="single" w:sz="4" w:space="0" w:color="D9D9D9"/>
            </w:tcBorders>
            <w:shd w:val="clear" w:color="auto" w:fill="EEEEEE"/>
          </w:tcPr>
          <w:p w14:paraId="3B5059A0" w14:textId="77777777" w:rsidR="00172353" w:rsidRDefault="00000000">
            <w:pPr>
              <w:spacing w:after="0" w:line="480" w:lineRule="auto"/>
            </w:pPr>
            <w:r>
              <w:rPr>
                <w:b/>
                <w:sz w:val="18"/>
              </w:rPr>
              <w:t>Reported contribution</w:t>
            </w:r>
          </w:p>
        </w:tc>
        <w:tc>
          <w:tcPr>
            <w:tcW w:w="3201" w:type="dxa"/>
            <w:tcBorders>
              <w:top w:val="single" w:sz="4" w:space="0" w:color="D9D9D9"/>
              <w:left w:val="single" w:sz="4" w:space="0" w:color="D9D9D9"/>
              <w:bottom w:val="single" w:sz="4" w:space="0" w:color="D9D9D9"/>
              <w:right w:val="single" w:sz="4" w:space="0" w:color="D9D9D9"/>
            </w:tcBorders>
            <w:shd w:val="clear" w:color="auto" w:fill="EEEEEE"/>
          </w:tcPr>
          <w:p w14:paraId="148B1902" w14:textId="77777777" w:rsidR="00172353" w:rsidRDefault="00000000">
            <w:pPr>
              <w:spacing w:after="0" w:line="480" w:lineRule="auto"/>
            </w:pPr>
            <w:r>
              <w:rPr>
                <w:b/>
                <w:sz w:val="18"/>
              </w:rPr>
              <w:t>Transfer boundary</w:t>
            </w:r>
          </w:p>
        </w:tc>
      </w:tr>
      <w:tr w:rsidR="00172353" w14:paraId="66129A99" w14:textId="77777777">
        <w:trPr>
          <w:cantSplit/>
        </w:trPr>
        <w:tc>
          <w:tcPr>
            <w:tcW w:w="1888" w:type="dxa"/>
            <w:tcBorders>
              <w:top w:val="single" w:sz="4" w:space="0" w:color="D9D9D9"/>
              <w:left w:val="single" w:sz="4" w:space="0" w:color="D9D9D9"/>
              <w:bottom w:val="single" w:sz="4" w:space="0" w:color="D9D9D9"/>
              <w:right w:val="single" w:sz="4" w:space="0" w:color="D9D9D9"/>
            </w:tcBorders>
          </w:tcPr>
          <w:p w14:paraId="5708F718" w14:textId="77777777" w:rsidR="00172353" w:rsidRDefault="00000000">
            <w:pPr>
              <w:spacing w:after="0" w:line="480" w:lineRule="auto"/>
            </w:pPr>
            <w:r>
              <w:rPr>
                <w:sz w:val="18"/>
              </w:rPr>
              <w:t>Mechanism and modelling</w:t>
            </w:r>
          </w:p>
        </w:tc>
        <w:tc>
          <w:tcPr>
            <w:tcW w:w="3119" w:type="dxa"/>
            <w:tcBorders>
              <w:top w:val="single" w:sz="4" w:space="0" w:color="D9D9D9"/>
              <w:left w:val="single" w:sz="4" w:space="0" w:color="D9D9D9"/>
              <w:bottom w:val="single" w:sz="4" w:space="0" w:color="D9D9D9"/>
              <w:right w:val="single" w:sz="4" w:space="0" w:color="D9D9D9"/>
            </w:tcBorders>
          </w:tcPr>
          <w:p w14:paraId="0DFC453D" w14:textId="77777777" w:rsidR="00172353" w:rsidRDefault="00000000">
            <w:pPr>
              <w:spacing w:after="0" w:line="480" w:lineRule="auto"/>
            </w:pPr>
            <w:r>
              <w:rPr>
                <w:sz w:val="18"/>
              </w:rPr>
              <w:t>Buffer, surface and gate-related trapping mechanisms</w:t>
            </w:r>
          </w:p>
        </w:tc>
        <w:tc>
          <w:tcPr>
            <w:tcW w:w="3201" w:type="dxa"/>
            <w:tcBorders>
              <w:top w:val="single" w:sz="4" w:space="0" w:color="D9D9D9"/>
              <w:left w:val="single" w:sz="4" w:space="0" w:color="D9D9D9"/>
              <w:bottom w:val="single" w:sz="4" w:space="0" w:color="D9D9D9"/>
              <w:right w:val="single" w:sz="4" w:space="0" w:color="D9D9D9"/>
            </w:tcBorders>
          </w:tcPr>
          <w:p w14:paraId="21F8EFC2" w14:textId="77777777" w:rsidR="00172353" w:rsidRDefault="00000000">
            <w:pPr>
              <w:spacing w:after="0" w:line="480" w:lineRule="auto"/>
            </w:pPr>
            <w:r>
              <w:rPr>
                <w:sz w:val="18"/>
              </w:rPr>
              <w:t>Mechanism depends on device structure and bias history</w:t>
            </w:r>
          </w:p>
        </w:tc>
      </w:tr>
      <w:tr w:rsidR="00172353" w14:paraId="7B62BBE3" w14:textId="77777777">
        <w:trPr>
          <w:cantSplit/>
        </w:trPr>
        <w:tc>
          <w:tcPr>
            <w:tcW w:w="1888" w:type="dxa"/>
            <w:tcBorders>
              <w:top w:val="single" w:sz="4" w:space="0" w:color="D9D9D9"/>
              <w:left w:val="single" w:sz="4" w:space="0" w:color="D9D9D9"/>
              <w:bottom w:val="single" w:sz="4" w:space="0" w:color="D9D9D9"/>
              <w:right w:val="single" w:sz="4" w:space="0" w:color="D9D9D9"/>
            </w:tcBorders>
          </w:tcPr>
          <w:p w14:paraId="72C1D777" w14:textId="77777777" w:rsidR="00172353" w:rsidRDefault="00000000">
            <w:pPr>
              <w:spacing w:after="0" w:line="480" w:lineRule="auto"/>
            </w:pPr>
            <w:r>
              <w:rPr>
                <w:sz w:val="18"/>
              </w:rPr>
              <w:lastRenderedPageBreak/>
              <w:t>Double or multiple pulses</w:t>
            </w:r>
          </w:p>
        </w:tc>
        <w:tc>
          <w:tcPr>
            <w:tcW w:w="3119" w:type="dxa"/>
            <w:tcBorders>
              <w:top w:val="single" w:sz="4" w:space="0" w:color="D9D9D9"/>
              <w:left w:val="single" w:sz="4" w:space="0" w:color="D9D9D9"/>
              <w:bottom w:val="single" w:sz="4" w:space="0" w:color="D9D9D9"/>
              <w:right w:val="single" w:sz="4" w:space="0" w:color="D9D9D9"/>
            </w:tcBorders>
          </w:tcPr>
          <w:p w14:paraId="1173E20D" w14:textId="77777777" w:rsidR="00172353" w:rsidRDefault="00000000">
            <w:pPr>
              <w:spacing w:after="0" w:line="480" w:lineRule="auto"/>
            </w:pPr>
            <w:r>
              <w:rPr>
                <w:sz w:val="18"/>
              </w:rPr>
              <w:t>Resistance response to stress voltage, duration and sampling delay</w:t>
            </w:r>
          </w:p>
        </w:tc>
        <w:tc>
          <w:tcPr>
            <w:tcW w:w="3201" w:type="dxa"/>
            <w:tcBorders>
              <w:top w:val="single" w:sz="4" w:space="0" w:color="D9D9D9"/>
              <w:left w:val="single" w:sz="4" w:space="0" w:color="D9D9D9"/>
              <w:bottom w:val="single" w:sz="4" w:space="0" w:color="D9D9D9"/>
              <w:right w:val="single" w:sz="4" w:space="0" w:color="D9D9D9"/>
            </w:tcBorders>
          </w:tcPr>
          <w:p w14:paraId="25B3BCE7" w14:textId="77777777" w:rsidR="00172353" w:rsidRDefault="00000000">
            <w:pPr>
              <w:spacing w:after="0" w:line="480" w:lineRule="auto"/>
            </w:pPr>
            <w:r>
              <w:rPr>
                <w:sz w:val="18"/>
              </w:rPr>
              <w:t>Numerical ratio belongs to the tested device and fixture</w:t>
            </w:r>
          </w:p>
        </w:tc>
      </w:tr>
      <w:tr w:rsidR="00172353" w14:paraId="5847423A" w14:textId="77777777">
        <w:trPr>
          <w:cantSplit/>
        </w:trPr>
        <w:tc>
          <w:tcPr>
            <w:tcW w:w="1888" w:type="dxa"/>
            <w:tcBorders>
              <w:top w:val="single" w:sz="4" w:space="0" w:color="D9D9D9"/>
              <w:left w:val="single" w:sz="4" w:space="0" w:color="D9D9D9"/>
              <w:bottom w:val="single" w:sz="4" w:space="0" w:color="D9D9D9"/>
              <w:right w:val="single" w:sz="4" w:space="0" w:color="D9D9D9"/>
            </w:tcBorders>
          </w:tcPr>
          <w:p w14:paraId="15CEE8BB" w14:textId="77777777" w:rsidR="00172353" w:rsidRDefault="00000000">
            <w:pPr>
              <w:spacing w:after="0" w:line="480" w:lineRule="auto"/>
            </w:pPr>
            <w:r>
              <w:rPr>
                <w:sz w:val="18"/>
              </w:rPr>
              <w:t>Continuous high-frequency switching</w:t>
            </w:r>
          </w:p>
        </w:tc>
        <w:tc>
          <w:tcPr>
            <w:tcW w:w="3119" w:type="dxa"/>
            <w:tcBorders>
              <w:top w:val="single" w:sz="4" w:space="0" w:color="D9D9D9"/>
              <w:left w:val="single" w:sz="4" w:space="0" w:color="D9D9D9"/>
              <w:bottom w:val="single" w:sz="4" w:space="0" w:color="D9D9D9"/>
              <w:right w:val="single" w:sz="4" w:space="0" w:color="D9D9D9"/>
            </w:tcBorders>
          </w:tcPr>
          <w:p w14:paraId="3DC30BC0" w14:textId="77777777" w:rsidR="00172353" w:rsidRDefault="00000000">
            <w:pPr>
              <w:spacing w:after="0" w:line="480" w:lineRule="auto"/>
            </w:pPr>
            <w:r>
              <w:rPr>
                <w:sz w:val="18"/>
              </w:rPr>
              <w:t>Frequency and repetitive-history effects</w:t>
            </w:r>
          </w:p>
        </w:tc>
        <w:tc>
          <w:tcPr>
            <w:tcW w:w="3201" w:type="dxa"/>
            <w:tcBorders>
              <w:top w:val="single" w:sz="4" w:space="0" w:color="D9D9D9"/>
              <w:left w:val="single" w:sz="4" w:space="0" w:color="D9D9D9"/>
              <w:bottom w:val="single" w:sz="4" w:space="0" w:color="D9D9D9"/>
              <w:right w:val="single" w:sz="4" w:space="0" w:color="D9D9D9"/>
            </w:tcBorders>
          </w:tcPr>
          <w:p w14:paraId="7EA698F7" w14:textId="77777777" w:rsidR="00172353" w:rsidRDefault="00000000">
            <w:pPr>
              <w:spacing w:after="0" w:line="480" w:lineRule="auto"/>
            </w:pPr>
            <w:r>
              <w:rPr>
                <w:sz w:val="18"/>
              </w:rPr>
              <w:t>Duty, temperature and recovery must be reproduced</w:t>
            </w:r>
          </w:p>
        </w:tc>
      </w:tr>
      <w:tr w:rsidR="00172353" w14:paraId="690C6104" w14:textId="77777777">
        <w:trPr>
          <w:cantSplit/>
        </w:trPr>
        <w:tc>
          <w:tcPr>
            <w:tcW w:w="1888" w:type="dxa"/>
            <w:tcBorders>
              <w:top w:val="single" w:sz="4" w:space="0" w:color="D9D9D9"/>
              <w:left w:val="single" w:sz="4" w:space="0" w:color="D9D9D9"/>
              <w:bottom w:val="single" w:sz="4" w:space="0" w:color="D9D9D9"/>
              <w:right w:val="single" w:sz="4" w:space="0" w:color="D9D9D9"/>
            </w:tcBorders>
          </w:tcPr>
          <w:p w14:paraId="40C486B5" w14:textId="77777777" w:rsidR="00172353" w:rsidRDefault="00000000">
            <w:pPr>
              <w:spacing w:after="0" w:line="480" w:lineRule="auto"/>
            </w:pPr>
            <w:r>
              <w:rPr>
                <w:sz w:val="18"/>
              </w:rPr>
              <w:t xml:space="preserve">Trap </w:t>
            </w:r>
            <w:proofErr w:type="spellStart"/>
            <w:r>
              <w:rPr>
                <w:sz w:val="18"/>
              </w:rPr>
              <w:t>characterisation</w:t>
            </w:r>
            <w:proofErr w:type="spellEnd"/>
          </w:p>
        </w:tc>
        <w:tc>
          <w:tcPr>
            <w:tcW w:w="3119" w:type="dxa"/>
            <w:tcBorders>
              <w:top w:val="single" w:sz="4" w:space="0" w:color="D9D9D9"/>
              <w:left w:val="single" w:sz="4" w:space="0" w:color="D9D9D9"/>
              <w:bottom w:val="single" w:sz="4" w:space="0" w:color="D9D9D9"/>
              <w:right w:val="single" w:sz="4" w:space="0" w:color="D9D9D9"/>
            </w:tcBorders>
          </w:tcPr>
          <w:p w14:paraId="4E70AD36" w14:textId="77777777" w:rsidR="00172353" w:rsidRDefault="00000000">
            <w:pPr>
              <w:spacing w:after="0" w:line="480" w:lineRule="auto"/>
            </w:pPr>
            <w:r>
              <w:rPr>
                <w:sz w:val="18"/>
              </w:rPr>
              <w:t>Locations, energy ranges and measurement scopes</w:t>
            </w:r>
          </w:p>
        </w:tc>
        <w:tc>
          <w:tcPr>
            <w:tcW w:w="3201" w:type="dxa"/>
            <w:tcBorders>
              <w:top w:val="single" w:sz="4" w:space="0" w:color="D9D9D9"/>
              <w:left w:val="single" w:sz="4" w:space="0" w:color="D9D9D9"/>
              <w:bottom w:val="single" w:sz="4" w:space="0" w:color="D9D9D9"/>
              <w:right w:val="single" w:sz="4" w:space="0" w:color="D9D9D9"/>
            </w:tcBorders>
          </w:tcPr>
          <w:p w14:paraId="53B1DA31" w14:textId="77777777" w:rsidR="00172353" w:rsidRDefault="00000000">
            <w:pPr>
              <w:spacing w:after="0" w:line="480" w:lineRule="auto"/>
            </w:pPr>
            <w:r>
              <w:rPr>
                <w:sz w:val="18"/>
              </w:rPr>
              <w:t>A terminal transient does not uniquely identify one trap</w:t>
            </w:r>
          </w:p>
        </w:tc>
      </w:tr>
      <w:tr w:rsidR="00172353" w14:paraId="1E0B31C0" w14:textId="77777777">
        <w:trPr>
          <w:cantSplit/>
        </w:trPr>
        <w:tc>
          <w:tcPr>
            <w:tcW w:w="1888" w:type="dxa"/>
            <w:tcBorders>
              <w:top w:val="single" w:sz="4" w:space="0" w:color="D9D9D9"/>
              <w:left w:val="single" w:sz="4" w:space="0" w:color="D9D9D9"/>
              <w:bottom w:val="single" w:sz="4" w:space="0" w:color="D9D9D9"/>
              <w:right w:val="single" w:sz="4" w:space="0" w:color="D9D9D9"/>
            </w:tcBorders>
          </w:tcPr>
          <w:p w14:paraId="1AF2C0C7" w14:textId="77777777" w:rsidR="00172353" w:rsidRDefault="00000000">
            <w:pPr>
              <w:spacing w:after="0" w:line="480" w:lineRule="auto"/>
            </w:pPr>
            <w:r>
              <w:rPr>
                <w:sz w:val="18"/>
              </w:rPr>
              <w:t>Converter loss interpretation</w:t>
            </w:r>
          </w:p>
        </w:tc>
        <w:tc>
          <w:tcPr>
            <w:tcW w:w="3119" w:type="dxa"/>
            <w:tcBorders>
              <w:top w:val="single" w:sz="4" w:space="0" w:color="D9D9D9"/>
              <w:left w:val="single" w:sz="4" w:space="0" w:color="D9D9D9"/>
              <w:bottom w:val="single" w:sz="4" w:space="0" w:color="D9D9D9"/>
              <w:right w:val="single" w:sz="4" w:space="0" w:color="D9D9D9"/>
            </w:tcBorders>
          </w:tcPr>
          <w:p w14:paraId="6DDA6277" w14:textId="77777777" w:rsidR="00172353" w:rsidRDefault="00000000">
            <w:pPr>
              <w:spacing w:after="0" w:line="480" w:lineRule="auto"/>
            </w:pPr>
            <w:r>
              <w:rPr>
                <w:sz w:val="18"/>
              </w:rPr>
              <w:t>Current-weighted use of dynamic resistance</w:t>
            </w:r>
          </w:p>
        </w:tc>
        <w:tc>
          <w:tcPr>
            <w:tcW w:w="3201" w:type="dxa"/>
            <w:tcBorders>
              <w:top w:val="single" w:sz="4" w:space="0" w:color="D9D9D9"/>
              <w:left w:val="single" w:sz="4" w:space="0" w:color="D9D9D9"/>
              <w:bottom w:val="single" w:sz="4" w:space="0" w:color="D9D9D9"/>
              <w:right w:val="single" w:sz="4" w:space="0" w:color="D9D9D9"/>
            </w:tcBorders>
          </w:tcPr>
          <w:p w14:paraId="6E0056B4" w14:textId="77777777" w:rsidR="00172353" w:rsidRDefault="00000000">
            <w:pPr>
              <w:spacing w:after="0" w:line="480" w:lineRule="auto"/>
            </w:pPr>
            <w:r>
              <w:rPr>
                <w:sz w:val="18"/>
              </w:rPr>
              <w:t>Static data-sheet resistance is insufficient for dynamic duty</w:t>
            </w:r>
          </w:p>
        </w:tc>
      </w:tr>
    </w:tbl>
    <w:p w14:paraId="2E805E0E" w14:textId="77777777" w:rsidR="00172353" w:rsidRDefault="00000000">
      <w:pPr>
        <w:pStyle w:val="Body"/>
      </w:pPr>
      <w:r>
        <w:t>Table 2 links the engineering decision to the evidence needed to support it. These are qualitative design considerations, not new experimental results.</w:t>
      </w:r>
    </w:p>
    <w:p w14:paraId="0DA5079F" w14:textId="77777777" w:rsidR="00172353" w:rsidRDefault="00000000">
      <w:pPr>
        <w:pStyle w:val="Caption1"/>
        <w:keepNext/>
      </w:pPr>
      <w:r>
        <w:t>Table 2. Recommended reporting fields for a dynamic-resistance result</w:t>
      </w:r>
    </w:p>
    <w:tbl>
      <w:tblPr>
        <w:tblW w:w="0" w:type="auto"/>
        <w:tblLayout w:type="fixed"/>
        <w:tblLook w:val="04A0" w:firstRow="1" w:lastRow="0" w:firstColumn="1" w:lastColumn="0" w:noHBand="0" w:noVBand="1"/>
      </w:tblPr>
      <w:tblGrid>
        <w:gridCol w:w="1888"/>
        <w:gridCol w:w="3119"/>
        <w:gridCol w:w="3201"/>
      </w:tblGrid>
      <w:tr w:rsidR="00172353" w14:paraId="0222ACF4" w14:textId="77777777">
        <w:trPr>
          <w:cantSplit/>
          <w:tblHeader/>
        </w:trPr>
        <w:tc>
          <w:tcPr>
            <w:tcW w:w="1888" w:type="dxa"/>
            <w:tcBorders>
              <w:top w:val="single" w:sz="4" w:space="0" w:color="D9D9D9"/>
              <w:left w:val="single" w:sz="4" w:space="0" w:color="D9D9D9"/>
              <w:bottom w:val="single" w:sz="4" w:space="0" w:color="D9D9D9"/>
              <w:right w:val="single" w:sz="4" w:space="0" w:color="D9D9D9"/>
            </w:tcBorders>
            <w:shd w:val="clear" w:color="auto" w:fill="EEEEEE"/>
          </w:tcPr>
          <w:p w14:paraId="0F220BA6" w14:textId="77777777" w:rsidR="00172353" w:rsidRDefault="00000000">
            <w:pPr>
              <w:spacing w:after="0" w:line="480" w:lineRule="auto"/>
            </w:pPr>
            <w:r>
              <w:rPr>
                <w:b/>
                <w:sz w:val="18"/>
              </w:rPr>
              <w:t>Field</w:t>
            </w:r>
          </w:p>
        </w:tc>
        <w:tc>
          <w:tcPr>
            <w:tcW w:w="3119" w:type="dxa"/>
            <w:tcBorders>
              <w:top w:val="single" w:sz="4" w:space="0" w:color="D9D9D9"/>
              <w:left w:val="single" w:sz="4" w:space="0" w:color="D9D9D9"/>
              <w:bottom w:val="single" w:sz="4" w:space="0" w:color="D9D9D9"/>
              <w:right w:val="single" w:sz="4" w:space="0" w:color="D9D9D9"/>
            </w:tcBorders>
            <w:shd w:val="clear" w:color="auto" w:fill="EEEEEE"/>
          </w:tcPr>
          <w:p w14:paraId="28258B37" w14:textId="77777777" w:rsidR="00172353" w:rsidRDefault="00000000">
            <w:pPr>
              <w:spacing w:after="0" w:line="480" w:lineRule="auto"/>
            </w:pPr>
            <w:r>
              <w:rPr>
                <w:b/>
                <w:sz w:val="18"/>
              </w:rPr>
              <w:t>Example reporting requirement</w:t>
            </w:r>
          </w:p>
        </w:tc>
        <w:tc>
          <w:tcPr>
            <w:tcW w:w="3201" w:type="dxa"/>
            <w:tcBorders>
              <w:top w:val="single" w:sz="4" w:space="0" w:color="D9D9D9"/>
              <w:left w:val="single" w:sz="4" w:space="0" w:color="D9D9D9"/>
              <w:bottom w:val="single" w:sz="4" w:space="0" w:color="D9D9D9"/>
              <w:right w:val="single" w:sz="4" w:space="0" w:color="D9D9D9"/>
            </w:tcBorders>
            <w:shd w:val="clear" w:color="auto" w:fill="EEEEEE"/>
          </w:tcPr>
          <w:p w14:paraId="435A8164" w14:textId="77777777" w:rsidR="00172353" w:rsidRDefault="00000000">
            <w:pPr>
              <w:spacing w:after="0" w:line="480" w:lineRule="auto"/>
            </w:pPr>
            <w:r>
              <w:rPr>
                <w:b/>
                <w:sz w:val="18"/>
              </w:rPr>
              <w:t>Reason</w:t>
            </w:r>
          </w:p>
        </w:tc>
      </w:tr>
      <w:tr w:rsidR="00172353" w14:paraId="34EB2A76" w14:textId="77777777">
        <w:trPr>
          <w:cantSplit/>
        </w:trPr>
        <w:tc>
          <w:tcPr>
            <w:tcW w:w="1888" w:type="dxa"/>
            <w:tcBorders>
              <w:top w:val="single" w:sz="4" w:space="0" w:color="D9D9D9"/>
              <w:left w:val="single" w:sz="4" w:space="0" w:color="D9D9D9"/>
              <w:bottom w:val="single" w:sz="4" w:space="0" w:color="D9D9D9"/>
              <w:right w:val="single" w:sz="4" w:space="0" w:color="D9D9D9"/>
            </w:tcBorders>
          </w:tcPr>
          <w:p w14:paraId="0751B508" w14:textId="77777777" w:rsidR="00172353" w:rsidRDefault="00000000">
            <w:pPr>
              <w:spacing w:after="0" w:line="480" w:lineRule="auto"/>
            </w:pPr>
            <w:r>
              <w:rPr>
                <w:sz w:val="18"/>
              </w:rPr>
              <w:t>Device</w:t>
            </w:r>
          </w:p>
        </w:tc>
        <w:tc>
          <w:tcPr>
            <w:tcW w:w="3119" w:type="dxa"/>
            <w:tcBorders>
              <w:top w:val="single" w:sz="4" w:space="0" w:color="D9D9D9"/>
              <w:left w:val="single" w:sz="4" w:space="0" w:color="D9D9D9"/>
              <w:bottom w:val="single" w:sz="4" w:space="0" w:color="D9D9D9"/>
              <w:right w:val="single" w:sz="4" w:space="0" w:color="D9D9D9"/>
            </w:tcBorders>
          </w:tcPr>
          <w:p w14:paraId="649AA3B6" w14:textId="77777777" w:rsidR="00172353" w:rsidRDefault="00000000">
            <w:pPr>
              <w:spacing w:after="0" w:line="480" w:lineRule="auto"/>
            </w:pPr>
            <w:r>
              <w:rPr>
                <w:sz w:val="18"/>
              </w:rPr>
              <w:t>Part number, voltage class, structure and package</w:t>
            </w:r>
          </w:p>
        </w:tc>
        <w:tc>
          <w:tcPr>
            <w:tcW w:w="3201" w:type="dxa"/>
            <w:tcBorders>
              <w:top w:val="single" w:sz="4" w:space="0" w:color="D9D9D9"/>
              <w:left w:val="single" w:sz="4" w:space="0" w:color="D9D9D9"/>
              <w:bottom w:val="single" w:sz="4" w:space="0" w:color="D9D9D9"/>
              <w:right w:val="single" w:sz="4" w:space="0" w:color="D9D9D9"/>
            </w:tcBorders>
          </w:tcPr>
          <w:p w14:paraId="1B87699B" w14:textId="77777777" w:rsidR="00172353" w:rsidRDefault="00000000">
            <w:pPr>
              <w:spacing w:after="0" w:line="480" w:lineRule="auto"/>
            </w:pPr>
            <w:r>
              <w:rPr>
                <w:sz w:val="18"/>
              </w:rPr>
              <w:t>Separates technologies and parasitic paths</w:t>
            </w:r>
          </w:p>
        </w:tc>
      </w:tr>
      <w:tr w:rsidR="00172353" w14:paraId="2CF75C66" w14:textId="77777777">
        <w:trPr>
          <w:cantSplit/>
        </w:trPr>
        <w:tc>
          <w:tcPr>
            <w:tcW w:w="1888" w:type="dxa"/>
            <w:tcBorders>
              <w:top w:val="single" w:sz="4" w:space="0" w:color="D9D9D9"/>
              <w:left w:val="single" w:sz="4" w:space="0" w:color="D9D9D9"/>
              <w:bottom w:val="single" w:sz="4" w:space="0" w:color="D9D9D9"/>
              <w:right w:val="single" w:sz="4" w:space="0" w:color="D9D9D9"/>
            </w:tcBorders>
          </w:tcPr>
          <w:p w14:paraId="3CC8D1D3" w14:textId="77777777" w:rsidR="00172353" w:rsidRDefault="00000000">
            <w:pPr>
              <w:spacing w:after="0" w:line="480" w:lineRule="auto"/>
            </w:pPr>
            <w:r>
              <w:rPr>
                <w:sz w:val="18"/>
              </w:rPr>
              <w:t>Stress</w:t>
            </w:r>
          </w:p>
        </w:tc>
        <w:tc>
          <w:tcPr>
            <w:tcW w:w="3119" w:type="dxa"/>
            <w:tcBorders>
              <w:top w:val="single" w:sz="4" w:space="0" w:color="D9D9D9"/>
              <w:left w:val="single" w:sz="4" w:space="0" w:color="D9D9D9"/>
              <w:bottom w:val="single" w:sz="4" w:space="0" w:color="D9D9D9"/>
              <w:right w:val="single" w:sz="4" w:space="0" w:color="D9D9D9"/>
            </w:tcBorders>
          </w:tcPr>
          <w:p w14:paraId="7F266723" w14:textId="77777777" w:rsidR="00172353" w:rsidRDefault="00000000">
            <w:pPr>
              <w:spacing w:after="0" w:line="480" w:lineRule="auto"/>
            </w:pPr>
            <w:r>
              <w:rPr>
                <w:sz w:val="18"/>
              </w:rPr>
              <w:t>Drain and gate bias, duration, temperature and switching mode</w:t>
            </w:r>
          </w:p>
        </w:tc>
        <w:tc>
          <w:tcPr>
            <w:tcW w:w="3201" w:type="dxa"/>
            <w:tcBorders>
              <w:top w:val="single" w:sz="4" w:space="0" w:color="D9D9D9"/>
              <w:left w:val="single" w:sz="4" w:space="0" w:color="D9D9D9"/>
              <w:bottom w:val="single" w:sz="4" w:space="0" w:color="D9D9D9"/>
              <w:right w:val="single" w:sz="4" w:space="0" w:color="D9D9D9"/>
            </w:tcBorders>
          </w:tcPr>
          <w:p w14:paraId="7F4FA199" w14:textId="77777777" w:rsidR="00172353" w:rsidRDefault="00000000">
            <w:pPr>
              <w:spacing w:after="0" w:line="480" w:lineRule="auto"/>
            </w:pPr>
            <w:r>
              <w:rPr>
                <w:sz w:val="18"/>
              </w:rPr>
              <w:t>Defines charge history</w:t>
            </w:r>
          </w:p>
        </w:tc>
      </w:tr>
      <w:tr w:rsidR="00172353" w14:paraId="02942528" w14:textId="77777777">
        <w:trPr>
          <w:cantSplit/>
        </w:trPr>
        <w:tc>
          <w:tcPr>
            <w:tcW w:w="1888" w:type="dxa"/>
            <w:tcBorders>
              <w:top w:val="single" w:sz="4" w:space="0" w:color="D9D9D9"/>
              <w:left w:val="single" w:sz="4" w:space="0" w:color="D9D9D9"/>
              <w:bottom w:val="single" w:sz="4" w:space="0" w:color="D9D9D9"/>
              <w:right w:val="single" w:sz="4" w:space="0" w:color="D9D9D9"/>
            </w:tcBorders>
          </w:tcPr>
          <w:p w14:paraId="28A08B99" w14:textId="77777777" w:rsidR="00172353" w:rsidRDefault="00000000">
            <w:pPr>
              <w:spacing w:after="0" w:line="480" w:lineRule="auto"/>
            </w:pPr>
            <w:r>
              <w:rPr>
                <w:sz w:val="18"/>
              </w:rPr>
              <w:t>Measurement</w:t>
            </w:r>
          </w:p>
        </w:tc>
        <w:tc>
          <w:tcPr>
            <w:tcW w:w="3119" w:type="dxa"/>
            <w:tcBorders>
              <w:top w:val="single" w:sz="4" w:space="0" w:color="D9D9D9"/>
              <w:left w:val="single" w:sz="4" w:space="0" w:color="D9D9D9"/>
              <w:bottom w:val="single" w:sz="4" w:space="0" w:color="D9D9D9"/>
              <w:right w:val="single" w:sz="4" w:space="0" w:color="D9D9D9"/>
            </w:tcBorders>
          </w:tcPr>
          <w:p w14:paraId="32183E8E" w14:textId="77777777" w:rsidR="00172353" w:rsidRDefault="00000000">
            <w:pPr>
              <w:spacing w:after="0" w:line="480" w:lineRule="auto"/>
            </w:pPr>
            <w:r>
              <w:rPr>
                <w:sz w:val="18"/>
              </w:rPr>
              <w:t xml:space="preserve">VDS and ID references, bandwidth, </w:t>
            </w:r>
            <w:proofErr w:type="spellStart"/>
            <w:r>
              <w:rPr>
                <w:sz w:val="18"/>
              </w:rPr>
              <w:t>deskew</w:t>
            </w:r>
            <w:proofErr w:type="spellEnd"/>
            <w:r>
              <w:rPr>
                <w:sz w:val="18"/>
              </w:rPr>
              <w:t xml:space="preserve"> and clamp </w:t>
            </w:r>
            <w:proofErr w:type="spellStart"/>
            <w:r>
              <w:rPr>
                <w:sz w:val="18"/>
              </w:rPr>
              <w:t>behaviour</w:t>
            </w:r>
            <w:proofErr w:type="spellEnd"/>
          </w:p>
        </w:tc>
        <w:tc>
          <w:tcPr>
            <w:tcW w:w="3201" w:type="dxa"/>
            <w:tcBorders>
              <w:top w:val="single" w:sz="4" w:space="0" w:color="D9D9D9"/>
              <w:left w:val="single" w:sz="4" w:space="0" w:color="D9D9D9"/>
              <w:bottom w:val="single" w:sz="4" w:space="0" w:color="D9D9D9"/>
              <w:right w:val="single" w:sz="4" w:space="0" w:color="D9D9D9"/>
            </w:tcBorders>
          </w:tcPr>
          <w:p w14:paraId="67249C7C" w14:textId="77777777" w:rsidR="00172353" w:rsidRDefault="00000000">
            <w:pPr>
              <w:spacing w:after="0" w:line="480" w:lineRule="auto"/>
            </w:pPr>
            <w:r>
              <w:rPr>
                <w:sz w:val="18"/>
              </w:rPr>
              <w:t>Controls ratio error</w:t>
            </w:r>
          </w:p>
        </w:tc>
      </w:tr>
      <w:tr w:rsidR="00172353" w14:paraId="7774F4DB" w14:textId="77777777">
        <w:trPr>
          <w:cantSplit/>
        </w:trPr>
        <w:tc>
          <w:tcPr>
            <w:tcW w:w="1888" w:type="dxa"/>
            <w:tcBorders>
              <w:top w:val="single" w:sz="4" w:space="0" w:color="D9D9D9"/>
              <w:left w:val="single" w:sz="4" w:space="0" w:color="D9D9D9"/>
              <w:bottom w:val="single" w:sz="4" w:space="0" w:color="D9D9D9"/>
              <w:right w:val="single" w:sz="4" w:space="0" w:color="D9D9D9"/>
            </w:tcBorders>
          </w:tcPr>
          <w:p w14:paraId="0862166C" w14:textId="77777777" w:rsidR="00172353" w:rsidRDefault="00000000">
            <w:pPr>
              <w:spacing w:after="0" w:line="480" w:lineRule="auto"/>
            </w:pPr>
            <w:r>
              <w:rPr>
                <w:sz w:val="18"/>
              </w:rPr>
              <w:t>Timing</w:t>
            </w:r>
          </w:p>
        </w:tc>
        <w:tc>
          <w:tcPr>
            <w:tcW w:w="3119" w:type="dxa"/>
            <w:tcBorders>
              <w:top w:val="single" w:sz="4" w:space="0" w:color="D9D9D9"/>
              <w:left w:val="single" w:sz="4" w:space="0" w:color="D9D9D9"/>
              <w:bottom w:val="single" w:sz="4" w:space="0" w:color="D9D9D9"/>
              <w:right w:val="single" w:sz="4" w:space="0" w:color="D9D9D9"/>
            </w:tcBorders>
          </w:tcPr>
          <w:p w14:paraId="3602EB21" w14:textId="77777777" w:rsidR="00172353" w:rsidRDefault="00000000">
            <w:pPr>
              <w:spacing w:after="0" w:line="480" w:lineRule="auto"/>
            </w:pPr>
            <w:r>
              <w:rPr>
                <w:sz w:val="18"/>
              </w:rPr>
              <w:t>Sampling delay and recovery interval</w:t>
            </w:r>
          </w:p>
        </w:tc>
        <w:tc>
          <w:tcPr>
            <w:tcW w:w="3201" w:type="dxa"/>
            <w:tcBorders>
              <w:top w:val="single" w:sz="4" w:space="0" w:color="D9D9D9"/>
              <w:left w:val="single" w:sz="4" w:space="0" w:color="D9D9D9"/>
              <w:bottom w:val="single" w:sz="4" w:space="0" w:color="D9D9D9"/>
              <w:right w:val="single" w:sz="4" w:space="0" w:color="D9D9D9"/>
            </w:tcBorders>
          </w:tcPr>
          <w:p w14:paraId="29031CCF" w14:textId="77777777" w:rsidR="00172353" w:rsidRDefault="00000000">
            <w:pPr>
              <w:spacing w:after="0" w:line="480" w:lineRule="auto"/>
            </w:pPr>
            <w:r>
              <w:rPr>
                <w:sz w:val="18"/>
              </w:rPr>
              <w:t>Determines which state is reported</w:t>
            </w:r>
          </w:p>
        </w:tc>
      </w:tr>
      <w:tr w:rsidR="00172353" w14:paraId="47272692" w14:textId="77777777">
        <w:trPr>
          <w:cantSplit/>
        </w:trPr>
        <w:tc>
          <w:tcPr>
            <w:tcW w:w="1888" w:type="dxa"/>
            <w:tcBorders>
              <w:top w:val="single" w:sz="4" w:space="0" w:color="D9D9D9"/>
              <w:left w:val="single" w:sz="4" w:space="0" w:color="D9D9D9"/>
              <w:bottom w:val="single" w:sz="4" w:space="0" w:color="D9D9D9"/>
              <w:right w:val="single" w:sz="4" w:space="0" w:color="D9D9D9"/>
            </w:tcBorders>
          </w:tcPr>
          <w:p w14:paraId="5CE27695" w14:textId="77777777" w:rsidR="00172353" w:rsidRDefault="00000000">
            <w:pPr>
              <w:spacing w:after="0" w:line="480" w:lineRule="auto"/>
            </w:pPr>
            <w:r>
              <w:rPr>
                <w:sz w:val="18"/>
              </w:rPr>
              <w:t>Model use</w:t>
            </w:r>
          </w:p>
        </w:tc>
        <w:tc>
          <w:tcPr>
            <w:tcW w:w="3119" w:type="dxa"/>
            <w:tcBorders>
              <w:top w:val="single" w:sz="4" w:space="0" w:color="D9D9D9"/>
              <w:left w:val="single" w:sz="4" w:space="0" w:color="D9D9D9"/>
              <w:bottom w:val="single" w:sz="4" w:space="0" w:color="D9D9D9"/>
              <w:right w:val="single" w:sz="4" w:space="0" w:color="D9D9D9"/>
            </w:tcBorders>
          </w:tcPr>
          <w:p w14:paraId="76EC2A3C" w14:textId="77777777" w:rsidR="00172353" w:rsidRDefault="00000000">
            <w:pPr>
              <w:spacing w:after="0" w:line="480" w:lineRule="auto"/>
            </w:pPr>
            <w:r>
              <w:rPr>
                <w:sz w:val="18"/>
              </w:rPr>
              <w:t>Current waveform, interpolation and uncertainty</w:t>
            </w:r>
          </w:p>
        </w:tc>
        <w:tc>
          <w:tcPr>
            <w:tcW w:w="3201" w:type="dxa"/>
            <w:tcBorders>
              <w:top w:val="single" w:sz="4" w:space="0" w:color="D9D9D9"/>
              <w:left w:val="single" w:sz="4" w:space="0" w:color="D9D9D9"/>
              <w:bottom w:val="single" w:sz="4" w:space="0" w:color="D9D9D9"/>
              <w:right w:val="single" w:sz="4" w:space="0" w:color="D9D9D9"/>
            </w:tcBorders>
          </w:tcPr>
          <w:p w14:paraId="5D1D4684" w14:textId="77777777" w:rsidR="00172353" w:rsidRDefault="00000000">
            <w:pPr>
              <w:spacing w:after="0" w:line="480" w:lineRule="auto"/>
            </w:pPr>
            <w:r>
              <w:rPr>
                <w:sz w:val="18"/>
              </w:rPr>
              <w:t>Prevents unsupported loss extrapolation</w:t>
            </w:r>
          </w:p>
        </w:tc>
      </w:tr>
    </w:tbl>
    <w:p w14:paraId="43FF891A" w14:textId="77777777" w:rsidR="00172353" w:rsidRDefault="00000000">
      <w:pPr>
        <w:pStyle w:val="Body"/>
      </w:pPr>
      <w:r>
        <w:t>Fig. 2 brings these considerations together as a conceptual assessment framework.</w:t>
      </w:r>
    </w:p>
    <w:p w14:paraId="3D3B9106" w14:textId="77777777" w:rsidR="00172353" w:rsidRDefault="00000000">
      <w:pPr>
        <w:keepNext/>
        <w:jc w:val="center"/>
      </w:pPr>
      <w:r>
        <w:rPr>
          <w:noProof/>
        </w:rPr>
        <w:lastRenderedPageBreak/>
        <w:drawing>
          <wp:inline distT="0" distB="0" distL="0" distR="0" wp14:anchorId="0C754E6E" wp14:editId="0B4E8BF5">
            <wp:extent cx="5212080" cy="183619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n_2.png"/>
                    <pic:cNvPicPr/>
                  </pic:nvPicPr>
                  <pic:blipFill>
                    <a:blip r:embed="rId9"/>
                    <a:stretch>
                      <a:fillRect/>
                    </a:stretch>
                  </pic:blipFill>
                  <pic:spPr>
                    <a:xfrm>
                      <a:off x="0" y="0"/>
                      <a:ext cx="5212080" cy="1836192"/>
                    </a:xfrm>
                    <a:prstGeom prst="rect">
                      <a:avLst/>
                    </a:prstGeom>
                  </pic:spPr>
                </pic:pic>
              </a:graphicData>
            </a:graphic>
          </wp:inline>
        </w:drawing>
      </w:r>
    </w:p>
    <w:p w14:paraId="31376035" w14:textId="77777777" w:rsidR="00172353" w:rsidRDefault="00000000">
      <w:pPr>
        <w:pStyle w:val="Caption1"/>
      </w:pPr>
      <w:r>
        <w:t>Fig. 2. Connection between possible charge-trapping locations, terminal observations and converter-loss interpretation. A measured ratio alone does not uniquely identify a trap mechanism. Original conceptual schematic; no experimental or simulated performance data are plotted.</w:t>
      </w:r>
    </w:p>
    <w:p w14:paraId="3472A09B" w14:textId="77777777" w:rsidR="00172353" w:rsidRDefault="00000000">
      <w:pPr>
        <w:pStyle w:val="Heading1"/>
      </w:pPr>
      <w:r>
        <w:t>7. LIMITATIONS AND DIRECTIONS</w:t>
      </w:r>
    </w:p>
    <w:p w14:paraId="2C881B7F" w14:textId="77777777" w:rsidR="00172353" w:rsidRDefault="00000000">
      <w:pPr>
        <w:pStyle w:val="Body"/>
      </w:pPr>
      <w:r>
        <w:t xml:space="preserve">The literature lacks a single measurement representing every mission profile. Commercial devices differ in buffer design, gate structure, package </w:t>
      </w:r>
      <w:proofErr w:type="spellStart"/>
      <w:r>
        <w:t>parasitics</w:t>
      </w:r>
      <w:proofErr w:type="spellEnd"/>
      <w:r>
        <w:t xml:space="preserve"> and qualification history. A useful direction is a protocol combining steady-state switching, controlled recovery intervals and thermal tracking.</w:t>
      </w:r>
    </w:p>
    <w:p w14:paraId="7C93B205" w14:textId="77777777" w:rsidR="00172353" w:rsidRDefault="00000000">
      <w:pPr>
        <w:pStyle w:val="Body"/>
      </w:pPr>
      <w:r>
        <w:t>This review does not assign a universal dynamic-resistance penalty. Ratios belong to the tested device and method.</w:t>
      </w:r>
    </w:p>
    <w:p w14:paraId="492176AE" w14:textId="77777777" w:rsidR="00172353" w:rsidRDefault="00000000">
      <w:pPr>
        <w:pStyle w:val="Body"/>
      </w:pPr>
      <w:r>
        <w:t>Published dynamic-RON values are difficult to compare because commercial devices differ in epitaxy, buffer design, gate structure, package and test fixture. Even when two studies use a nominally similar voltage class, their stress history and sampling definition may be different. A literature review can identify mechanisms and protocol requirements, but it cannot create a universal penalty from non-identical tests.</w:t>
      </w:r>
    </w:p>
    <w:p w14:paraId="23D2DDA2" w14:textId="77777777" w:rsidR="00172353" w:rsidRDefault="00000000">
      <w:pPr>
        <w:pStyle w:val="Body"/>
      </w:pPr>
      <w:r>
        <w:t>Future work should combine transient electrical measurement with thermal tracking and trap-aware compact models. A useful compact model would retain a small number of state variables for charge occupancy and recovery, while remaining simple enough to run inside a converter simulation. Such a model could connect device qualification data to control and lifetime studies.</w:t>
      </w:r>
    </w:p>
    <w:p w14:paraId="6B8D6352" w14:textId="77777777" w:rsidR="00172353" w:rsidRDefault="00000000">
      <w:pPr>
        <w:pStyle w:val="Body"/>
      </w:pPr>
      <w:r>
        <w:t>Automotive and renewable-energy applications also require mission-profile testing rather than isolated laboratory pulses. Temperature cycling, variable load, long dwell periods and protection events can produce histories that are absent from a regular double-pulse test. Reporting these histories would make dynamic-RON data more valuable for system designers.</w:t>
      </w:r>
    </w:p>
    <w:p w14:paraId="2A2827F8" w14:textId="77777777" w:rsidR="00172353" w:rsidRDefault="00000000">
      <w:pPr>
        <w:pStyle w:val="Heading21"/>
      </w:pPr>
      <w:r>
        <w:t>7.1 A more discriminating benchmark for future studies</w:t>
      </w:r>
    </w:p>
    <w:p w14:paraId="61920D37" w14:textId="77777777" w:rsidR="00172353" w:rsidRDefault="00000000">
      <w:pPr>
        <w:pStyle w:val="Body"/>
      </w:pPr>
      <w:r>
        <w:t xml:space="preserve">Future studies would benefit from reporting a compact set of complementary histories rather than a single headline ratio. A prepared first-pulse condition </w:t>
      </w:r>
      <w:proofErr w:type="spellStart"/>
      <w:r>
        <w:t>characterises</w:t>
      </w:r>
      <w:proofErr w:type="spellEnd"/>
      <w:r>
        <w:t xml:space="preserve"> recovery from a stated rest state. A repetitive sequence </w:t>
      </w:r>
      <w:proofErr w:type="spellStart"/>
      <w:r>
        <w:t>characterises</w:t>
      </w:r>
      <w:proofErr w:type="spellEnd"/>
      <w:r>
        <w:t xml:space="preserve"> periodic operation. A burst sequence tests transitions between long rest and rapid switching. A temperature sweep separates </w:t>
      </w:r>
      <w:r>
        <w:lastRenderedPageBreak/>
        <w:t>thermal and kinetic influences. Forward and reverse measurements address bridge operation. These histories do not constitute a universal standard, but they expose different weaknesses in a proposed model. A model that predicts all of them without refitting has stronger evidence of transferability than one matched to a single pulse.</w:t>
      </w:r>
    </w:p>
    <w:p w14:paraId="3B11D2B1" w14:textId="77777777" w:rsidR="00172353" w:rsidRDefault="00000000">
      <w:pPr>
        <w:pStyle w:val="Body"/>
      </w:pPr>
      <w:r>
        <w:t xml:space="preserve">Validation should also separate device variation from instrument repeatability. Repeating the same measurement on one specimen </w:t>
      </w:r>
      <w:proofErr w:type="spellStart"/>
      <w:r>
        <w:t>characterises</w:t>
      </w:r>
      <w:proofErr w:type="spellEnd"/>
      <w:r>
        <w:t xml:space="preserve"> part of the measurement uncertainty. Testing several specimens reveals manufacturing variation, while repeating after stress probes stability. These are distinct distributions and should not be collapsed into one error bar without explanation. Reported uncertainty should state the population represented. When only one device is available, the resulting limitation should be acknowledged directly rather than implying a technology-wide conclusion. This makes modest but carefully controlled studies more useful than broader claims supported by limited specimens.</w:t>
      </w:r>
    </w:p>
    <w:p w14:paraId="35CCB6BB" w14:textId="77777777" w:rsidR="00172353" w:rsidRDefault="00000000">
      <w:pPr>
        <w:pStyle w:val="Body"/>
      </w:pPr>
      <w:r>
        <w:t xml:space="preserve">For compact models, the central challenge is balancing identifiable parameters with useful predictive </w:t>
      </w:r>
      <w:proofErr w:type="spellStart"/>
      <w:r>
        <w:t>behaviour</w:t>
      </w:r>
      <w:proofErr w:type="spellEnd"/>
      <w:r>
        <w:t xml:space="preserve">. Adding many trap states can improve a fit while making parameter extraction ambiguous. A smaller model with explicit validity limits may be more useful in circuit simulation. Model evaluation should include an unseen stress sequence, the recovery trajectory and sensitivity to temperature. Computational cost should be measured in the intended simulation context. These reporting choices would connect semiconductor </w:t>
      </w:r>
      <w:proofErr w:type="spellStart"/>
      <w:r>
        <w:t>characterisation</w:t>
      </w:r>
      <w:proofErr w:type="spellEnd"/>
      <w:r>
        <w:t xml:space="preserve"> more directly to converter development while retaining the uncertainty inherent in translating internal defect processes into terminal electrical </w:t>
      </w:r>
      <w:proofErr w:type="spellStart"/>
      <w:r>
        <w:t>behaviour</w:t>
      </w:r>
      <w:proofErr w:type="spellEnd"/>
      <w:r>
        <w:t>.</w:t>
      </w:r>
    </w:p>
    <w:p w14:paraId="098AE307" w14:textId="77777777" w:rsidR="00172353" w:rsidRDefault="00000000">
      <w:pPr>
        <w:pStyle w:val="Heading21"/>
      </w:pPr>
      <w:r>
        <w:t>7.2 Reporting uncertainty and reproducibility</w:t>
      </w:r>
    </w:p>
    <w:p w14:paraId="303434C6" w14:textId="77777777" w:rsidR="00172353" w:rsidRDefault="00000000">
      <w:pPr>
        <w:pStyle w:val="Body"/>
      </w:pPr>
      <w:r>
        <w:t xml:space="preserve">A reproducible dynamic-resistance comparison should distinguish variation between pulses from variation between devices. Repeating a pulse sequence on one specimen mainly </w:t>
      </w:r>
      <w:proofErr w:type="spellStart"/>
      <w:r>
        <w:t>characterises</w:t>
      </w:r>
      <w:proofErr w:type="spellEnd"/>
      <w:r>
        <w:t xml:space="preserve"> the repeatability of that specimen and measurement arrangement. It does not establish the distribution across a production lot. Conversely, testing several devices with inconsistent preconditioning can mix manufacturing variation with differences in the trapped-charge state. The report should therefore identify the number of specimens, the number of repeated sequences and the conditioning applied before each comparison.</w:t>
      </w:r>
    </w:p>
    <w:p w14:paraId="5DD9505E" w14:textId="77777777" w:rsidR="00172353" w:rsidRDefault="00000000">
      <w:pPr>
        <w:pStyle w:val="Body"/>
      </w:pPr>
      <w:r>
        <w:t>Uncertainty also enters through the voltage and current channels. A small voltage offset can materially affect resistance when the on-state voltage is low. Timing misalignment between channels can distort a ratio during a rapid transition even if each channel is accurate under static calibration. A defensible analysis should identify the settled sampling interval, explain how channel alignment was established and show that the selected interval is not dominated by the clamp recovery. The objective is to demonstrate that the reported change exceeds plausible measurement artefacts.</w:t>
      </w:r>
    </w:p>
    <w:p w14:paraId="74ED0814" w14:textId="77777777" w:rsidR="00172353" w:rsidRDefault="00000000">
      <w:pPr>
        <w:pStyle w:val="Body"/>
      </w:pPr>
      <w:r>
        <w:t>Temperature control needs similar care. Holding the baseplate at a nominal temperature does not ensure identical junction temperatures after different stress sequences. The dissipated energy and relaxation time can differ between those sequences. For a comparison intended to isolate trapping, the investigator should explain how thermal differences were limited or estimated. For a converter-oriented comparison, thermal and trapping effects may legitimately coexist, but the resulting resistance should be described as an operating-condition-dependent quantity rather than a pure trap parameter.</w:t>
      </w:r>
    </w:p>
    <w:p w14:paraId="445BD09D" w14:textId="77777777" w:rsidR="00172353" w:rsidRDefault="00000000">
      <w:pPr>
        <w:pStyle w:val="Body"/>
      </w:pPr>
      <w:r>
        <w:lastRenderedPageBreak/>
        <w:t xml:space="preserve">A clear graphical presentation would show the stress waveform and sampling window alongside resistance as a function of the relevant delay or pulse condition. Such a presentation makes visible whether a single quoted ratio represents an early transient, a later plateau or an average over changing </w:t>
      </w:r>
      <w:proofErr w:type="spellStart"/>
      <w:r>
        <w:t>behaviour</w:t>
      </w:r>
      <w:proofErr w:type="spellEnd"/>
      <w:r>
        <w:t xml:space="preserve">. It should retain the reference resistance definition and avoid combining curves </w:t>
      </w:r>
      <w:proofErr w:type="spellStart"/>
      <w:r>
        <w:t>normalised</w:t>
      </w:r>
      <w:proofErr w:type="spellEnd"/>
      <w:r>
        <w:t xml:space="preserve"> against different baselines without explanation. These reporting choices follow from the measurement limitations discussed above and are proposed as interpretation criteria, not as a new experimental standard.</w:t>
      </w:r>
    </w:p>
    <w:p w14:paraId="115EFFDD" w14:textId="77777777" w:rsidR="00172353" w:rsidRDefault="00000000">
      <w:pPr>
        <w:pStyle w:val="Body"/>
      </w:pPr>
      <w:r>
        <w:t xml:space="preserve">At converter level, uncertainty should be propagated into the decision being made. If plausible dynamic-resistance values change the preferred cooling solution or device selection, additional </w:t>
      </w:r>
      <w:proofErr w:type="spellStart"/>
      <w:r>
        <w:t>characterisation</w:t>
      </w:r>
      <w:proofErr w:type="spellEnd"/>
      <w:r>
        <w:t xml:space="preserve"> is justified. If the design remains acceptable over that range, a conservative allowance may be sufficient. In either case, the literature review provides a framework for defining what must be measured; it cannot replace </w:t>
      </w:r>
      <w:proofErr w:type="spellStart"/>
      <w:r>
        <w:t>characterisation</w:t>
      </w:r>
      <w:proofErr w:type="spellEnd"/>
      <w:r>
        <w:t xml:space="preserve"> of the selected device under its intended switching and thermal history.</w:t>
      </w:r>
    </w:p>
    <w:p w14:paraId="048A7930" w14:textId="77777777" w:rsidR="00172353" w:rsidRDefault="00000000">
      <w:pPr>
        <w:pStyle w:val="Heading1"/>
      </w:pPr>
      <w:r>
        <w:t>8. CONCLUSION</w:t>
      </w:r>
    </w:p>
    <w:p w14:paraId="13032235" w14:textId="77777777" w:rsidR="00E83E82" w:rsidRPr="00E824D6" w:rsidRDefault="00E83E82" w:rsidP="00E83E82">
      <w:pPr>
        <w:spacing w:before="100" w:beforeAutospacing="1" w:afterAutospacing="1" w:line="240" w:lineRule="auto"/>
        <w:rPr>
          <w:rFonts w:ascii="Times New Roman" w:hAnsi="Times New Roman"/>
          <w:sz w:val="24"/>
          <w:szCs w:val="24"/>
          <w:lang w:eastAsia="en-GB"/>
        </w:rPr>
      </w:pPr>
      <w:r w:rsidRPr="00E824D6">
        <w:rPr>
          <w:rFonts w:ascii="Times New Roman" w:hAnsi="Times New Roman"/>
          <w:sz w:val="24"/>
          <w:szCs w:val="24"/>
          <w:lang w:eastAsia="en-GB"/>
        </w:rPr>
        <w:t xml:space="preserve">Dynamic on-resistance in </w:t>
      </w:r>
      <w:proofErr w:type="spellStart"/>
      <w:r w:rsidRPr="00E824D6">
        <w:rPr>
          <w:rFonts w:ascii="Times New Roman" w:hAnsi="Times New Roman"/>
          <w:sz w:val="24"/>
          <w:szCs w:val="24"/>
          <w:lang w:eastAsia="en-GB"/>
        </w:rPr>
        <w:t>GaN</w:t>
      </w:r>
      <w:proofErr w:type="spellEnd"/>
      <w:r w:rsidRPr="00E824D6">
        <w:rPr>
          <w:rFonts w:ascii="Times New Roman" w:hAnsi="Times New Roman"/>
          <w:sz w:val="24"/>
          <w:szCs w:val="24"/>
          <w:lang w:eastAsia="en-GB"/>
        </w:rPr>
        <w:t xml:space="preserve"> power devices is governed by electrical history, charge trapping, temperature and measurement conditions rather than by a single fixed resistance correction. Buffer, surface and gate-related mechanisms can contribute differently according to device structure and operating stress. Consequently, measurements should specify the blocking condition, gate bias, current, sampling delay, temperature, recovery interval and reference resistance. Double-pulse and continuous-switching methods provide complementary information, but results should not be transferred across devices or applications without matching relevant operating conditions. For converter loss estimation, dynamic resistance should be incorporated according to the actual switching and current history. Reproducible </w:t>
      </w:r>
      <w:proofErr w:type="spellStart"/>
      <w:r w:rsidRPr="00E824D6">
        <w:rPr>
          <w:rFonts w:ascii="Times New Roman" w:hAnsi="Times New Roman"/>
          <w:sz w:val="24"/>
          <w:szCs w:val="24"/>
          <w:lang w:eastAsia="en-GB"/>
        </w:rPr>
        <w:t>characterisation</w:t>
      </w:r>
      <w:proofErr w:type="spellEnd"/>
      <w:r w:rsidRPr="00E824D6">
        <w:rPr>
          <w:rFonts w:ascii="Times New Roman" w:hAnsi="Times New Roman"/>
          <w:sz w:val="24"/>
          <w:szCs w:val="24"/>
          <w:lang w:eastAsia="en-GB"/>
        </w:rPr>
        <w:t>, appropriate uncertainty analysis and application-specific validation are therefore necessary for reliable device comparison and converter design.</w:t>
      </w:r>
    </w:p>
    <w:p w14:paraId="4F57C6E1" w14:textId="550AAA64" w:rsidR="00172353" w:rsidRDefault="00000000">
      <w:pPr>
        <w:pStyle w:val="Body"/>
      </w:pPr>
      <w:r>
        <w:t>.</w:t>
      </w:r>
    </w:p>
    <w:p w14:paraId="4E678CE2" w14:textId="77777777" w:rsidR="00172353" w:rsidRDefault="00000000">
      <w:pPr>
        <w:pStyle w:val="Heading1"/>
      </w:pPr>
      <w:r>
        <w:t>COMPETING INTERESTS</w:t>
      </w:r>
    </w:p>
    <w:p w14:paraId="7594924A" w14:textId="77777777" w:rsidR="00172353" w:rsidRDefault="00000000">
      <w:pPr>
        <w:pStyle w:val="Body"/>
      </w:pPr>
      <w:r>
        <w:t>The authors declare that no competing interests exist.</w:t>
      </w:r>
    </w:p>
    <w:p w14:paraId="28BC82D9" w14:textId="77777777" w:rsidR="00172353" w:rsidRDefault="00000000">
      <w:pPr>
        <w:pStyle w:val="Heading1"/>
      </w:pPr>
      <w:r>
        <w:t>CONSENT AND ETHICAL APPROVAL</w:t>
      </w:r>
    </w:p>
    <w:p w14:paraId="62F48B7B" w14:textId="77777777" w:rsidR="00172353" w:rsidRDefault="00000000">
      <w:pPr>
        <w:pStyle w:val="Body"/>
      </w:pPr>
      <w:r>
        <w:t>Not applicable. This literature-based review does not involve human participants, animals or unpublished participant data.</w:t>
      </w:r>
    </w:p>
    <w:p w14:paraId="5A97E6EB" w14:textId="77777777" w:rsidR="00172353" w:rsidRDefault="00000000">
      <w:pPr>
        <w:pStyle w:val="Heading1"/>
      </w:pPr>
      <w:r>
        <w:t>DATA AVAILABILITY</w:t>
      </w:r>
    </w:p>
    <w:p w14:paraId="10829B2B" w14:textId="77777777" w:rsidR="00172353" w:rsidRDefault="00000000">
      <w:pPr>
        <w:pStyle w:val="Body"/>
      </w:pPr>
      <w:r>
        <w:t>No new experimental dataset was generated. The published journal sources supporting the discussion are listed in the references.</w:t>
      </w:r>
    </w:p>
    <w:p w14:paraId="648B899A" w14:textId="77777777" w:rsidR="00EF7C62" w:rsidRDefault="00EF7C62">
      <w:pPr>
        <w:pStyle w:val="Body"/>
      </w:pPr>
    </w:p>
    <w:p w14:paraId="3321B022" w14:textId="77777777" w:rsidR="00EF7C62" w:rsidRDefault="00EF7C62" w:rsidP="00EF7C62">
      <w:pPr>
        <w:spacing w:after="0" w:line="240" w:lineRule="auto"/>
        <w:rPr>
          <w:rFonts w:ascii="Times New Roman" w:hAnsi="Times New Roman"/>
          <w:b/>
        </w:rPr>
      </w:pPr>
      <w:r w:rsidRPr="000839CE">
        <w:rPr>
          <w:rFonts w:ascii="Times New Roman" w:hAnsi="Times New Roman"/>
          <w:b/>
        </w:rPr>
        <w:lastRenderedPageBreak/>
        <w:t>Declaration of AI Use</w:t>
      </w:r>
    </w:p>
    <w:p w14:paraId="2E6ED8C0" w14:textId="77777777" w:rsidR="00EF7C62" w:rsidRDefault="00EF7C62" w:rsidP="00EF7C62">
      <w:pPr>
        <w:spacing w:after="0" w:line="240" w:lineRule="auto"/>
        <w:rPr>
          <w:rFonts w:ascii="Times New Roman" w:hAnsi="Times New Roman"/>
          <w:b/>
        </w:rPr>
      </w:pPr>
    </w:p>
    <w:p w14:paraId="6D7E13C4" w14:textId="77777777" w:rsidR="00EF7C62" w:rsidRDefault="00EF7C62" w:rsidP="00EF7C62">
      <w:pPr>
        <w:spacing w:after="0" w:line="240" w:lineRule="auto"/>
        <w:rPr>
          <w:rFonts w:ascii="Times New Roman" w:hAnsi="Times New Roman"/>
          <w:b/>
        </w:rPr>
      </w:pPr>
    </w:p>
    <w:p w14:paraId="18C93420" w14:textId="77777777" w:rsidR="00EF7C62" w:rsidRDefault="00EF7C62" w:rsidP="00EF7C62">
      <w:pPr>
        <w:spacing w:after="0" w:line="240" w:lineRule="auto"/>
        <w:rPr>
          <w:rFonts w:ascii="Times New Roman" w:hAnsi="Times New Roman"/>
          <w:b/>
        </w:rPr>
      </w:pPr>
    </w:p>
    <w:p w14:paraId="79E17515" w14:textId="77777777" w:rsidR="00EF7C62" w:rsidRPr="002D08AC" w:rsidRDefault="00EF7C62" w:rsidP="00EF7C62">
      <w:pPr>
        <w:spacing w:after="0" w:line="240" w:lineRule="auto"/>
        <w:rPr>
          <w:rFonts w:cs="Arial"/>
        </w:rPr>
      </w:pPr>
      <w:r w:rsidRPr="002D08AC">
        <w:rPr>
          <w:rFonts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1BB1829" w14:textId="77777777" w:rsidR="00EF7C62" w:rsidRDefault="00EF7C62">
      <w:pPr>
        <w:pStyle w:val="Body"/>
      </w:pPr>
    </w:p>
    <w:p w14:paraId="7D877345" w14:textId="77777777" w:rsidR="00172353" w:rsidRDefault="00000000">
      <w:pPr>
        <w:pStyle w:val="Heading1"/>
      </w:pPr>
      <w:r>
        <w:t>REFERENCES</w:t>
      </w:r>
    </w:p>
    <w:p w14:paraId="505E162D" w14:textId="77777777" w:rsidR="00172353" w:rsidRDefault="00000000">
      <w:pPr>
        <w:pStyle w:val="Body"/>
      </w:pPr>
      <w:r>
        <w:t xml:space="preserve">1. Yang, S., Han, S., Sheng, K., Chen, K. J. (2019). Dynamic On-Resistance in </w:t>
      </w:r>
      <w:proofErr w:type="spellStart"/>
      <w:r>
        <w:t>GaN</w:t>
      </w:r>
      <w:proofErr w:type="spellEnd"/>
      <w:r>
        <w:t xml:space="preserve"> Power Devices: Mechanisms, Characterizations, and Modeling. IEEE Journal of Emerging and Selected Topics in Power Electronics, 7(3), 1425-1439. https://doi.org/10.1109/JESTPE.2019.2925117</w:t>
      </w:r>
    </w:p>
    <w:p w14:paraId="44859CC8" w14:textId="77777777" w:rsidR="00172353" w:rsidRDefault="00000000">
      <w:pPr>
        <w:pStyle w:val="Body"/>
      </w:pPr>
      <w:r>
        <w:t xml:space="preserve">2. Zulauf, G., Guacci, M., Kolar, J. W. (2020a). Dynamic on-Resistance in </w:t>
      </w:r>
      <w:proofErr w:type="spellStart"/>
      <w:r>
        <w:t>GaN</w:t>
      </w:r>
      <w:proofErr w:type="spellEnd"/>
      <w:r>
        <w:t>-on-Si HEMTs: Origins, Dependencies, and Future Characterization Frameworks. IEEE Transactions on Power Electronics, 35(6), 5581-5588. https://doi.org/10.1109/TPEL.2019.2955656</w:t>
      </w:r>
    </w:p>
    <w:p w14:paraId="54DC75BA" w14:textId="77777777" w:rsidR="00172353" w:rsidRDefault="00000000">
      <w:pPr>
        <w:pStyle w:val="Body"/>
      </w:pPr>
      <w:r>
        <w:t xml:space="preserve">3. Zulauf, G., Guacci, M., Rivas-Davila, J. M., Kolar, J. W. (2020b). The Impact of Multi-MHz Switching Frequencies on Dynamic On-Resistance in </w:t>
      </w:r>
      <w:proofErr w:type="spellStart"/>
      <w:r>
        <w:t>GaN</w:t>
      </w:r>
      <w:proofErr w:type="spellEnd"/>
      <w:r>
        <w:t>-on-Si HEMTs. IEEE Open Journal of Power Electronics, 1, 210-215. https://doi.org/10.1109/OJPEL.2020.3005879</w:t>
      </w:r>
    </w:p>
    <w:p w14:paraId="289D4EF1" w14:textId="77777777" w:rsidR="00172353" w:rsidRDefault="00000000">
      <w:pPr>
        <w:pStyle w:val="Body"/>
      </w:pPr>
      <w:r>
        <w:t xml:space="preserve">4. Zou, X., Yang, J., Qiao, Q., Zou, X., Chen, J., Shi, Y., et al. (2023). Trap Characterization Techniques for </w:t>
      </w:r>
      <w:proofErr w:type="spellStart"/>
      <w:r>
        <w:t>GaN</w:t>
      </w:r>
      <w:proofErr w:type="spellEnd"/>
      <w:r>
        <w:t>-Based HEMTs: A Critical Review. Micromachines, 14(11), 2044. https://doi.org/10.3390/mi14112044</w:t>
      </w:r>
    </w:p>
    <w:p w14:paraId="35EA3C62" w14:textId="77777777" w:rsidR="00172353" w:rsidRDefault="00000000">
      <w:pPr>
        <w:pStyle w:val="Body"/>
      </w:pPr>
      <w:r>
        <w:t xml:space="preserve">5. Wang, W., Liang, Y., Zhang, M., Lin, F., Wen, F., Wang, H. (2021). Mechanism Analysis of Dynamic On-State Resistance Degradation for a Commercial </w:t>
      </w:r>
      <w:proofErr w:type="spellStart"/>
      <w:r>
        <w:t>GaN</w:t>
      </w:r>
      <w:proofErr w:type="spellEnd"/>
      <w:r>
        <w:t xml:space="preserve"> HEMT Using Double Pulse Test. Electronics, 10(10), 1202. https://doi.org/10.3390/electronics10101202</w:t>
      </w:r>
    </w:p>
    <w:p w14:paraId="761B445B" w14:textId="77777777" w:rsidR="00172353" w:rsidRDefault="00000000">
      <w:pPr>
        <w:pStyle w:val="Body"/>
      </w:pPr>
      <w:r>
        <w:t xml:space="preserve">6. Gill, L., DasGupta, S., Neely, J. C., Kaplar, R. J., Michaels, A. J. (2024). A Review of </w:t>
      </w:r>
      <w:proofErr w:type="spellStart"/>
      <w:r>
        <w:t>GaN</w:t>
      </w:r>
      <w:proofErr w:type="spellEnd"/>
      <w:r>
        <w:t xml:space="preserve"> HEMT Dynamic ON-Resistance and Dynamic Stress Effects on Field Distribution. IEEE Transactions on Power Electronics, 39(1), 517-537. https://doi.org/10.1109/TPEL.2023.3318182</w:t>
      </w:r>
    </w:p>
    <w:p w14:paraId="0F1A3F36" w14:textId="77777777" w:rsidR="00172353" w:rsidRDefault="00000000">
      <w:pPr>
        <w:pStyle w:val="Body"/>
      </w:pPr>
      <w:r>
        <w:t xml:space="preserve">7. </w:t>
      </w:r>
      <w:proofErr w:type="spellStart"/>
      <w:r>
        <w:t>Butej</w:t>
      </w:r>
      <w:proofErr w:type="spellEnd"/>
      <w:r>
        <w:t xml:space="preserve">, B., Wieland, D., Pogany, D., Gharib, A., </w:t>
      </w:r>
      <w:proofErr w:type="spellStart"/>
      <w:r>
        <w:t>Pobegen</w:t>
      </w:r>
      <w:proofErr w:type="spellEnd"/>
      <w:r>
        <w:t xml:space="preserve">, G., </w:t>
      </w:r>
      <w:proofErr w:type="spellStart"/>
      <w:r>
        <w:t>Ostermaier</w:t>
      </w:r>
      <w:proofErr w:type="spellEnd"/>
      <w:r>
        <w:t xml:space="preserve">, C., et al. (2024). Evidence‐Based Understanding of Lateral Hole Transport During OFF‐State Stress Completing Dynamic </w:t>
      </w:r>
      <w:proofErr w:type="spellStart"/>
      <w:r>
        <w:t>GaN</w:t>
      </w:r>
      <w:proofErr w:type="spellEnd"/>
      <w:r>
        <w:t xml:space="preserve">‐on‐Si Buffer Charging Model. </w:t>
      </w:r>
      <w:proofErr w:type="spellStart"/>
      <w:r>
        <w:t>physica</w:t>
      </w:r>
      <w:proofErr w:type="spellEnd"/>
      <w:r>
        <w:t xml:space="preserve"> status solidi (a), 221(21), 2400089. https://doi.org/10.1002/pssa.202400089</w:t>
      </w:r>
    </w:p>
    <w:p w14:paraId="7CF7C0AC" w14:textId="77777777" w:rsidR="00172353" w:rsidRDefault="00000000">
      <w:pPr>
        <w:pStyle w:val="Body"/>
      </w:pPr>
      <w:r>
        <w:t xml:space="preserve">8. Kim, J. G., Lee, J. H., Kang, D. M., Lee, J. H. (2023). Improvement of Dynamic On-Resistance in </w:t>
      </w:r>
      <w:proofErr w:type="spellStart"/>
      <w:r>
        <w:t>GaN</w:t>
      </w:r>
      <w:proofErr w:type="spellEnd"/>
      <w:r>
        <w:t xml:space="preserve">-Based Devices with a High-Quality </w:t>
      </w:r>
      <w:proofErr w:type="gramStart"/>
      <w:r>
        <w:t>In</w:t>
      </w:r>
      <w:proofErr w:type="gramEnd"/>
      <w:r>
        <w:t xml:space="preserve"> Situ </w:t>
      </w:r>
      <w:proofErr w:type="spellStart"/>
      <w:r>
        <w:t>SiN</w:t>
      </w:r>
      <w:proofErr w:type="spellEnd"/>
      <w:r>
        <w:t xml:space="preserve"> Passivation Layer. Micromachines, 14(6), 1227. https://doi.org/10.3390/mi14061227</w:t>
      </w:r>
    </w:p>
    <w:p w14:paraId="47A78051" w14:textId="77777777" w:rsidR="00172353" w:rsidRDefault="00000000">
      <w:pPr>
        <w:pStyle w:val="Body"/>
      </w:pPr>
      <w:r>
        <w:t>9. Elangovan, S., Cheng, S., Jang, W., Chang, E. Y. (2023). Dynamic on‐state resistance instability characterization of a multi‐chip‐</w:t>
      </w:r>
      <w:proofErr w:type="spellStart"/>
      <w:r>
        <w:t>GaN</w:t>
      </w:r>
      <w:proofErr w:type="spellEnd"/>
      <w:r>
        <w:t xml:space="preserve"> MIS‐HEMTs </w:t>
      </w:r>
      <w:proofErr w:type="spellStart"/>
      <w:r>
        <w:t>cascode</w:t>
      </w:r>
      <w:proofErr w:type="spellEnd"/>
      <w:r>
        <w:t xml:space="preserve"> power module. Electronics Letters, 59(13), e12824. https://doi.org/10.1049/ell2.12824</w:t>
      </w:r>
    </w:p>
    <w:p w14:paraId="7FF28AC0" w14:textId="77777777" w:rsidR="00172353" w:rsidRDefault="00000000">
      <w:pPr>
        <w:pStyle w:val="Body"/>
      </w:pPr>
      <w:r>
        <w:lastRenderedPageBreak/>
        <w:t xml:space="preserve">10. Cusumano, P., Vella, F., Sirchia, A. (2025). Using Triangular Gate Voltage Pulses to Evaluate Hysteresis and Charge Trapping Effects in </w:t>
      </w:r>
      <w:proofErr w:type="spellStart"/>
      <w:r>
        <w:t>GaN</w:t>
      </w:r>
      <w:proofErr w:type="spellEnd"/>
      <w:r>
        <w:t xml:space="preserve"> on Si HEMTs. Electronics, 14(10), 1991. https://doi.org/10.3390/electronics14101991</w:t>
      </w:r>
    </w:p>
    <w:p w14:paraId="16C1D419" w14:textId="77777777" w:rsidR="00172353" w:rsidRDefault="00000000">
      <w:pPr>
        <w:pStyle w:val="Body"/>
      </w:pPr>
      <w:r>
        <w:t xml:space="preserve">11. Cusumano, P., Sirchia, A., Vella, F. (2025). Evaluation of Dynamic On-Resistance and Trapping Effects in </w:t>
      </w:r>
      <w:proofErr w:type="spellStart"/>
      <w:r>
        <w:t>GaN</w:t>
      </w:r>
      <w:proofErr w:type="spellEnd"/>
      <w:r>
        <w:t xml:space="preserve"> on Si HEMTs Using Rectangular Gate Voltage Pulses. Electronics, 14(14), 2791. https://doi.org/10.3390/electronics14142791</w:t>
      </w:r>
    </w:p>
    <w:p w14:paraId="24F28FBC" w14:textId="77777777" w:rsidR="00172353" w:rsidRDefault="00000000">
      <w:pPr>
        <w:pStyle w:val="Body"/>
      </w:pPr>
      <w:r>
        <w:t xml:space="preserve">12. Basile, A., Scrimizzi, F., Rizzo, S. A. (2024). Current Collapse Phenomena Investigation in Automotive-Grade Power </w:t>
      </w:r>
      <w:proofErr w:type="spellStart"/>
      <w:r>
        <w:t>GaN</w:t>
      </w:r>
      <w:proofErr w:type="spellEnd"/>
      <w:r>
        <w:t xml:space="preserve"> Transistors. Energies, 17(1), 230. https://doi.org/10.3390/en17010230</w:t>
      </w:r>
    </w:p>
    <w:p w14:paraId="0880F22C" w14:textId="77777777" w:rsidR="00172353" w:rsidRDefault="00000000">
      <w:pPr>
        <w:pStyle w:val="Body"/>
      </w:pPr>
      <w:r>
        <w:t xml:space="preserve">13. Xie, Z., Wu, X., Dong, Z., Sun, J., Sheng, K., Chen, K. J. (2024). Dynamic On-Resistance Characterization of </w:t>
      </w:r>
      <w:proofErr w:type="spellStart"/>
      <w:r>
        <w:t>GaN</w:t>
      </w:r>
      <w:proofErr w:type="spellEnd"/>
      <w:r>
        <w:t xml:space="preserve"> Power HEMTs Under Forward/Reverse Conduction Using Multigroup Double Pulse Test. IEEE Transactions on Power Electronics, 39(2), 1963-1967. https://doi.org/10.1109/TPEL.2023.3331891</w:t>
      </w:r>
    </w:p>
    <w:p w14:paraId="716DFF2C" w14:textId="77777777" w:rsidR="00E20A0E" w:rsidRDefault="00E20A0E">
      <w:pPr>
        <w:pStyle w:val="Body"/>
      </w:pPr>
    </w:p>
    <w:sectPr w:rsidR="00E20A0E" w:rsidSect="00EF7C62">
      <w:headerReference w:type="even" r:id="rId10"/>
      <w:headerReference w:type="default" r:id="rId11"/>
      <w:footerReference w:type="even" r:id="rId12"/>
      <w:footerReference w:type="default" r:id="rId13"/>
      <w:headerReference w:type="first" r:id="rId14"/>
      <w:footerReference w:type="first" r:id="rId15"/>
      <w:pgSz w:w="12240" w:h="15840" w:code="1"/>
      <w:pgMar w:top="1440" w:right="2016" w:bottom="2016" w:left="2016" w:header="720" w:footer="1296"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3870F" w14:textId="77777777" w:rsidR="001549B4" w:rsidRDefault="001549B4" w:rsidP="00C37E61">
      <w:r>
        <w:separator/>
      </w:r>
    </w:p>
  </w:endnote>
  <w:endnote w:type="continuationSeparator" w:id="0">
    <w:p w14:paraId="4EE4A463" w14:textId="77777777" w:rsidR="001549B4" w:rsidRDefault="001549B4"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AFAA1" w14:textId="77777777" w:rsidR="00BF121F" w:rsidRDefault="00BF12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2A779" w14:textId="77777777" w:rsidR="00172353" w:rsidRDefault="00000000">
    <w:pPr>
      <w:suppressLineNumbers/>
      <w:spacing w:after="0" w:line="240" w:lineRule="auto"/>
      <w:jc w:val="center"/>
    </w:pPr>
    <w:r>
      <w:fldChar w:fldCharType="begin"/>
    </w:r>
    <w:r>
      <w:instrText>PAGE</w:instrText>
    </w:r>
    <w:r>
      <w:fldChar w:fldCharType="separate"/>
    </w:r>
    <w:r w:rsidR="00E20A0E">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06089" w14:textId="1DAFB9EE" w:rsidR="00754C9A" w:rsidRPr="009057A5" w:rsidRDefault="00754C9A" w:rsidP="009057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4999B" w14:textId="77777777" w:rsidR="001549B4" w:rsidRDefault="001549B4" w:rsidP="00C37E61">
      <w:r>
        <w:separator/>
      </w:r>
    </w:p>
  </w:footnote>
  <w:footnote w:type="continuationSeparator" w:id="0">
    <w:p w14:paraId="49BE088D" w14:textId="77777777" w:rsidR="001549B4" w:rsidRDefault="001549B4"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AFF34" w14:textId="20945C0C" w:rsidR="00BF121F" w:rsidRDefault="009057A5">
    <w:pPr>
      <w:pStyle w:val="Header"/>
    </w:pPr>
    <w:r>
      <w:rPr>
        <w:noProof/>
      </w:rPr>
      <w:pict w14:anchorId="101213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669704"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Arial&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84850" w14:textId="067A5230" w:rsidR="00433F95" w:rsidRDefault="009057A5">
    <w:r>
      <w:rPr>
        <w:noProof/>
      </w:rPr>
      <w:pict w14:anchorId="47F113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669705"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Arial&quot;;font-size:1pt" string="UNDER PEER REVIEW"/>
        </v:shape>
      </w:pict>
    </w:r>
    <w:r w:rsidR="00000000">
      <w:c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D6654" w14:textId="7856EABD" w:rsidR="00296529" w:rsidRPr="00296529" w:rsidRDefault="009057A5" w:rsidP="00296529">
    <w:pPr>
      <w:ind w:left="2160"/>
      <w:jc w:val="center"/>
      <w:rPr>
        <w:rFonts w:ascii="Times New Roman" w:eastAsia="Calibri" w:hAnsi="Times New Roman"/>
        <w:i/>
        <w:sz w:val="18"/>
        <w:szCs w:val="22"/>
      </w:rPr>
    </w:pPr>
    <w:r>
      <w:rPr>
        <w:noProof/>
      </w:rPr>
      <w:pict w14:anchorId="2288E2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0669703"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Arial&quot;;font-size:1pt" string="UNDER PEER REVIEW"/>
        </v:shape>
      </w:pict>
    </w:r>
  </w:p>
  <w:p w14:paraId="0EBB8F24"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4C6F1DC3"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5DD598D5"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6654F8CC"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64D986A5"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080F4E4C" w14:textId="77777777" w:rsidR="00296529" w:rsidRDefault="00754C9A">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99379733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127817547">
    <w:abstractNumId w:val="15"/>
  </w:num>
  <w:num w:numId="3" w16cid:durableId="270210722">
    <w:abstractNumId w:val="23"/>
  </w:num>
  <w:num w:numId="4" w16cid:durableId="1842087515">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417219888">
    <w:abstractNumId w:val="7"/>
  </w:num>
  <w:num w:numId="6" w16cid:durableId="1798571421">
    <w:abstractNumId w:val="6"/>
  </w:num>
  <w:num w:numId="7" w16cid:durableId="922571905">
    <w:abstractNumId w:val="1"/>
  </w:num>
  <w:num w:numId="8" w16cid:durableId="1218055954">
    <w:abstractNumId w:val="12"/>
  </w:num>
  <w:num w:numId="9" w16cid:durableId="329874782">
    <w:abstractNumId w:val="25"/>
  </w:num>
  <w:num w:numId="10" w16cid:durableId="1967344970">
    <w:abstractNumId w:val="2"/>
  </w:num>
  <w:num w:numId="11" w16cid:durableId="412317892">
    <w:abstractNumId w:val="18"/>
  </w:num>
  <w:num w:numId="12" w16cid:durableId="1162699396">
    <w:abstractNumId w:val="3"/>
  </w:num>
  <w:num w:numId="13" w16cid:durableId="1799378455">
    <w:abstractNumId w:val="17"/>
  </w:num>
  <w:num w:numId="14" w16cid:durableId="1847285408">
    <w:abstractNumId w:val="8"/>
  </w:num>
  <w:num w:numId="15" w16cid:durableId="302076680">
    <w:abstractNumId w:val="21"/>
  </w:num>
  <w:num w:numId="16" w16cid:durableId="2101171267">
    <w:abstractNumId w:val="5"/>
  </w:num>
  <w:num w:numId="17" w16cid:durableId="2095474162">
    <w:abstractNumId w:val="22"/>
  </w:num>
  <w:num w:numId="18" w16cid:durableId="726026076">
    <w:abstractNumId w:val="14"/>
  </w:num>
  <w:num w:numId="19" w16cid:durableId="1507742585">
    <w:abstractNumId w:val="28"/>
  </w:num>
  <w:num w:numId="20" w16cid:durableId="1414359059">
    <w:abstractNumId w:val="11"/>
  </w:num>
  <w:num w:numId="21" w16cid:durableId="780808669">
    <w:abstractNumId w:val="9"/>
  </w:num>
  <w:num w:numId="22" w16cid:durableId="85656562">
    <w:abstractNumId w:val="13"/>
  </w:num>
  <w:num w:numId="23" w16cid:durableId="1114595123">
    <w:abstractNumId w:val="19"/>
  </w:num>
  <w:num w:numId="24" w16cid:durableId="1717074228">
    <w:abstractNumId w:val="26"/>
  </w:num>
  <w:num w:numId="25" w16cid:durableId="1206672560">
    <w:abstractNumId w:val="4"/>
  </w:num>
  <w:num w:numId="26" w16cid:durableId="121193178">
    <w:abstractNumId w:val="16"/>
  </w:num>
  <w:num w:numId="27" w16cid:durableId="1448308770">
    <w:abstractNumId w:val="20"/>
  </w:num>
  <w:num w:numId="28" w16cid:durableId="2027902646">
    <w:abstractNumId w:val="27"/>
  </w:num>
  <w:num w:numId="29" w16cid:durableId="452793216">
    <w:abstractNumId w:val="24"/>
  </w:num>
  <w:num w:numId="30" w16cid:durableId="51111528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6219"/>
    <w:rsid w:val="00000F8F"/>
    <w:rsid w:val="00030174"/>
    <w:rsid w:val="0004579C"/>
    <w:rsid w:val="000A47FA"/>
    <w:rsid w:val="000A65D3"/>
    <w:rsid w:val="000B1E33"/>
    <w:rsid w:val="000D689F"/>
    <w:rsid w:val="000E7B7B"/>
    <w:rsid w:val="000E7D62"/>
    <w:rsid w:val="00103357"/>
    <w:rsid w:val="00123C9F"/>
    <w:rsid w:val="00126190"/>
    <w:rsid w:val="00130F17"/>
    <w:rsid w:val="001320BF"/>
    <w:rsid w:val="001549B4"/>
    <w:rsid w:val="00163BC4"/>
    <w:rsid w:val="00172353"/>
    <w:rsid w:val="00191062"/>
    <w:rsid w:val="00192B72"/>
    <w:rsid w:val="001A29D8"/>
    <w:rsid w:val="001A5CAA"/>
    <w:rsid w:val="001B0427"/>
    <w:rsid w:val="001D3A51"/>
    <w:rsid w:val="001E10D2"/>
    <w:rsid w:val="001E25B4"/>
    <w:rsid w:val="001E44FE"/>
    <w:rsid w:val="00200595"/>
    <w:rsid w:val="00204835"/>
    <w:rsid w:val="00231920"/>
    <w:rsid w:val="0023195C"/>
    <w:rsid w:val="0024282C"/>
    <w:rsid w:val="002460DC"/>
    <w:rsid w:val="00250985"/>
    <w:rsid w:val="002556F6"/>
    <w:rsid w:val="00283105"/>
    <w:rsid w:val="00284C4C"/>
    <w:rsid w:val="00287E68"/>
    <w:rsid w:val="00296529"/>
    <w:rsid w:val="00297885"/>
    <w:rsid w:val="002B27FB"/>
    <w:rsid w:val="002B685A"/>
    <w:rsid w:val="002C57D2"/>
    <w:rsid w:val="002E0D56"/>
    <w:rsid w:val="00315186"/>
    <w:rsid w:val="003249B5"/>
    <w:rsid w:val="0033343E"/>
    <w:rsid w:val="003512C2"/>
    <w:rsid w:val="00371FB6"/>
    <w:rsid w:val="003755E0"/>
    <w:rsid w:val="003763C1"/>
    <w:rsid w:val="00376BBE"/>
    <w:rsid w:val="0039224F"/>
    <w:rsid w:val="003A43A4"/>
    <w:rsid w:val="003A7E18"/>
    <w:rsid w:val="003C4C86"/>
    <w:rsid w:val="003C6258"/>
    <w:rsid w:val="003E2904"/>
    <w:rsid w:val="00401927"/>
    <w:rsid w:val="004042E7"/>
    <w:rsid w:val="004053B2"/>
    <w:rsid w:val="0041027F"/>
    <w:rsid w:val="00412475"/>
    <w:rsid w:val="00423789"/>
    <w:rsid w:val="00433F95"/>
    <w:rsid w:val="00440F43"/>
    <w:rsid w:val="00441B6F"/>
    <w:rsid w:val="00446221"/>
    <w:rsid w:val="00450E62"/>
    <w:rsid w:val="004539DB"/>
    <w:rsid w:val="00471A80"/>
    <w:rsid w:val="004D305E"/>
    <w:rsid w:val="004D4277"/>
    <w:rsid w:val="004D5BA0"/>
    <w:rsid w:val="00502516"/>
    <w:rsid w:val="00505F06"/>
    <w:rsid w:val="00506828"/>
    <w:rsid w:val="0053056E"/>
    <w:rsid w:val="00534BAA"/>
    <w:rsid w:val="0054323C"/>
    <w:rsid w:val="00554FDA"/>
    <w:rsid w:val="005C784C"/>
    <w:rsid w:val="005D17F6"/>
    <w:rsid w:val="005E5539"/>
    <w:rsid w:val="00602BF5"/>
    <w:rsid w:val="00617FDD"/>
    <w:rsid w:val="00633614"/>
    <w:rsid w:val="00633F68"/>
    <w:rsid w:val="00636EB2"/>
    <w:rsid w:val="006375B8"/>
    <w:rsid w:val="0066510A"/>
    <w:rsid w:val="00673F9F"/>
    <w:rsid w:val="00686953"/>
    <w:rsid w:val="00687DEA"/>
    <w:rsid w:val="00687E67"/>
    <w:rsid w:val="006967F7"/>
    <w:rsid w:val="006A250C"/>
    <w:rsid w:val="006B21D3"/>
    <w:rsid w:val="006B57D0"/>
    <w:rsid w:val="006D30FF"/>
    <w:rsid w:val="006D6940"/>
    <w:rsid w:val="006E1DF8"/>
    <w:rsid w:val="006F11EC"/>
    <w:rsid w:val="0070082C"/>
    <w:rsid w:val="007369E6"/>
    <w:rsid w:val="00746E59"/>
    <w:rsid w:val="00754C9A"/>
    <w:rsid w:val="0075599A"/>
    <w:rsid w:val="00761D52"/>
    <w:rsid w:val="0077749E"/>
    <w:rsid w:val="00790ADA"/>
    <w:rsid w:val="007D2288"/>
    <w:rsid w:val="007E088F"/>
    <w:rsid w:val="007F7B32"/>
    <w:rsid w:val="00804BC2"/>
    <w:rsid w:val="0081431A"/>
    <w:rsid w:val="0083216F"/>
    <w:rsid w:val="00860000"/>
    <w:rsid w:val="00863BD3"/>
    <w:rsid w:val="008641ED"/>
    <w:rsid w:val="00866D66"/>
    <w:rsid w:val="008671C6"/>
    <w:rsid w:val="00875803"/>
    <w:rsid w:val="008B459E"/>
    <w:rsid w:val="008E13AE"/>
    <w:rsid w:val="008E1506"/>
    <w:rsid w:val="008E710C"/>
    <w:rsid w:val="008F69D6"/>
    <w:rsid w:val="00902823"/>
    <w:rsid w:val="009057A5"/>
    <w:rsid w:val="00915CA6"/>
    <w:rsid w:val="00927834"/>
    <w:rsid w:val="009500A6"/>
    <w:rsid w:val="00957C18"/>
    <w:rsid w:val="009659BA"/>
    <w:rsid w:val="00983040"/>
    <w:rsid w:val="009B3FB9"/>
    <w:rsid w:val="009C2465"/>
    <w:rsid w:val="009D35A0"/>
    <w:rsid w:val="009D7EB7"/>
    <w:rsid w:val="009E048A"/>
    <w:rsid w:val="009E08E9"/>
    <w:rsid w:val="009E3DB9"/>
    <w:rsid w:val="009E6E35"/>
    <w:rsid w:val="009F0EDA"/>
    <w:rsid w:val="00A03B96"/>
    <w:rsid w:val="00A05B19"/>
    <w:rsid w:val="00A1134E"/>
    <w:rsid w:val="00A24E7E"/>
    <w:rsid w:val="00A258C3"/>
    <w:rsid w:val="00A347C0"/>
    <w:rsid w:val="00A51431"/>
    <w:rsid w:val="00A539AD"/>
    <w:rsid w:val="00A94063"/>
    <w:rsid w:val="00AA6219"/>
    <w:rsid w:val="00AA74E0"/>
    <w:rsid w:val="00AB703F"/>
    <w:rsid w:val="00AC6BB8"/>
    <w:rsid w:val="00AE008F"/>
    <w:rsid w:val="00B01FCD"/>
    <w:rsid w:val="00B1776C"/>
    <w:rsid w:val="00B4754E"/>
    <w:rsid w:val="00B52583"/>
    <w:rsid w:val="00B52896"/>
    <w:rsid w:val="00B95236"/>
    <w:rsid w:val="00B96BD9"/>
    <w:rsid w:val="00BA1B01"/>
    <w:rsid w:val="00BA2641"/>
    <w:rsid w:val="00BB37AA"/>
    <w:rsid w:val="00BC53A0"/>
    <w:rsid w:val="00BE62AD"/>
    <w:rsid w:val="00BF121F"/>
    <w:rsid w:val="00BF1F80"/>
    <w:rsid w:val="00C166EF"/>
    <w:rsid w:val="00C17EB0"/>
    <w:rsid w:val="00C27F5F"/>
    <w:rsid w:val="00C30A0F"/>
    <w:rsid w:val="00C37E61"/>
    <w:rsid w:val="00C70F1B"/>
    <w:rsid w:val="00C71A47"/>
    <w:rsid w:val="00C7464C"/>
    <w:rsid w:val="00C85588"/>
    <w:rsid w:val="00C93CAA"/>
    <w:rsid w:val="00CD6755"/>
    <w:rsid w:val="00CD6856"/>
    <w:rsid w:val="00CE0089"/>
    <w:rsid w:val="00CE793C"/>
    <w:rsid w:val="00CF193C"/>
    <w:rsid w:val="00D173F1"/>
    <w:rsid w:val="00D36784"/>
    <w:rsid w:val="00D74CB0"/>
    <w:rsid w:val="00D8295D"/>
    <w:rsid w:val="00DC2A65"/>
    <w:rsid w:val="00DE15F0"/>
    <w:rsid w:val="00DE5663"/>
    <w:rsid w:val="00DE78AA"/>
    <w:rsid w:val="00E053D0"/>
    <w:rsid w:val="00E15994"/>
    <w:rsid w:val="00E20A0E"/>
    <w:rsid w:val="00E3114E"/>
    <w:rsid w:val="00E31A70"/>
    <w:rsid w:val="00E35B02"/>
    <w:rsid w:val="00E66496"/>
    <w:rsid w:val="00E66B35"/>
    <w:rsid w:val="00E66E10"/>
    <w:rsid w:val="00E769F6"/>
    <w:rsid w:val="00E83E82"/>
    <w:rsid w:val="00E8407C"/>
    <w:rsid w:val="00E84F3C"/>
    <w:rsid w:val="00EA012C"/>
    <w:rsid w:val="00EC6A55"/>
    <w:rsid w:val="00ED0288"/>
    <w:rsid w:val="00EE17F9"/>
    <w:rsid w:val="00EE52CB"/>
    <w:rsid w:val="00EF581D"/>
    <w:rsid w:val="00EF7C62"/>
    <w:rsid w:val="00EF7FD8"/>
    <w:rsid w:val="00F06F59"/>
    <w:rsid w:val="00F17988"/>
    <w:rsid w:val="00F469F0"/>
    <w:rsid w:val="00F53273"/>
    <w:rsid w:val="00F755E4"/>
    <w:rsid w:val="00F77D02"/>
    <w:rsid w:val="00F87665"/>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0E793D"/>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pPr>
      <w:spacing w:after="100" w:line="276" w:lineRule="auto"/>
    </w:pPr>
    <w:rPr>
      <w:rFonts w:ascii="Arial" w:hAnsi="Arial"/>
      <w:color w:val="000000"/>
    </w:rPr>
  </w:style>
  <w:style w:type="paragraph" w:styleId="Heading1">
    <w:name w:val="heading 1"/>
    <w:basedOn w:val="Normal"/>
    <w:next w:val="Normal"/>
    <w:qFormat/>
    <w:rsid w:val="00423789"/>
    <w:pPr>
      <w:keepNext/>
      <w:spacing w:before="180"/>
      <w:outlineLvl w:val="0"/>
    </w:pPr>
    <w:rPr>
      <w:b/>
      <w:kern w:val="28"/>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keepNext/>
      <w:spacing w:after="1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customStyle="1" w:styleId="Heading21">
    <w:name w:val="Heading 21"/>
    <w:pPr>
      <w:keepNext/>
      <w:spacing w:before="180" w:after="100" w:line="276" w:lineRule="auto"/>
    </w:pPr>
    <w:rPr>
      <w:rFonts w:ascii="Arial" w:hAnsi="Arial"/>
      <w:b/>
      <w:color w:val="000000"/>
      <w:sz w:val="22"/>
    </w:rPr>
  </w:style>
  <w:style w:type="paragraph" w:customStyle="1" w:styleId="Caption1">
    <w:name w:val="Caption1"/>
    <w:pPr>
      <w:spacing w:after="100" w:line="276" w:lineRule="auto"/>
    </w:pPr>
    <w:rPr>
      <w:rFonts w:ascii="Arial" w:hAnsi="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22</TotalTime>
  <Pages>16</Pages>
  <Words>6874</Words>
  <Characters>39185</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45968</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Dynamic On-Resistance and Charge Trapping in Gallium Nitride Power Devices</dc:title>
  <dc:creator>Neha Singh</dc:creator>
  <cp:lastModifiedBy>SDI 1166</cp:lastModifiedBy>
  <cp:revision>34</cp:revision>
  <cp:lastPrinted>1999-07-06T11:00:00Z</cp:lastPrinted>
  <dcterms:created xsi:type="dcterms:W3CDTF">2014-10-25T14:34:00Z</dcterms:created>
  <dcterms:modified xsi:type="dcterms:W3CDTF">2026-10-06T07:08:00Z</dcterms:modified>
</cp:coreProperties>
</file>