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A980" w14:textId="77777777" w:rsidR="00E04473" w:rsidRPr="00E04473" w:rsidRDefault="00E04473" w:rsidP="00E04473">
      <w:pPr>
        <w:spacing w:after="360" w:line="288" w:lineRule="auto"/>
        <w:jc w:val="center"/>
        <w:rPr>
          <w:b/>
          <w:bCs/>
          <w:i/>
          <w:iCs/>
          <w:sz w:val="32"/>
          <w:u w:val="single"/>
        </w:rPr>
      </w:pPr>
      <w:r w:rsidRPr="00E04473">
        <w:rPr>
          <w:b/>
          <w:bCs/>
          <w:i/>
          <w:iCs/>
          <w:sz w:val="32"/>
          <w:u w:val="single"/>
        </w:rPr>
        <w:t>Review Article</w:t>
      </w:r>
    </w:p>
    <w:p w14:paraId="1299F583" w14:textId="77777777" w:rsidR="008A35DC" w:rsidRDefault="00000000">
      <w:pPr>
        <w:spacing w:after="360" w:line="288" w:lineRule="auto"/>
        <w:jc w:val="center"/>
        <w:rPr>
          <w:b/>
          <w:sz w:val="32"/>
        </w:rPr>
      </w:pPr>
      <w:r>
        <w:rPr>
          <w:b/>
          <w:sz w:val="32"/>
        </w:rPr>
        <w:t>Developing the Styrofoam Systems Education Model (SSEM): An Integrative Critical Review and Conceptual Framework for Mitigating Polystyrene Foam Pollution</w:t>
      </w:r>
    </w:p>
    <w:p w14:paraId="4FB5DB58" w14:textId="77777777" w:rsidR="00504FFA" w:rsidRDefault="00504FFA">
      <w:pPr>
        <w:spacing w:after="360" w:line="288" w:lineRule="auto"/>
        <w:jc w:val="center"/>
      </w:pPr>
    </w:p>
    <w:p w14:paraId="376C6294" w14:textId="77777777" w:rsidR="008A35DC" w:rsidRDefault="00000000">
      <w:pPr>
        <w:keepNext/>
        <w:spacing w:before="280"/>
      </w:pPr>
      <w:r>
        <w:rPr>
          <w:b/>
          <w:sz w:val="26"/>
        </w:rPr>
        <w:t>Abstract</w:t>
      </w:r>
    </w:p>
    <w:p w14:paraId="540EA640" w14:textId="77777777" w:rsidR="008A35DC" w:rsidRDefault="00000000">
      <w:pPr>
        <w:spacing w:after="80"/>
        <w:jc w:val="both"/>
      </w:pPr>
      <w:r>
        <w:rPr>
          <w:b/>
        </w:rPr>
        <w:t>Background:</w:t>
      </w:r>
      <w:r>
        <w:t xml:space="preserve"> Foamed polystyrene, widely known by the colloquial name Styrofoam, is a lightweight, low-cost material whose physical properties make it unusually prone to fragmentation, wind and water transport, and poor recovery once it escapes waste systems. Regulatory bans have expanded, yet the educational dimension of mitigation has received little systematic attention, and plastic-pollution education is rarely designed around the material-specific, life-cycle and behavioural features of a single problematic product class. </w:t>
      </w:r>
    </w:p>
    <w:p w14:paraId="510CC0F6" w14:textId="77777777" w:rsidR="008A35DC" w:rsidRDefault="00000000">
      <w:pPr>
        <w:spacing w:after="80"/>
        <w:jc w:val="both"/>
      </w:pPr>
      <w:r>
        <w:rPr>
          <w:b/>
        </w:rPr>
        <w:t>Purpose and scope:</w:t>
      </w:r>
      <w:r>
        <w:t xml:space="preserve"> This integrative critical review examines environmental, health, life-cycle, policy, behavioural and educational evidence relevant to polystyrene foam, and uses the synthesis to develop a conceptual framework, the Styrofoam Systems Education Model. </w:t>
      </w:r>
    </w:p>
    <w:p w14:paraId="715383CB" w14:textId="77777777" w:rsidR="008A35DC" w:rsidRDefault="00000000">
      <w:pPr>
        <w:spacing w:after="80"/>
        <w:jc w:val="both"/>
      </w:pPr>
      <w:r>
        <w:rPr>
          <w:b/>
        </w:rPr>
        <w:t>Approach:</w:t>
      </w:r>
      <w:r>
        <w:t xml:space="preserve"> A critical narrative design was used, drawing on education, environmental science, behavioural science and policy literature identified through multidisciplinary scholarly indexes, institutional sources and citation chasing, with the final search completed on 27 July 2026. </w:t>
      </w:r>
    </w:p>
    <w:p w14:paraId="2BF3E833" w14:textId="77777777" w:rsidR="008A35DC" w:rsidRDefault="00000000">
      <w:pPr>
        <w:spacing w:after="80"/>
        <w:jc w:val="both"/>
      </w:pPr>
      <w:r>
        <w:rPr>
          <w:b/>
        </w:rPr>
        <w:t>Principal findings:</w:t>
      </w:r>
      <w:r>
        <w:t xml:space="preserve"> Evidence that polystyrene foam fragments readily, carries hazardous additives such as brominated flame retardants, and resists economic recovery is comparatively strong. Evidence on human health risk from food-contact use is less conclusive, and comparative life cycle studies show that substitute materials are not automatically preferable. Insect-mediated and photochemical degradation findings are scientifically important but remain distant from field-scale remediation. Plastic-pollution education reliably improves knowledge, whereas effects on observed behaviour are weaker, frequently self-reported and seldom followed over time. Systems-thinking, life-cycle and action-competence research offers the most coherent theoretical foundation for education that addresses these gaps. </w:t>
      </w:r>
    </w:p>
    <w:p w14:paraId="471FC445" w14:textId="77777777" w:rsidR="008A35DC" w:rsidRDefault="00000000">
      <w:pPr>
        <w:spacing w:after="80"/>
        <w:jc w:val="both"/>
      </w:pPr>
      <w:r>
        <w:rPr>
          <w:b/>
        </w:rPr>
        <w:t>Framework:</w:t>
      </w:r>
      <w:r>
        <w:t xml:space="preserve"> The proposed model links five components, namely material literacy, life-cycle systems reasoning, evidence and uncertainty appraisal, action competence, and institutional and community coupling, and distinguishes relationships supported by empirical research from those that remain hypothesised. </w:t>
      </w:r>
    </w:p>
    <w:p w14:paraId="28B95971" w14:textId="77777777" w:rsidR="008A35DC" w:rsidRDefault="00000000">
      <w:pPr>
        <w:spacing w:after="80"/>
        <w:jc w:val="both"/>
      </w:pPr>
      <w:r>
        <w:rPr>
          <w:b/>
        </w:rPr>
        <w:lastRenderedPageBreak/>
        <w:t>Implications and unresolved questions:</w:t>
      </w:r>
      <w:r>
        <w:t xml:space="preserve"> The model offers a testable structure for curriculum design, teacher education and evaluation, but its effect on foam consumption and leakage has not been demonstrated. </w:t>
      </w:r>
    </w:p>
    <w:p w14:paraId="69A91DBD" w14:textId="77777777" w:rsidR="008A35DC" w:rsidRDefault="00000000">
      <w:pPr>
        <w:spacing w:after="80"/>
        <w:jc w:val="both"/>
      </w:pPr>
      <w:r>
        <w:rPr>
          <w:b/>
        </w:rPr>
        <w:t>Conclusion:</w:t>
      </w:r>
      <w:r>
        <w:t xml:space="preserve"> Education is best positioned as a complement to regulation, infrastructure and product redesign, and the model requires staged empirical validation across educational levels, sectors and socio-economic settings.</w:t>
      </w:r>
    </w:p>
    <w:p w14:paraId="17E6C5C3" w14:textId="77777777" w:rsidR="008A35DC" w:rsidRDefault="00000000">
      <w:pPr>
        <w:spacing w:before="120" w:after="240"/>
      </w:pPr>
      <w:r>
        <w:rPr>
          <w:b/>
        </w:rPr>
        <w:t xml:space="preserve">Keywords: </w:t>
      </w:r>
      <w:r>
        <w:t>expanded polystyrene; plastic pollution education; systems thinking; life cycle thinking; action competence; education for sustainable development; single-use plastics policy; conceptual framework</w:t>
      </w:r>
    </w:p>
    <w:p w14:paraId="0B3D851D" w14:textId="77777777" w:rsidR="008A35DC" w:rsidRDefault="00000000">
      <w:pPr>
        <w:keepNext/>
        <w:spacing w:before="280"/>
      </w:pPr>
      <w:r>
        <w:rPr>
          <w:b/>
          <w:sz w:val="26"/>
        </w:rPr>
        <w:t>1. Introduction</w:t>
      </w:r>
    </w:p>
    <w:p w14:paraId="522850A6" w14:textId="77777777" w:rsidR="008A35DC" w:rsidRDefault="00000000">
      <w:pPr>
        <w:ind w:firstLine="425"/>
        <w:jc w:val="both"/>
      </w:pPr>
      <w:r>
        <w:t>Plastic pollution has become one of the defining environmental problems of the present century. Global production has grown to a scale at which an estimated 8,300 million tonnes of virgin plastics had been produced by 2015, with most of the resulting waste accumulated in landfills or the natural environment rather than recycled (Geyer et al., 2017). Land-based leakage into the ocean was estimated at between 4.8 and 12.7 million tonnes in 2010 alone (Jambeck et al., 2015), and subsequent modelling indicates that even ambitious national commitments are unlikely to reverse the upward trajectory of emissions to aquatic ecosystems without transformative change across the plastics economy (Borrelle et al., 2020; Lau et al., 2020). Because accumulated plastic in many environmental compartments is poorly reversible, the most defensible response is to reduce emissions at source rather than to rely on subsequent clean-up (MacLeod et al., 2021). The detection of microscopic plastic fragments in marine sediments and waters two decades ago marked the point at which concern shifted from visible litter to a persistent particulate contaminant (Thompson et al., 2004).</w:t>
      </w:r>
    </w:p>
    <w:p w14:paraId="6FAAC319" w14:textId="77777777" w:rsidR="008A35DC" w:rsidRDefault="00000000">
      <w:pPr>
        <w:ind w:firstLine="425"/>
        <w:jc w:val="both"/>
      </w:pPr>
      <w:r>
        <w:t xml:space="preserve">Within this broad problem, foamed polystyrene occupies a distinctive position. Polystyrene (PS) foam exists principally as expanded polystyrene (EPS) and extruded polystyrene (XPS), rigid and lightweight insulating materials used in food service, protective packaging, construction and marine applications (Turner, 2020). The colloquial term Styrofoam is widely applied to both forms, and EPS debris is frequently described in this way in the environmental literature (Jang et al., 2017). The same properties that make the material commercially attractive, including very low density, cheapness and brittleness, also cause waste to be generated readily, dispersed by wind and water, and fragmented into countless pieces that are particularly difficult to retrieve (Turner, 2020). Laboratory weathering experiments have shown that EPS is far more susceptible to mechanical fragmentation than polyethylene or polypropylene (Song et al., 2017), and EPS </w:t>
      </w:r>
      <w:r>
        <w:lastRenderedPageBreak/>
        <w:t>debris from aquaculture buoys has been identified as a carrier of the brominated flame retardant hexabromocyclododecane (HBCD) across the Asia-Pacific coastal region (Jang et al., 2017).</w:t>
      </w:r>
    </w:p>
    <w:p w14:paraId="050B8B46" w14:textId="77777777" w:rsidR="008A35DC" w:rsidRDefault="00000000">
      <w:pPr>
        <w:ind w:firstLine="425"/>
        <w:jc w:val="both"/>
      </w:pPr>
      <w:r>
        <w:t>Responses to polystyrene foam have been dominated by regulation. Local governments in the United States of America, for example, have relied mainly on bans because reuse, recycling and composting of EPS food service ware are generally not feasible or not economically viable (Wagner, 2020). Bans and levies on single-use plastics more broadly have produced measurable reductions in some product categories (Schnurr et al., 2018), yet reviews of policy practice repeatedly note that effectiveness is rarely evaluated and that public education is usually recommended rather than designed, implemented and tested (Adam et al., 2020; Xanthos &amp; Walker, 2017). In parallel, the behavioural literature shows that high public awareness of plastic pollution coexists with routine, habitual plastic use, which suggests that information alone is an insufficient lever (Heidbreder et al., 2019; Kollmuss &amp; Agyeman, 2002).</w:t>
      </w:r>
    </w:p>
    <w:p w14:paraId="26EAB334" w14:textId="77777777" w:rsidR="008A35DC" w:rsidRDefault="00000000">
      <w:pPr>
        <w:ind w:firstLine="425"/>
        <w:jc w:val="both"/>
      </w:pPr>
      <w:r>
        <w:t>Educational research on plastic pollution has expanded, but it has developed largely around marine litter in general or microplastics in particular. Classroom and outreach studies report gains in children's understanding and self-reported actions (Hartley et al., 2015; Raab &amp; Bogner, 2021), and meta-analytic evidence confirms that environmental education improves knowledge more consistently than behaviour (van de Wetering et al., 2022). A scoping review of behavioural interventions on plastic consumption, recycling and littering found that informational strategies had mixed effectiveness in the education sector and that nearly half of the studies carried moderate-to-high risk of bias (Nuojua et al., 2024). None of these syntheses addresses a specific material whose pollution pathway, economic structure, health controversy and policy history differ markedly from those of plastic bags, bottles or microbeads.</w:t>
      </w:r>
    </w:p>
    <w:p w14:paraId="14E9A344" w14:textId="77777777" w:rsidR="008A35DC" w:rsidRDefault="00000000">
      <w:pPr>
        <w:ind w:firstLine="425"/>
        <w:jc w:val="both"/>
      </w:pPr>
      <w:r>
        <w:t>A separate body of work on systems thinking in science education, life-cycle thinking and sustainability competences offers conceptual resources that are directly relevant to such a material-specific problem. Students commonly struggle to reason about stocks, flows, delays and feedback (Sweeney &amp; Sterman, 2000), yet structured curricula can develop system-thinking skills in school settings (Ben-Zvi Assaraf &amp; Orion, 2005; Doganca Kucuk &amp; Saysel, 2018). Chemistry educators have argued for reorienting their discipline around systems thinking so that materials are understood across their full life cycles and societal contexts (Mahaffy et al., 2018). Sustainability competence frameworks place systems thinking alongside anticipatory, normative, strategic and interpersonal competences (Wiek et al., 2011), and the action competence tradition distinguishes considered, collective and democratic action from compliant individual behaviour change (Jensen &amp; Schnack, 1997). These strands have not yet been integrated with the material science, ecotoxicology and policy evidence on polystyrene foam.</w:t>
      </w:r>
    </w:p>
    <w:p w14:paraId="62292538" w14:textId="77777777" w:rsidR="008A35DC" w:rsidRDefault="00000000">
      <w:pPr>
        <w:keepNext/>
        <w:spacing w:before="200"/>
      </w:pPr>
      <w:r>
        <w:rPr>
          <w:b/>
          <w:i/>
        </w:rPr>
        <w:lastRenderedPageBreak/>
        <w:t>1.1 Scope, Research Gap and Objectives</w:t>
      </w:r>
    </w:p>
    <w:p w14:paraId="5F85B40D" w14:textId="77777777" w:rsidR="008A35DC" w:rsidRDefault="00000000">
      <w:pPr>
        <w:ind w:firstLine="425"/>
        <w:jc w:val="both"/>
      </w:pPr>
      <w:r>
        <w:t>This review addresses foamed polystyrene, including expanded and extruded forms, across its principal uses in food service, packaging, aquaculture and construction, and considers its environmental pathways, human exposure concerns, end-of-life options, policy responses and educational implications. The educational focus spans primary, secondary and tertiary education together with non-formal and community learning, because foam-related decisions are made by consumers, food vendors, aquaculture operators, waste workers and policy actors as well as by students. Bioplastic chemistry, detailed polymer engineering, occupational styrene exposure in manufacturing and clinical toxicology are excluded except where they bear directly on educational content or on the interpretation of risk.</w:t>
      </w:r>
    </w:p>
    <w:p w14:paraId="27594757" w14:textId="77777777" w:rsidR="008A35DC" w:rsidRDefault="00000000">
      <w:pPr>
        <w:ind w:firstLine="425"/>
        <w:jc w:val="both"/>
      </w:pPr>
      <w:r>
        <w:t>The specific knowledge gap is the absence of an evidence-based educational framework that integrates material-specific environmental science with behavioural theory, systems thinking and policy context for a single high-leakage product class. Existing reviews treat plastic-pollution education generically, treat polystyrene foam as a technical or regulatory problem, or treat systems thinking as a general educational aim without anchoring it in a concrete material system. As a result, educators lack guidance on which scientific findings are sufficiently robust to teach, how contested findings should be presented, and how learning should connect with institutional and policy action.</w:t>
      </w:r>
    </w:p>
    <w:p w14:paraId="2712AEAC" w14:textId="77777777" w:rsidR="008A35DC" w:rsidRDefault="00000000">
      <w:pPr>
        <w:ind w:firstLine="425"/>
        <w:jc w:val="both"/>
      </w:pPr>
      <w:r>
        <w:t>The objectives are fourfold. The first is to appraise the strength and consistency of evidence on the environmental behaviour, hazards, life-cycle trade-offs and emerging degradation routes of polystyrene foam. The second is to evaluate the behavioural assumptions and outcomes of the principal policy instruments. The third is to assess what plastic-pollution and sustainability education research demonstrates about changes in knowledge, reasoning and behaviour, together with its methodological limitations. The fourth is to derive from this synthesis a conceptual framework, the Styrofoam Systems Education Model (SSEM), that distinguishes supported from hypothesised relationships and generates testable propositions. The intended contribution is conceptual and methodological rather than a claim of demonstrated effectiveness.</w:t>
      </w:r>
    </w:p>
    <w:p w14:paraId="12C3BCB3" w14:textId="77777777" w:rsidR="008A35DC" w:rsidRDefault="00000000">
      <w:pPr>
        <w:keepNext/>
        <w:spacing w:before="280"/>
      </w:pPr>
      <w:r>
        <w:rPr>
          <w:b/>
          <w:sz w:val="26"/>
        </w:rPr>
        <w:t>2. Methods for Literature Selection</w:t>
      </w:r>
    </w:p>
    <w:p w14:paraId="7A2AEC0D" w14:textId="77777777" w:rsidR="008A35DC" w:rsidRDefault="00000000">
      <w:pPr>
        <w:keepNext/>
        <w:spacing w:before="200"/>
      </w:pPr>
      <w:r>
        <w:rPr>
          <w:b/>
          <w:i/>
        </w:rPr>
        <w:t>2.1 Review Design and Rationale</w:t>
      </w:r>
    </w:p>
    <w:p w14:paraId="5BAEA46F" w14:textId="77777777" w:rsidR="008A35DC" w:rsidRDefault="00000000">
      <w:pPr>
        <w:ind w:firstLine="425"/>
        <w:jc w:val="both"/>
      </w:pPr>
      <w:r>
        <w:t xml:space="preserve">A critical narrative review with an integrative orientation was selected because the question spans materials science, ecotoxicology, food-contact safety, life cycle assessment (LCA), policy analysis, environmental psychology and education research. These fields use incompatible </w:t>
      </w:r>
      <w:r>
        <w:lastRenderedPageBreak/>
        <w:t>designs and outcome measures, ranging from accelerated weathering experiments to participatory policy workshops and classroom pre-test and post-test comparisons, which precludes meaningful statistical pooling. Narrative reviews are well suited to interpretive synthesis of heterogeneous evidence and to theory building, provided that their search, selection and appraisal procedures are made transparent (Greenhalgh et al., 2018). The conduct of the present review was guided by the quality criteria of the Scale for the Assessment of Narrative Review Articles, which emphasise justification of the topic, explicit aims, description of the literature search, referencing, scientific reasoning and appropriate presentation of data (Baethge et al., 2019). Because a central aim was the development of a conceptual framework, principles for integrative literature reviews and conceptual article design were also applied, particularly the requirement that a new framework be derived from, and traceable to, critically analysed prior work (Jaakkola, 2020; Torraco, 2016). The narrative design did not remove the need for transparency or appraisal, and it was not intended to substitute for a future systematic review of intervention effects.</w:t>
      </w:r>
    </w:p>
    <w:p w14:paraId="55E71DF3" w14:textId="77777777" w:rsidR="008A35DC" w:rsidRDefault="00000000">
      <w:pPr>
        <w:keepNext/>
        <w:spacing w:before="200"/>
      </w:pPr>
      <w:r>
        <w:rPr>
          <w:b/>
          <w:i/>
        </w:rPr>
        <w:t>2.2 Information Sources</w:t>
      </w:r>
    </w:p>
    <w:p w14:paraId="1E74D523" w14:textId="77777777" w:rsidR="008A35DC" w:rsidRDefault="00000000">
      <w:pPr>
        <w:ind w:firstLine="425"/>
        <w:jc w:val="both"/>
      </w:pPr>
      <w:r>
        <w:t>Literature was identified through ERIC for education research, OpenAlex, Crossref and OpenAIRE as multidisciplinary scholarly indexes, Europe PMC for environmental health and toxicology records, and DOAJ, Semantic Scholar and Google Scholar as supplementary scholarly information sources. Institutional sources comprised the websites and publication repositories of the United Nations Environment Programme (UNEP), the Organisation for Economic Co-operation and Development (OECD), the United Nations Educational, Scientific and Cultural Organization (UNESCO) and the International Agency for Research on Cancer (IARC). Backward citation searching was applied to the reference lists of key reviews, and forward citation searching and related-record searching were applied to influential primary studies on polystyrene foam, plastic-pollution education and systems thinking. Searches for corrections, errata and expressions of concern were conducted for all retained records through their bibliographic metadata.</w:t>
      </w:r>
    </w:p>
    <w:p w14:paraId="03215BBD" w14:textId="77777777" w:rsidR="008A35DC" w:rsidRDefault="00000000">
      <w:pPr>
        <w:keepNext/>
        <w:spacing w:before="200"/>
      </w:pPr>
      <w:r>
        <w:rPr>
          <w:b/>
          <w:i/>
        </w:rPr>
        <w:t>2.3 Search Strategy and Search Period</w:t>
      </w:r>
    </w:p>
    <w:p w14:paraId="31C901BB" w14:textId="77777777" w:rsidR="008A35DC" w:rsidRDefault="00000000">
      <w:pPr>
        <w:ind w:firstLine="425"/>
        <w:jc w:val="both"/>
      </w:pPr>
      <w:r>
        <w:t xml:space="preserve">Search concepts were constructed around four blocks: the material and its forms; environmental, health and life-cycle processes; policy and behavioural responses; and education, systems thinking and competence. Free-text terms were combined with Boolean operators and adapted to the syntax of each source. A representative core string was: ("expanded polystyrene" OR "extruded polystyrene" OR "polystyrene foam" OR styrofoam OR EPS) AND (pollution OR litter OR debris OR microplastic* OR additive* OR "life cycle") AND (education OR curriculum </w:t>
      </w:r>
      <w:r>
        <w:lastRenderedPageBreak/>
        <w:t>OR students OR awareness OR behaviour OR policy OR ban). Separate strings targeted the educational and theoretical literature, for example ("plastic pollution" OR "marine litter" OR microplastic*) AND (education OR intervention OR "systems thinking" OR "action competence" OR "circular economy"), as summarised in Table 1. The search period extended from 1 January 2000 to 27 July 2026. The starting year reflects the consolidation of education for sustainable development (ESD) as an international agenda and the emergence of microplastics as a distinct research field in the early 2000s. Earlier foundational publications on behavioural theory, action competence and styrene migration were retained where they remained conceptually necessary.</w:t>
      </w:r>
    </w:p>
    <w:p w14:paraId="075432E3" w14:textId="77777777" w:rsidR="008A35DC" w:rsidRDefault="00000000">
      <w:pPr>
        <w:keepNext/>
        <w:spacing w:before="200"/>
      </w:pPr>
      <w:r>
        <w:rPr>
          <w:b/>
          <w:i/>
        </w:rPr>
        <w:t>2.4 Eligibility Criteria</w:t>
      </w:r>
    </w:p>
    <w:p w14:paraId="4430F1AD" w14:textId="77777777" w:rsidR="008A35DC" w:rsidRDefault="00000000">
      <w:pPr>
        <w:ind w:firstLine="425"/>
        <w:jc w:val="both"/>
      </w:pPr>
      <w:r>
        <w:t>Eligible records were peer-reviewed journal articles, peer-reviewed reviews and meta-analyses, and reports from recognised intergovernmental or scientific institutions. Records were required to address at least one of the following: environmental occurrence, fragmentation, additives or degradation of polystyrene or polystyrene foam; styrene or oligomer migration from polystyrene food-contact materials; life cycle comparisons including polystyrene containers; policy instruments targeting polystyrene foam or single-use plastics; public perceptions of and behaviour towards plastics; evaluated or theoretically grounded plastic-pollution education; or systems thinking, life-cycle thinking and sustainability competence in education. Empirical studies of any design were eligible, including laboratory experiments, field surveys, modelling studies, quasi-experiments, surveys and qualitative studies. Publications in English were included. Excluded were trade magazines, commercial and promotional material, patents, non-peer-reviewed preprints where peer-reviewed evidence existed, conference abstracts without full reports, opinion pieces lacking scholarly apparatus, and any record whose bibliographic details could not be confirmed.</w:t>
      </w:r>
    </w:p>
    <w:p w14:paraId="24B45111" w14:textId="77777777" w:rsidR="008A35DC" w:rsidRDefault="00000000">
      <w:pPr>
        <w:keepNext/>
        <w:spacing w:before="200"/>
      </w:pPr>
      <w:r>
        <w:rPr>
          <w:b/>
          <w:i/>
        </w:rPr>
        <w:t>2.5 Screening, Duplicate Handling and Study Selection</w:t>
      </w:r>
    </w:p>
    <w:p w14:paraId="3496BD23" w14:textId="77777777" w:rsidR="008A35DC" w:rsidRDefault="00000000">
      <w:pPr>
        <w:ind w:firstLine="425"/>
        <w:jc w:val="both"/>
      </w:pPr>
      <w:r>
        <w:t xml:space="preserve">Titles and abstracts were screened for topical relevance, followed by full-text or detailed abstract assessment of potentially eligible records. Duplicates arising from overlapping indexes were identified by Digital Object Identifier (DOI) and, where absent, by title, first author and year, and only the version of record was retained. Supplementary files, corrections and dataset records sharing a parent DOI were excluded as separate items, although corrections were examined for their implications for the parent article. Records that could not be accessed in sufficient detail to confirm their findings, or whose metadata could not be verified against an authoritative registry, were not cited. Because the review followed a narrative rather than a </w:t>
      </w:r>
      <w:r>
        <w:lastRenderedPageBreak/>
        <w:t>systematic protocol, record counts at each stage are not reported, and no flow diagram is presented.</w:t>
      </w:r>
    </w:p>
    <w:p w14:paraId="15E2B7E4" w14:textId="77777777" w:rsidR="008A35DC" w:rsidRDefault="00000000">
      <w:pPr>
        <w:keepNext/>
        <w:spacing w:before="200"/>
      </w:pPr>
      <w:r>
        <w:rPr>
          <w:b/>
          <w:i/>
        </w:rPr>
        <w:t>2.6 Critical Appraisal and Evidence Synthesis</w:t>
      </w:r>
    </w:p>
    <w:p w14:paraId="35B566F1" w14:textId="77777777" w:rsidR="008A35DC" w:rsidRDefault="00000000">
      <w:pPr>
        <w:ind w:firstLine="425"/>
        <w:jc w:val="both"/>
      </w:pPr>
      <w:r>
        <w:t>Appraisal was adapted to study type. Experimental environmental studies were judged by the realism of exposure conditions, replication and the distance between laboratory and field settings. Monitoring studies were judged by spatial coverage, sampling design and analytical confirmation. Life cycle studies were judged by functional unit, system boundaries, inclusion of end-of-life leakage and sensitivity to assumptions. Education studies were judged by the presence of comparison groups, sample size, outcome type (knowledge, attitudes, intentions, self-reported or observed behaviour), follow-up duration and measurement validity. No formal risk-of-bias scores were assigned, because the heterogeneity of designs did not allow a single recognised tool to be applied consistently. Themes were developed iteratively by grouping findings around mechanisms, controversies and educational implications, and disagreements between studies were interpreted with reference to differences in design, context and outcome definition rather than resolved by vote counting. The conceptual framework in Section 7 was derived from the themes in Sections 3 to 6, and each component was classified according to whether its underlying relationships were directly supported, indirectly supported by adjacent evidence, or hypothesised.</w:t>
      </w:r>
    </w:p>
    <w:p w14:paraId="0B3AFF79" w14:textId="77777777" w:rsidR="008A35DC" w:rsidRDefault="00000000">
      <w:pPr>
        <w:ind w:firstLine="425"/>
        <w:jc w:val="both"/>
      </w:pPr>
      <w:r>
        <w:t>The search architecture is presented in Table 1. Its purpose is to make the scope reproducible and to show how the four concept blocks map onto the thematic sections of the review. The table also indicates where the evidence base was sparse, most notably for studies combining polystyrene foam with educational interventions, a combination for which no evaluated intervention study was identified.</w:t>
      </w:r>
    </w:p>
    <w:p w14:paraId="71678937" w14:textId="77777777" w:rsidR="008A35DC" w:rsidRDefault="00000000">
      <w:pPr>
        <w:keepNext/>
        <w:spacing w:before="160" w:line="276" w:lineRule="auto"/>
      </w:pPr>
      <w:r>
        <w:rPr>
          <w:b/>
          <w:sz w:val="22"/>
        </w:rPr>
        <w:t>Table 1</w:t>
      </w:r>
    </w:p>
    <w:p w14:paraId="2C07EF07" w14:textId="77777777" w:rsidR="008A35DC" w:rsidRDefault="00000000">
      <w:pPr>
        <w:keepNext/>
        <w:spacing w:line="276" w:lineRule="auto"/>
      </w:pPr>
      <w:r>
        <w:rPr>
          <w:i/>
          <w:sz w:val="22"/>
        </w:rPr>
        <w:t>Search concept blocks, representative Boolean strings and their correspondence to the thematic sections of the review</w:t>
      </w:r>
    </w:p>
    <w:tbl>
      <w:tblPr>
        <w:tblStyle w:val="TableGrid"/>
        <w:tblW w:w="0" w:type="auto"/>
        <w:jc w:val="center"/>
        <w:tblLayout w:type="fixed"/>
        <w:tblLook w:val="04A0" w:firstRow="1" w:lastRow="0" w:firstColumn="1" w:lastColumn="0" w:noHBand="0" w:noVBand="1"/>
      </w:tblPr>
      <w:tblGrid>
        <w:gridCol w:w="1247"/>
        <w:gridCol w:w="1701"/>
        <w:gridCol w:w="2608"/>
        <w:gridCol w:w="1474"/>
        <w:gridCol w:w="907"/>
        <w:gridCol w:w="1474"/>
      </w:tblGrid>
      <w:tr w:rsidR="008A35DC" w14:paraId="24C4BD42" w14:textId="77777777">
        <w:trPr>
          <w:tblHeader/>
          <w:jc w:val="center"/>
        </w:trPr>
        <w:tc>
          <w:tcPr>
            <w:tcW w:w="1247" w:type="dxa"/>
            <w:shd w:val="clear" w:color="auto" w:fill="D9E2EC"/>
          </w:tcPr>
          <w:p w14:paraId="4769B6AF" w14:textId="77777777" w:rsidR="008A35DC" w:rsidRDefault="00000000">
            <w:pPr>
              <w:spacing w:after="0" w:line="240" w:lineRule="auto"/>
            </w:pPr>
            <w:r>
              <w:rPr>
                <w:b/>
                <w:sz w:val="17"/>
              </w:rPr>
              <w:t>Concept block</w:t>
            </w:r>
          </w:p>
        </w:tc>
        <w:tc>
          <w:tcPr>
            <w:tcW w:w="1701" w:type="dxa"/>
            <w:shd w:val="clear" w:color="auto" w:fill="D9E2EC"/>
          </w:tcPr>
          <w:p w14:paraId="3D923AEE" w14:textId="77777777" w:rsidR="008A35DC" w:rsidRDefault="00000000">
            <w:pPr>
              <w:spacing w:after="0" w:line="240" w:lineRule="auto"/>
            </w:pPr>
            <w:r>
              <w:rPr>
                <w:b/>
                <w:sz w:val="17"/>
              </w:rPr>
              <w:t>Principal free-text terms</w:t>
            </w:r>
          </w:p>
        </w:tc>
        <w:tc>
          <w:tcPr>
            <w:tcW w:w="2608" w:type="dxa"/>
            <w:shd w:val="clear" w:color="auto" w:fill="D9E2EC"/>
          </w:tcPr>
          <w:p w14:paraId="2DEB90C2" w14:textId="77777777" w:rsidR="008A35DC" w:rsidRDefault="00000000">
            <w:pPr>
              <w:spacing w:after="0" w:line="240" w:lineRule="auto"/>
            </w:pPr>
            <w:r>
              <w:rPr>
                <w:b/>
                <w:sz w:val="17"/>
              </w:rPr>
              <w:t>Representative Boolean string</w:t>
            </w:r>
          </w:p>
        </w:tc>
        <w:tc>
          <w:tcPr>
            <w:tcW w:w="1474" w:type="dxa"/>
            <w:shd w:val="clear" w:color="auto" w:fill="D9E2EC"/>
          </w:tcPr>
          <w:p w14:paraId="411D2337" w14:textId="77777777" w:rsidR="008A35DC" w:rsidRDefault="00000000">
            <w:pPr>
              <w:spacing w:after="0" w:line="240" w:lineRule="auto"/>
            </w:pPr>
            <w:r>
              <w:rPr>
                <w:b/>
                <w:sz w:val="17"/>
              </w:rPr>
              <w:t>Main sources applied</w:t>
            </w:r>
          </w:p>
        </w:tc>
        <w:tc>
          <w:tcPr>
            <w:tcW w:w="907" w:type="dxa"/>
            <w:shd w:val="clear" w:color="auto" w:fill="D9E2EC"/>
          </w:tcPr>
          <w:p w14:paraId="15DCCC6D" w14:textId="77777777" w:rsidR="008A35DC" w:rsidRDefault="00000000">
            <w:pPr>
              <w:spacing w:after="0" w:line="240" w:lineRule="auto"/>
            </w:pPr>
            <w:r>
              <w:rPr>
                <w:b/>
                <w:sz w:val="17"/>
              </w:rPr>
              <w:t>Sections informed</w:t>
            </w:r>
          </w:p>
        </w:tc>
        <w:tc>
          <w:tcPr>
            <w:tcW w:w="1474" w:type="dxa"/>
            <w:shd w:val="clear" w:color="auto" w:fill="D9E2EC"/>
          </w:tcPr>
          <w:p w14:paraId="529B2419" w14:textId="77777777" w:rsidR="008A35DC" w:rsidRDefault="00000000">
            <w:pPr>
              <w:spacing w:after="0" w:line="240" w:lineRule="auto"/>
            </w:pPr>
            <w:r>
              <w:rPr>
                <w:b/>
                <w:sz w:val="17"/>
              </w:rPr>
              <w:t>Supporting references</w:t>
            </w:r>
          </w:p>
        </w:tc>
      </w:tr>
      <w:tr w:rsidR="008A35DC" w14:paraId="4361127B" w14:textId="77777777">
        <w:trPr>
          <w:jc w:val="center"/>
        </w:trPr>
        <w:tc>
          <w:tcPr>
            <w:tcW w:w="1247" w:type="dxa"/>
          </w:tcPr>
          <w:p w14:paraId="2A9D4F37" w14:textId="77777777" w:rsidR="008A35DC" w:rsidRDefault="00000000">
            <w:pPr>
              <w:spacing w:after="0" w:line="240" w:lineRule="auto"/>
            </w:pPr>
            <w:r>
              <w:rPr>
                <w:sz w:val="17"/>
              </w:rPr>
              <w:t>Material and forms</w:t>
            </w:r>
          </w:p>
        </w:tc>
        <w:tc>
          <w:tcPr>
            <w:tcW w:w="1701" w:type="dxa"/>
          </w:tcPr>
          <w:p w14:paraId="6FF4BA55" w14:textId="77777777" w:rsidR="008A35DC" w:rsidRDefault="00000000">
            <w:pPr>
              <w:spacing w:after="0" w:line="240" w:lineRule="auto"/>
            </w:pPr>
            <w:r>
              <w:rPr>
                <w:sz w:val="17"/>
              </w:rPr>
              <w:t>expanded polystyrene; extruded polystyrene; polystyrene foam; styrofoam; EPS; XPS</w:t>
            </w:r>
          </w:p>
        </w:tc>
        <w:tc>
          <w:tcPr>
            <w:tcW w:w="2608" w:type="dxa"/>
          </w:tcPr>
          <w:p w14:paraId="1A9D486A" w14:textId="77777777" w:rsidR="008A35DC" w:rsidRDefault="00000000">
            <w:pPr>
              <w:spacing w:after="0" w:line="240" w:lineRule="auto"/>
            </w:pPr>
            <w:r>
              <w:rPr>
                <w:sz w:val="17"/>
              </w:rPr>
              <w:t>("expanded polystyrene" OR "extruded polystyrene" OR "polystyrene foam" OR styrofoam) AND (debris OR litter OR microplastic* OR fragmentation)</w:t>
            </w:r>
          </w:p>
        </w:tc>
        <w:tc>
          <w:tcPr>
            <w:tcW w:w="1474" w:type="dxa"/>
          </w:tcPr>
          <w:p w14:paraId="1EEFD5F7" w14:textId="77777777" w:rsidR="008A35DC" w:rsidRDefault="00000000">
            <w:pPr>
              <w:spacing w:after="0" w:line="240" w:lineRule="auto"/>
            </w:pPr>
            <w:r>
              <w:rPr>
                <w:sz w:val="17"/>
              </w:rPr>
              <w:t>Crossref; OpenAlex; OpenAIRE; Google Scholar</w:t>
            </w:r>
          </w:p>
        </w:tc>
        <w:tc>
          <w:tcPr>
            <w:tcW w:w="907" w:type="dxa"/>
          </w:tcPr>
          <w:p w14:paraId="71F014D5" w14:textId="77777777" w:rsidR="008A35DC" w:rsidRDefault="00000000">
            <w:pPr>
              <w:spacing w:after="0" w:line="240" w:lineRule="auto"/>
            </w:pPr>
            <w:r>
              <w:rPr>
                <w:sz w:val="17"/>
              </w:rPr>
              <w:t>3</w:t>
            </w:r>
          </w:p>
        </w:tc>
        <w:tc>
          <w:tcPr>
            <w:tcW w:w="1474" w:type="dxa"/>
          </w:tcPr>
          <w:p w14:paraId="225C20BF" w14:textId="77777777" w:rsidR="008A35DC" w:rsidRDefault="00000000">
            <w:pPr>
              <w:spacing w:after="0" w:line="240" w:lineRule="auto"/>
            </w:pPr>
            <w:r>
              <w:rPr>
                <w:sz w:val="17"/>
              </w:rPr>
              <w:t>Song et al., 2017; Turner, 2020</w:t>
            </w:r>
          </w:p>
        </w:tc>
      </w:tr>
      <w:tr w:rsidR="008A35DC" w14:paraId="61CE3174" w14:textId="77777777">
        <w:trPr>
          <w:jc w:val="center"/>
        </w:trPr>
        <w:tc>
          <w:tcPr>
            <w:tcW w:w="1247" w:type="dxa"/>
          </w:tcPr>
          <w:p w14:paraId="7E0EE361" w14:textId="77777777" w:rsidR="008A35DC" w:rsidRDefault="00000000">
            <w:pPr>
              <w:spacing w:after="0" w:line="240" w:lineRule="auto"/>
            </w:pPr>
            <w:r>
              <w:rPr>
                <w:sz w:val="17"/>
              </w:rPr>
              <w:t>Hazards, health and life cycle</w:t>
            </w:r>
          </w:p>
        </w:tc>
        <w:tc>
          <w:tcPr>
            <w:tcW w:w="1701" w:type="dxa"/>
          </w:tcPr>
          <w:p w14:paraId="1C35F341" w14:textId="77777777" w:rsidR="008A35DC" w:rsidRDefault="00000000">
            <w:pPr>
              <w:spacing w:after="0" w:line="240" w:lineRule="auto"/>
            </w:pPr>
            <w:r>
              <w:rPr>
                <w:sz w:val="17"/>
              </w:rPr>
              <w:t>additives; hexabromocyclododecane; styrene migration; life cycle assessment; biodegradation; photochemical oxidation</w:t>
            </w:r>
          </w:p>
        </w:tc>
        <w:tc>
          <w:tcPr>
            <w:tcW w:w="2608" w:type="dxa"/>
          </w:tcPr>
          <w:p w14:paraId="5CC1D78F" w14:textId="77777777" w:rsidR="008A35DC" w:rsidRDefault="00000000">
            <w:pPr>
              <w:spacing w:after="0" w:line="240" w:lineRule="auto"/>
            </w:pPr>
            <w:r>
              <w:rPr>
                <w:sz w:val="17"/>
              </w:rPr>
              <w:t>(polystyrene OR styrofoam) AND (additive* OR hexabromocyclododecane OR "styrene migration" OR "life cycle assessment" OR biodegradation OR "photochemical oxidation")</w:t>
            </w:r>
          </w:p>
        </w:tc>
        <w:tc>
          <w:tcPr>
            <w:tcW w:w="1474" w:type="dxa"/>
          </w:tcPr>
          <w:p w14:paraId="137765B7" w14:textId="77777777" w:rsidR="008A35DC" w:rsidRDefault="00000000">
            <w:pPr>
              <w:spacing w:after="0" w:line="240" w:lineRule="auto"/>
            </w:pPr>
            <w:r>
              <w:rPr>
                <w:sz w:val="17"/>
              </w:rPr>
              <w:t>Crossref; Europe PMC; OpenAlex; Semantic Scholar; IARC website</w:t>
            </w:r>
          </w:p>
        </w:tc>
        <w:tc>
          <w:tcPr>
            <w:tcW w:w="907" w:type="dxa"/>
          </w:tcPr>
          <w:p w14:paraId="6685CC02" w14:textId="77777777" w:rsidR="008A35DC" w:rsidRDefault="00000000">
            <w:pPr>
              <w:spacing w:after="0" w:line="240" w:lineRule="auto"/>
            </w:pPr>
            <w:r>
              <w:rPr>
                <w:sz w:val="17"/>
              </w:rPr>
              <w:t>3</w:t>
            </w:r>
          </w:p>
        </w:tc>
        <w:tc>
          <w:tcPr>
            <w:tcW w:w="1474" w:type="dxa"/>
          </w:tcPr>
          <w:p w14:paraId="35F06136" w14:textId="77777777" w:rsidR="008A35DC" w:rsidRDefault="00000000">
            <w:pPr>
              <w:spacing w:after="0" w:line="240" w:lineRule="auto"/>
            </w:pPr>
            <w:r>
              <w:rPr>
                <w:sz w:val="17"/>
              </w:rPr>
              <w:t>Gallego-Schmid et al., 2019; Jang et al., 2017; Ward et al., 2019</w:t>
            </w:r>
          </w:p>
        </w:tc>
      </w:tr>
      <w:tr w:rsidR="008A35DC" w14:paraId="3228DCBF" w14:textId="77777777">
        <w:trPr>
          <w:jc w:val="center"/>
        </w:trPr>
        <w:tc>
          <w:tcPr>
            <w:tcW w:w="1247" w:type="dxa"/>
          </w:tcPr>
          <w:p w14:paraId="3E4C0B01" w14:textId="77777777" w:rsidR="008A35DC" w:rsidRDefault="00000000">
            <w:pPr>
              <w:spacing w:after="0" w:line="240" w:lineRule="auto"/>
            </w:pPr>
            <w:r>
              <w:rPr>
                <w:sz w:val="17"/>
              </w:rPr>
              <w:t>Policy and behaviour</w:t>
            </w:r>
          </w:p>
        </w:tc>
        <w:tc>
          <w:tcPr>
            <w:tcW w:w="1701" w:type="dxa"/>
          </w:tcPr>
          <w:p w14:paraId="064EF35E" w14:textId="77777777" w:rsidR="008A35DC" w:rsidRDefault="00000000">
            <w:pPr>
              <w:spacing w:after="0" w:line="240" w:lineRule="auto"/>
            </w:pPr>
            <w:r>
              <w:rPr>
                <w:sz w:val="17"/>
              </w:rPr>
              <w:t xml:space="preserve">ban; levy; single-use plastics; policy; </w:t>
            </w:r>
            <w:r>
              <w:rPr>
                <w:sz w:val="17"/>
              </w:rPr>
              <w:lastRenderedPageBreak/>
              <w:t>perception; behaviour; intervention</w:t>
            </w:r>
          </w:p>
        </w:tc>
        <w:tc>
          <w:tcPr>
            <w:tcW w:w="2608" w:type="dxa"/>
          </w:tcPr>
          <w:p w14:paraId="1DDB1400" w14:textId="77777777" w:rsidR="008A35DC" w:rsidRDefault="00000000">
            <w:pPr>
              <w:spacing w:after="0" w:line="240" w:lineRule="auto"/>
            </w:pPr>
            <w:r>
              <w:rPr>
                <w:sz w:val="17"/>
              </w:rPr>
              <w:lastRenderedPageBreak/>
              <w:t xml:space="preserve">("single-use plastic" OR "polystyrene foam" OR "marine </w:t>
            </w:r>
            <w:r>
              <w:rPr>
                <w:sz w:val="17"/>
              </w:rPr>
              <w:lastRenderedPageBreak/>
              <w:t>litter") AND (ban* OR levy OR policy OR perception* OR behavio*r OR intervention*)</w:t>
            </w:r>
          </w:p>
        </w:tc>
        <w:tc>
          <w:tcPr>
            <w:tcW w:w="1474" w:type="dxa"/>
          </w:tcPr>
          <w:p w14:paraId="789AF5F9" w14:textId="77777777" w:rsidR="008A35DC" w:rsidRDefault="00000000">
            <w:pPr>
              <w:spacing w:after="0" w:line="240" w:lineRule="auto"/>
            </w:pPr>
            <w:r>
              <w:rPr>
                <w:sz w:val="17"/>
              </w:rPr>
              <w:lastRenderedPageBreak/>
              <w:t xml:space="preserve">Crossref; OpenAIRE; </w:t>
            </w:r>
            <w:r>
              <w:rPr>
                <w:sz w:val="17"/>
              </w:rPr>
              <w:lastRenderedPageBreak/>
              <w:t>DOAJ; UNEP and OECD websites</w:t>
            </w:r>
          </w:p>
        </w:tc>
        <w:tc>
          <w:tcPr>
            <w:tcW w:w="907" w:type="dxa"/>
          </w:tcPr>
          <w:p w14:paraId="6BDB5794" w14:textId="77777777" w:rsidR="008A35DC" w:rsidRDefault="00000000">
            <w:pPr>
              <w:spacing w:after="0" w:line="240" w:lineRule="auto"/>
            </w:pPr>
            <w:r>
              <w:rPr>
                <w:sz w:val="17"/>
              </w:rPr>
              <w:lastRenderedPageBreak/>
              <w:t>4, 5</w:t>
            </w:r>
          </w:p>
        </w:tc>
        <w:tc>
          <w:tcPr>
            <w:tcW w:w="1474" w:type="dxa"/>
          </w:tcPr>
          <w:p w14:paraId="58BBA800" w14:textId="77777777" w:rsidR="008A35DC" w:rsidRDefault="00000000">
            <w:pPr>
              <w:spacing w:after="0" w:line="240" w:lineRule="auto"/>
            </w:pPr>
            <w:r>
              <w:rPr>
                <w:sz w:val="17"/>
              </w:rPr>
              <w:t xml:space="preserve">Heidbreder et al., 2019; Nuojua et </w:t>
            </w:r>
            <w:r>
              <w:rPr>
                <w:sz w:val="17"/>
              </w:rPr>
              <w:lastRenderedPageBreak/>
              <w:t>al., 2024; Wagner, 2020</w:t>
            </w:r>
          </w:p>
        </w:tc>
      </w:tr>
      <w:tr w:rsidR="008A35DC" w14:paraId="7F521E45" w14:textId="77777777">
        <w:trPr>
          <w:jc w:val="center"/>
        </w:trPr>
        <w:tc>
          <w:tcPr>
            <w:tcW w:w="1247" w:type="dxa"/>
          </w:tcPr>
          <w:p w14:paraId="64A94F92" w14:textId="77777777" w:rsidR="008A35DC" w:rsidRDefault="00000000">
            <w:pPr>
              <w:spacing w:after="0" w:line="240" w:lineRule="auto"/>
            </w:pPr>
            <w:r>
              <w:rPr>
                <w:sz w:val="17"/>
              </w:rPr>
              <w:lastRenderedPageBreak/>
              <w:t>Education and theory</w:t>
            </w:r>
          </w:p>
        </w:tc>
        <w:tc>
          <w:tcPr>
            <w:tcW w:w="1701" w:type="dxa"/>
          </w:tcPr>
          <w:p w14:paraId="4E5E791E" w14:textId="77777777" w:rsidR="008A35DC" w:rsidRDefault="00000000">
            <w:pPr>
              <w:spacing w:after="0" w:line="240" w:lineRule="auto"/>
            </w:pPr>
            <w:r>
              <w:rPr>
                <w:sz w:val="17"/>
              </w:rPr>
              <w:t>education; curriculum; students; systems thinking; life-cycle thinking; action competence; circular economy; sustainability competence</w:t>
            </w:r>
          </w:p>
        </w:tc>
        <w:tc>
          <w:tcPr>
            <w:tcW w:w="2608" w:type="dxa"/>
          </w:tcPr>
          <w:p w14:paraId="19594F04" w14:textId="77777777" w:rsidR="008A35DC" w:rsidRDefault="00000000">
            <w:pPr>
              <w:spacing w:after="0" w:line="240" w:lineRule="auto"/>
            </w:pPr>
            <w:r>
              <w:rPr>
                <w:sz w:val="17"/>
              </w:rPr>
              <w:t>("plastic pollution" OR "marine litter" OR microplastic* OR polystyrene) AND (education OR curriculum OR student* OR "systems thinking" OR "action competence" OR "circular economy")</w:t>
            </w:r>
          </w:p>
        </w:tc>
        <w:tc>
          <w:tcPr>
            <w:tcW w:w="1474" w:type="dxa"/>
          </w:tcPr>
          <w:p w14:paraId="1238FB23" w14:textId="77777777" w:rsidR="008A35DC" w:rsidRDefault="00000000">
            <w:pPr>
              <w:spacing w:after="0" w:line="240" w:lineRule="auto"/>
            </w:pPr>
            <w:r>
              <w:rPr>
                <w:sz w:val="17"/>
              </w:rPr>
              <w:t>ERIC; OpenAlex; Semantic Scholar; Google Scholar; UNESCO website</w:t>
            </w:r>
          </w:p>
        </w:tc>
        <w:tc>
          <w:tcPr>
            <w:tcW w:w="907" w:type="dxa"/>
          </w:tcPr>
          <w:p w14:paraId="2F072769" w14:textId="77777777" w:rsidR="008A35DC" w:rsidRDefault="00000000">
            <w:pPr>
              <w:spacing w:after="0" w:line="240" w:lineRule="auto"/>
            </w:pPr>
            <w:r>
              <w:rPr>
                <w:sz w:val="17"/>
              </w:rPr>
              <w:t>5, 6, 7</w:t>
            </w:r>
          </w:p>
        </w:tc>
        <w:tc>
          <w:tcPr>
            <w:tcW w:w="1474" w:type="dxa"/>
          </w:tcPr>
          <w:p w14:paraId="407FBBBD" w14:textId="77777777" w:rsidR="008A35DC" w:rsidRDefault="00000000">
            <w:pPr>
              <w:spacing w:after="0" w:line="240" w:lineRule="auto"/>
            </w:pPr>
            <w:r>
              <w:rPr>
                <w:sz w:val="17"/>
              </w:rPr>
              <w:t>Ben-Zvi Assaraf &amp; Orion, 2005; Hartley et al., 2015; Jensen &amp; Schnack, 1997</w:t>
            </w:r>
          </w:p>
        </w:tc>
      </w:tr>
    </w:tbl>
    <w:p w14:paraId="0C602A64" w14:textId="77777777" w:rsidR="008A35DC" w:rsidRDefault="00000000">
      <w:pPr>
        <w:spacing w:after="240" w:line="240" w:lineRule="auto"/>
      </w:pPr>
      <w:r>
        <w:rPr>
          <w:i/>
          <w:sz w:val="18"/>
        </w:rPr>
        <w:t xml:space="preserve">Note. </w:t>
      </w:r>
      <w:r>
        <w:rPr>
          <w:sz w:val="18"/>
        </w:rPr>
        <w:t>Boolean strings were adapted to the syntax of each source, and the asterisk denotes truncation where supported. Backward and forward citation searching supplemented all blocks. The supporting references are examples of influential records retrieved through each block. EPS = expanded polystyrene; XPS = extruded polystyrene; IARC = International Agency for Research on Cancer; UNEP = United Nations Environment Programme; OECD = Organisation for Economic Co-operation and Development; UNESCO = United Nations Educational, Scientific and Cultural Organization.</w:t>
      </w:r>
    </w:p>
    <w:p w14:paraId="6046F267" w14:textId="77777777" w:rsidR="008A35DC" w:rsidRDefault="00000000">
      <w:pPr>
        <w:keepNext/>
        <w:spacing w:before="280"/>
      </w:pPr>
      <w:r>
        <w:rPr>
          <w:b/>
          <w:sz w:val="26"/>
        </w:rPr>
        <w:t>3. Polystyrene Foam as a Material System: Pathways, Hazards and Contested Evidence</w:t>
      </w:r>
    </w:p>
    <w:p w14:paraId="1CCE3C7A" w14:textId="77777777" w:rsidR="008A35DC" w:rsidRDefault="00000000">
      <w:pPr>
        <w:ind w:firstLine="425"/>
        <w:jc w:val="both"/>
      </w:pPr>
      <w:r>
        <w:t>The purpose of this section is to establish which scientific claims about polystyrene foam are robust enough to serve as the knowledge base of an educational model, and which remain uncertain or contested. The distinction matters because educational materials on plastics often compress heterogeneous findings into simple slogans, whereas the evidence on foam varies considerably in strength across environmental, health and life-cycle domains.</w:t>
      </w:r>
    </w:p>
    <w:p w14:paraId="2EF2CCBE" w14:textId="77777777" w:rsidR="008A35DC" w:rsidRDefault="00000000">
      <w:pPr>
        <w:keepNext/>
        <w:spacing w:before="200"/>
      </w:pPr>
      <w:r>
        <w:rPr>
          <w:b/>
          <w:i/>
        </w:rPr>
        <w:t>3.1 Material Properties and the Generation of Foam Waste</w:t>
      </w:r>
    </w:p>
    <w:p w14:paraId="33A5663F" w14:textId="77777777" w:rsidR="008A35DC" w:rsidRDefault="00000000">
      <w:pPr>
        <w:ind w:firstLine="425"/>
        <w:jc w:val="both"/>
      </w:pPr>
      <w:r>
        <w:t>Polystyrene foams are closed-cell materials in which the polymer matrix constitutes a small fraction of the volume, giving very low bulk density, good thermal insulation and high brittleness (Turner, 2020). These properties explain both their commercial success and their environmental behaviour. Low density means that discarded foam floats and is readily moved by wind, while brittleness means that foam breaks into progressively smaller pieces under handling, abrasion and weathering. Turner (2020) identified consumer food service ware, protective packaging, construction insulation and marine uses such as buoys, pontoons and fish boxes as the principal sources of foamed PS entering the marine environment, and emphasised that foam waste is readily generated and dispersed before it reaches formal waste systems.</w:t>
      </w:r>
    </w:p>
    <w:p w14:paraId="6B5054D4" w14:textId="77777777" w:rsidR="008A35DC" w:rsidRDefault="00000000">
      <w:pPr>
        <w:ind w:firstLine="425"/>
        <w:jc w:val="both"/>
      </w:pPr>
      <w:r>
        <w:t xml:space="preserve">The material is also difficult to manage after use. Mechanical, chemical and thermal recycling routes for polystyrene exist and have been reviewed for many years (Maharana et al., 2007), but the voluminous, lightweight and frequently food-contaminated character of foam products undermines the economics of collection and transport. Wagner (2020) concluded that, in the United States of America, EPS food service ware cannot practically be reused, is not economically viable to recycle and cannot be composted, which is the principal reason why local governments have relied on bans. The evidence therefore supports a teachable proposition that </w:t>
      </w:r>
      <w:r>
        <w:lastRenderedPageBreak/>
        <w:t>the environmental problem of polystyrene foam arises as much from its physical form and the economics of recovery as from the chemistry of the polymer itself.</w:t>
      </w:r>
    </w:p>
    <w:p w14:paraId="03D32FF9" w14:textId="77777777" w:rsidR="008A35DC" w:rsidRDefault="00000000">
      <w:pPr>
        <w:keepNext/>
        <w:spacing w:before="200"/>
      </w:pPr>
      <w:r>
        <w:rPr>
          <w:b/>
          <w:i/>
        </w:rPr>
        <w:t>3.2 Fragmentation, Transport and Environmental Occurrence</w:t>
      </w:r>
    </w:p>
    <w:p w14:paraId="57E406BF" w14:textId="77777777" w:rsidR="008A35DC" w:rsidRDefault="00000000">
      <w:pPr>
        <w:ind w:firstLine="425"/>
        <w:jc w:val="both"/>
      </w:pPr>
      <w:r>
        <w:t>The evidence on fragmentation is comparatively strong and mechanistically coherent. In accelerated weathering experiments simulating beach conditions, EPS was susceptible to mechanical abrasion alone and generated thousands of particles per pellet, whereas polyethylene and polypropylene fragmented only minimally without prior ultraviolet (UV) exposure; combining several months of UV exposure with subsequent abrasion increased EPS fragmentation further, and a large share of the initial EPS volume could not be accounted for in the recovered fragments (Song et al., 2017). A correction to this study was later published, and the qualitative contrast between polymers is the conclusion relied upon here (Song et al., 2018). These findings indicate that a large proportion of weathered EPS passes into size classes that are difficult to recover or even to detect. Turner (2020) similarly described wind-assisted transport and photolytic fracturing at sea, milling in the swash zone and abrasion on beaches, with temporary burial of significant quantities of material.</w:t>
      </w:r>
    </w:p>
    <w:p w14:paraId="61E3BC6E" w14:textId="77777777" w:rsidR="008A35DC" w:rsidRDefault="00000000">
      <w:pPr>
        <w:ind w:firstLine="425"/>
        <w:jc w:val="both"/>
      </w:pPr>
      <w:r>
        <w:t xml:space="preserve">Fragmentation is not confined to abiotic processes. Helmberger et al. (2022) showed that four soil invertebrates, the house cricket </w:t>
      </w:r>
      <w:r>
        <w:rPr>
          <w:i/>
        </w:rPr>
        <w:t>Acheta domesticus</w:t>
      </w:r>
      <w:r>
        <w:t xml:space="preserve">, the isopod </w:t>
      </w:r>
      <w:r>
        <w:rPr>
          <w:i/>
        </w:rPr>
        <w:t>Oniscus asellus</w:t>
      </w:r>
      <w:r>
        <w:t xml:space="preserve">, larvae of the beetle </w:t>
      </w:r>
      <w:r>
        <w:rPr>
          <w:i/>
        </w:rPr>
        <w:t>Zophobas morio</w:t>
      </w:r>
      <w:r>
        <w:t xml:space="preserve"> and the snail </w:t>
      </w:r>
      <w:r>
        <w:rPr>
          <w:i/>
        </w:rPr>
        <w:t>Cornu aspersum</w:t>
      </w:r>
      <w:r>
        <w:t>, fragmented PS foam into microplastic particles within 24 h, with weathered foam fragmented more readily than pristine foam by crickets and isopods. This finding complicates the popular notion that organisms simply suffer from plastics, because biota can also act as agents in microplastic formation. The limitation is that such experiments use short exposures and controlled arenas, so the contribution of biological fragmentation to field-scale microplastic budgets remains unquantified.</w:t>
      </w:r>
    </w:p>
    <w:p w14:paraId="78C0A924" w14:textId="77777777" w:rsidR="008A35DC" w:rsidRDefault="00000000">
      <w:pPr>
        <w:ind w:firstLine="425"/>
        <w:jc w:val="both"/>
      </w:pPr>
      <w:r>
        <w:t xml:space="preserve">Field evidence of foam occurrence is geographically uneven. The strongest monitoring data come from East Asian coastlines, where EPS buoys used in aquaculture constitute the predominant form of marine debris in South Korea (Jang et al., 2017; Lee et al., 2015) and a persistent problem in oyster culture in Taiwan (Chen et al., 2018). Citizen science studies of riverine litter in Germany found plastics and cigarette butts to be the dominant litter types and identified recreational users as the principal perceived source (Kiessling et al., 2019), which suggests that the relative importance of foam varies with local economic activity. Confidence in the general claim that foam fragments rapidly is therefore high, whereas confidence in comparative estimates of foam abundance across regions is limited by inconsistent categorisation </w:t>
      </w:r>
      <w:r>
        <w:lastRenderedPageBreak/>
        <w:t>of foam in litter surveys and by the tendency of foam fragments to fall below visual detection thresholds.</w:t>
      </w:r>
    </w:p>
    <w:p w14:paraId="1225BA79" w14:textId="77777777" w:rsidR="008A35DC" w:rsidRDefault="00000000">
      <w:pPr>
        <w:keepNext/>
        <w:spacing w:before="200"/>
      </w:pPr>
      <w:r>
        <w:rPr>
          <w:b/>
          <w:i/>
        </w:rPr>
        <w:t>3.3 Chemical Additives and Ecotoxicological Concern</w:t>
      </w:r>
    </w:p>
    <w:p w14:paraId="4C6F791E" w14:textId="77777777" w:rsidR="008A35DC" w:rsidRDefault="00000000">
      <w:pPr>
        <w:ind w:firstLine="425"/>
        <w:jc w:val="both"/>
      </w:pPr>
      <w:r>
        <w:t>The most distinctive chemical concern associated with EPS is HBCD, a brominated flame retardant historically added to insulation-grade EPS. Jang et al. (2016) compared mussels living on styrofoam debris with those attached to high-density polyethylene, metal and rock, and found HBCD concentrations of up to 5,160 ng/g lipid weight together with isomer profiles dominated by γ-HBCD in mussels on styrofoam, a pattern consistent with transfer from the foam substrate; microsized styrofoam particles were also identified inside the mussels. In a broader survey, Jang et al. (2017) detected HBCD extensively in EPS buoy debris and EPS microplastics along Korean coasts and in EPS debris from 12 other Asia-Pacific countries, and linked some of the contamination to the recycling of flame-retarded EPS waste into buoy material. Turner (2020) identified HBCD, described as historical but still present through recycling, as the additive of greatest concern for animals that ingest foam.</w:t>
      </w:r>
    </w:p>
    <w:p w14:paraId="6B864079" w14:textId="77777777" w:rsidR="008A35DC" w:rsidRDefault="00000000">
      <w:pPr>
        <w:ind w:firstLine="425"/>
        <w:jc w:val="both"/>
      </w:pPr>
      <w:r>
        <w:t>These studies provide field evidence of additive transfer that is stronger than many laboratory-only demonstrations, but they also carry limitations. The mussel study compared organisms on different substrates at particular sites, so unmeasured site factors cannot be excluded entirely, and HBCD concentrations in organisms do not by themselves establish adverse effects at population level. The broader literature on plastic additives confirms that additives can migrate during use, disposal and recycling, and that recycling can reintroduce substances of concern into new products unless managed carefully (Hahladakis et al., 2018). For educational purposes, the HBCD case illustrates that recycling is not automatically benign, a counter-intuitive point that is central to life-cycle reasoning.</w:t>
      </w:r>
    </w:p>
    <w:p w14:paraId="1864543A" w14:textId="77777777" w:rsidR="008A35DC" w:rsidRDefault="00000000">
      <w:pPr>
        <w:ind w:firstLine="425"/>
        <w:jc w:val="both"/>
      </w:pPr>
      <w:r>
        <w:t xml:space="preserve">Evidence at the nanoscale is more preliminary. Mattsson et al. (2017) reported that polystyrene nanoparticles transferred through an aquatic food chain entered the brain tissue of the crucian carp </w:t>
      </w:r>
      <w:r>
        <w:rPr>
          <w:i/>
        </w:rPr>
        <w:t>Carassius carassius</w:t>
      </w:r>
      <w:r>
        <w:t xml:space="preserve"> and were associated with behavioural disorders. The study is frequently cited as evidence of ecosystem-level harm, but it used manufactured particles under laboratory conditions, and the relevance of the particle types and doses to environmental exposure from weathered foam is uncertain. Such findings justify precautionary concern but should not be taught as demonstrated field effects.</w:t>
      </w:r>
    </w:p>
    <w:p w14:paraId="5BFFE8B2" w14:textId="77777777" w:rsidR="008A35DC" w:rsidRDefault="00000000">
      <w:pPr>
        <w:keepNext/>
        <w:spacing w:before="200"/>
      </w:pPr>
      <w:r>
        <w:rPr>
          <w:b/>
          <w:i/>
        </w:rPr>
        <w:lastRenderedPageBreak/>
        <w:t>3.4 Human Exposure and the Styrene Controversy</w:t>
      </w:r>
    </w:p>
    <w:p w14:paraId="038ED447" w14:textId="77777777" w:rsidR="008A35DC" w:rsidRDefault="00000000">
      <w:pPr>
        <w:ind w:firstLine="425"/>
        <w:jc w:val="both"/>
      </w:pPr>
      <w:r>
        <w:t>Public concern about polystyrene foam frequently centres on styrene migration from food containers. The IARC Monographs Working Group classified styrene as probably carcinogenic to humans (Group 2A), largely on the basis of occupational and experimental evidence (Kogevinas et al., 2018). Migration studies show that styrene transfer from polystyrene cups and containers depends strongly on fat content and storage temperature, although the maximum observed migration into beverages and take-away foods was reported as approximately 0.025% of the total styrene content of the cup (Tawfik &amp; Huyghebaert, 1998). Recycled EPS containers released more styrene and ethylbenzene into a fatty-food simulant than virgin EPS at 25 °C and 40 °C (Lin et al., 2017). By contrast, a risk assessment of styrene dimers and trimers in polystyrene food packaging concluded that margins of safety were above unity under realistic conditions and that consumer risk from these oligomers was low (Gelbke et al., 2019).</w:t>
      </w:r>
    </w:p>
    <w:p w14:paraId="19725294" w14:textId="77777777" w:rsidR="008A35DC" w:rsidRDefault="00000000">
      <w:pPr>
        <w:ind w:firstLine="425"/>
        <w:jc w:val="both"/>
      </w:pPr>
      <w:r>
        <w:t>These findings are not strictly contradictory, because they address different substances, exposure scenarios and endpoints. Hazard classification concerns the intrinsic capacity of styrene to cause cancer under some circumstances, whereas food-contact risk depends on the dose actually received through migration. The available evidence therefore supports caution, particularly regarding hot and fatty foods and recycled material, but does not establish that ordinary consumer use of polystyrene food containers causes measurable harm. An educational model that presented styrene migration as a proven health threat would overstate the evidence, whereas one that ignored the hazard classification would understate legitimate concern. This controversy is well suited to teaching the distinction between hazard and risk.</w:t>
      </w:r>
    </w:p>
    <w:p w14:paraId="51D6C6BD" w14:textId="77777777" w:rsidR="008A35DC" w:rsidRDefault="00000000">
      <w:pPr>
        <w:keepNext/>
        <w:spacing w:before="200"/>
      </w:pPr>
      <w:r>
        <w:rPr>
          <w:b/>
          <w:i/>
        </w:rPr>
        <w:t>3.5 Life-Cycle Trade-offs and the Problem of Substitution</w:t>
      </w:r>
    </w:p>
    <w:p w14:paraId="37932BBC" w14:textId="77777777" w:rsidR="008A35DC" w:rsidRDefault="00000000">
      <w:pPr>
        <w:ind w:firstLine="425"/>
        <w:jc w:val="both"/>
      </w:pPr>
      <w:r>
        <w:t>Comparative LCA complicates the assumption that eliminating polystyrene foam necessarily reduces overall environmental burden. Gallego-Schmid et al. (2019) compared single-use aluminium, polypropylene and XPS takeaway containers with reusable polypropylene containers and found that XPS containers had the lowest impacts in most categories because of lower material and energy requirements, and that reusable polypropylene containers became preferable only after approximately 3 to 39 uses depending on the impact category. The same study noted that XPS containers were not recycled, which highlights the central weakness of conventional LCA, namely the historical omission of litter leakage and its ecological consequences.</w:t>
      </w:r>
    </w:p>
    <w:p w14:paraId="2401946E" w14:textId="77777777" w:rsidR="008A35DC" w:rsidRDefault="00000000">
      <w:pPr>
        <w:ind w:firstLine="425"/>
        <w:jc w:val="both"/>
      </w:pPr>
      <w:r>
        <w:t xml:space="preserve">Recent methodological work has begun to address this omission. Corella-Puertas et al. (2022) developed simplified characterisation factors for EPS microplastics in the marine environment and showed that, depending on fragmentation, degradation and sedimentation </w:t>
      </w:r>
      <w:r>
        <w:lastRenderedPageBreak/>
        <w:t>scenarios, litter-related impacts of on-the-go food containers ranged from barely noticeable to more than doubling total potential ecosystem impact. Caspers and Finkbeiner (2025) found no clear overall ranking among takeaway packaging options, a slight preference for reusable packaging, strong sensitivity of break-even points to user behaviour, and substantial residual uncertainty in littering methods. The apparent discrepancy between LCA results and the policy preference for foam bans therefore reflects, at least in part, differences in what is counted. The practical implication for education is that learners should be able to reason about trade-offs between climate-related and litter-related impacts, and about the dependence of reusable systems on actual reuse behaviour, rather than accept any material as intrinsically good or bad. Public confusion about biodegradable and compostable plastics, including uncertainty over appropriate end-of-life management, indicates that substitution without understanding can generate new forms of mismanagement (Dilkes-Hoffman et al., 2019).</w:t>
      </w:r>
    </w:p>
    <w:p w14:paraId="6BA7FE39" w14:textId="77777777" w:rsidR="008A35DC" w:rsidRDefault="00000000">
      <w:pPr>
        <w:keepNext/>
        <w:spacing w:before="200"/>
      </w:pPr>
      <w:r>
        <w:rPr>
          <w:b/>
          <w:i/>
        </w:rPr>
        <w:t>3.6 Emerging Degradation Routes: Scientific Promise and Educational Risk</w:t>
      </w:r>
    </w:p>
    <w:p w14:paraId="26D0CEBD" w14:textId="77777777" w:rsidR="008A35DC" w:rsidRDefault="00000000">
      <w:pPr>
        <w:ind w:firstLine="425"/>
        <w:jc w:val="both"/>
      </w:pPr>
      <w:r>
        <w:t>Two lines of research have challenged the assumption that polystyrene persists almost indefinitely. Ward et al. (2019) showed that polystyrene can be completely photochemically oxidised to carbon dioxide and partially oxidised to dissolved organic carbon, with estimated lifetimes on centennial and decadal time scales respectively, and that additives altered susceptibility to photochemical oxidation. These estimates are orders of magnitude shorter than those commonly assumed in policy communication, but they apply to sunlit conditions and do not describe the fate of buried, submerged or sedimented material.</w:t>
      </w:r>
    </w:p>
    <w:p w14:paraId="3397F038" w14:textId="77777777" w:rsidR="008A35DC" w:rsidRDefault="00000000">
      <w:pPr>
        <w:ind w:firstLine="425"/>
        <w:jc w:val="both"/>
      </w:pPr>
      <w:r>
        <w:t xml:space="preserve">The second line concerns insect-mediated biodegradation. Larvae of the yellow mealworm </w:t>
      </w:r>
      <w:r>
        <w:rPr>
          <w:i/>
        </w:rPr>
        <w:t>Tenebrio molitor</w:t>
      </w:r>
      <w:r>
        <w:t xml:space="preserve"> ate styrofoam and, within a 16-day test, converted approximately 47.7% of the ingested carbon to carbon dioxide, with approximately 49.2% egested and a limited fraction incorporated into biomass; isotopically labelled polystyrene confirmed mineralisation (Yang et al., 2015a). Suppression of gut bacteria with gentamicin abolished depolymerisation, and an isolated gut bacterium, </w:t>
      </w:r>
      <w:r>
        <w:rPr>
          <w:i/>
        </w:rPr>
        <w:t>Exiguobacterium</w:t>
      </w:r>
      <w:r>
        <w:t xml:space="preserve"> sp. strain YT2, degraded 7.4% of polystyrene pieces over 60 days (Yang et al., 2015b). Larvae of the dark mealworm </w:t>
      </w:r>
      <w:r>
        <w:rPr>
          <w:i/>
        </w:rPr>
        <w:t>Tenebrio obscurus</w:t>
      </w:r>
      <w:r>
        <w:t xml:space="preserve"> reduced the number-average molecular weight of residual polystyrene more than </w:t>
      </w:r>
      <w:r>
        <w:rPr>
          <w:i/>
        </w:rPr>
        <w:t>T. molitor</w:t>
      </w:r>
      <w:r>
        <w:t xml:space="preserve"> did (Peng et al., 2019). More recent work detected polystyrene nanoplastics in the gut tissues and glands of </w:t>
      </w:r>
      <w:r>
        <w:rPr>
          <w:i/>
        </w:rPr>
        <w:t>T. molitor</w:t>
      </w:r>
      <w:r>
        <w:t xml:space="preserve"> larvae during biodegradation, although concentrations declined over subsequent weeks (Peng et al., 2024).</w:t>
      </w:r>
    </w:p>
    <w:p w14:paraId="66E759BA" w14:textId="77777777" w:rsidR="008A35DC" w:rsidRDefault="00000000">
      <w:pPr>
        <w:ind w:firstLine="425"/>
        <w:jc w:val="both"/>
      </w:pPr>
      <w:r>
        <w:t xml:space="preserve">These findings are scientifically significant, yet their translation into waste management is remote. The companion literature on polyethylene degradation by larvae of the wax moth </w:t>
      </w:r>
      <w:r>
        <w:rPr>
          <w:i/>
        </w:rPr>
        <w:lastRenderedPageBreak/>
        <w:t>Galleria mellonella</w:t>
      </w:r>
      <w:r>
        <w:t xml:space="preserve"> illustrates how quickly claims of insect plastic digestion can be contested on methodological grounds, since the spectroscopic evidence originally reported (Bombelli et al., 2017) was challenged by researchers who disputed the methodology and argued that comparable spectral changes could arise from contact with biological material rather than from digestion (Weber et al., 2017). Laboratory insect systems process small masses under controlled diets, may generate micro- and nanoplastics as intermediate products, and have not been shown to be economically or ecologically viable for foam waste streams. The educational risk is that attractive stories of plastic-eating insects or self-degrading plastic may weaken the perceived need for reduction at source. The evidence is therefore best taught as an illustration of how science progresses and how scale, uncertainty and unintended consequences must be appraised before technological optimism is warranted.</w:t>
      </w:r>
    </w:p>
    <w:p w14:paraId="546A160D" w14:textId="77777777" w:rsidR="008A35DC" w:rsidRDefault="00000000">
      <w:pPr>
        <w:ind w:firstLine="425"/>
        <w:jc w:val="both"/>
      </w:pPr>
      <w:r>
        <w:t>Table 2 condenses the evidence reviewed in this section by pathway, evidence type and confidence. Its main implication is that the strongest claims concern fragmentation, recovery difficulty and additive transfer, whereas human health risk from food contact, comparative life-cycle superiority and engineered degradation remain conditional. These gradations should shape which claims an educational model presents as settled and which it presents as open questions.</w:t>
      </w:r>
    </w:p>
    <w:p w14:paraId="04DCD6A1" w14:textId="77777777" w:rsidR="008A35DC" w:rsidRDefault="00000000">
      <w:pPr>
        <w:keepNext/>
        <w:spacing w:before="160" w:line="276" w:lineRule="auto"/>
      </w:pPr>
      <w:r>
        <w:rPr>
          <w:b/>
          <w:sz w:val="22"/>
        </w:rPr>
        <w:t>Table 2</w:t>
      </w:r>
    </w:p>
    <w:p w14:paraId="2722932A" w14:textId="77777777" w:rsidR="008A35DC" w:rsidRDefault="00000000">
      <w:pPr>
        <w:keepNext/>
        <w:spacing w:line="276" w:lineRule="auto"/>
      </w:pPr>
      <w:r>
        <w:rPr>
          <w:i/>
          <w:sz w:val="22"/>
        </w:rPr>
        <w:t>Evidence on the environmental behaviour, hazards and life-cycle performance of polystyrene foam, with a qualitative assessment of confidence and educational implications</w:t>
      </w:r>
    </w:p>
    <w:tbl>
      <w:tblPr>
        <w:tblStyle w:val="TableGrid"/>
        <w:tblW w:w="0" w:type="auto"/>
        <w:jc w:val="center"/>
        <w:tblLayout w:type="fixed"/>
        <w:tblLook w:val="04A0" w:firstRow="1" w:lastRow="0" w:firstColumn="1" w:lastColumn="0" w:noHBand="0" w:noVBand="1"/>
      </w:tblPr>
      <w:tblGrid>
        <w:gridCol w:w="1417"/>
        <w:gridCol w:w="1814"/>
        <w:gridCol w:w="1304"/>
        <w:gridCol w:w="1587"/>
        <w:gridCol w:w="1531"/>
        <w:gridCol w:w="1757"/>
      </w:tblGrid>
      <w:tr w:rsidR="008A35DC" w14:paraId="7CED05CE" w14:textId="77777777">
        <w:trPr>
          <w:tblHeader/>
          <w:jc w:val="center"/>
        </w:trPr>
        <w:tc>
          <w:tcPr>
            <w:tcW w:w="1417" w:type="dxa"/>
            <w:shd w:val="clear" w:color="auto" w:fill="D9E2EC"/>
          </w:tcPr>
          <w:p w14:paraId="74748055" w14:textId="77777777" w:rsidR="008A35DC" w:rsidRDefault="00000000">
            <w:pPr>
              <w:spacing w:after="0" w:line="240" w:lineRule="auto"/>
            </w:pPr>
            <w:r>
              <w:rPr>
                <w:b/>
                <w:sz w:val="17"/>
              </w:rPr>
              <w:t>Domain</w:t>
            </w:r>
          </w:p>
        </w:tc>
        <w:tc>
          <w:tcPr>
            <w:tcW w:w="1814" w:type="dxa"/>
            <w:shd w:val="clear" w:color="auto" w:fill="D9E2EC"/>
          </w:tcPr>
          <w:p w14:paraId="346C210F" w14:textId="77777777" w:rsidR="008A35DC" w:rsidRDefault="00000000">
            <w:pPr>
              <w:spacing w:after="0" w:line="240" w:lineRule="auto"/>
            </w:pPr>
            <w:r>
              <w:rPr>
                <w:b/>
                <w:sz w:val="17"/>
              </w:rPr>
              <w:t>Principal finding</w:t>
            </w:r>
          </w:p>
        </w:tc>
        <w:tc>
          <w:tcPr>
            <w:tcW w:w="1304" w:type="dxa"/>
            <w:shd w:val="clear" w:color="auto" w:fill="D9E2EC"/>
          </w:tcPr>
          <w:p w14:paraId="333D10BF" w14:textId="77777777" w:rsidR="008A35DC" w:rsidRDefault="00000000">
            <w:pPr>
              <w:spacing w:after="0" w:line="240" w:lineRule="auto"/>
            </w:pPr>
            <w:r>
              <w:rPr>
                <w:b/>
                <w:sz w:val="17"/>
              </w:rPr>
              <w:t>Dominant evidence type</w:t>
            </w:r>
          </w:p>
        </w:tc>
        <w:tc>
          <w:tcPr>
            <w:tcW w:w="1587" w:type="dxa"/>
            <w:shd w:val="clear" w:color="auto" w:fill="D9E2EC"/>
          </w:tcPr>
          <w:p w14:paraId="48B83020" w14:textId="77777777" w:rsidR="008A35DC" w:rsidRDefault="00000000">
            <w:pPr>
              <w:spacing w:after="0" w:line="240" w:lineRule="auto"/>
            </w:pPr>
            <w:r>
              <w:rPr>
                <w:b/>
                <w:sz w:val="17"/>
              </w:rPr>
              <w:t>Confidence and main limitation</w:t>
            </w:r>
          </w:p>
        </w:tc>
        <w:tc>
          <w:tcPr>
            <w:tcW w:w="1531" w:type="dxa"/>
            <w:shd w:val="clear" w:color="auto" w:fill="D9E2EC"/>
          </w:tcPr>
          <w:p w14:paraId="5D1B1311" w14:textId="77777777" w:rsidR="008A35DC" w:rsidRDefault="00000000">
            <w:pPr>
              <w:spacing w:after="0" w:line="240" w:lineRule="auto"/>
            </w:pPr>
            <w:r>
              <w:rPr>
                <w:b/>
                <w:sz w:val="17"/>
              </w:rPr>
              <w:t>Educational implication</w:t>
            </w:r>
          </w:p>
        </w:tc>
        <w:tc>
          <w:tcPr>
            <w:tcW w:w="1757" w:type="dxa"/>
            <w:shd w:val="clear" w:color="auto" w:fill="D9E2EC"/>
          </w:tcPr>
          <w:p w14:paraId="72B74C0A" w14:textId="77777777" w:rsidR="008A35DC" w:rsidRDefault="00000000">
            <w:pPr>
              <w:spacing w:after="0" w:line="240" w:lineRule="auto"/>
            </w:pPr>
            <w:r>
              <w:rPr>
                <w:b/>
                <w:sz w:val="17"/>
              </w:rPr>
              <w:t>Supporting references</w:t>
            </w:r>
          </w:p>
        </w:tc>
      </w:tr>
      <w:tr w:rsidR="008A35DC" w14:paraId="0574EBA2" w14:textId="77777777">
        <w:trPr>
          <w:jc w:val="center"/>
        </w:trPr>
        <w:tc>
          <w:tcPr>
            <w:tcW w:w="1417" w:type="dxa"/>
          </w:tcPr>
          <w:p w14:paraId="2C049883" w14:textId="77777777" w:rsidR="008A35DC" w:rsidRDefault="00000000">
            <w:pPr>
              <w:spacing w:after="0" w:line="240" w:lineRule="auto"/>
            </w:pPr>
            <w:r>
              <w:rPr>
                <w:sz w:val="17"/>
              </w:rPr>
              <w:t>Abiotic fragmentation</w:t>
            </w:r>
          </w:p>
        </w:tc>
        <w:tc>
          <w:tcPr>
            <w:tcW w:w="1814" w:type="dxa"/>
          </w:tcPr>
          <w:p w14:paraId="475BA9FD" w14:textId="77777777" w:rsidR="008A35DC" w:rsidRDefault="00000000">
            <w:pPr>
              <w:spacing w:after="0" w:line="240" w:lineRule="auto"/>
            </w:pPr>
            <w:r>
              <w:rPr>
                <w:sz w:val="17"/>
              </w:rPr>
              <w:t>EPS fragments under abrasion alone and further after UV exposure; much of the initial volume passes into unrecovered sizes</w:t>
            </w:r>
          </w:p>
        </w:tc>
        <w:tc>
          <w:tcPr>
            <w:tcW w:w="1304" w:type="dxa"/>
          </w:tcPr>
          <w:p w14:paraId="229524EE" w14:textId="77777777" w:rsidR="008A35DC" w:rsidRDefault="00000000">
            <w:pPr>
              <w:spacing w:after="0" w:line="240" w:lineRule="auto"/>
            </w:pPr>
            <w:r>
              <w:rPr>
                <w:sz w:val="17"/>
              </w:rPr>
              <w:t>Accelerated weathering experiments; review</w:t>
            </w:r>
          </w:p>
        </w:tc>
        <w:tc>
          <w:tcPr>
            <w:tcW w:w="1587" w:type="dxa"/>
          </w:tcPr>
          <w:p w14:paraId="4EB68604" w14:textId="77777777" w:rsidR="008A35DC" w:rsidRDefault="00000000">
            <w:pPr>
              <w:spacing w:after="0" w:line="240" w:lineRule="auto"/>
            </w:pPr>
            <w:r>
              <w:rPr>
                <w:sz w:val="17"/>
              </w:rPr>
              <w:t>High for mechanism; field fragmentation rates unquantified</w:t>
            </w:r>
          </w:p>
        </w:tc>
        <w:tc>
          <w:tcPr>
            <w:tcW w:w="1531" w:type="dxa"/>
          </w:tcPr>
          <w:p w14:paraId="4B403333" w14:textId="77777777" w:rsidR="008A35DC" w:rsidRDefault="00000000">
            <w:pPr>
              <w:spacing w:after="0" w:line="240" w:lineRule="auto"/>
            </w:pPr>
            <w:r>
              <w:rPr>
                <w:sz w:val="17"/>
              </w:rPr>
              <w:t>Explain why foam is difficult to recover and why small fragments dominate</w:t>
            </w:r>
          </w:p>
        </w:tc>
        <w:tc>
          <w:tcPr>
            <w:tcW w:w="1757" w:type="dxa"/>
          </w:tcPr>
          <w:p w14:paraId="78F90D02" w14:textId="77777777" w:rsidR="008A35DC" w:rsidRDefault="00000000">
            <w:pPr>
              <w:spacing w:after="0" w:line="240" w:lineRule="auto"/>
            </w:pPr>
            <w:r>
              <w:rPr>
                <w:sz w:val="17"/>
              </w:rPr>
              <w:t>Song et al., 2017, 2018; Turner, 2020</w:t>
            </w:r>
          </w:p>
        </w:tc>
      </w:tr>
      <w:tr w:rsidR="008A35DC" w14:paraId="2121B2A9" w14:textId="77777777">
        <w:trPr>
          <w:jc w:val="center"/>
        </w:trPr>
        <w:tc>
          <w:tcPr>
            <w:tcW w:w="1417" w:type="dxa"/>
          </w:tcPr>
          <w:p w14:paraId="71805A86" w14:textId="77777777" w:rsidR="008A35DC" w:rsidRDefault="00000000">
            <w:pPr>
              <w:spacing w:after="0" w:line="240" w:lineRule="auto"/>
            </w:pPr>
            <w:r>
              <w:rPr>
                <w:sz w:val="17"/>
              </w:rPr>
              <w:t>Biotic fragmentation</w:t>
            </w:r>
          </w:p>
        </w:tc>
        <w:tc>
          <w:tcPr>
            <w:tcW w:w="1814" w:type="dxa"/>
          </w:tcPr>
          <w:p w14:paraId="641DBB1E" w14:textId="77777777" w:rsidR="008A35DC" w:rsidRDefault="00000000">
            <w:pPr>
              <w:spacing w:after="0" w:line="240" w:lineRule="auto"/>
            </w:pPr>
            <w:r>
              <w:rPr>
                <w:sz w:val="17"/>
              </w:rPr>
              <w:t>Four soil invertebrates produced microplastics from PS foam within 24 h</w:t>
            </w:r>
          </w:p>
        </w:tc>
        <w:tc>
          <w:tcPr>
            <w:tcW w:w="1304" w:type="dxa"/>
          </w:tcPr>
          <w:p w14:paraId="63A0523A" w14:textId="77777777" w:rsidR="008A35DC" w:rsidRDefault="00000000">
            <w:pPr>
              <w:spacing w:after="0" w:line="240" w:lineRule="auto"/>
            </w:pPr>
            <w:r>
              <w:rPr>
                <w:sz w:val="17"/>
              </w:rPr>
              <w:t>Laboratory arena experiments</w:t>
            </w:r>
          </w:p>
        </w:tc>
        <w:tc>
          <w:tcPr>
            <w:tcW w:w="1587" w:type="dxa"/>
          </w:tcPr>
          <w:p w14:paraId="187F5D3B" w14:textId="77777777" w:rsidR="008A35DC" w:rsidRDefault="00000000">
            <w:pPr>
              <w:spacing w:after="0" w:line="240" w:lineRule="auto"/>
            </w:pPr>
            <w:r>
              <w:rPr>
                <w:sz w:val="17"/>
              </w:rPr>
              <w:t>Moderate; short exposures; contribution to field budgets unknown</w:t>
            </w:r>
          </w:p>
        </w:tc>
        <w:tc>
          <w:tcPr>
            <w:tcW w:w="1531" w:type="dxa"/>
          </w:tcPr>
          <w:p w14:paraId="692851F6" w14:textId="77777777" w:rsidR="008A35DC" w:rsidRDefault="00000000">
            <w:pPr>
              <w:spacing w:after="0" w:line="240" w:lineRule="auto"/>
            </w:pPr>
            <w:r>
              <w:rPr>
                <w:sz w:val="17"/>
              </w:rPr>
              <w:t>Organisms are agents as well as recipients of fragmentation</w:t>
            </w:r>
          </w:p>
        </w:tc>
        <w:tc>
          <w:tcPr>
            <w:tcW w:w="1757" w:type="dxa"/>
          </w:tcPr>
          <w:p w14:paraId="4ADD26AE" w14:textId="77777777" w:rsidR="008A35DC" w:rsidRDefault="00000000">
            <w:pPr>
              <w:spacing w:after="0" w:line="240" w:lineRule="auto"/>
            </w:pPr>
            <w:r>
              <w:rPr>
                <w:sz w:val="17"/>
              </w:rPr>
              <w:t>Helmberger et al., 2022</w:t>
            </w:r>
          </w:p>
        </w:tc>
      </w:tr>
      <w:tr w:rsidR="008A35DC" w14:paraId="3F17A0D4" w14:textId="77777777">
        <w:trPr>
          <w:jc w:val="center"/>
        </w:trPr>
        <w:tc>
          <w:tcPr>
            <w:tcW w:w="1417" w:type="dxa"/>
          </w:tcPr>
          <w:p w14:paraId="24CFC1E2" w14:textId="77777777" w:rsidR="008A35DC" w:rsidRDefault="00000000">
            <w:pPr>
              <w:spacing w:after="0" w:line="240" w:lineRule="auto"/>
            </w:pPr>
            <w:r>
              <w:rPr>
                <w:sz w:val="17"/>
              </w:rPr>
              <w:t>Recovery and recycling</w:t>
            </w:r>
          </w:p>
        </w:tc>
        <w:tc>
          <w:tcPr>
            <w:tcW w:w="1814" w:type="dxa"/>
          </w:tcPr>
          <w:p w14:paraId="514DAF53" w14:textId="77777777" w:rsidR="008A35DC" w:rsidRDefault="00000000">
            <w:pPr>
              <w:spacing w:after="0" w:line="240" w:lineRule="auto"/>
            </w:pPr>
            <w:r>
              <w:rPr>
                <w:sz w:val="17"/>
              </w:rPr>
              <w:t>Foam food service ware rarely reusable, economically recyclable or compostable</w:t>
            </w:r>
          </w:p>
        </w:tc>
        <w:tc>
          <w:tcPr>
            <w:tcW w:w="1304" w:type="dxa"/>
          </w:tcPr>
          <w:p w14:paraId="2C4BF425" w14:textId="77777777" w:rsidR="008A35DC" w:rsidRDefault="00000000">
            <w:pPr>
              <w:spacing w:after="0" w:line="240" w:lineRule="auto"/>
            </w:pPr>
            <w:r>
              <w:rPr>
                <w:sz w:val="17"/>
              </w:rPr>
              <w:t>Policy analysis; technical review</w:t>
            </w:r>
          </w:p>
        </w:tc>
        <w:tc>
          <w:tcPr>
            <w:tcW w:w="1587" w:type="dxa"/>
          </w:tcPr>
          <w:p w14:paraId="78E205FB" w14:textId="77777777" w:rsidR="008A35DC" w:rsidRDefault="00000000">
            <w:pPr>
              <w:spacing w:after="0" w:line="240" w:lineRule="auto"/>
            </w:pPr>
            <w:r>
              <w:rPr>
                <w:sz w:val="17"/>
              </w:rPr>
              <w:t>High for food service ware in studied jurisdictions; construction EPS less studied</w:t>
            </w:r>
          </w:p>
        </w:tc>
        <w:tc>
          <w:tcPr>
            <w:tcW w:w="1531" w:type="dxa"/>
          </w:tcPr>
          <w:p w14:paraId="120C6686" w14:textId="77777777" w:rsidR="008A35DC" w:rsidRDefault="00000000">
            <w:pPr>
              <w:spacing w:after="0" w:line="240" w:lineRule="auto"/>
            </w:pPr>
            <w:r>
              <w:rPr>
                <w:sz w:val="17"/>
              </w:rPr>
              <w:t>Link material properties to the economics of waste management</w:t>
            </w:r>
          </w:p>
        </w:tc>
        <w:tc>
          <w:tcPr>
            <w:tcW w:w="1757" w:type="dxa"/>
          </w:tcPr>
          <w:p w14:paraId="00C5CB5F" w14:textId="77777777" w:rsidR="008A35DC" w:rsidRDefault="00000000">
            <w:pPr>
              <w:spacing w:after="0" w:line="240" w:lineRule="auto"/>
            </w:pPr>
            <w:r>
              <w:rPr>
                <w:sz w:val="17"/>
              </w:rPr>
              <w:t>Maharana et al., 2007; Wagner, 2020</w:t>
            </w:r>
          </w:p>
        </w:tc>
      </w:tr>
      <w:tr w:rsidR="008A35DC" w14:paraId="33ECED61" w14:textId="77777777">
        <w:trPr>
          <w:jc w:val="center"/>
        </w:trPr>
        <w:tc>
          <w:tcPr>
            <w:tcW w:w="1417" w:type="dxa"/>
          </w:tcPr>
          <w:p w14:paraId="0881AA08" w14:textId="77777777" w:rsidR="008A35DC" w:rsidRDefault="00000000">
            <w:pPr>
              <w:spacing w:after="0" w:line="240" w:lineRule="auto"/>
            </w:pPr>
            <w:r>
              <w:rPr>
                <w:sz w:val="17"/>
              </w:rPr>
              <w:t>Additive transfer</w:t>
            </w:r>
          </w:p>
        </w:tc>
        <w:tc>
          <w:tcPr>
            <w:tcW w:w="1814" w:type="dxa"/>
          </w:tcPr>
          <w:p w14:paraId="716498A5" w14:textId="77777777" w:rsidR="008A35DC" w:rsidRDefault="00000000">
            <w:pPr>
              <w:spacing w:after="0" w:line="240" w:lineRule="auto"/>
            </w:pPr>
            <w:r>
              <w:rPr>
                <w:sz w:val="17"/>
              </w:rPr>
              <w:t>HBCD detected in EPS debris across the Asia-Pacific region and transferred to mussels living on foam</w:t>
            </w:r>
          </w:p>
        </w:tc>
        <w:tc>
          <w:tcPr>
            <w:tcW w:w="1304" w:type="dxa"/>
          </w:tcPr>
          <w:p w14:paraId="3B40E46F" w14:textId="77777777" w:rsidR="008A35DC" w:rsidRDefault="00000000">
            <w:pPr>
              <w:spacing w:after="0" w:line="240" w:lineRule="auto"/>
            </w:pPr>
            <w:r>
              <w:rPr>
                <w:sz w:val="17"/>
              </w:rPr>
              <w:t>Field monitoring; comparative field sampling</w:t>
            </w:r>
          </w:p>
        </w:tc>
        <w:tc>
          <w:tcPr>
            <w:tcW w:w="1587" w:type="dxa"/>
          </w:tcPr>
          <w:p w14:paraId="43883EC8" w14:textId="77777777" w:rsidR="008A35DC" w:rsidRDefault="00000000">
            <w:pPr>
              <w:spacing w:after="0" w:line="240" w:lineRule="auto"/>
            </w:pPr>
            <w:r>
              <w:rPr>
                <w:sz w:val="17"/>
              </w:rPr>
              <w:t>High for occurrence; population-level effects not established</w:t>
            </w:r>
          </w:p>
        </w:tc>
        <w:tc>
          <w:tcPr>
            <w:tcW w:w="1531" w:type="dxa"/>
          </w:tcPr>
          <w:p w14:paraId="5CDD4AEF" w14:textId="77777777" w:rsidR="008A35DC" w:rsidRDefault="00000000">
            <w:pPr>
              <w:spacing w:after="0" w:line="240" w:lineRule="auto"/>
            </w:pPr>
            <w:r>
              <w:rPr>
                <w:sz w:val="17"/>
              </w:rPr>
              <w:t>Recycling can perpetuate legacy contaminants</w:t>
            </w:r>
          </w:p>
        </w:tc>
        <w:tc>
          <w:tcPr>
            <w:tcW w:w="1757" w:type="dxa"/>
          </w:tcPr>
          <w:p w14:paraId="30908938" w14:textId="77777777" w:rsidR="008A35DC" w:rsidRDefault="00000000">
            <w:pPr>
              <w:spacing w:after="0" w:line="240" w:lineRule="auto"/>
            </w:pPr>
            <w:r>
              <w:rPr>
                <w:sz w:val="17"/>
              </w:rPr>
              <w:t>Hahladakis et al., 2018; Jang et al., 2016, 2017</w:t>
            </w:r>
          </w:p>
        </w:tc>
      </w:tr>
      <w:tr w:rsidR="008A35DC" w14:paraId="0C0B60A4" w14:textId="77777777">
        <w:trPr>
          <w:jc w:val="center"/>
        </w:trPr>
        <w:tc>
          <w:tcPr>
            <w:tcW w:w="1417" w:type="dxa"/>
          </w:tcPr>
          <w:p w14:paraId="235B7962" w14:textId="77777777" w:rsidR="008A35DC" w:rsidRDefault="00000000">
            <w:pPr>
              <w:spacing w:after="0" w:line="240" w:lineRule="auto"/>
            </w:pPr>
            <w:r>
              <w:rPr>
                <w:sz w:val="17"/>
              </w:rPr>
              <w:t>Nanoscale effects</w:t>
            </w:r>
          </w:p>
        </w:tc>
        <w:tc>
          <w:tcPr>
            <w:tcW w:w="1814" w:type="dxa"/>
          </w:tcPr>
          <w:p w14:paraId="074C6199" w14:textId="77777777" w:rsidR="008A35DC" w:rsidRDefault="00000000">
            <w:pPr>
              <w:spacing w:after="0" w:line="240" w:lineRule="auto"/>
            </w:pPr>
            <w:r>
              <w:rPr>
                <w:sz w:val="17"/>
              </w:rPr>
              <w:t>PS nanoparticles transferred through a food chain entered fish brain tissue and altered behaviour</w:t>
            </w:r>
          </w:p>
        </w:tc>
        <w:tc>
          <w:tcPr>
            <w:tcW w:w="1304" w:type="dxa"/>
          </w:tcPr>
          <w:p w14:paraId="1848D884" w14:textId="77777777" w:rsidR="008A35DC" w:rsidRDefault="00000000">
            <w:pPr>
              <w:spacing w:after="0" w:line="240" w:lineRule="auto"/>
            </w:pPr>
            <w:r>
              <w:rPr>
                <w:sz w:val="17"/>
              </w:rPr>
              <w:t>Laboratory food-chain experiment</w:t>
            </w:r>
          </w:p>
        </w:tc>
        <w:tc>
          <w:tcPr>
            <w:tcW w:w="1587" w:type="dxa"/>
          </w:tcPr>
          <w:p w14:paraId="3DA700B1" w14:textId="77777777" w:rsidR="008A35DC" w:rsidRDefault="00000000">
            <w:pPr>
              <w:spacing w:after="0" w:line="240" w:lineRule="auto"/>
            </w:pPr>
            <w:r>
              <w:rPr>
                <w:sz w:val="17"/>
              </w:rPr>
              <w:t>Low to moderate for environmental relevance of particle type and dose</w:t>
            </w:r>
          </w:p>
        </w:tc>
        <w:tc>
          <w:tcPr>
            <w:tcW w:w="1531" w:type="dxa"/>
          </w:tcPr>
          <w:p w14:paraId="4AD25DBE" w14:textId="77777777" w:rsidR="008A35DC" w:rsidRDefault="00000000">
            <w:pPr>
              <w:spacing w:after="0" w:line="240" w:lineRule="auto"/>
            </w:pPr>
            <w:r>
              <w:rPr>
                <w:sz w:val="17"/>
              </w:rPr>
              <w:t>Distinguish laboratory hazard from field risk</w:t>
            </w:r>
          </w:p>
        </w:tc>
        <w:tc>
          <w:tcPr>
            <w:tcW w:w="1757" w:type="dxa"/>
          </w:tcPr>
          <w:p w14:paraId="03631AE4" w14:textId="77777777" w:rsidR="008A35DC" w:rsidRDefault="00000000">
            <w:pPr>
              <w:spacing w:after="0" w:line="240" w:lineRule="auto"/>
            </w:pPr>
            <w:r>
              <w:rPr>
                <w:sz w:val="17"/>
              </w:rPr>
              <w:t>Mattsson et al., 2017</w:t>
            </w:r>
          </w:p>
        </w:tc>
      </w:tr>
      <w:tr w:rsidR="008A35DC" w14:paraId="6B97B772" w14:textId="77777777">
        <w:trPr>
          <w:jc w:val="center"/>
        </w:trPr>
        <w:tc>
          <w:tcPr>
            <w:tcW w:w="1417" w:type="dxa"/>
          </w:tcPr>
          <w:p w14:paraId="2B8735D1" w14:textId="77777777" w:rsidR="008A35DC" w:rsidRDefault="00000000">
            <w:pPr>
              <w:spacing w:after="0" w:line="240" w:lineRule="auto"/>
            </w:pPr>
            <w:r>
              <w:rPr>
                <w:sz w:val="17"/>
              </w:rPr>
              <w:t>Styrene and oligomer exposure</w:t>
            </w:r>
          </w:p>
        </w:tc>
        <w:tc>
          <w:tcPr>
            <w:tcW w:w="1814" w:type="dxa"/>
          </w:tcPr>
          <w:p w14:paraId="7D285C47" w14:textId="77777777" w:rsidR="008A35DC" w:rsidRDefault="00000000">
            <w:pPr>
              <w:spacing w:after="0" w:line="240" w:lineRule="auto"/>
            </w:pPr>
            <w:r>
              <w:rPr>
                <w:sz w:val="17"/>
              </w:rPr>
              <w:t xml:space="preserve">Styrene classified as probably carcinogenic; migration increases </w:t>
            </w:r>
            <w:r>
              <w:rPr>
                <w:sz w:val="17"/>
              </w:rPr>
              <w:lastRenderedPageBreak/>
              <w:t>with fat content, temperature and use of recycled EPS; oligomer risk assessed as low</w:t>
            </w:r>
          </w:p>
        </w:tc>
        <w:tc>
          <w:tcPr>
            <w:tcW w:w="1304" w:type="dxa"/>
          </w:tcPr>
          <w:p w14:paraId="10690954" w14:textId="77777777" w:rsidR="008A35DC" w:rsidRDefault="00000000">
            <w:pPr>
              <w:spacing w:after="0" w:line="240" w:lineRule="auto"/>
            </w:pPr>
            <w:r>
              <w:rPr>
                <w:sz w:val="17"/>
              </w:rPr>
              <w:lastRenderedPageBreak/>
              <w:t xml:space="preserve">Hazard classification; migration tests; </w:t>
            </w:r>
            <w:r>
              <w:rPr>
                <w:sz w:val="17"/>
              </w:rPr>
              <w:lastRenderedPageBreak/>
              <w:t>risk assessment</w:t>
            </w:r>
          </w:p>
        </w:tc>
        <w:tc>
          <w:tcPr>
            <w:tcW w:w="1587" w:type="dxa"/>
          </w:tcPr>
          <w:p w14:paraId="2897A6F8" w14:textId="77777777" w:rsidR="008A35DC" w:rsidRDefault="00000000">
            <w:pPr>
              <w:spacing w:after="0" w:line="240" w:lineRule="auto"/>
            </w:pPr>
            <w:r>
              <w:rPr>
                <w:sz w:val="17"/>
              </w:rPr>
              <w:lastRenderedPageBreak/>
              <w:t xml:space="preserve">Moderate; hazard recognised, consumer risk </w:t>
            </w:r>
            <w:r>
              <w:rPr>
                <w:sz w:val="17"/>
              </w:rPr>
              <w:lastRenderedPageBreak/>
              <w:t>uncertain</w:t>
            </w:r>
          </w:p>
        </w:tc>
        <w:tc>
          <w:tcPr>
            <w:tcW w:w="1531" w:type="dxa"/>
          </w:tcPr>
          <w:p w14:paraId="5CED4E8F" w14:textId="77777777" w:rsidR="008A35DC" w:rsidRDefault="00000000">
            <w:pPr>
              <w:spacing w:after="0" w:line="240" w:lineRule="auto"/>
            </w:pPr>
            <w:r>
              <w:rPr>
                <w:sz w:val="17"/>
              </w:rPr>
              <w:lastRenderedPageBreak/>
              <w:t xml:space="preserve">Teach the distinction between hazard </w:t>
            </w:r>
            <w:r>
              <w:rPr>
                <w:sz w:val="17"/>
              </w:rPr>
              <w:lastRenderedPageBreak/>
              <w:t>and risk</w:t>
            </w:r>
          </w:p>
        </w:tc>
        <w:tc>
          <w:tcPr>
            <w:tcW w:w="1757" w:type="dxa"/>
          </w:tcPr>
          <w:p w14:paraId="16EBB552" w14:textId="77777777" w:rsidR="008A35DC" w:rsidRDefault="00000000">
            <w:pPr>
              <w:spacing w:after="0" w:line="240" w:lineRule="auto"/>
            </w:pPr>
            <w:r>
              <w:rPr>
                <w:sz w:val="17"/>
              </w:rPr>
              <w:lastRenderedPageBreak/>
              <w:t xml:space="preserve">Gelbke et al., 2019; Kogevinas et al., 2018; Lin et al., 2017; </w:t>
            </w:r>
            <w:r>
              <w:rPr>
                <w:sz w:val="17"/>
              </w:rPr>
              <w:lastRenderedPageBreak/>
              <w:t>Tawfik &amp; Huyghebaert, 1998</w:t>
            </w:r>
          </w:p>
        </w:tc>
      </w:tr>
      <w:tr w:rsidR="008A35DC" w14:paraId="2786304C" w14:textId="77777777">
        <w:trPr>
          <w:jc w:val="center"/>
        </w:trPr>
        <w:tc>
          <w:tcPr>
            <w:tcW w:w="1417" w:type="dxa"/>
          </w:tcPr>
          <w:p w14:paraId="36657425" w14:textId="77777777" w:rsidR="008A35DC" w:rsidRDefault="00000000">
            <w:pPr>
              <w:spacing w:after="0" w:line="240" w:lineRule="auto"/>
            </w:pPr>
            <w:r>
              <w:rPr>
                <w:sz w:val="17"/>
              </w:rPr>
              <w:lastRenderedPageBreak/>
              <w:t>Life-cycle comparison</w:t>
            </w:r>
          </w:p>
        </w:tc>
        <w:tc>
          <w:tcPr>
            <w:tcW w:w="1814" w:type="dxa"/>
          </w:tcPr>
          <w:p w14:paraId="6D258049" w14:textId="77777777" w:rsidR="008A35DC" w:rsidRDefault="00000000">
            <w:pPr>
              <w:spacing w:after="0" w:line="240" w:lineRule="auto"/>
            </w:pPr>
            <w:r>
              <w:rPr>
                <w:sz w:val="17"/>
              </w:rPr>
              <w:t>XPS containers perform well in conventional LCA; inclusion of litter can alter rankings; reuse benefits depend on behaviour</w:t>
            </w:r>
          </w:p>
        </w:tc>
        <w:tc>
          <w:tcPr>
            <w:tcW w:w="1304" w:type="dxa"/>
          </w:tcPr>
          <w:p w14:paraId="52B77059" w14:textId="77777777" w:rsidR="008A35DC" w:rsidRDefault="00000000">
            <w:pPr>
              <w:spacing w:after="0" w:line="240" w:lineRule="auto"/>
            </w:pPr>
            <w:r>
              <w:rPr>
                <w:sz w:val="17"/>
              </w:rPr>
              <w:t>Attributional LCA; methodological development</w:t>
            </w:r>
          </w:p>
        </w:tc>
        <w:tc>
          <w:tcPr>
            <w:tcW w:w="1587" w:type="dxa"/>
          </w:tcPr>
          <w:p w14:paraId="625DDBAC" w14:textId="77777777" w:rsidR="008A35DC" w:rsidRDefault="00000000">
            <w:pPr>
              <w:spacing w:after="0" w:line="240" w:lineRule="auto"/>
            </w:pPr>
            <w:r>
              <w:rPr>
                <w:sz w:val="17"/>
              </w:rPr>
              <w:t>Moderate; highly assumption-sensitive</w:t>
            </w:r>
          </w:p>
        </w:tc>
        <w:tc>
          <w:tcPr>
            <w:tcW w:w="1531" w:type="dxa"/>
          </w:tcPr>
          <w:p w14:paraId="45C1516A" w14:textId="77777777" w:rsidR="008A35DC" w:rsidRDefault="00000000">
            <w:pPr>
              <w:spacing w:after="0" w:line="240" w:lineRule="auto"/>
            </w:pPr>
            <w:r>
              <w:rPr>
                <w:sz w:val="17"/>
              </w:rPr>
              <w:t>Reason about trade-offs rather than material labels</w:t>
            </w:r>
          </w:p>
        </w:tc>
        <w:tc>
          <w:tcPr>
            <w:tcW w:w="1757" w:type="dxa"/>
          </w:tcPr>
          <w:p w14:paraId="245D39FC" w14:textId="77777777" w:rsidR="008A35DC" w:rsidRDefault="00000000">
            <w:pPr>
              <w:spacing w:after="0" w:line="240" w:lineRule="auto"/>
            </w:pPr>
            <w:r>
              <w:rPr>
                <w:sz w:val="17"/>
              </w:rPr>
              <w:t>Caspers &amp; Finkbeiner, 2025; Corella-Puertas et al., 2022; Gallego-Schmid et al., 2019</w:t>
            </w:r>
          </w:p>
        </w:tc>
      </w:tr>
      <w:tr w:rsidR="008A35DC" w14:paraId="325174B8" w14:textId="77777777">
        <w:trPr>
          <w:jc w:val="center"/>
        </w:trPr>
        <w:tc>
          <w:tcPr>
            <w:tcW w:w="1417" w:type="dxa"/>
          </w:tcPr>
          <w:p w14:paraId="61F78C7A" w14:textId="77777777" w:rsidR="008A35DC" w:rsidRDefault="00000000">
            <w:pPr>
              <w:spacing w:after="0" w:line="240" w:lineRule="auto"/>
            </w:pPr>
            <w:r>
              <w:rPr>
                <w:sz w:val="17"/>
              </w:rPr>
              <w:t>Photochemical degradation</w:t>
            </w:r>
          </w:p>
        </w:tc>
        <w:tc>
          <w:tcPr>
            <w:tcW w:w="1814" w:type="dxa"/>
          </w:tcPr>
          <w:p w14:paraId="70D51F5A" w14:textId="77777777" w:rsidR="008A35DC" w:rsidRDefault="00000000">
            <w:pPr>
              <w:spacing w:after="0" w:line="240" w:lineRule="auto"/>
            </w:pPr>
            <w:r>
              <w:rPr>
                <w:sz w:val="17"/>
              </w:rPr>
              <w:t>PS oxidised to CO₂ on centennial and to DOC on decadal time scales under sunlight</w:t>
            </w:r>
          </w:p>
        </w:tc>
        <w:tc>
          <w:tcPr>
            <w:tcW w:w="1304" w:type="dxa"/>
          </w:tcPr>
          <w:p w14:paraId="3B20A347" w14:textId="77777777" w:rsidR="008A35DC" w:rsidRDefault="00000000">
            <w:pPr>
              <w:spacing w:after="0" w:line="240" w:lineRule="auto"/>
            </w:pPr>
            <w:r>
              <w:rPr>
                <w:sz w:val="17"/>
              </w:rPr>
              <w:t>Laboratory irradiation experiments</w:t>
            </w:r>
          </w:p>
        </w:tc>
        <w:tc>
          <w:tcPr>
            <w:tcW w:w="1587" w:type="dxa"/>
          </w:tcPr>
          <w:p w14:paraId="6E249DB4" w14:textId="77777777" w:rsidR="008A35DC" w:rsidRDefault="00000000">
            <w:pPr>
              <w:spacing w:after="0" w:line="240" w:lineRule="auto"/>
            </w:pPr>
            <w:r>
              <w:rPr>
                <w:sz w:val="17"/>
              </w:rPr>
              <w:t>Moderate; applies to sunlit conditions only</w:t>
            </w:r>
          </w:p>
        </w:tc>
        <w:tc>
          <w:tcPr>
            <w:tcW w:w="1531" w:type="dxa"/>
          </w:tcPr>
          <w:p w14:paraId="0DC2E41A" w14:textId="77777777" w:rsidR="008A35DC" w:rsidRDefault="00000000">
            <w:pPr>
              <w:spacing w:after="0" w:line="240" w:lineRule="auto"/>
            </w:pPr>
            <w:r>
              <w:rPr>
                <w:sz w:val="17"/>
              </w:rPr>
              <w:t>Persistence is conditional rather than infinite</w:t>
            </w:r>
          </w:p>
        </w:tc>
        <w:tc>
          <w:tcPr>
            <w:tcW w:w="1757" w:type="dxa"/>
          </w:tcPr>
          <w:p w14:paraId="08B56788" w14:textId="77777777" w:rsidR="008A35DC" w:rsidRDefault="00000000">
            <w:pPr>
              <w:spacing w:after="0" w:line="240" w:lineRule="auto"/>
            </w:pPr>
            <w:r>
              <w:rPr>
                <w:sz w:val="17"/>
              </w:rPr>
              <w:t>Ward et al., 2019</w:t>
            </w:r>
          </w:p>
        </w:tc>
      </w:tr>
      <w:tr w:rsidR="008A35DC" w14:paraId="13F6C368" w14:textId="77777777">
        <w:trPr>
          <w:jc w:val="center"/>
        </w:trPr>
        <w:tc>
          <w:tcPr>
            <w:tcW w:w="1417" w:type="dxa"/>
          </w:tcPr>
          <w:p w14:paraId="79F7860A" w14:textId="77777777" w:rsidR="008A35DC" w:rsidRDefault="00000000">
            <w:pPr>
              <w:spacing w:after="0" w:line="240" w:lineRule="auto"/>
            </w:pPr>
            <w:r>
              <w:rPr>
                <w:sz w:val="17"/>
              </w:rPr>
              <w:t>Insect-mediated biodegradation</w:t>
            </w:r>
          </w:p>
        </w:tc>
        <w:tc>
          <w:tcPr>
            <w:tcW w:w="1814" w:type="dxa"/>
          </w:tcPr>
          <w:p w14:paraId="27DE2D9D" w14:textId="77777777" w:rsidR="008A35DC" w:rsidRDefault="00000000">
            <w:pPr>
              <w:spacing w:after="0" w:line="240" w:lineRule="auto"/>
            </w:pPr>
            <w:r>
              <w:rPr>
                <w:i/>
                <w:sz w:val="17"/>
              </w:rPr>
              <w:t>Tenebrio molitor</w:t>
            </w:r>
            <w:r>
              <w:rPr>
                <w:sz w:val="17"/>
              </w:rPr>
              <w:t xml:space="preserve"> and </w:t>
            </w:r>
            <w:r>
              <w:rPr>
                <w:i/>
                <w:sz w:val="17"/>
              </w:rPr>
              <w:t>Tenebrio obscurus</w:t>
            </w:r>
            <w:r>
              <w:rPr>
                <w:sz w:val="17"/>
              </w:rPr>
              <w:t xml:space="preserve"> larvae depolymerise and partly mineralise PS; nanoplastics form transiently in the gut</w:t>
            </w:r>
          </w:p>
        </w:tc>
        <w:tc>
          <w:tcPr>
            <w:tcW w:w="1304" w:type="dxa"/>
          </w:tcPr>
          <w:p w14:paraId="11889CCE" w14:textId="77777777" w:rsidR="008A35DC" w:rsidRDefault="00000000">
            <w:pPr>
              <w:spacing w:after="0" w:line="240" w:lineRule="auto"/>
            </w:pPr>
            <w:r>
              <w:rPr>
                <w:sz w:val="17"/>
              </w:rPr>
              <w:t>Laboratory feeding, isotopic and microbiological studies</w:t>
            </w:r>
          </w:p>
        </w:tc>
        <w:tc>
          <w:tcPr>
            <w:tcW w:w="1587" w:type="dxa"/>
          </w:tcPr>
          <w:p w14:paraId="40F44A3A" w14:textId="77777777" w:rsidR="008A35DC" w:rsidRDefault="00000000">
            <w:pPr>
              <w:spacing w:after="0" w:line="240" w:lineRule="auto"/>
            </w:pPr>
            <w:r>
              <w:rPr>
                <w:sz w:val="17"/>
              </w:rPr>
              <w:t>Moderate for mechanism; low for scalable remediation; related insect claims contested</w:t>
            </w:r>
          </w:p>
        </w:tc>
        <w:tc>
          <w:tcPr>
            <w:tcW w:w="1531" w:type="dxa"/>
          </w:tcPr>
          <w:p w14:paraId="76D0602B" w14:textId="77777777" w:rsidR="008A35DC" w:rsidRDefault="00000000">
            <w:pPr>
              <w:spacing w:after="0" w:line="240" w:lineRule="auto"/>
            </w:pPr>
            <w:r>
              <w:rPr>
                <w:sz w:val="17"/>
              </w:rPr>
              <w:t>Appraise technological-fix narratives critically</w:t>
            </w:r>
          </w:p>
        </w:tc>
        <w:tc>
          <w:tcPr>
            <w:tcW w:w="1757" w:type="dxa"/>
          </w:tcPr>
          <w:p w14:paraId="33064E4E" w14:textId="77777777" w:rsidR="008A35DC" w:rsidRDefault="00000000">
            <w:pPr>
              <w:spacing w:after="0" w:line="240" w:lineRule="auto"/>
            </w:pPr>
            <w:r>
              <w:rPr>
                <w:sz w:val="17"/>
              </w:rPr>
              <w:t>Bombelli et al., 2017; Peng et al., 2019, 2024; Weber et al., 2017; Yang et al., 2015a, 2015b</w:t>
            </w:r>
          </w:p>
        </w:tc>
      </w:tr>
    </w:tbl>
    <w:p w14:paraId="7CB321AD" w14:textId="77777777" w:rsidR="008A35DC" w:rsidRDefault="00000000">
      <w:pPr>
        <w:spacing w:after="240" w:line="240" w:lineRule="auto"/>
      </w:pPr>
      <w:r>
        <w:rPr>
          <w:i/>
          <w:sz w:val="18"/>
        </w:rPr>
        <w:t xml:space="preserve">Note. </w:t>
      </w:r>
      <w:r>
        <w:rPr>
          <w:sz w:val="18"/>
        </w:rPr>
        <w:t>Confidence ratings are qualitative judgements made in this review on the basis of design, replication and field relevance; they are not formal evidence grades. CO₂ = carbon dioxide; DOC = dissolved organic carbon; EPS = expanded polystyrene; HBCD = hexabromocyclododecane; LCA = life cycle assessment; PS = polystyrene; UV = ultraviolet; XPS = extruded polystyrene.</w:t>
      </w:r>
    </w:p>
    <w:p w14:paraId="7F1FF330" w14:textId="77777777" w:rsidR="008A35DC" w:rsidRDefault="00000000">
      <w:pPr>
        <w:keepNext/>
        <w:spacing w:before="280"/>
      </w:pPr>
      <w:r>
        <w:rPr>
          <w:b/>
          <w:sz w:val="26"/>
        </w:rPr>
        <w:t>4. Governance of Polystyrene Foam and the Behavioural Assumptions of Policy</w:t>
      </w:r>
    </w:p>
    <w:p w14:paraId="07C176B2" w14:textId="77777777" w:rsidR="008A35DC" w:rsidRDefault="00000000">
      <w:pPr>
        <w:ind w:firstLine="425"/>
        <w:jc w:val="both"/>
      </w:pPr>
      <w:r>
        <w:t>This section evaluates the principal policy responses to polystyrene foam and single-use plastics, with particular attention to the behavioural and educational assumptions embedded in them. The analysis is necessary because an educational model that ignores the policy environment risks individualising a problem that is substantially structural, whereas policy that ignores learning and participation risks poor compliance and unintended substitution.</w:t>
      </w:r>
    </w:p>
    <w:p w14:paraId="23F340B0" w14:textId="77777777" w:rsidR="008A35DC" w:rsidRDefault="00000000">
      <w:pPr>
        <w:keepNext/>
        <w:spacing w:before="200"/>
      </w:pPr>
      <w:r>
        <w:rPr>
          <w:b/>
          <w:i/>
        </w:rPr>
        <w:t>4.1 Bans and Market-Based Instruments</w:t>
      </w:r>
    </w:p>
    <w:p w14:paraId="4605785A" w14:textId="77777777" w:rsidR="008A35DC" w:rsidRDefault="00000000">
      <w:pPr>
        <w:ind w:firstLine="425"/>
        <w:jc w:val="both"/>
      </w:pPr>
      <w:r>
        <w:t>Bans are the dominant instrument for foam food service ware. Wagner (2020) documented 249 local bans in the United States of America by December 2019, covering 12.85% of the national population, of which 65.9% were narrow bans on distribution by restaurants and food providers, while smaller proportions were partial, full or expanded bans that extended to grocery stores and other single-use items. The reliance on bans reflects the structural features described in Section 3, namely that the product cannot readily be reused, recycled or composted. Internationally, legislative and non-legislative interventions against single-use plastics have diversified, and interventions targeting plastic bags have produced reductions in bag use ranging from 33% to 96% (Schnurr et al., 2018). The UNEP roadmap on single-use plastics similarly presents regulatory and economic instruments alongside awareness raising, stakeholder engagement and the promotion of alternatives as components of effective national action (United Nations Environment Programme [UNEP], 2018).</w:t>
      </w:r>
    </w:p>
    <w:p w14:paraId="5AE6FB6C" w14:textId="77777777" w:rsidR="008A35DC" w:rsidRDefault="00000000">
      <w:pPr>
        <w:ind w:firstLine="425"/>
        <w:jc w:val="both"/>
      </w:pPr>
      <w:r>
        <w:lastRenderedPageBreak/>
        <w:t>The evidence on the environmental outcomes of foam-specific bans is much weaker than the evidence on their adoption. Reviews of single-use plastics policy note that few studies have measured whether bans and levies change environmental litter loads, and they recommend both effectiveness research and education and outreach (Xanthos &amp; Walker, 2017). In Canada, analysis of brand audit and beach clean-up data from four cities and a remote island concluded that existing single-use plastics management remained insufficient to prevent leakage, and that six brands accounted for 39% of branded litter (Baxter et al., 2022). These findings suggest that bans can reduce the flow of targeted items where enforcement is effective, but that product-by-product regulation may displace consumption to other single-use materials and leaves diffuse leakage pathways largely untouched.</w:t>
      </w:r>
    </w:p>
    <w:p w14:paraId="6A483932" w14:textId="77777777" w:rsidR="008A35DC" w:rsidRDefault="00000000">
      <w:pPr>
        <w:keepNext/>
        <w:spacing w:before="200"/>
      </w:pPr>
      <w:r>
        <w:rPr>
          <w:b/>
          <w:i/>
        </w:rPr>
        <w:t>4.2 Implementation Gaps in Low- and Middle-Income Settings</w:t>
      </w:r>
    </w:p>
    <w:p w14:paraId="6FC720A2" w14:textId="77777777" w:rsidR="008A35DC" w:rsidRDefault="00000000">
      <w:pPr>
        <w:ind w:firstLine="425"/>
        <w:jc w:val="both"/>
      </w:pPr>
      <w:r>
        <w:t>The limitations of regulation without accompanying public engagement are most visible where enforcement capacity is limited. Among 16 West African countries, 11 had instituted bans on single-use plastics, one had adopted a market-based instrument and four had no strategy; bans were typically drafted with limited consultation, announced with less than one year of notice, accompanied by no national campaigns and lacking provisions for reusable alternatives (Adam et al., 2020). The authors recommended stakeholder engagement, adequate lead time, wide publicity and inexpensive reusable alternatives. Global modelling supports this interpretation, because the countries contributing the greatest mass of uncaptured waste are largely determined by population size and the quality of waste management infrastructure (Jambeck et al., 2015), and scenario analyses indicate that reduction, substitution, collection and disposal must be pursued together rather than sequentially (Lau et al., 2020). OECD projections similarly emphasise that policy packages must address the whole life cycle of plastics rather than single end-of-pipe measures (Organisation for Economic Co-operation and Development [OECD], 2022).</w:t>
      </w:r>
    </w:p>
    <w:p w14:paraId="453BCF27" w14:textId="77777777" w:rsidR="008A35DC" w:rsidRDefault="00000000">
      <w:pPr>
        <w:keepNext/>
        <w:spacing w:before="200"/>
      </w:pPr>
      <w:r>
        <w:rPr>
          <w:b/>
          <w:i/>
        </w:rPr>
        <w:t>4.3 Sectoral Governance: The Aquaculture Buoy Case</w:t>
      </w:r>
    </w:p>
    <w:p w14:paraId="2286DF04" w14:textId="77777777" w:rsidR="008A35DC" w:rsidRDefault="00000000">
      <w:pPr>
        <w:ind w:firstLine="425"/>
        <w:jc w:val="both"/>
      </w:pPr>
      <w:r>
        <w:t xml:space="preserve">Aquaculture buoys show that foam pollution is not solely a consumer problem. In South Korea, where styrofoam buoys were the most abundant marine debris item in coastal areas, participatory workshops held in 2011 and 2012 brought stakeholders together to generate and refine policy options using a conceptual model and a results chain; one resulting option, obligatory retrieval of old buoys in exchange for a subsidy for high-density styrofoam buoys, was adopted as national policy (Lee et al., 2015). In Taiwan, document analysis, participatory workshops and interviews on oyster culture identified failure to enforce buoy recovery, the inevitable loss of buoys and the absence of competitive eco-friendly alternatives as the main </w:t>
      </w:r>
      <w:r>
        <w:lastRenderedPageBreak/>
        <w:t>obstacles; recommendations included strengthening farmer self-governance, increasing farmer awareness, developing alternative buoys and establishing an ecolabel for styrofoam-free oysters, while outright phase-out was considered politically sensitive and a last resort (Chen et al., 2018).</w:t>
      </w:r>
    </w:p>
    <w:p w14:paraId="2B2659BF" w14:textId="77777777" w:rsidR="008A35DC" w:rsidRDefault="00000000">
      <w:pPr>
        <w:ind w:firstLine="425"/>
        <w:jc w:val="both"/>
      </w:pPr>
      <w:r>
        <w:t>These cases are educationally significant for two reasons. They demonstrate that the relevant learners include producers and resource users, not only consumers and school students. They also show that participatory, deliberative processes can translate stakeholder knowledge into adopted policy, which corresponds closely to the collective dimension of action competence (Jensen &amp; Schnack, 1997). Their limitation is that the evidence is largely descriptive, drawn from policy design processes rather than from outcome evaluations of reduced buoy loss.</w:t>
      </w:r>
    </w:p>
    <w:p w14:paraId="794DBE30" w14:textId="77777777" w:rsidR="008A35DC" w:rsidRDefault="00000000">
      <w:pPr>
        <w:keepNext/>
        <w:spacing w:before="200"/>
      </w:pPr>
      <w:r>
        <w:rPr>
          <w:b/>
          <w:i/>
        </w:rPr>
        <w:t>4.4 Behavioural Assumptions Embedded in Policy</w:t>
      </w:r>
    </w:p>
    <w:p w14:paraId="3686346B" w14:textId="77777777" w:rsidR="008A35DC" w:rsidRDefault="00000000">
      <w:pPr>
        <w:ind w:firstLine="425"/>
        <w:jc w:val="both"/>
      </w:pPr>
      <w:r>
        <w:t>Most foam policies assume that restricting supply will change practice without the need for deliberate learning. The behavioural evidence qualifies this assumption. Heidbreder et al. (2019), reviewing 187 social-scientific studies, found that people appreciate and routinely use plastic despite a pronounced awareness of its problems, and that habits, norms and situational factors are especially predictive of consumption; political and psychological interventions were both potentially effective, but long-term effects were often uncertain. Across 16 European countries, respondents attributed marine litter mainly to product design and behaviour, perceived retailers, industry and government as most responsible but least motivated, and psychological factors such as values and social norms predicted perceptions more strongly than sociodemographic variables (Hartley et al., 2018). Behavioural scientists have argued that public concern about ocean plastics represents an opportunity that requires deliberate channelling into specific, supported behaviours and policy support (Pahl et al., 2017).</w:t>
      </w:r>
    </w:p>
    <w:p w14:paraId="5595C5CF" w14:textId="77777777" w:rsidR="008A35DC" w:rsidRDefault="00000000">
      <w:pPr>
        <w:ind w:firstLine="425"/>
        <w:jc w:val="both"/>
      </w:pPr>
      <w:r>
        <w:t>Taken together, these findings indicate that policy and education are complementary rather than alternative instruments. Regulation alters the choice environment and reduces reliance on individual motivation, while education can build the understanding needed to support policy, to avoid poorly considered substitution and to participate in governance. The gap in current practice is that education is typically mentioned in policy recommendations without specification of content, audience or evaluation.</w:t>
      </w:r>
    </w:p>
    <w:p w14:paraId="6DD28757" w14:textId="77777777" w:rsidR="008A35DC" w:rsidRDefault="00000000">
      <w:pPr>
        <w:ind w:firstLine="425"/>
        <w:jc w:val="both"/>
      </w:pPr>
      <w:r>
        <w:t>Table 3 compares the principal instruments applied to polystyrene foam and single-use plastics. It highlights that each instrument rests on an implicit model of behaviour, and that the educational component required for success differs by instrument, ranging from public explanation of bans to farmer training in sectoral schemes.</w:t>
      </w:r>
    </w:p>
    <w:p w14:paraId="409EF916" w14:textId="77777777" w:rsidR="008A35DC" w:rsidRDefault="00000000">
      <w:pPr>
        <w:keepNext/>
        <w:spacing w:before="160" w:line="276" w:lineRule="auto"/>
      </w:pPr>
      <w:r>
        <w:rPr>
          <w:b/>
          <w:sz w:val="22"/>
        </w:rPr>
        <w:lastRenderedPageBreak/>
        <w:t>Table 3</w:t>
      </w:r>
    </w:p>
    <w:p w14:paraId="2DC68ACC" w14:textId="77777777" w:rsidR="008A35DC" w:rsidRDefault="00000000">
      <w:pPr>
        <w:keepNext/>
        <w:spacing w:line="276" w:lineRule="auto"/>
      </w:pPr>
      <w:r>
        <w:rPr>
          <w:i/>
          <w:sz w:val="22"/>
        </w:rPr>
        <w:t>Comparison of policy instruments applied to polystyrene foam and single-use plastics, their implicit behavioural assumptions and associated educational requirements</w:t>
      </w:r>
    </w:p>
    <w:tbl>
      <w:tblPr>
        <w:tblStyle w:val="TableGrid"/>
        <w:tblW w:w="0" w:type="auto"/>
        <w:jc w:val="center"/>
        <w:tblLayout w:type="fixed"/>
        <w:tblLook w:val="04A0" w:firstRow="1" w:lastRow="0" w:firstColumn="1" w:lastColumn="0" w:noHBand="0" w:noVBand="1"/>
      </w:tblPr>
      <w:tblGrid>
        <w:gridCol w:w="1361"/>
        <w:gridCol w:w="1247"/>
        <w:gridCol w:w="1928"/>
        <w:gridCol w:w="1587"/>
        <w:gridCol w:w="1587"/>
        <w:gridCol w:w="1701"/>
      </w:tblGrid>
      <w:tr w:rsidR="008A35DC" w14:paraId="2D680E56" w14:textId="77777777">
        <w:trPr>
          <w:tblHeader/>
          <w:jc w:val="center"/>
        </w:trPr>
        <w:tc>
          <w:tcPr>
            <w:tcW w:w="1361" w:type="dxa"/>
            <w:shd w:val="clear" w:color="auto" w:fill="D9E2EC"/>
          </w:tcPr>
          <w:p w14:paraId="34C78ABA" w14:textId="77777777" w:rsidR="008A35DC" w:rsidRDefault="00000000">
            <w:pPr>
              <w:spacing w:after="0" w:line="240" w:lineRule="auto"/>
            </w:pPr>
            <w:r>
              <w:rPr>
                <w:b/>
                <w:sz w:val="17"/>
              </w:rPr>
              <w:t>Instrument</w:t>
            </w:r>
          </w:p>
        </w:tc>
        <w:tc>
          <w:tcPr>
            <w:tcW w:w="1247" w:type="dxa"/>
            <w:shd w:val="clear" w:color="auto" w:fill="D9E2EC"/>
          </w:tcPr>
          <w:p w14:paraId="6621DA82" w14:textId="77777777" w:rsidR="008A35DC" w:rsidRDefault="00000000">
            <w:pPr>
              <w:spacing w:after="0" w:line="240" w:lineRule="auto"/>
            </w:pPr>
            <w:r>
              <w:rPr>
                <w:b/>
                <w:sz w:val="17"/>
              </w:rPr>
              <w:t>Mechanism</w:t>
            </w:r>
          </w:p>
        </w:tc>
        <w:tc>
          <w:tcPr>
            <w:tcW w:w="1928" w:type="dxa"/>
            <w:shd w:val="clear" w:color="auto" w:fill="D9E2EC"/>
          </w:tcPr>
          <w:p w14:paraId="3BC89E5E" w14:textId="77777777" w:rsidR="008A35DC" w:rsidRDefault="00000000">
            <w:pPr>
              <w:spacing w:after="0" w:line="240" w:lineRule="auto"/>
            </w:pPr>
            <w:r>
              <w:rPr>
                <w:b/>
                <w:sz w:val="17"/>
              </w:rPr>
              <w:t>Evidence of effect</w:t>
            </w:r>
          </w:p>
        </w:tc>
        <w:tc>
          <w:tcPr>
            <w:tcW w:w="1587" w:type="dxa"/>
            <w:shd w:val="clear" w:color="auto" w:fill="D9E2EC"/>
          </w:tcPr>
          <w:p w14:paraId="1A7060A1" w14:textId="77777777" w:rsidR="008A35DC" w:rsidRDefault="00000000">
            <w:pPr>
              <w:spacing w:after="0" w:line="240" w:lineRule="auto"/>
            </w:pPr>
            <w:r>
              <w:rPr>
                <w:b/>
                <w:sz w:val="17"/>
              </w:rPr>
              <w:t>Implicit behavioural assumption</w:t>
            </w:r>
          </w:p>
        </w:tc>
        <w:tc>
          <w:tcPr>
            <w:tcW w:w="1587" w:type="dxa"/>
            <w:shd w:val="clear" w:color="auto" w:fill="D9E2EC"/>
          </w:tcPr>
          <w:p w14:paraId="6437CA37" w14:textId="77777777" w:rsidR="008A35DC" w:rsidRDefault="00000000">
            <w:pPr>
              <w:spacing w:after="0" w:line="240" w:lineRule="auto"/>
            </w:pPr>
            <w:r>
              <w:rPr>
                <w:b/>
                <w:sz w:val="17"/>
              </w:rPr>
              <w:t>Educational requirement</w:t>
            </w:r>
          </w:p>
        </w:tc>
        <w:tc>
          <w:tcPr>
            <w:tcW w:w="1701" w:type="dxa"/>
            <w:shd w:val="clear" w:color="auto" w:fill="D9E2EC"/>
          </w:tcPr>
          <w:p w14:paraId="4B5595FE" w14:textId="77777777" w:rsidR="008A35DC" w:rsidRDefault="00000000">
            <w:pPr>
              <w:spacing w:after="0" w:line="240" w:lineRule="auto"/>
            </w:pPr>
            <w:r>
              <w:rPr>
                <w:b/>
                <w:sz w:val="17"/>
              </w:rPr>
              <w:t>Supporting references</w:t>
            </w:r>
          </w:p>
        </w:tc>
      </w:tr>
      <w:tr w:rsidR="008A35DC" w14:paraId="7E09157A" w14:textId="77777777">
        <w:trPr>
          <w:jc w:val="center"/>
        </w:trPr>
        <w:tc>
          <w:tcPr>
            <w:tcW w:w="1361" w:type="dxa"/>
          </w:tcPr>
          <w:p w14:paraId="0BFAC3A6" w14:textId="77777777" w:rsidR="008A35DC" w:rsidRDefault="00000000">
            <w:pPr>
              <w:spacing w:after="0" w:line="240" w:lineRule="auto"/>
            </w:pPr>
            <w:r>
              <w:rPr>
                <w:sz w:val="17"/>
              </w:rPr>
              <w:t>Bans on foam food service ware</w:t>
            </w:r>
          </w:p>
        </w:tc>
        <w:tc>
          <w:tcPr>
            <w:tcW w:w="1247" w:type="dxa"/>
          </w:tcPr>
          <w:p w14:paraId="2E3078F1" w14:textId="77777777" w:rsidR="008A35DC" w:rsidRDefault="00000000">
            <w:pPr>
              <w:spacing w:after="0" w:line="240" w:lineRule="auto"/>
            </w:pPr>
            <w:r>
              <w:rPr>
                <w:sz w:val="17"/>
              </w:rPr>
              <w:t>Removal of supply</w:t>
            </w:r>
          </w:p>
        </w:tc>
        <w:tc>
          <w:tcPr>
            <w:tcW w:w="1928" w:type="dxa"/>
          </w:tcPr>
          <w:p w14:paraId="149C93E3" w14:textId="77777777" w:rsidR="008A35DC" w:rsidRDefault="00000000">
            <w:pPr>
              <w:spacing w:after="0" w:line="240" w:lineRule="auto"/>
            </w:pPr>
            <w:r>
              <w:rPr>
                <w:sz w:val="17"/>
              </w:rPr>
              <w:t>249 local bans in the United States of America by December 2019; environmental outcomes rarely measured</w:t>
            </w:r>
          </w:p>
        </w:tc>
        <w:tc>
          <w:tcPr>
            <w:tcW w:w="1587" w:type="dxa"/>
          </w:tcPr>
          <w:p w14:paraId="55E2393D" w14:textId="77777777" w:rsidR="008A35DC" w:rsidRDefault="00000000">
            <w:pPr>
              <w:spacing w:after="0" w:line="240" w:lineRule="auto"/>
            </w:pPr>
            <w:r>
              <w:rPr>
                <w:sz w:val="17"/>
              </w:rPr>
              <w:t>Supply restriction is sufficient and substitutes are acceptable</w:t>
            </w:r>
          </w:p>
        </w:tc>
        <w:tc>
          <w:tcPr>
            <w:tcW w:w="1587" w:type="dxa"/>
          </w:tcPr>
          <w:p w14:paraId="62BAC7D4" w14:textId="77777777" w:rsidR="008A35DC" w:rsidRDefault="00000000">
            <w:pPr>
              <w:spacing w:after="0" w:line="240" w:lineRule="auto"/>
            </w:pPr>
            <w:r>
              <w:rPr>
                <w:sz w:val="17"/>
              </w:rPr>
              <w:t>Explain the rationale for bans; prepare vendors and consumers for suitable alternatives</w:t>
            </w:r>
          </w:p>
        </w:tc>
        <w:tc>
          <w:tcPr>
            <w:tcW w:w="1701" w:type="dxa"/>
          </w:tcPr>
          <w:p w14:paraId="3290F4B8" w14:textId="77777777" w:rsidR="008A35DC" w:rsidRDefault="00000000">
            <w:pPr>
              <w:spacing w:after="0" w:line="240" w:lineRule="auto"/>
            </w:pPr>
            <w:r>
              <w:rPr>
                <w:sz w:val="17"/>
              </w:rPr>
              <w:t>Wagner, 2020; Xanthos &amp; Walker, 2017</w:t>
            </w:r>
          </w:p>
        </w:tc>
      </w:tr>
      <w:tr w:rsidR="008A35DC" w14:paraId="36A4EE0F" w14:textId="77777777">
        <w:trPr>
          <w:jc w:val="center"/>
        </w:trPr>
        <w:tc>
          <w:tcPr>
            <w:tcW w:w="1361" w:type="dxa"/>
          </w:tcPr>
          <w:p w14:paraId="3D89D2F8" w14:textId="77777777" w:rsidR="008A35DC" w:rsidRDefault="00000000">
            <w:pPr>
              <w:spacing w:after="0" w:line="240" w:lineRule="auto"/>
            </w:pPr>
            <w:r>
              <w:rPr>
                <w:sz w:val="17"/>
              </w:rPr>
              <w:t>Levies and market-based instruments</w:t>
            </w:r>
          </w:p>
        </w:tc>
        <w:tc>
          <w:tcPr>
            <w:tcW w:w="1247" w:type="dxa"/>
          </w:tcPr>
          <w:p w14:paraId="6B6F526D" w14:textId="77777777" w:rsidR="008A35DC" w:rsidRDefault="00000000">
            <w:pPr>
              <w:spacing w:after="0" w:line="240" w:lineRule="auto"/>
            </w:pPr>
            <w:r>
              <w:rPr>
                <w:sz w:val="17"/>
              </w:rPr>
              <w:t>Price signal</w:t>
            </w:r>
          </w:p>
        </w:tc>
        <w:tc>
          <w:tcPr>
            <w:tcW w:w="1928" w:type="dxa"/>
          </w:tcPr>
          <w:p w14:paraId="28BA13BD" w14:textId="77777777" w:rsidR="008A35DC" w:rsidRDefault="00000000">
            <w:pPr>
              <w:spacing w:after="0" w:line="240" w:lineRule="auto"/>
            </w:pPr>
            <w:r>
              <w:rPr>
                <w:sz w:val="17"/>
              </w:rPr>
              <w:t>Bag interventions associated with 33%–96% reductions in bag use</w:t>
            </w:r>
          </w:p>
        </w:tc>
        <w:tc>
          <w:tcPr>
            <w:tcW w:w="1587" w:type="dxa"/>
          </w:tcPr>
          <w:p w14:paraId="0594021F" w14:textId="77777777" w:rsidR="008A35DC" w:rsidRDefault="00000000">
            <w:pPr>
              <w:spacing w:after="0" w:line="240" w:lineRule="auto"/>
            </w:pPr>
            <w:r>
              <w:rPr>
                <w:sz w:val="17"/>
              </w:rPr>
              <w:t>Consumers respond to price and alternatives are available</w:t>
            </w:r>
          </w:p>
        </w:tc>
        <w:tc>
          <w:tcPr>
            <w:tcW w:w="1587" w:type="dxa"/>
          </w:tcPr>
          <w:p w14:paraId="1A22052E" w14:textId="77777777" w:rsidR="008A35DC" w:rsidRDefault="00000000">
            <w:pPr>
              <w:spacing w:after="0" w:line="240" w:lineRule="auto"/>
            </w:pPr>
            <w:r>
              <w:rPr>
                <w:sz w:val="17"/>
              </w:rPr>
              <w:t>Frame charges as part of a wider rationale; support reuse habits</w:t>
            </w:r>
          </w:p>
        </w:tc>
        <w:tc>
          <w:tcPr>
            <w:tcW w:w="1701" w:type="dxa"/>
          </w:tcPr>
          <w:p w14:paraId="262D65BE" w14:textId="77777777" w:rsidR="008A35DC" w:rsidRDefault="00000000">
            <w:pPr>
              <w:spacing w:after="0" w:line="240" w:lineRule="auto"/>
            </w:pPr>
            <w:r>
              <w:rPr>
                <w:sz w:val="17"/>
              </w:rPr>
              <w:t>Schnurr et al., 2018; Xanthos &amp; Walker, 2017</w:t>
            </w:r>
          </w:p>
        </w:tc>
      </w:tr>
      <w:tr w:rsidR="008A35DC" w14:paraId="4F9ACFA6" w14:textId="77777777">
        <w:trPr>
          <w:jc w:val="center"/>
        </w:trPr>
        <w:tc>
          <w:tcPr>
            <w:tcW w:w="1361" w:type="dxa"/>
          </w:tcPr>
          <w:p w14:paraId="704D8C97" w14:textId="77777777" w:rsidR="008A35DC" w:rsidRDefault="00000000">
            <w:pPr>
              <w:spacing w:after="0" w:line="240" w:lineRule="auto"/>
            </w:pPr>
            <w:r>
              <w:rPr>
                <w:sz w:val="17"/>
              </w:rPr>
              <w:t>National single-use plastics bans with limited enforcement capacity</w:t>
            </w:r>
          </w:p>
        </w:tc>
        <w:tc>
          <w:tcPr>
            <w:tcW w:w="1247" w:type="dxa"/>
          </w:tcPr>
          <w:p w14:paraId="6A176035" w14:textId="77777777" w:rsidR="008A35DC" w:rsidRDefault="00000000">
            <w:pPr>
              <w:spacing w:after="0" w:line="240" w:lineRule="auto"/>
            </w:pPr>
            <w:r>
              <w:rPr>
                <w:sz w:val="17"/>
              </w:rPr>
              <w:t>Supply restriction</w:t>
            </w:r>
          </w:p>
        </w:tc>
        <w:tc>
          <w:tcPr>
            <w:tcW w:w="1928" w:type="dxa"/>
          </w:tcPr>
          <w:p w14:paraId="1DD2CC10" w14:textId="77777777" w:rsidR="008A35DC" w:rsidRDefault="00000000">
            <w:pPr>
              <w:spacing w:after="0" w:line="240" w:lineRule="auto"/>
            </w:pPr>
            <w:r>
              <w:rPr>
                <w:sz w:val="17"/>
              </w:rPr>
              <w:t>Limited consultation, short notice, absence of campaigns and of reusable alternatives in West Africa</w:t>
            </w:r>
          </w:p>
        </w:tc>
        <w:tc>
          <w:tcPr>
            <w:tcW w:w="1587" w:type="dxa"/>
          </w:tcPr>
          <w:p w14:paraId="3AEB507D" w14:textId="77777777" w:rsidR="008A35DC" w:rsidRDefault="00000000">
            <w:pPr>
              <w:spacing w:after="0" w:line="240" w:lineRule="auto"/>
            </w:pPr>
            <w:r>
              <w:rPr>
                <w:sz w:val="17"/>
              </w:rPr>
              <w:t>Compliance will follow legislation without engagement</w:t>
            </w:r>
          </w:p>
        </w:tc>
        <w:tc>
          <w:tcPr>
            <w:tcW w:w="1587" w:type="dxa"/>
          </w:tcPr>
          <w:p w14:paraId="707B9A9B" w14:textId="77777777" w:rsidR="008A35DC" w:rsidRDefault="00000000">
            <w:pPr>
              <w:spacing w:after="0" w:line="240" w:lineRule="auto"/>
            </w:pPr>
            <w:r>
              <w:rPr>
                <w:sz w:val="17"/>
              </w:rPr>
              <w:t>National campaigns, stakeholder consultation and adequate lead time</w:t>
            </w:r>
          </w:p>
        </w:tc>
        <w:tc>
          <w:tcPr>
            <w:tcW w:w="1701" w:type="dxa"/>
          </w:tcPr>
          <w:p w14:paraId="50E72C49" w14:textId="77777777" w:rsidR="008A35DC" w:rsidRDefault="00000000">
            <w:pPr>
              <w:spacing w:after="0" w:line="240" w:lineRule="auto"/>
            </w:pPr>
            <w:r>
              <w:rPr>
                <w:sz w:val="17"/>
              </w:rPr>
              <w:t>Adam et al., 2020; UNEP, 2018</w:t>
            </w:r>
          </w:p>
        </w:tc>
      </w:tr>
      <w:tr w:rsidR="008A35DC" w14:paraId="630C8897" w14:textId="77777777">
        <w:trPr>
          <w:jc w:val="center"/>
        </w:trPr>
        <w:tc>
          <w:tcPr>
            <w:tcW w:w="1361" w:type="dxa"/>
          </w:tcPr>
          <w:p w14:paraId="011CF910" w14:textId="77777777" w:rsidR="008A35DC" w:rsidRDefault="00000000">
            <w:pPr>
              <w:spacing w:after="0" w:line="240" w:lineRule="auto"/>
            </w:pPr>
            <w:r>
              <w:rPr>
                <w:sz w:val="17"/>
              </w:rPr>
              <w:t>Producer accountability and monitoring</w:t>
            </w:r>
          </w:p>
        </w:tc>
        <w:tc>
          <w:tcPr>
            <w:tcW w:w="1247" w:type="dxa"/>
          </w:tcPr>
          <w:p w14:paraId="4F8B818D" w14:textId="77777777" w:rsidR="008A35DC" w:rsidRDefault="00000000">
            <w:pPr>
              <w:spacing w:after="0" w:line="240" w:lineRule="auto"/>
            </w:pPr>
            <w:r>
              <w:rPr>
                <w:sz w:val="17"/>
              </w:rPr>
              <w:t>Assignment of responsibility along the value chain</w:t>
            </w:r>
          </w:p>
        </w:tc>
        <w:tc>
          <w:tcPr>
            <w:tcW w:w="1928" w:type="dxa"/>
          </w:tcPr>
          <w:p w14:paraId="35F5D48B" w14:textId="77777777" w:rsidR="008A35DC" w:rsidRDefault="00000000">
            <w:pPr>
              <w:spacing w:after="0" w:line="240" w:lineRule="auto"/>
            </w:pPr>
            <w:r>
              <w:rPr>
                <w:sz w:val="17"/>
              </w:rPr>
              <w:t>Brand audits show concentrated sources; existing management judged insufficient in Canada</w:t>
            </w:r>
          </w:p>
        </w:tc>
        <w:tc>
          <w:tcPr>
            <w:tcW w:w="1587" w:type="dxa"/>
          </w:tcPr>
          <w:p w14:paraId="32E7A107" w14:textId="77777777" w:rsidR="008A35DC" w:rsidRDefault="00000000">
            <w:pPr>
              <w:spacing w:after="0" w:line="240" w:lineRule="auto"/>
            </w:pPr>
            <w:r>
              <w:rPr>
                <w:sz w:val="17"/>
              </w:rPr>
              <w:t>Producers respond to transparency and responsibility</w:t>
            </w:r>
          </w:p>
        </w:tc>
        <w:tc>
          <w:tcPr>
            <w:tcW w:w="1587" w:type="dxa"/>
          </w:tcPr>
          <w:p w14:paraId="7B195CC9" w14:textId="77777777" w:rsidR="008A35DC" w:rsidRDefault="00000000">
            <w:pPr>
              <w:spacing w:after="0" w:line="240" w:lineRule="auto"/>
            </w:pPr>
            <w:r>
              <w:rPr>
                <w:sz w:val="17"/>
              </w:rPr>
              <w:t>Data literacy and citizen science participation</w:t>
            </w:r>
          </w:p>
        </w:tc>
        <w:tc>
          <w:tcPr>
            <w:tcW w:w="1701" w:type="dxa"/>
          </w:tcPr>
          <w:p w14:paraId="170983A8" w14:textId="77777777" w:rsidR="008A35DC" w:rsidRDefault="00000000">
            <w:pPr>
              <w:spacing w:after="0" w:line="240" w:lineRule="auto"/>
            </w:pPr>
            <w:r>
              <w:rPr>
                <w:sz w:val="17"/>
              </w:rPr>
              <w:t>Baxter et al., 2022; OECD, 2022</w:t>
            </w:r>
          </w:p>
        </w:tc>
      </w:tr>
      <w:tr w:rsidR="008A35DC" w14:paraId="466DF2E8" w14:textId="77777777">
        <w:trPr>
          <w:jc w:val="center"/>
        </w:trPr>
        <w:tc>
          <w:tcPr>
            <w:tcW w:w="1361" w:type="dxa"/>
          </w:tcPr>
          <w:p w14:paraId="72E0EA69" w14:textId="77777777" w:rsidR="008A35DC" w:rsidRDefault="00000000">
            <w:pPr>
              <w:spacing w:after="0" w:line="240" w:lineRule="auto"/>
            </w:pPr>
            <w:r>
              <w:rPr>
                <w:sz w:val="17"/>
              </w:rPr>
              <w:t>Sectoral buoy retrieval and subsidy schemes</w:t>
            </w:r>
          </w:p>
        </w:tc>
        <w:tc>
          <w:tcPr>
            <w:tcW w:w="1247" w:type="dxa"/>
          </w:tcPr>
          <w:p w14:paraId="398DAB04" w14:textId="77777777" w:rsidR="008A35DC" w:rsidRDefault="00000000">
            <w:pPr>
              <w:spacing w:after="0" w:line="240" w:lineRule="auto"/>
            </w:pPr>
            <w:r>
              <w:rPr>
                <w:sz w:val="17"/>
              </w:rPr>
              <w:t>Incentives for retrieval and durable buoys</w:t>
            </w:r>
          </w:p>
        </w:tc>
        <w:tc>
          <w:tcPr>
            <w:tcW w:w="1928" w:type="dxa"/>
          </w:tcPr>
          <w:p w14:paraId="0AE68F73" w14:textId="77777777" w:rsidR="008A35DC" w:rsidRDefault="00000000">
            <w:pPr>
              <w:spacing w:after="0" w:line="240" w:lineRule="auto"/>
            </w:pPr>
            <w:r>
              <w:rPr>
                <w:sz w:val="17"/>
              </w:rPr>
              <w:t>Participatory option adopted as national policy in South Korea; enforcement and alternative-buoy barriers in Taiwan</w:t>
            </w:r>
          </w:p>
        </w:tc>
        <w:tc>
          <w:tcPr>
            <w:tcW w:w="1587" w:type="dxa"/>
          </w:tcPr>
          <w:p w14:paraId="4A19DDD5" w14:textId="77777777" w:rsidR="008A35DC" w:rsidRDefault="00000000">
            <w:pPr>
              <w:spacing w:after="0" w:line="240" w:lineRule="auto"/>
            </w:pPr>
            <w:r>
              <w:rPr>
                <w:sz w:val="17"/>
              </w:rPr>
              <w:t>Producers act when incentives and alternatives exist</w:t>
            </w:r>
          </w:p>
        </w:tc>
        <w:tc>
          <w:tcPr>
            <w:tcW w:w="1587" w:type="dxa"/>
          </w:tcPr>
          <w:p w14:paraId="5D6010EA" w14:textId="77777777" w:rsidR="008A35DC" w:rsidRDefault="00000000">
            <w:pPr>
              <w:spacing w:after="0" w:line="240" w:lineRule="auto"/>
            </w:pPr>
            <w:r>
              <w:rPr>
                <w:sz w:val="17"/>
              </w:rPr>
              <w:t>Farmer training, deliberation and consumer awareness of ecolabels</w:t>
            </w:r>
          </w:p>
        </w:tc>
        <w:tc>
          <w:tcPr>
            <w:tcW w:w="1701" w:type="dxa"/>
          </w:tcPr>
          <w:p w14:paraId="4975C75C" w14:textId="77777777" w:rsidR="008A35DC" w:rsidRDefault="00000000">
            <w:pPr>
              <w:spacing w:after="0" w:line="240" w:lineRule="auto"/>
            </w:pPr>
            <w:r>
              <w:rPr>
                <w:sz w:val="17"/>
              </w:rPr>
              <w:t>Chen et al., 2018; Lee et al., 2015</w:t>
            </w:r>
          </w:p>
        </w:tc>
      </w:tr>
      <w:tr w:rsidR="008A35DC" w14:paraId="0C4B7563" w14:textId="77777777">
        <w:trPr>
          <w:jc w:val="center"/>
        </w:trPr>
        <w:tc>
          <w:tcPr>
            <w:tcW w:w="1361" w:type="dxa"/>
          </w:tcPr>
          <w:p w14:paraId="030C89FF" w14:textId="77777777" w:rsidR="008A35DC" w:rsidRDefault="00000000">
            <w:pPr>
              <w:spacing w:after="0" w:line="240" w:lineRule="auto"/>
            </w:pPr>
            <w:r>
              <w:rPr>
                <w:sz w:val="17"/>
              </w:rPr>
              <w:t>Informational and behavioural interventions</w:t>
            </w:r>
          </w:p>
        </w:tc>
        <w:tc>
          <w:tcPr>
            <w:tcW w:w="1247" w:type="dxa"/>
          </w:tcPr>
          <w:p w14:paraId="1316BBB4" w14:textId="77777777" w:rsidR="008A35DC" w:rsidRDefault="00000000">
            <w:pPr>
              <w:spacing w:after="0" w:line="240" w:lineRule="auto"/>
            </w:pPr>
            <w:r>
              <w:rPr>
                <w:sz w:val="17"/>
              </w:rPr>
              <w:t>Information, prompts, social and contextual change</w:t>
            </w:r>
          </w:p>
        </w:tc>
        <w:tc>
          <w:tcPr>
            <w:tcW w:w="1928" w:type="dxa"/>
          </w:tcPr>
          <w:p w14:paraId="6A2BA77B" w14:textId="77777777" w:rsidR="008A35DC" w:rsidRDefault="00000000">
            <w:pPr>
              <w:spacing w:after="0" w:line="240" w:lineRule="auto"/>
            </w:pPr>
            <w:r>
              <w:rPr>
                <w:sz w:val="17"/>
              </w:rPr>
              <w:t>Mixed effects of information in education; contextual changes often effective; many studies at risk of bias</w:t>
            </w:r>
          </w:p>
        </w:tc>
        <w:tc>
          <w:tcPr>
            <w:tcW w:w="1587" w:type="dxa"/>
          </w:tcPr>
          <w:p w14:paraId="27C50848" w14:textId="77777777" w:rsidR="008A35DC" w:rsidRDefault="00000000">
            <w:pPr>
              <w:spacing w:after="0" w:line="240" w:lineRule="auto"/>
            </w:pPr>
            <w:r>
              <w:rPr>
                <w:sz w:val="17"/>
              </w:rPr>
              <w:t>Knowledge and prompts lead to behaviour change</w:t>
            </w:r>
          </w:p>
        </w:tc>
        <w:tc>
          <w:tcPr>
            <w:tcW w:w="1587" w:type="dxa"/>
          </w:tcPr>
          <w:p w14:paraId="4CDB6987" w14:textId="77777777" w:rsidR="008A35DC" w:rsidRDefault="00000000">
            <w:pPr>
              <w:spacing w:after="0" w:line="240" w:lineRule="auto"/>
            </w:pPr>
            <w:r>
              <w:rPr>
                <w:sz w:val="17"/>
              </w:rPr>
              <w:t>Combine information with contextual, social and action-oriented strategies</w:t>
            </w:r>
          </w:p>
        </w:tc>
        <w:tc>
          <w:tcPr>
            <w:tcW w:w="1701" w:type="dxa"/>
          </w:tcPr>
          <w:p w14:paraId="186C42CD" w14:textId="77777777" w:rsidR="008A35DC" w:rsidRDefault="00000000">
            <w:pPr>
              <w:spacing w:after="0" w:line="240" w:lineRule="auto"/>
            </w:pPr>
            <w:r>
              <w:rPr>
                <w:sz w:val="17"/>
              </w:rPr>
              <w:t>Heidbreder et al., 2019; Nuojua et al., 2024</w:t>
            </w:r>
          </w:p>
        </w:tc>
      </w:tr>
    </w:tbl>
    <w:p w14:paraId="45E3124F" w14:textId="77777777" w:rsidR="008A35DC" w:rsidRDefault="00000000">
      <w:pPr>
        <w:spacing w:after="240" w:line="240" w:lineRule="auto"/>
      </w:pPr>
      <w:r>
        <w:rPr>
          <w:i/>
          <w:sz w:val="18"/>
        </w:rPr>
        <w:t xml:space="preserve">Note. </w:t>
      </w:r>
      <w:r>
        <w:rPr>
          <w:sz w:val="18"/>
        </w:rPr>
        <w:t>Evidence of effect is summarised from the cited sources and does not imply equivalent effectiveness across jurisdictions. OECD = Organisation for Economic Co-operation and Development; UNEP = United Nations Environment Programme.</w:t>
      </w:r>
    </w:p>
    <w:p w14:paraId="33423525" w14:textId="77777777" w:rsidR="008A35DC" w:rsidRDefault="00000000">
      <w:pPr>
        <w:keepNext/>
        <w:spacing w:before="280"/>
      </w:pPr>
      <w:r>
        <w:rPr>
          <w:b/>
          <w:sz w:val="26"/>
        </w:rPr>
        <w:t>5. What Plastic-Pollution Education Achieves: Knowledge, Behaviour and the Limits of Current Evidence</w:t>
      </w:r>
    </w:p>
    <w:p w14:paraId="0DFD9B1F" w14:textId="77777777" w:rsidR="008A35DC" w:rsidRDefault="00000000">
      <w:pPr>
        <w:ind w:firstLine="425"/>
        <w:jc w:val="both"/>
      </w:pPr>
      <w:r>
        <w:t>This section appraises the empirical evidence on education and communication interventions concerning plastic pollution, with the aim of identifying which outcomes can reasonably be expected from an educational model and which methodological weaknesses a new framework must address. Because no evaluated intervention focused specifically on polystyrene foam was identified in the sources searched, the evidence is drawn from marine litter, microplastics and general environmental education, and its transferability to foam is treated as an inference rather than a finding.</w:t>
      </w:r>
    </w:p>
    <w:p w14:paraId="55349D19" w14:textId="77777777" w:rsidR="008A35DC" w:rsidRDefault="00000000">
      <w:pPr>
        <w:keepNext/>
        <w:spacing w:before="200"/>
      </w:pPr>
      <w:r>
        <w:rPr>
          <w:b/>
          <w:i/>
        </w:rPr>
        <w:t>5.1 Theoretical Accounts of the Knowledge–Behaviour Gap</w:t>
      </w:r>
    </w:p>
    <w:p w14:paraId="5E7BA1B2" w14:textId="77777777" w:rsidR="008A35DC" w:rsidRDefault="00000000">
      <w:pPr>
        <w:ind w:firstLine="425"/>
        <w:jc w:val="both"/>
      </w:pPr>
      <w:r>
        <w:t xml:space="preserve">Three theoretical traditions dominate explanations of why environmental knowledge translates imperfectly into action. The theory of planned behaviour (TPB) posits that intentions </w:t>
      </w:r>
      <w:r>
        <w:lastRenderedPageBreak/>
        <w:t>are shaped by attitudes, subjective norms and perceived behavioural control, and that intentions and control jointly predict behaviour (Ajzen, 1991). Value–belief–norm (VBN) theory proposes a causal chain from values through ecological worldview, awareness of consequences and ascription of responsibility to personal norms, and it distinguishes private-sphere behaviour from environmental activism and policy support (Stern, 2000). Kollmuss and Agyeman (2002) argued that no single model adequately explains the gap between knowledge, awareness and pro-environmental behaviour, and emphasised internal factors such as values, emotional involvement and locus of control together with external factors such as infrastructure, economic conditions and cultural norms.</w:t>
      </w:r>
    </w:p>
    <w:p w14:paraId="47F70CCB" w14:textId="77777777" w:rsidR="008A35DC" w:rsidRDefault="00000000">
      <w:pPr>
        <w:ind w:firstLine="425"/>
        <w:jc w:val="both"/>
      </w:pPr>
      <w:r>
        <w:t>These frameworks converge on a conclusion of central relevance to foam: knowledge is necessary but insufficient, and behaviour is constrained by availability, cost, convenience and social expectation. For a product such as a foam takeaway container, the decisive choices are frequently made by vendors, procurement officers and regulators rather than by the end consumer, which limits the explanatory power of individual-level models. VBN theory is useful here because it explicitly incorporates policy support as a behavioural outcome, whereas TPB has most often been applied to discrete consumer actions (Ajzen, 1991; Stern, 2000). A child-focused study found that environmental knowledge and connectedness to nature together, rather than knowledge alone, were associated with ecological behaviour (Otto &amp; Pensini, 2017), which is consistent with the view that cognitive and affective routes operate jointly. The correlational design of that study, however, does not permit causal inference.</w:t>
      </w:r>
    </w:p>
    <w:p w14:paraId="6BB2AD7F" w14:textId="77777777" w:rsidR="008A35DC" w:rsidRDefault="00000000">
      <w:pPr>
        <w:keepNext/>
        <w:spacing w:before="200"/>
      </w:pPr>
      <w:r>
        <w:rPr>
          <w:b/>
          <w:i/>
        </w:rPr>
        <w:t>5.2 Evidence from Plastic-Pollution and Marine Litter Interventions</w:t>
      </w:r>
    </w:p>
    <w:p w14:paraId="40B6D49A" w14:textId="77777777" w:rsidR="008A35DC" w:rsidRDefault="00000000">
      <w:pPr>
        <w:ind w:firstLine="425"/>
        <w:jc w:val="both"/>
      </w:pPr>
      <w:r>
        <w:t xml:space="preserve">The most frequently cited classroom study examined 176 British schoolchildren aged 8 to 13 years before and after a marine litter educational intervention and found increased concern, better understanding of causes and impacts, and more self-reported actions to reduce litter (Hartley et al., 2015). The single-group pre-test and post-test design, the absence of a comparison group and the reliance on self-report limit causal attribution and exclude conclusions about sustained behaviour. Microplastics modules show a similar pattern. A hands-on primary school module was developed around the sources, sinks, effects and prevention of microplastics (Raab &amp; Bogner, 2020), and its evaluation with 444 primary school pupils in formal and informal learning environments showed short-term and six-week knowledge gains in both settings, with preservation values predicting higher and utilisation values predicting lower knowledge outcomes (Raab &amp; Bogner, 2021). A middle school curriculum with 84 students aged 13 to 15 years </w:t>
      </w:r>
      <w:r>
        <w:lastRenderedPageBreak/>
        <w:t>increased the proportion providing a definition of microplastics, although only 23% identified the scientifically defined upper size limit of 5 mm after instruction (Hogan &amp; Urban-Rich, 2025).</w:t>
      </w:r>
    </w:p>
    <w:p w14:paraId="4106EE57" w14:textId="77777777" w:rsidR="008A35DC" w:rsidRDefault="00000000">
      <w:pPr>
        <w:ind w:firstLine="425"/>
        <w:jc w:val="both"/>
      </w:pPr>
      <w:r>
        <w:t>Qualitative and field-based studies reveal conceptual obstacles that knowledge-focused modules may not address. In Florida, young people showed high awareness of marine debris effects but weaker understanding of watersheds and biodegradation, attributed others' littering to dispositional factors such as laziness while attributing their own littering to situational factors such as poorly placed bins, and were influenced by the observed behaviour of educators and parents (Torres et al., 2019). This actor–observer asymmetry is directly relevant to foam, whose disposal is heavily shaped by bin availability, vendor practice and the absence of recycling options. Citizen science programmes in which schoolchildren sampled riverside litter produced usable monitoring data across more than 250 sites while engaging pupils in the identification of litter sources (Kiessling et al., 2019). An experiment in which 90 students were allocated to beach cleaning, rock pooling or walking found that all activities were associated with positive mood and pro-environmental intentions, while beach cleaning was rated most meaningful but was associated with lower perceived restorativeness of the environment (Wyles et al., 2017). This last result cautions against assuming that clean-up activities are uniformly beneficial for learners.</w:t>
      </w:r>
    </w:p>
    <w:p w14:paraId="41F243A4" w14:textId="77777777" w:rsidR="008A35DC" w:rsidRDefault="00000000">
      <w:pPr>
        <w:ind w:firstLine="425"/>
        <w:jc w:val="both"/>
      </w:pPr>
      <w:r>
        <w:t>Classroom activities involving polystyrene exist but are rarely evaluated. The widely used shrinking-cup activity, in which polystyrene cups are submerged to depth and compressed by water pressure, was designed to teach pressure, volume and density through contact with ocean and Great Lakes scientists (Rose et al., 2013). It illustrates how foam can serve as an engaging material for physical science, but it does not address pollution, and no outcome data were reported. The gap between the availability of foam-related activities and the absence of evaluated foam-pollution education is therefore substantial.</w:t>
      </w:r>
    </w:p>
    <w:p w14:paraId="0619C1B9" w14:textId="77777777" w:rsidR="008A35DC" w:rsidRDefault="00000000">
      <w:pPr>
        <w:keepNext/>
        <w:spacing w:before="200"/>
      </w:pPr>
      <w:r>
        <w:rPr>
          <w:b/>
          <w:i/>
        </w:rPr>
        <w:t>5.3 Meta-Analytic and Longitudinal Evidence on Environmental and Sustainability Education</w:t>
      </w:r>
    </w:p>
    <w:p w14:paraId="25299333" w14:textId="77777777" w:rsidR="008A35DC" w:rsidRDefault="00000000">
      <w:pPr>
        <w:ind w:firstLine="425"/>
        <w:jc w:val="both"/>
      </w:pPr>
      <w:r>
        <w:t>Broader syntheses provide a benchmark for expected effects. A meta-analysis of five decades of research, including 169 studies with 512 effect sizes and 176,007 participants in 43 countries, found that environmental education improved knowledge (</w:t>
      </w:r>
      <w:r>
        <w:rPr>
          <w:i/>
        </w:rPr>
        <w:t>g</w:t>
      </w:r>
      <w:r>
        <w:t xml:space="preserve"> = 0.953), attitudes (</w:t>
      </w:r>
      <w:r>
        <w:rPr>
          <w:i/>
        </w:rPr>
        <w:t>g</w:t>
      </w:r>
      <w:r>
        <w:t xml:space="preserve"> = 0.384), intentions (</w:t>
      </w:r>
      <w:r>
        <w:rPr>
          <w:i/>
        </w:rPr>
        <w:t>g</w:t>
      </w:r>
      <w:r>
        <w:t xml:space="preserve"> = 0.256) and mostly self-reported behaviour (</w:t>
      </w:r>
      <w:r>
        <w:rPr>
          <w:i/>
        </w:rPr>
        <w:t>g</w:t>
      </w:r>
      <w:r>
        <w:t xml:space="preserve"> = 0.410), with substantial heterogeneity that none of the tested moderators, including age, educational approach and study design, explained (van de Wetering et al., 2022). A mixed-methods systematic review of 105 studies on environmental education outcomes for conservation reported strongly positive outcomes overall and identified productive links between research and implementation, while acknowledging that robust data on tangible environmental outcomes are difficult to produce </w:t>
      </w:r>
      <w:r>
        <w:lastRenderedPageBreak/>
        <w:t>(Ardoin et al., 2020). The scoping review of plastic-behaviour interventions found that informational strategies were promising in several sectors but showed mixed effectiveness in education, that contextual modifications were often effective, and that nearly half of the included studies had moderate-to-high risk of bias (Nuojua et al., 2024).</w:t>
      </w:r>
    </w:p>
    <w:p w14:paraId="4700DFD2" w14:textId="77777777" w:rsidR="008A35DC" w:rsidRDefault="00000000">
      <w:pPr>
        <w:ind w:firstLine="425"/>
        <w:jc w:val="both"/>
      </w:pPr>
      <w:r>
        <w:t>Evidence on ESD, as distinct from single-topic environmental education, suggests that effects accumulate slowly. A cross-sectional study of 2,413 Swedish students in grades 6, 9 and 12 across 51 schools found that ESD teaching was associated with higher sustainability consciousness (Boeve-de Pauw et al., 2015). A three-wave longitudinal study of 760 upper secondary students found that ESD experience contributed to the development of self-perceived action competence, but that the component of confidence in one's own influence did not develop significantly, leading the authors to conclude that developing action competence takes time (Olsson et al., 2022). Educational research on public attitudes in Portugal found that awareness of the socioeconomic, health and bio-ecological impacts of plastic pollution was associated with pro-environmental behaviour, although the cross-sectional design precludes conclusions about direction of influence (Soares et al., 2021).</w:t>
      </w:r>
    </w:p>
    <w:p w14:paraId="07976265" w14:textId="77777777" w:rsidR="008A35DC" w:rsidRDefault="00000000">
      <w:pPr>
        <w:keepNext/>
        <w:spacing w:before="200"/>
      </w:pPr>
      <w:r>
        <w:rPr>
          <w:b/>
          <w:i/>
        </w:rPr>
        <w:t>5.4 Methodological Appraisal and Implications</w:t>
      </w:r>
    </w:p>
    <w:p w14:paraId="55A66DC5" w14:textId="77777777" w:rsidR="008A35DC" w:rsidRDefault="00000000">
      <w:pPr>
        <w:ind w:firstLine="425"/>
        <w:jc w:val="both"/>
      </w:pPr>
      <w:r>
        <w:t>The education evidence is internally consistent in one respect: knowledge gains are reliable and comparatively large, whereas effects on intentions and behaviour are smaller, more variable and predominantly self-reported (van de Wetering et al., 2022). Several recurrent weaknesses reduce confidence further. Single-group pre-test and post-test designs are common (Hartley et al., 2015; Hogan &amp; Urban-Rich, 2025), follow-up rarely exceeds a few weeks (Raab &amp; Bogner, 2021), outcomes seldom include observed purchasing, disposal or civic behaviour, and study populations are concentrated in Europe and North America. Interventions are also usually designed around awareness of harm rather than around the structural drivers identified in Section 4, such as vendor practice and the absence of alternatives.</w:t>
      </w:r>
    </w:p>
    <w:p w14:paraId="6CCDF76E" w14:textId="77777777" w:rsidR="008A35DC" w:rsidRDefault="00000000">
      <w:pPr>
        <w:ind w:firstLine="425"/>
        <w:jc w:val="both"/>
      </w:pPr>
      <w:r>
        <w:t xml:space="preserve">The likely explanation for the persistent knowledge–behaviour discrepancy is not that education is ineffective but that most interventions target the component of behaviour that is least limiting. Where habits, norms and situational constraints dominate (Heidbreder et al., 2019), knowledge gains will have limited behavioural expression unless learners also develop the capacity to change contexts, influence others and participate in collective decisions. This interpretation is consistent with the action competence tradition and with the finding that confidence in one's own influence is the slowest component to develop (Jensen &amp; Schnack, 1997; </w:t>
      </w:r>
      <w:r>
        <w:lastRenderedPageBreak/>
        <w:t>Olsson et al., 2022). The remaining gap is the absence of controlled, longitudinal studies that measure observed behaviour and institutional change following material-specific education.</w:t>
      </w:r>
    </w:p>
    <w:p w14:paraId="349A2123" w14:textId="77777777" w:rsidR="008A35DC" w:rsidRDefault="00000000">
      <w:pPr>
        <w:ind w:firstLine="425"/>
        <w:jc w:val="both"/>
      </w:pPr>
      <w:r>
        <w:t>Table 4 summarises representative intervention and synthesis studies, indicating design, sample, outcomes and the principal limitation of each. The table shows that the evidence becomes progressively weaker as outcomes move from knowledge towards observed behaviour and environmental change, a gradient that informs the evidence classification used in the SSEM.</w:t>
      </w:r>
    </w:p>
    <w:p w14:paraId="17F5FE07" w14:textId="77777777" w:rsidR="008A35DC" w:rsidRDefault="00000000">
      <w:pPr>
        <w:keepNext/>
        <w:spacing w:before="160" w:line="276" w:lineRule="auto"/>
      </w:pPr>
      <w:r>
        <w:rPr>
          <w:b/>
          <w:sz w:val="22"/>
        </w:rPr>
        <w:t>Table 4</w:t>
      </w:r>
    </w:p>
    <w:p w14:paraId="531F22DE" w14:textId="77777777" w:rsidR="008A35DC" w:rsidRDefault="00000000">
      <w:pPr>
        <w:keepNext/>
        <w:spacing w:line="276" w:lineRule="auto"/>
      </w:pPr>
      <w:r>
        <w:rPr>
          <w:i/>
          <w:sz w:val="22"/>
        </w:rPr>
        <w:t>Representative empirical evidence on plastic-pollution, environmental and sustainability education, arranged from single interventions to syntheses</w:t>
      </w:r>
    </w:p>
    <w:tbl>
      <w:tblPr>
        <w:tblStyle w:val="TableGrid"/>
        <w:tblW w:w="0" w:type="auto"/>
        <w:jc w:val="center"/>
        <w:tblLayout w:type="fixed"/>
        <w:tblLook w:val="04A0" w:firstRow="1" w:lastRow="0" w:firstColumn="1" w:lastColumn="0" w:noHBand="0" w:noVBand="1"/>
      </w:tblPr>
      <w:tblGrid>
        <w:gridCol w:w="1474"/>
        <w:gridCol w:w="1474"/>
        <w:gridCol w:w="1361"/>
        <w:gridCol w:w="1814"/>
        <w:gridCol w:w="1587"/>
        <w:gridCol w:w="1701"/>
      </w:tblGrid>
      <w:tr w:rsidR="008A35DC" w14:paraId="00F84528" w14:textId="77777777">
        <w:trPr>
          <w:tblHeader/>
          <w:jc w:val="center"/>
        </w:trPr>
        <w:tc>
          <w:tcPr>
            <w:tcW w:w="1474" w:type="dxa"/>
            <w:shd w:val="clear" w:color="auto" w:fill="D9E2EC"/>
          </w:tcPr>
          <w:p w14:paraId="6C896DB2" w14:textId="77777777" w:rsidR="008A35DC" w:rsidRDefault="00000000">
            <w:pPr>
              <w:spacing w:after="0" w:line="240" w:lineRule="auto"/>
            </w:pPr>
            <w:r>
              <w:rPr>
                <w:b/>
                <w:sz w:val="17"/>
              </w:rPr>
              <w:t>Focus and setting</w:t>
            </w:r>
          </w:p>
        </w:tc>
        <w:tc>
          <w:tcPr>
            <w:tcW w:w="1474" w:type="dxa"/>
            <w:shd w:val="clear" w:color="auto" w:fill="D9E2EC"/>
          </w:tcPr>
          <w:p w14:paraId="6F4237B4" w14:textId="77777777" w:rsidR="008A35DC" w:rsidRDefault="00000000">
            <w:pPr>
              <w:spacing w:after="0" w:line="240" w:lineRule="auto"/>
            </w:pPr>
            <w:r>
              <w:rPr>
                <w:b/>
                <w:sz w:val="17"/>
              </w:rPr>
              <w:t>Design and sample</w:t>
            </w:r>
          </w:p>
        </w:tc>
        <w:tc>
          <w:tcPr>
            <w:tcW w:w="1361" w:type="dxa"/>
            <w:shd w:val="clear" w:color="auto" w:fill="D9E2EC"/>
          </w:tcPr>
          <w:p w14:paraId="5A5FDFE9" w14:textId="77777777" w:rsidR="008A35DC" w:rsidRDefault="00000000">
            <w:pPr>
              <w:spacing w:after="0" w:line="240" w:lineRule="auto"/>
            </w:pPr>
            <w:r>
              <w:rPr>
                <w:b/>
                <w:sz w:val="17"/>
              </w:rPr>
              <w:t>Outcomes measured</w:t>
            </w:r>
          </w:p>
        </w:tc>
        <w:tc>
          <w:tcPr>
            <w:tcW w:w="1814" w:type="dxa"/>
            <w:shd w:val="clear" w:color="auto" w:fill="D9E2EC"/>
          </w:tcPr>
          <w:p w14:paraId="2B1DE0A9" w14:textId="77777777" w:rsidR="008A35DC" w:rsidRDefault="00000000">
            <w:pPr>
              <w:spacing w:after="0" w:line="240" w:lineRule="auto"/>
            </w:pPr>
            <w:r>
              <w:rPr>
                <w:b/>
                <w:sz w:val="17"/>
              </w:rPr>
              <w:t>Principal finding</w:t>
            </w:r>
          </w:p>
        </w:tc>
        <w:tc>
          <w:tcPr>
            <w:tcW w:w="1587" w:type="dxa"/>
            <w:shd w:val="clear" w:color="auto" w:fill="D9E2EC"/>
          </w:tcPr>
          <w:p w14:paraId="34408644" w14:textId="77777777" w:rsidR="008A35DC" w:rsidRDefault="00000000">
            <w:pPr>
              <w:spacing w:after="0" w:line="240" w:lineRule="auto"/>
            </w:pPr>
            <w:r>
              <w:rPr>
                <w:b/>
                <w:sz w:val="17"/>
              </w:rPr>
              <w:t>Main methodological limitation</w:t>
            </w:r>
          </w:p>
        </w:tc>
        <w:tc>
          <w:tcPr>
            <w:tcW w:w="1701" w:type="dxa"/>
            <w:shd w:val="clear" w:color="auto" w:fill="D9E2EC"/>
          </w:tcPr>
          <w:p w14:paraId="2A6BB47F" w14:textId="77777777" w:rsidR="008A35DC" w:rsidRDefault="00000000">
            <w:pPr>
              <w:spacing w:after="0" w:line="240" w:lineRule="auto"/>
            </w:pPr>
            <w:r>
              <w:rPr>
                <w:b/>
                <w:sz w:val="17"/>
              </w:rPr>
              <w:t>Supporting references</w:t>
            </w:r>
          </w:p>
        </w:tc>
      </w:tr>
      <w:tr w:rsidR="008A35DC" w14:paraId="4F5A5A4A" w14:textId="77777777">
        <w:trPr>
          <w:jc w:val="center"/>
        </w:trPr>
        <w:tc>
          <w:tcPr>
            <w:tcW w:w="1474" w:type="dxa"/>
          </w:tcPr>
          <w:p w14:paraId="4F81BAEA" w14:textId="77777777" w:rsidR="008A35DC" w:rsidRDefault="00000000">
            <w:pPr>
              <w:spacing w:after="0" w:line="240" w:lineRule="auto"/>
            </w:pPr>
            <w:r>
              <w:rPr>
                <w:sz w:val="17"/>
              </w:rPr>
              <w:t>Marine litter education, United Kingdom</w:t>
            </w:r>
          </w:p>
        </w:tc>
        <w:tc>
          <w:tcPr>
            <w:tcW w:w="1474" w:type="dxa"/>
          </w:tcPr>
          <w:p w14:paraId="3EEC835E" w14:textId="77777777" w:rsidR="008A35DC" w:rsidRDefault="00000000">
            <w:pPr>
              <w:spacing w:after="0" w:line="240" w:lineRule="auto"/>
            </w:pPr>
            <w:r>
              <w:rPr>
                <w:sz w:val="17"/>
              </w:rPr>
              <w:t>Single-group pre-test and post-test; 176 children aged 8–13 years</w:t>
            </w:r>
          </w:p>
        </w:tc>
        <w:tc>
          <w:tcPr>
            <w:tcW w:w="1361" w:type="dxa"/>
          </w:tcPr>
          <w:p w14:paraId="127882B8" w14:textId="77777777" w:rsidR="008A35DC" w:rsidRDefault="00000000">
            <w:pPr>
              <w:spacing w:after="0" w:line="240" w:lineRule="auto"/>
            </w:pPr>
            <w:r>
              <w:rPr>
                <w:sz w:val="17"/>
              </w:rPr>
              <w:t>Concern, understanding, self-reported actions</w:t>
            </w:r>
          </w:p>
        </w:tc>
        <w:tc>
          <w:tcPr>
            <w:tcW w:w="1814" w:type="dxa"/>
          </w:tcPr>
          <w:p w14:paraId="343B90F4" w14:textId="77777777" w:rsidR="008A35DC" w:rsidRDefault="00000000">
            <w:pPr>
              <w:spacing w:after="0" w:line="240" w:lineRule="auto"/>
            </w:pPr>
            <w:r>
              <w:rPr>
                <w:sz w:val="17"/>
              </w:rPr>
              <w:t>Improvement in all three outcomes</w:t>
            </w:r>
          </w:p>
        </w:tc>
        <w:tc>
          <w:tcPr>
            <w:tcW w:w="1587" w:type="dxa"/>
          </w:tcPr>
          <w:p w14:paraId="6C34BEC0" w14:textId="77777777" w:rsidR="008A35DC" w:rsidRDefault="00000000">
            <w:pPr>
              <w:spacing w:after="0" w:line="240" w:lineRule="auto"/>
            </w:pPr>
            <w:r>
              <w:rPr>
                <w:sz w:val="17"/>
              </w:rPr>
              <w:t>No comparison group; self-report; short term</w:t>
            </w:r>
          </w:p>
        </w:tc>
        <w:tc>
          <w:tcPr>
            <w:tcW w:w="1701" w:type="dxa"/>
          </w:tcPr>
          <w:p w14:paraId="3E86AAFC" w14:textId="77777777" w:rsidR="008A35DC" w:rsidRDefault="00000000">
            <w:pPr>
              <w:spacing w:after="0" w:line="240" w:lineRule="auto"/>
            </w:pPr>
            <w:r>
              <w:rPr>
                <w:sz w:val="17"/>
              </w:rPr>
              <w:t>Hartley et al., 2015</w:t>
            </w:r>
          </w:p>
        </w:tc>
      </w:tr>
      <w:tr w:rsidR="008A35DC" w14:paraId="5C1F9ED4" w14:textId="77777777">
        <w:trPr>
          <w:jc w:val="center"/>
        </w:trPr>
        <w:tc>
          <w:tcPr>
            <w:tcW w:w="1474" w:type="dxa"/>
          </w:tcPr>
          <w:p w14:paraId="5846B36E" w14:textId="77777777" w:rsidR="008A35DC" w:rsidRDefault="00000000">
            <w:pPr>
              <w:spacing w:after="0" w:line="240" w:lineRule="auto"/>
            </w:pPr>
            <w:r>
              <w:rPr>
                <w:sz w:val="17"/>
              </w:rPr>
              <w:t>Microplastics module, primary school</w:t>
            </w:r>
          </w:p>
        </w:tc>
        <w:tc>
          <w:tcPr>
            <w:tcW w:w="1474" w:type="dxa"/>
          </w:tcPr>
          <w:p w14:paraId="2B5E680A" w14:textId="77777777" w:rsidR="008A35DC" w:rsidRDefault="00000000">
            <w:pPr>
              <w:spacing w:after="0" w:line="240" w:lineRule="auto"/>
            </w:pPr>
            <w:r>
              <w:rPr>
                <w:sz w:val="17"/>
              </w:rPr>
              <w:t>Formal and informal settings compared; 444 pupils</w:t>
            </w:r>
          </w:p>
        </w:tc>
        <w:tc>
          <w:tcPr>
            <w:tcW w:w="1361" w:type="dxa"/>
          </w:tcPr>
          <w:p w14:paraId="5FCA22BE" w14:textId="77777777" w:rsidR="008A35DC" w:rsidRDefault="00000000">
            <w:pPr>
              <w:spacing w:after="0" w:line="240" w:lineRule="auto"/>
            </w:pPr>
            <w:r>
              <w:rPr>
                <w:sz w:val="17"/>
              </w:rPr>
              <w:t>Knowledge immediately and after six weeks; environmental values</w:t>
            </w:r>
          </w:p>
        </w:tc>
        <w:tc>
          <w:tcPr>
            <w:tcW w:w="1814" w:type="dxa"/>
          </w:tcPr>
          <w:p w14:paraId="68A3CE6E" w14:textId="77777777" w:rsidR="008A35DC" w:rsidRDefault="00000000">
            <w:pPr>
              <w:spacing w:after="0" w:line="240" w:lineRule="auto"/>
            </w:pPr>
            <w:r>
              <w:rPr>
                <w:sz w:val="17"/>
              </w:rPr>
              <w:t>Knowledge gains in both settings; preservation values positive and utilisation values negative predictors</w:t>
            </w:r>
          </w:p>
        </w:tc>
        <w:tc>
          <w:tcPr>
            <w:tcW w:w="1587" w:type="dxa"/>
          </w:tcPr>
          <w:p w14:paraId="6F333204" w14:textId="77777777" w:rsidR="008A35DC" w:rsidRDefault="00000000">
            <w:pPr>
              <w:spacing w:after="0" w:line="240" w:lineRule="auto"/>
            </w:pPr>
            <w:r>
              <w:rPr>
                <w:sz w:val="17"/>
              </w:rPr>
              <w:t>No non-intervention control; cognitive outcomes only</w:t>
            </w:r>
          </w:p>
        </w:tc>
        <w:tc>
          <w:tcPr>
            <w:tcW w:w="1701" w:type="dxa"/>
          </w:tcPr>
          <w:p w14:paraId="1A12BE6A" w14:textId="77777777" w:rsidR="008A35DC" w:rsidRDefault="00000000">
            <w:pPr>
              <w:spacing w:after="0" w:line="240" w:lineRule="auto"/>
            </w:pPr>
            <w:r>
              <w:rPr>
                <w:sz w:val="17"/>
              </w:rPr>
              <w:t>Raab &amp; Bogner, 2020, 2021</w:t>
            </w:r>
          </w:p>
        </w:tc>
      </w:tr>
      <w:tr w:rsidR="008A35DC" w14:paraId="27FE6828" w14:textId="77777777">
        <w:trPr>
          <w:jc w:val="center"/>
        </w:trPr>
        <w:tc>
          <w:tcPr>
            <w:tcW w:w="1474" w:type="dxa"/>
          </w:tcPr>
          <w:p w14:paraId="441D1F4E" w14:textId="77777777" w:rsidR="008A35DC" w:rsidRDefault="00000000">
            <w:pPr>
              <w:spacing w:after="0" w:line="240" w:lineRule="auto"/>
            </w:pPr>
            <w:r>
              <w:rPr>
                <w:sz w:val="17"/>
              </w:rPr>
              <w:t>Microplastics curriculum, middle school, United States of America</w:t>
            </w:r>
          </w:p>
        </w:tc>
        <w:tc>
          <w:tcPr>
            <w:tcW w:w="1474" w:type="dxa"/>
          </w:tcPr>
          <w:p w14:paraId="2C46C994" w14:textId="77777777" w:rsidR="008A35DC" w:rsidRDefault="00000000">
            <w:pPr>
              <w:spacing w:after="0" w:line="240" w:lineRule="auto"/>
            </w:pPr>
            <w:r>
              <w:rPr>
                <w:sz w:val="17"/>
              </w:rPr>
              <w:t>Pre-test and post-test; 84 students aged 13–15 years</w:t>
            </w:r>
          </w:p>
        </w:tc>
        <w:tc>
          <w:tcPr>
            <w:tcW w:w="1361" w:type="dxa"/>
          </w:tcPr>
          <w:p w14:paraId="32B00F3A" w14:textId="77777777" w:rsidR="008A35DC" w:rsidRDefault="00000000">
            <w:pPr>
              <w:spacing w:after="0" w:line="240" w:lineRule="auto"/>
            </w:pPr>
            <w:r>
              <w:rPr>
                <w:sz w:val="17"/>
              </w:rPr>
              <w:t>Definitions, awareness, poster products</w:t>
            </w:r>
          </w:p>
        </w:tc>
        <w:tc>
          <w:tcPr>
            <w:tcW w:w="1814" w:type="dxa"/>
          </w:tcPr>
          <w:p w14:paraId="27450375" w14:textId="77777777" w:rsidR="008A35DC" w:rsidRDefault="00000000">
            <w:pPr>
              <w:spacing w:after="0" w:line="240" w:lineRule="auto"/>
            </w:pPr>
            <w:r>
              <w:rPr>
                <w:sz w:val="17"/>
              </w:rPr>
              <w:t>More complete definitions; 23% cited the 5 mm size criterion after instruction</w:t>
            </w:r>
          </w:p>
        </w:tc>
        <w:tc>
          <w:tcPr>
            <w:tcW w:w="1587" w:type="dxa"/>
          </w:tcPr>
          <w:p w14:paraId="1DA25BC0" w14:textId="77777777" w:rsidR="008A35DC" w:rsidRDefault="00000000">
            <w:pPr>
              <w:spacing w:after="0" w:line="240" w:lineRule="auto"/>
            </w:pPr>
            <w:r>
              <w:rPr>
                <w:sz w:val="17"/>
              </w:rPr>
              <w:t>Small sample; no comparison group</w:t>
            </w:r>
          </w:p>
        </w:tc>
        <w:tc>
          <w:tcPr>
            <w:tcW w:w="1701" w:type="dxa"/>
          </w:tcPr>
          <w:p w14:paraId="78A689B9" w14:textId="77777777" w:rsidR="008A35DC" w:rsidRDefault="00000000">
            <w:pPr>
              <w:spacing w:after="0" w:line="240" w:lineRule="auto"/>
            </w:pPr>
            <w:r>
              <w:rPr>
                <w:sz w:val="17"/>
              </w:rPr>
              <w:t>Hogan &amp; Urban-Rich, 2025</w:t>
            </w:r>
          </w:p>
        </w:tc>
      </w:tr>
      <w:tr w:rsidR="008A35DC" w14:paraId="114CD552" w14:textId="77777777">
        <w:trPr>
          <w:jc w:val="center"/>
        </w:trPr>
        <w:tc>
          <w:tcPr>
            <w:tcW w:w="1474" w:type="dxa"/>
          </w:tcPr>
          <w:p w14:paraId="65EE9A60" w14:textId="77777777" w:rsidR="008A35DC" w:rsidRDefault="00000000">
            <w:pPr>
              <w:spacing w:after="0" w:line="240" w:lineRule="auto"/>
            </w:pPr>
            <w:r>
              <w:rPr>
                <w:sz w:val="17"/>
              </w:rPr>
              <w:t>Youth perceptions of litter, Florida</w:t>
            </w:r>
          </w:p>
        </w:tc>
        <w:tc>
          <w:tcPr>
            <w:tcW w:w="1474" w:type="dxa"/>
          </w:tcPr>
          <w:p w14:paraId="0DA53888" w14:textId="77777777" w:rsidR="008A35DC" w:rsidRDefault="00000000">
            <w:pPr>
              <w:spacing w:after="0" w:line="240" w:lineRule="auto"/>
            </w:pPr>
            <w:r>
              <w:rPr>
                <w:sz w:val="17"/>
              </w:rPr>
              <w:t>Group discussions, camp evaluations and field-trip assessments</w:t>
            </w:r>
          </w:p>
        </w:tc>
        <w:tc>
          <w:tcPr>
            <w:tcW w:w="1361" w:type="dxa"/>
          </w:tcPr>
          <w:p w14:paraId="16768337" w14:textId="77777777" w:rsidR="008A35DC" w:rsidRDefault="00000000">
            <w:pPr>
              <w:spacing w:after="0" w:line="240" w:lineRule="auto"/>
            </w:pPr>
            <w:r>
              <w:rPr>
                <w:sz w:val="17"/>
              </w:rPr>
              <w:t>Perceptions and causal attributions</w:t>
            </w:r>
          </w:p>
        </w:tc>
        <w:tc>
          <w:tcPr>
            <w:tcW w:w="1814" w:type="dxa"/>
          </w:tcPr>
          <w:p w14:paraId="5B94853C" w14:textId="77777777" w:rsidR="008A35DC" w:rsidRDefault="00000000">
            <w:pPr>
              <w:spacing w:after="0" w:line="240" w:lineRule="auto"/>
            </w:pPr>
            <w:r>
              <w:rPr>
                <w:sz w:val="17"/>
              </w:rPr>
              <w:t>Actor–observer asymmetry in attributions; weak understanding of watersheds and biodegradation</w:t>
            </w:r>
          </w:p>
        </w:tc>
        <w:tc>
          <w:tcPr>
            <w:tcW w:w="1587" w:type="dxa"/>
          </w:tcPr>
          <w:p w14:paraId="6BC827BC" w14:textId="77777777" w:rsidR="008A35DC" w:rsidRDefault="00000000">
            <w:pPr>
              <w:spacing w:after="0" w:line="240" w:lineRule="auto"/>
            </w:pPr>
            <w:r>
              <w:rPr>
                <w:sz w:val="17"/>
              </w:rPr>
              <w:t>Approximate sample sizes; heterogeneous instruments</w:t>
            </w:r>
          </w:p>
        </w:tc>
        <w:tc>
          <w:tcPr>
            <w:tcW w:w="1701" w:type="dxa"/>
          </w:tcPr>
          <w:p w14:paraId="78A9486F" w14:textId="77777777" w:rsidR="008A35DC" w:rsidRDefault="00000000">
            <w:pPr>
              <w:spacing w:after="0" w:line="240" w:lineRule="auto"/>
            </w:pPr>
            <w:r>
              <w:rPr>
                <w:sz w:val="17"/>
              </w:rPr>
              <w:t>Torres et al., 2019</w:t>
            </w:r>
          </w:p>
        </w:tc>
      </w:tr>
      <w:tr w:rsidR="008A35DC" w14:paraId="0E2278B7" w14:textId="77777777">
        <w:trPr>
          <w:jc w:val="center"/>
        </w:trPr>
        <w:tc>
          <w:tcPr>
            <w:tcW w:w="1474" w:type="dxa"/>
          </w:tcPr>
          <w:p w14:paraId="4BA05C2B" w14:textId="77777777" w:rsidR="008A35DC" w:rsidRDefault="00000000">
            <w:pPr>
              <w:spacing w:after="0" w:line="240" w:lineRule="auto"/>
            </w:pPr>
            <w:r>
              <w:rPr>
                <w:sz w:val="17"/>
              </w:rPr>
              <w:t>Citizen science on river litter, Germany</w:t>
            </w:r>
          </w:p>
        </w:tc>
        <w:tc>
          <w:tcPr>
            <w:tcW w:w="1474" w:type="dxa"/>
          </w:tcPr>
          <w:p w14:paraId="61FCABFF" w14:textId="77777777" w:rsidR="008A35DC" w:rsidRDefault="00000000">
            <w:pPr>
              <w:spacing w:after="0" w:line="240" w:lineRule="auto"/>
            </w:pPr>
            <w:r>
              <w:rPr>
                <w:sz w:val="17"/>
              </w:rPr>
              <w:t>Schoolchildren sampling more than 250 sites</w:t>
            </w:r>
          </w:p>
        </w:tc>
        <w:tc>
          <w:tcPr>
            <w:tcW w:w="1361" w:type="dxa"/>
          </w:tcPr>
          <w:p w14:paraId="355F2F54" w14:textId="77777777" w:rsidR="008A35DC" w:rsidRDefault="00000000">
            <w:pPr>
              <w:spacing w:after="0" w:line="240" w:lineRule="auto"/>
            </w:pPr>
            <w:r>
              <w:rPr>
                <w:sz w:val="17"/>
              </w:rPr>
              <w:t>Litter density, types and perceived sources</w:t>
            </w:r>
          </w:p>
        </w:tc>
        <w:tc>
          <w:tcPr>
            <w:tcW w:w="1814" w:type="dxa"/>
          </w:tcPr>
          <w:p w14:paraId="1FA76D41" w14:textId="77777777" w:rsidR="008A35DC" w:rsidRDefault="00000000">
            <w:pPr>
              <w:spacing w:after="0" w:line="240" w:lineRule="auto"/>
            </w:pPr>
            <w:r>
              <w:rPr>
                <w:sz w:val="17"/>
              </w:rPr>
              <w:t>Plastics and cigarette butts dominant; recreational users identified as main source</w:t>
            </w:r>
          </w:p>
        </w:tc>
        <w:tc>
          <w:tcPr>
            <w:tcW w:w="1587" w:type="dxa"/>
          </w:tcPr>
          <w:p w14:paraId="751711E1" w14:textId="77777777" w:rsidR="008A35DC" w:rsidRDefault="00000000">
            <w:pPr>
              <w:spacing w:after="0" w:line="240" w:lineRule="auto"/>
            </w:pPr>
            <w:r>
              <w:rPr>
                <w:sz w:val="17"/>
              </w:rPr>
              <w:t>Learning outcomes not measured</w:t>
            </w:r>
          </w:p>
        </w:tc>
        <w:tc>
          <w:tcPr>
            <w:tcW w:w="1701" w:type="dxa"/>
          </w:tcPr>
          <w:p w14:paraId="1115D895" w14:textId="77777777" w:rsidR="008A35DC" w:rsidRDefault="00000000">
            <w:pPr>
              <w:spacing w:after="0" w:line="240" w:lineRule="auto"/>
            </w:pPr>
            <w:r>
              <w:rPr>
                <w:sz w:val="17"/>
              </w:rPr>
              <w:t>Kiessling et al., 2019</w:t>
            </w:r>
          </w:p>
        </w:tc>
      </w:tr>
      <w:tr w:rsidR="008A35DC" w14:paraId="371B7E57" w14:textId="77777777">
        <w:trPr>
          <w:jc w:val="center"/>
        </w:trPr>
        <w:tc>
          <w:tcPr>
            <w:tcW w:w="1474" w:type="dxa"/>
          </w:tcPr>
          <w:p w14:paraId="5B7DBAE1" w14:textId="77777777" w:rsidR="008A35DC" w:rsidRDefault="00000000">
            <w:pPr>
              <w:spacing w:after="0" w:line="240" w:lineRule="auto"/>
            </w:pPr>
            <w:r>
              <w:rPr>
                <w:sz w:val="17"/>
              </w:rPr>
              <w:t>Coastal activities experiment</w:t>
            </w:r>
          </w:p>
        </w:tc>
        <w:tc>
          <w:tcPr>
            <w:tcW w:w="1474" w:type="dxa"/>
          </w:tcPr>
          <w:p w14:paraId="01771EA3" w14:textId="77777777" w:rsidR="008A35DC" w:rsidRDefault="00000000">
            <w:pPr>
              <w:spacing w:after="0" w:line="240" w:lineRule="auto"/>
            </w:pPr>
            <w:r>
              <w:rPr>
                <w:sz w:val="17"/>
              </w:rPr>
              <w:t>Experimental allocation of 90 students to three activities</w:t>
            </w:r>
          </w:p>
        </w:tc>
        <w:tc>
          <w:tcPr>
            <w:tcW w:w="1361" w:type="dxa"/>
          </w:tcPr>
          <w:p w14:paraId="51DEFEF9" w14:textId="77777777" w:rsidR="008A35DC" w:rsidRDefault="00000000">
            <w:pPr>
              <w:spacing w:after="0" w:line="240" w:lineRule="auto"/>
            </w:pPr>
            <w:r>
              <w:rPr>
                <w:sz w:val="17"/>
              </w:rPr>
              <w:t>Mood, marine awareness, intentions, restorativeness</w:t>
            </w:r>
          </w:p>
        </w:tc>
        <w:tc>
          <w:tcPr>
            <w:tcW w:w="1814" w:type="dxa"/>
          </w:tcPr>
          <w:p w14:paraId="72E8734B" w14:textId="77777777" w:rsidR="008A35DC" w:rsidRDefault="00000000">
            <w:pPr>
              <w:spacing w:after="0" w:line="240" w:lineRule="auto"/>
            </w:pPr>
            <w:r>
              <w:rPr>
                <w:sz w:val="17"/>
              </w:rPr>
              <w:t>Beach cleaning most meaningful but less restorative</w:t>
            </w:r>
          </w:p>
        </w:tc>
        <w:tc>
          <w:tcPr>
            <w:tcW w:w="1587" w:type="dxa"/>
          </w:tcPr>
          <w:p w14:paraId="5A9BEB92" w14:textId="77777777" w:rsidR="008A35DC" w:rsidRDefault="00000000">
            <w:pPr>
              <w:spacing w:after="0" w:line="240" w:lineRule="auto"/>
            </w:pPr>
            <w:r>
              <w:rPr>
                <w:sz w:val="17"/>
              </w:rPr>
              <w:t>Single session; intentions rather than behaviour</w:t>
            </w:r>
          </w:p>
        </w:tc>
        <w:tc>
          <w:tcPr>
            <w:tcW w:w="1701" w:type="dxa"/>
          </w:tcPr>
          <w:p w14:paraId="2AA92C76" w14:textId="77777777" w:rsidR="008A35DC" w:rsidRDefault="00000000">
            <w:pPr>
              <w:spacing w:after="0" w:line="240" w:lineRule="auto"/>
            </w:pPr>
            <w:r>
              <w:rPr>
                <w:sz w:val="17"/>
              </w:rPr>
              <w:t>Wyles et al., 2017</w:t>
            </w:r>
          </w:p>
        </w:tc>
      </w:tr>
      <w:tr w:rsidR="008A35DC" w14:paraId="487180CA" w14:textId="77777777">
        <w:trPr>
          <w:jc w:val="center"/>
        </w:trPr>
        <w:tc>
          <w:tcPr>
            <w:tcW w:w="1474" w:type="dxa"/>
          </w:tcPr>
          <w:p w14:paraId="34CA906B" w14:textId="77777777" w:rsidR="008A35DC" w:rsidRDefault="00000000">
            <w:pPr>
              <w:spacing w:after="0" w:line="240" w:lineRule="auto"/>
            </w:pPr>
            <w:r>
              <w:rPr>
                <w:sz w:val="17"/>
              </w:rPr>
              <w:t>Environmental education, international</w:t>
            </w:r>
          </w:p>
        </w:tc>
        <w:tc>
          <w:tcPr>
            <w:tcW w:w="1474" w:type="dxa"/>
          </w:tcPr>
          <w:p w14:paraId="5A133748" w14:textId="77777777" w:rsidR="008A35DC" w:rsidRDefault="00000000">
            <w:pPr>
              <w:spacing w:after="0" w:line="240" w:lineRule="auto"/>
            </w:pPr>
            <w:r>
              <w:rPr>
                <w:sz w:val="17"/>
              </w:rPr>
              <w:t>Meta-analysis of 169 studies with 176,007 participants</w:t>
            </w:r>
          </w:p>
        </w:tc>
        <w:tc>
          <w:tcPr>
            <w:tcW w:w="1361" w:type="dxa"/>
          </w:tcPr>
          <w:p w14:paraId="2E3C99E7" w14:textId="77777777" w:rsidR="008A35DC" w:rsidRDefault="00000000">
            <w:pPr>
              <w:spacing w:after="0" w:line="240" w:lineRule="auto"/>
            </w:pPr>
            <w:r>
              <w:rPr>
                <w:sz w:val="17"/>
              </w:rPr>
              <w:t>Knowledge, attitudes, intentions, behaviour</w:t>
            </w:r>
          </w:p>
        </w:tc>
        <w:tc>
          <w:tcPr>
            <w:tcW w:w="1814" w:type="dxa"/>
          </w:tcPr>
          <w:p w14:paraId="65E8F71A" w14:textId="77777777" w:rsidR="008A35DC" w:rsidRDefault="00000000">
            <w:pPr>
              <w:spacing w:after="0" w:line="240" w:lineRule="auto"/>
            </w:pPr>
            <w:r>
              <w:rPr>
                <w:sz w:val="17"/>
              </w:rPr>
              <w:t>Largest effect on knowledge; behaviour mostly self-reported</w:t>
            </w:r>
          </w:p>
        </w:tc>
        <w:tc>
          <w:tcPr>
            <w:tcW w:w="1587" w:type="dxa"/>
          </w:tcPr>
          <w:p w14:paraId="355C8586" w14:textId="77777777" w:rsidR="008A35DC" w:rsidRDefault="00000000">
            <w:pPr>
              <w:spacing w:after="0" w:line="240" w:lineRule="auto"/>
            </w:pPr>
            <w:r>
              <w:rPr>
                <w:sz w:val="17"/>
              </w:rPr>
              <w:t>Substantial unexplained heterogeneity</w:t>
            </w:r>
          </w:p>
        </w:tc>
        <w:tc>
          <w:tcPr>
            <w:tcW w:w="1701" w:type="dxa"/>
          </w:tcPr>
          <w:p w14:paraId="397B40CB" w14:textId="77777777" w:rsidR="008A35DC" w:rsidRDefault="00000000">
            <w:pPr>
              <w:spacing w:after="0" w:line="240" w:lineRule="auto"/>
            </w:pPr>
            <w:r>
              <w:rPr>
                <w:sz w:val="17"/>
              </w:rPr>
              <w:t>van de Wetering et al., 2022</w:t>
            </w:r>
          </w:p>
        </w:tc>
      </w:tr>
      <w:tr w:rsidR="008A35DC" w14:paraId="608E31A1" w14:textId="77777777">
        <w:trPr>
          <w:jc w:val="center"/>
        </w:trPr>
        <w:tc>
          <w:tcPr>
            <w:tcW w:w="1474" w:type="dxa"/>
          </w:tcPr>
          <w:p w14:paraId="4566A571" w14:textId="77777777" w:rsidR="008A35DC" w:rsidRDefault="00000000">
            <w:pPr>
              <w:spacing w:after="0" w:line="240" w:lineRule="auto"/>
            </w:pPr>
            <w:r>
              <w:rPr>
                <w:sz w:val="17"/>
              </w:rPr>
              <w:t>Plastic behaviour interventions, international</w:t>
            </w:r>
          </w:p>
        </w:tc>
        <w:tc>
          <w:tcPr>
            <w:tcW w:w="1474" w:type="dxa"/>
          </w:tcPr>
          <w:p w14:paraId="0DE5B4A6" w14:textId="77777777" w:rsidR="008A35DC" w:rsidRDefault="00000000">
            <w:pPr>
              <w:spacing w:after="0" w:line="240" w:lineRule="auto"/>
            </w:pPr>
            <w:r>
              <w:rPr>
                <w:sz w:val="17"/>
              </w:rPr>
              <w:t>Scoping review of 92 studies published 2015–2023</w:t>
            </w:r>
          </w:p>
        </w:tc>
        <w:tc>
          <w:tcPr>
            <w:tcW w:w="1361" w:type="dxa"/>
          </w:tcPr>
          <w:p w14:paraId="404FFA8E" w14:textId="77777777" w:rsidR="008A35DC" w:rsidRDefault="00000000">
            <w:pPr>
              <w:spacing w:after="0" w:line="240" w:lineRule="auto"/>
            </w:pPr>
            <w:r>
              <w:rPr>
                <w:sz w:val="17"/>
              </w:rPr>
              <w:t>Consumption, recycling, littering</w:t>
            </w:r>
          </w:p>
        </w:tc>
        <w:tc>
          <w:tcPr>
            <w:tcW w:w="1814" w:type="dxa"/>
          </w:tcPr>
          <w:p w14:paraId="574BE08B" w14:textId="77777777" w:rsidR="008A35DC" w:rsidRDefault="00000000">
            <w:pPr>
              <w:spacing w:after="0" w:line="240" w:lineRule="auto"/>
            </w:pPr>
            <w:r>
              <w:rPr>
                <w:sz w:val="17"/>
              </w:rPr>
              <w:t>Informational strategies mixed in education; contextual strategies often effective</w:t>
            </w:r>
          </w:p>
        </w:tc>
        <w:tc>
          <w:tcPr>
            <w:tcW w:w="1587" w:type="dxa"/>
          </w:tcPr>
          <w:p w14:paraId="14F20EDD" w14:textId="77777777" w:rsidR="008A35DC" w:rsidRDefault="00000000">
            <w:pPr>
              <w:spacing w:after="0" w:line="240" w:lineRule="auto"/>
            </w:pPr>
            <w:r>
              <w:rPr>
                <w:sz w:val="17"/>
              </w:rPr>
              <w:t>Nearly half of studies at moderate-to-high risk of bias</w:t>
            </w:r>
          </w:p>
        </w:tc>
        <w:tc>
          <w:tcPr>
            <w:tcW w:w="1701" w:type="dxa"/>
          </w:tcPr>
          <w:p w14:paraId="2530EA03" w14:textId="77777777" w:rsidR="008A35DC" w:rsidRDefault="00000000">
            <w:pPr>
              <w:spacing w:after="0" w:line="240" w:lineRule="auto"/>
            </w:pPr>
            <w:r>
              <w:rPr>
                <w:sz w:val="17"/>
              </w:rPr>
              <w:t>Nuojua et al., 2024</w:t>
            </w:r>
          </w:p>
        </w:tc>
      </w:tr>
      <w:tr w:rsidR="008A35DC" w14:paraId="2006FC00" w14:textId="77777777">
        <w:trPr>
          <w:jc w:val="center"/>
        </w:trPr>
        <w:tc>
          <w:tcPr>
            <w:tcW w:w="1474" w:type="dxa"/>
          </w:tcPr>
          <w:p w14:paraId="4A12E4B3" w14:textId="77777777" w:rsidR="008A35DC" w:rsidRDefault="00000000">
            <w:pPr>
              <w:spacing w:after="0" w:line="240" w:lineRule="auto"/>
            </w:pPr>
            <w:r>
              <w:rPr>
                <w:sz w:val="17"/>
              </w:rPr>
              <w:t>ESD and action competence, Sweden</w:t>
            </w:r>
          </w:p>
        </w:tc>
        <w:tc>
          <w:tcPr>
            <w:tcW w:w="1474" w:type="dxa"/>
          </w:tcPr>
          <w:p w14:paraId="51DC807E" w14:textId="77777777" w:rsidR="008A35DC" w:rsidRDefault="00000000">
            <w:pPr>
              <w:spacing w:after="0" w:line="240" w:lineRule="auto"/>
            </w:pPr>
            <w:r>
              <w:rPr>
                <w:sz w:val="17"/>
              </w:rPr>
              <w:t>Three-wave longitudinal study; 760 students</w:t>
            </w:r>
          </w:p>
        </w:tc>
        <w:tc>
          <w:tcPr>
            <w:tcW w:w="1361" w:type="dxa"/>
          </w:tcPr>
          <w:p w14:paraId="133A36F8" w14:textId="77777777" w:rsidR="008A35DC" w:rsidRDefault="00000000">
            <w:pPr>
              <w:spacing w:after="0" w:line="240" w:lineRule="auto"/>
            </w:pPr>
            <w:r>
              <w:rPr>
                <w:sz w:val="17"/>
              </w:rPr>
              <w:t>Self-perceived action competence</w:t>
            </w:r>
          </w:p>
        </w:tc>
        <w:tc>
          <w:tcPr>
            <w:tcW w:w="1814" w:type="dxa"/>
          </w:tcPr>
          <w:p w14:paraId="3B5B8FBA" w14:textId="77777777" w:rsidR="008A35DC" w:rsidRDefault="00000000">
            <w:pPr>
              <w:spacing w:after="0" w:line="240" w:lineRule="auto"/>
            </w:pPr>
            <w:r>
              <w:rPr>
                <w:sz w:val="17"/>
              </w:rPr>
              <w:t>ESD contributed to development; confidence in own influence did not develop significantly</w:t>
            </w:r>
          </w:p>
        </w:tc>
        <w:tc>
          <w:tcPr>
            <w:tcW w:w="1587" w:type="dxa"/>
          </w:tcPr>
          <w:p w14:paraId="42A59EEC" w14:textId="77777777" w:rsidR="008A35DC" w:rsidRDefault="00000000">
            <w:pPr>
              <w:spacing w:after="0" w:line="240" w:lineRule="auto"/>
            </w:pPr>
            <w:r>
              <w:rPr>
                <w:sz w:val="17"/>
              </w:rPr>
              <w:t>Self-perception measures; single national context</w:t>
            </w:r>
          </w:p>
        </w:tc>
        <w:tc>
          <w:tcPr>
            <w:tcW w:w="1701" w:type="dxa"/>
          </w:tcPr>
          <w:p w14:paraId="66CEA118" w14:textId="77777777" w:rsidR="008A35DC" w:rsidRDefault="00000000">
            <w:pPr>
              <w:spacing w:after="0" w:line="240" w:lineRule="auto"/>
            </w:pPr>
            <w:r>
              <w:rPr>
                <w:sz w:val="17"/>
              </w:rPr>
              <w:t>Olsson et al., 2022</w:t>
            </w:r>
          </w:p>
        </w:tc>
      </w:tr>
    </w:tbl>
    <w:p w14:paraId="46FE3D27" w14:textId="77777777" w:rsidR="008A35DC" w:rsidRDefault="00000000">
      <w:pPr>
        <w:spacing w:after="240" w:line="240" w:lineRule="auto"/>
      </w:pPr>
      <w:r>
        <w:rPr>
          <w:i/>
          <w:sz w:val="18"/>
        </w:rPr>
        <w:t xml:space="preserve">Note. </w:t>
      </w:r>
      <w:r>
        <w:rPr>
          <w:sz w:val="18"/>
        </w:rPr>
        <w:t>Studies were selected to represent the range of designs and outcomes and do not constitute an exhaustive inventory. ESD = education for sustainable development.</w:t>
      </w:r>
    </w:p>
    <w:p w14:paraId="227CE101" w14:textId="77777777" w:rsidR="008A35DC" w:rsidRDefault="00000000">
      <w:pPr>
        <w:keepNext/>
        <w:spacing w:before="280"/>
      </w:pPr>
      <w:r>
        <w:rPr>
          <w:b/>
          <w:sz w:val="26"/>
        </w:rPr>
        <w:lastRenderedPageBreak/>
        <w:t>6. Systems Thinking, Life-Cycle Thinking and Action Competence as Theoretical Foundations</w:t>
      </w:r>
    </w:p>
    <w:p w14:paraId="2BD0A30E" w14:textId="77777777" w:rsidR="008A35DC" w:rsidRDefault="00000000">
      <w:pPr>
        <w:ind w:firstLine="425"/>
        <w:jc w:val="both"/>
      </w:pPr>
      <w:r>
        <w:t>This section examines the educational theories best suited to address the problems identified above. The argument developed here is that polystyrene foam is a paradigmatic case for systems-based education because its environmental significance emerges from interactions among material properties, economic structures, user behaviour, waste infrastructure and regulation, none of which is sufficient to explain the problem alone.</w:t>
      </w:r>
    </w:p>
    <w:p w14:paraId="7E0C12B2" w14:textId="77777777" w:rsidR="008A35DC" w:rsidRDefault="00000000">
      <w:pPr>
        <w:keepNext/>
        <w:spacing w:before="200"/>
      </w:pPr>
      <w:r>
        <w:rPr>
          <w:b/>
          <w:i/>
        </w:rPr>
        <w:t>6.1 Systems Thinking in Science Education</w:t>
      </w:r>
    </w:p>
    <w:p w14:paraId="303622DD" w14:textId="77777777" w:rsidR="008A35DC" w:rsidRDefault="00000000">
      <w:pPr>
        <w:ind w:firstLine="425"/>
        <w:jc w:val="both"/>
      </w:pPr>
      <w:r>
        <w:t>Systems thinking involves identifying components and their relationships, recognising dynamic processes such as flows, cycles and feedback, and understanding hidden or delayed effects. Empirical research shows that these capacities are not intuitive. Graduate students at an elite business school, with essentially no prior exposure to system dynamics, performed poorly on simple tasks involving stocks and flows (Sweeney &amp; Sterman, 2000). This finding is directly relevant to plastic pollution, which is fundamentally a stock problem: environmental stocks continue to increase as long as inflows exceed removal, even when inflows decline. Hmelo-Silver and Azevedo (2006) identified core challenges in learning about complex systems, including the difficulty of understanding emergent behaviour, multiple levels of organisation and non-linear causality.</w:t>
      </w:r>
    </w:p>
    <w:p w14:paraId="27E436DA" w14:textId="77777777" w:rsidR="008A35DC" w:rsidRDefault="00000000">
      <w:pPr>
        <w:ind w:firstLine="425"/>
        <w:jc w:val="both"/>
      </w:pPr>
      <w:r>
        <w:t>School-based studies indicate that system-thinking skills can nevertheless be developed. Approximately 50 eighth-grade students studying an earth-systems curriculum on the hydrological cycle developed system-thinking skills in a hierarchical sequence, with the analysis of components preceding the synthesis of dynamic relationships and the most advanced abilities achieved by relatively few students (Ben-Zvi Assaraf &amp; Orion, 2005). Interactive simulations over five 90-minute lessons helped students aged 11 to 12 years develop several aspects of system thinking, although gains were uneven across skills (Evagorou et al., 2009). A quasi-experimental study with seventh-grade students reported that systems tools and representations improved understanding of complex environmental problems (Doganca Kucuk &amp; Saysel, 2018). These studies share limitations of small samples and short durations, but they converge on the conclusion that system thinking is learnable when it is taught explicitly and repeatedly, with appropriate representations.</w:t>
      </w:r>
    </w:p>
    <w:p w14:paraId="7919165E" w14:textId="77777777" w:rsidR="008A35DC" w:rsidRDefault="00000000">
      <w:pPr>
        <w:keepNext/>
        <w:spacing w:before="200"/>
      </w:pPr>
      <w:r>
        <w:rPr>
          <w:b/>
          <w:i/>
        </w:rPr>
        <w:lastRenderedPageBreak/>
        <w:t>6.2 Life-Cycle Thinking and Education for the Circular Economy</w:t>
      </w:r>
    </w:p>
    <w:p w14:paraId="527C17CC" w14:textId="77777777" w:rsidR="008A35DC" w:rsidRDefault="00000000">
      <w:pPr>
        <w:ind w:firstLine="425"/>
        <w:jc w:val="both"/>
      </w:pPr>
      <w:r>
        <w:t>Life-cycle thinking extends systems thinking to the stages of a product from extraction to end of life. Chemistry educators have argued that systems thinking should reorient chemistry education towards the interactions between chemical processes, human society and the Earth system (Mahaffy et al., 2018). In practice, a product life-cycle analysis project in upper secondary chemistry improved students' scientific and ecological argumentation, whereas gains in socio-economic and ethical argumentation were smaller, although the case study included only eight students (Juntunen &amp; Aksela, 2014). In higher education, a circular economy course built on constructive alignment, problem-based learning, interactivity, non-dogmatism and reciprocity was well received by students, although its evaluation relied on satisfaction ratings rather than measured learning (Kirchherr &amp; Piscicelli, 2019).</w:t>
      </w:r>
    </w:p>
    <w:p w14:paraId="7DA9CC7D" w14:textId="77777777" w:rsidR="008A35DC" w:rsidRDefault="00000000">
      <w:pPr>
        <w:ind w:firstLine="425"/>
        <w:jc w:val="both"/>
      </w:pPr>
      <w:r>
        <w:t>The LCA evidence in Section 3.5 shows why non-dogmatism is essential for foam. A curriculum that presents polystyrene foam as uniformly worse than all alternatives would conflict with published comparative assessments (Gallego-Schmid et al., 2019), whereas one that relies solely on conventional LCA would overlook litter impacts that are now beginning to be quantified (Caspers &amp; Finkbeiner, 2025; Corella-Puertas et al., 2022). Life-cycle thinking therefore provides a disciplined way of confronting learners with genuine trade-offs, and it also exposes the dependence of reusable systems on real reuse behaviour. The unresolved problem is that school-level life-cycle education remains rarely evaluated beyond small case studies.</w:t>
      </w:r>
    </w:p>
    <w:p w14:paraId="7616E060" w14:textId="77777777" w:rsidR="008A35DC" w:rsidRDefault="00000000">
      <w:pPr>
        <w:keepNext/>
        <w:spacing w:before="200"/>
      </w:pPr>
      <w:r>
        <w:rPr>
          <w:b/>
          <w:i/>
        </w:rPr>
        <w:t>6.3 Sustainability Competences, Action Competence and Whole-Institution Approaches</w:t>
      </w:r>
    </w:p>
    <w:p w14:paraId="66AAC493" w14:textId="77777777" w:rsidR="008A35DC" w:rsidRDefault="00000000">
      <w:pPr>
        <w:ind w:firstLine="425"/>
        <w:jc w:val="both"/>
      </w:pPr>
      <w:r>
        <w:t>Competence frameworks provide the outcome architecture that systems and life-cycle thinking lack. Wiek et al. (2011) identified systems thinking, anticipatory, normative, strategic and interpersonal competences as the key competences in sustainability, and UNESCO's learning objectives for the Sustainable Development Goals set out cross-cutting key competencies that include systems thinking, anticipatory, normative, strategic, collaboration, critical thinking, self-awareness and integrated problem-solving competencies (United Nations Educational, Scientific and Cultural Organization [UNESCO], 2017). A systematic review of primary school research found systems thinking and collaboration to be the most frequently studied competences and futures thinking the least studied, with learning dependent on dialogue and collaboration (Vesterinen &amp; Ratinen, 2024).</w:t>
      </w:r>
    </w:p>
    <w:p w14:paraId="4044256D" w14:textId="77777777" w:rsidR="008A35DC" w:rsidRDefault="00000000">
      <w:pPr>
        <w:ind w:firstLine="425"/>
        <w:jc w:val="both"/>
      </w:pPr>
      <w:r>
        <w:t xml:space="preserve">The action competence approach adds a political and democratic dimension. Jensen and Schnack (1997) distinguished action, which is purposeful, considered and potentially collective, from behaviour modification, and argued that environmental education should develop students' </w:t>
      </w:r>
      <w:r>
        <w:lastRenderedPageBreak/>
        <w:t>capacity to act on the causes of problems rather than merely to comply with prescribed behaviours. This distinction addresses the limitation of individual-level behaviour models identified in Section 5.1, and it aligns with the participatory governance processes observed in the aquaculture buoy cases (Chen et al., 2018; Lee et al., 2015).</w:t>
      </w:r>
    </w:p>
    <w:p w14:paraId="115CA144" w14:textId="77777777" w:rsidR="008A35DC" w:rsidRDefault="00000000">
      <w:pPr>
        <w:ind w:firstLine="425"/>
        <w:jc w:val="both"/>
      </w:pPr>
      <w:r>
        <w:t>Institutional context determines whether such competences can be exercised. Stevenson (2007) identified persistent contradictions between the transformative aims of environmental education and the structures of schooling, including fragmented subjects, examination pressures and transmission-oriented pedagogy. A whole school approach to ESD, in which vision, routines and structures, professional knowledge creation and pedagogical practice are aligned, was perceived more positively by teachers in schools actively implementing ESD than by teachers in reference schools (Mogren et al., 2019). For polystyrene foam, the whole-institution dimension is concrete: canteen procurement, event catering, packaging of deliveries and waste segregation are visible institutional practices in which learners can observe coherence or contradiction between curriculum and conduct. The limitation of this literature is that most evidence is based on teacher perceptions rather than student or environmental outcomes.</w:t>
      </w:r>
    </w:p>
    <w:p w14:paraId="29A358F0" w14:textId="77777777" w:rsidR="008A35DC" w:rsidRDefault="00000000">
      <w:pPr>
        <w:keepNext/>
        <w:spacing w:before="280"/>
      </w:pPr>
      <w:r>
        <w:rPr>
          <w:b/>
          <w:sz w:val="26"/>
        </w:rPr>
        <w:t>7. The Styrofoam Systems Education Model (SSEM)</w:t>
      </w:r>
    </w:p>
    <w:p w14:paraId="7A97C19B" w14:textId="77777777" w:rsidR="008A35DC" w:rsidRDefault="00000000">
      <w:pPr>
        <w:ind w:firstLine="425"/>
        <w:jc w:val="both"/>
      </w:pPr>
      <w:r>
        <w:t>This section presents the SSEM as a conceptual framework derived from the synthesis in Sections 3 to 6. The model is original to the present review, although individual components draw on established theories that are cited where relevant. Its purpose is to organise educational design, research and evaluation around the specific features of polystyrene foam, and to make explicit which proposed relationships are supported by evidence and which are hypotheses requiring testing.</w:t>
      </w:r>
    </w:p>
    <w:p w14:paraId="2AEB5005" w14:textId="77777777" w:rsidR="008A35DC" w:rsidRDefault="00000000">
      <w:pPr>
        <w:keepNext/>
        <w:spacing w:before="200"/>
      </w:pPr>
      <w:r>
        <w:rPr>
          <w:b/>
          <w:i/>
        </w:rPr>
        <w:t>7.1 Design Principles Derived from the Synthesis</w:t>
      </w:r>
    </w:p>
    <w:p w14:paraId="20699B45" w14:textId="77777777" w:rsidR="008A35DC" w:rsidRDefault="00000000">
      <w:pPr>
        <w:ind w:firstLine="425"/>
        <w:jc w:val="both"/>
      </w:pPr>
      <w:r>
        <w:t xml:space="preserve">Five design principles follow from the preceding analysis. The first is material specificity: generic plastic-pollution messages do not convey the particular combination of brittleness, low density, low recovery value and additive legacy that characterises foam (Song et al., 2017; Turner, 2020; Wagner, 2020). The second is evidence calibration: educational content should distinguish strong findings, such as fragmentation and HBCD transfer, from conditional findings, such as consumer health risk and engineered biodegradation (Gelbke et al., 2019; Jang et al., 2016; Kogevinas et al., 2018; Peng et al., 2024). The third is trade-off literacy: learners should reason about substitution using life-cycle evidence that includes both production and leakage impacts (Corella-Puertas et al., 2022; Gallego-Schmid et al., 2019). The fourth is a shift from </w:t>
      </w:r>
      <w:r>
        <w:lastRenderedPageBreak/>
        <w:t>behaviour to action: educational aims should include collective, institutional and civic action rather than only individual consumer choice (Jensen &amp; Schnack, 1997; Stern, 2000). The fifth is institutional coherence: learning should be embedded in institutional practice and connected with community and policy processes (Lee et al., 2015; Mogren et al., 2019).</w:t>
      </w:r>
    </w:p>
    <w:p w14:paraId="0E767C89" w14:textId="77777777" w:rsidR="008A35DC" w:rsidRDefault="00000000">
      <w:pPr>
        <w:keepNext/>
        <w:spacing w:before="200"/>
      </w:pPr>
      <w:r>
        <w:rPr>
          <w:b/>
          <w:i/>
        </w:rPr>
        <w:t>7.2 Components of the Model</w:t>
      </w:r>
    </w:p>
    <w:p w14:paraId="72945EC5" w14:textId="77777777" w:rsidR="008A35DC" w:rsidRDefault="00000000">
      <w:pPr>
        <w:ind w:firstLine="425"/>
        <w:jc w:val="both"/>
      </w:pPr>
      <w:r>
        <w:t>The SSEM comprises five interacting components arranged within a context layer, as shown in Figure 1. The first component, material literacy, refers to understanding the composition, forms, uses, physical properties, additives and environmental behaviour of polystyrene foam. Its learning outcomes include explaining why foam fragments readily, why it is costly to recover and why recycling can perpetuate legacy additives. This component draws on the strongest environmental evidence reviewed and is the one most readily addressed through existing science curricula and practical activities.</w:t>
      </w:r>
    </w:p>
    <w:p w14:paraId="4104A4F3" w14:textId="77777777" w:rsidR="008A35DC" w:rsidRDefault="00000000">
      <w:pPr>
        <w:ind w:firstLine="425"/>
        <w:jc w:val="both"/>
      </w:pPr>
      <w:r>
        <w:t>The second component, life-cycle systems reasoning, refers to the capacity to represent foam as a system of stocks, flows and feedback extending from styrene production through use, disposal, leakage, fragmentation and accumulation. Outcomes include explaining why environmental stocks can continue to rise when inflows decline, comparing materials across multiple impact categories, and identifying rebound or substitution effects. This component is grounded in research showing that stock-and-flow reasoning is difficult but learnable (Ben-Zvi Assaraf &amp; Orion, 2005; Sweeney &amp; Sterman, 2000) and in life-cycle education research (Juntunen &amp; Aksela, 2014).</w:t>
      </w:r>
    </w:p>
    <w:p w14:paraId="6A38E201" w14:textId="77777777" w:rsidR="008A35DC" w:rsidRDefault="00000000">
      <w:pPr>
        <w:ind w:firstLine="425"/>
        <w:jc w:val="both"/>
      </w:pPr>
      <w:r>
        <w:t>The third component, evidence and uncertainty appraisal, refers to the ability to evaluate scientific claims about foam, including hazard and risk distinctions for styrene, the scale limitations of insect biodegradation and the conditions attached to photochemical degradation estimates. Outcomes include distinguishing laboratory from field evidence and recognising methodological disputes. This component is justified by the contested status of several prominent findings (Kogevinas et al., 2018; Ward et al., 2019; Weber et al., 2017) and by the observation that misconceptions about biodegradation persist among young people and adults (Dilkes-Hoffman et al., 2019; Torres et al., 2019).</w:t>
      </w:r>
    </w:p>
    <w:p w14:paraId="23433780" w14:textId="77777777" w:rsidR="008A35DC" w:rsidRDefault="00000000">
      <w:pPr>
        <w:ind w:firstLine="425"/>
        <w:jc w:val="both"/>
      </w:pPr>
      <w:r>
        <w:t xml:space="preserve">The fourth component, action competence, refers to the capacity to identify leverage points and to act individually and collectively on the causes of foam use and leakage. Outcomes include auditing institutional foam use, proposing and negotiating alternatives with vendors or administrators, participating in citizen science and engaging with policy consultation. This component integrates the action competence approach with behavioural theory on norms, </w:t>
      </w:r>
      <w:r>
        <w:lastRenderedPageBreak/>
        <w:t>perceived control and policy support (Ajzen, 1991; Jensen &amp; Schnack, 1997; Stern, 2000) and responds to evidence that confidence in one's own influence develops slowly (Olsson et al., 2022).</w:t>
      </w:r>
    </w:p>
    <w:p w14:paraId="64B4FBFE" w14:textId="77777777" w:rsidR="008A35DC" w:rsidRDefault="00000000">
      <w:pPr>
        <w:ind w:firstLine="425"/>
        <w:jc w:val="both"/>
      </w:pPr>
      <w:r>
        <w:t>The fifth component, institutional and community coupling, refers to the alignment of learning with institutional procurement and waste practice, with community monitoring and with sectoral or policy processes. Outcomes include documented changes in institutional practice and structured participation in local governance. Its basis lies in whole-school ESD research (Mogren et al., 2019), citizen science with schoolchildren (Kiessling et al., 2019) and participatory marine debris governance (Chen et al., 2018; Lee et al., 2015).</w:t>
      </w:r>
    </w:p>
    <w:p w14:paraId="0E343EF4" w14:textId="77777777" w:rsidR="008A35DC" w:rsidRDefault="00000000">
      <w:pPr>
        <w:ind w:firstLine="425"/>
        <w:jc w:val="both"/>
      </w:pPr>
      <w:r>
        <w:t>The context layer comprises the sector in which foam is used (food service, packaging, aquaculture or construction), the regulatory regime, the availability and cost of alternatives, waste infrastructure, and cultural and socio-economic conditions. Context moderates every pathway in the model. For example, in a jurisdiction with an enforced ban, the educational emphasis may shift from consumer choice towards understanding the rationale for regulation and avoiding poor substitutes, whereas in aquaculture communities the relevant learners and actions are those of producers and cooperatives.</w:t>
      </w:r>
    </w:p>
    <w:p w14:paraId="055FDDE7" w14:textId="77777777" w:rsidR="008A35DC" w:rsidRDefault="00000000">
      <w:pPr>
        <w:keepNext/>
        <w:spacing w:before="200"/>
      </w:pPr>
      <w:r>
        <w:rPr>
          <w:b/>
          <w:i/>
        </w:rPr>
        <w:t>7.3 Relationships, Pathways and Evidence Status</w:t>
      </w:r>
    </w:p>
    <w:p w14:paraId="49D0906E" w14:textId="77777777" w:rsidR="008A35DC" w:rsidRDefault="00000000">
      <w:pPr>
        <w:ind w:firstLine="425"/>
        <w:jc w:val="both"/>
      </w:pPr>
      <w:r>
        <w:t>The model specifies a sequence of proximal, intermediate and distal outcomes. Proximal outcomes are gains in material knowledge, systems reasoning and appraisal skills. Intermediate outcomes are intentions, self-efficacy, observed individual and institutional practices, and participation in collective action. Distal outcomes are reductions in foam consumption, improved retention of foam within managed waste systems and reduced environmental leakage. Feedback runs from monitoring activities, such as citizen science surveys and institutional waste audits, back to learning, allowing learners to observe the consequences of action.</w:t>
      </w:r>
    </w:p>
    <w:p w14:paraId="61419790" w14:textId="77777777" w:rsidR="008A35DC" w:rsidRDefault="00000000">
      <w:pPr>
        <w:ind w:firstLine="425"/>
        <w:jc w:val="both"/>
      </w:pPr>
      <w:r>
        <w:t xml:space="preserve">The evidence supporting these relationships varies. The link between structured instruction and proximal knowledge outcomes is well supported by meta-analytic evidence (van de Wetering et al., 2022) and by plastic-specific studies (Hartley et al., 2015; Raab &amp; Bogner, 2021). The link between explicit systems instruction and systems reasoning is supported by small studies in school settings (Ben-Zvi Assaraf &amp; Orion, 2005; Doganca Kucuk &amp; Saysel, 2018; Evagorou et al., 2009) but has not been tested with foam or plastics content. The link from knowledge to intentions and self-reported behaviour is supported but modest (van de Wetering et al., 2022), and the link from ESD to action competence is supported longitudinally in one national context (Olsson et al., 2022). Participatory processes have produced adopted policy in the aquaculture </w:t>
      </w:r>
      <w:r>
        <w:lastRenderedPageBreak/>
        <w:t>case (Lee et al., 2015), which provides partial support for the pathway from collective action to structural change. The links from educational outcomes to reductions in foam consumption and environmental leakage are hypothesised and currently untested. Figure 1 distinguishes these categories visually by using solid arrows for relationships with direct empirical support in the reviewed literature, and dashed arrows for relationships that are hypothesised or supported only by adjacent evidence.</w:t>
      </w:r>
    </w:p>
    <w:p w14:paraId="2C6053B8" w14:textId="77777777" w:rsidR="008A35DC" w:rsidRDefault="00000000">
      <w:pPr>
        <w:keepNext/>
        <w:jc w:val="center"/>
      </w:pPr>
      <w:r>
        <w:rPr>
          <w:noProof/>
        </w:rPr>
        <w:drawing>
          <wp:inline distT="0" distB="0" distL="0" distR="0" wp14:anchorId="2598DA24" wp14:editId="73F5562A">
            <wp:extent cx="5903999" cy="38372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903999" cy="3837266"/>
                    </a:xfrm>
                    <a:prstGeom prst="rect">
                      <a:avLst/>
                    </a:prstGeom>
                  </pic:spPr>
                </pic:pic>
              </a:graphicData>
            </a:graphic>
          </wp:inline>
        </w:drawing>
      </w:r>
    </w:p>
    <w:p w14:paraId="06787C9C" w14:textId="77777777" w:rsidR="008A35DC" w:rsidRDefault="00000000">
      <w:pPr>
        <w:spacing w:line="276" w:lineRule="auto"/>
        <w:jc w:val="both"/>
      </w:pPr>
      <w:r>
        <w:rPr>
          <w:b/>
          <w:sz w:val="20"/>
        </w:rPr>
        <w:t xml:space="preserve">Figure 1. </w:t>
      </w:r>
      <w:r>
        <w:rPr>
          <w:sz w:val="20"/>
        </w:rPr>
        <w:t>The Styrofoam Systems Education Model (SSEM), an original conceptual framework developed from the present synthesis. Five learning components operate within a context layer and lead to proximal, intermediate and distal outcomes, with a monitoring loop that feeds back into learning. Solid arrows denote relationships with direct empirical support in the reviewed literature; dashed arrows denote relationships that are hypothesised or supported only by adjacent evidence. M = material literacy; S = life-cycle systems reasoning; E = evidence and uncertainty appraisal; A = action competence; I = institutional and community coupling; HBCD = hexabromocyclododecane.</w:t>
      </w:r>
    </w:p>
    <w:p w14:paraId="57511A14" w14:textId="77777777" w:rsidR="008A35DC" w:rsidRDefault="00000000">
      <w:pPr>
        <w:keepNext/>
        <w:spacing w:before="200"/>
      </w:pPr>
      <w:r>
        <w:rPr>
          <w:b/>
          <w:i/>
        </w:rPr>
        <w:t>7.4 Testable Propositions</w:t>
      </w:r>
    </w:p>
    <w:p w14:paraId="5D624DF3" w14:textId="77777777" w:rsidR="008A35DC" w:rsidRDefault="00000000">
      <w:pPr>
        <w:ind w:firstLine="425"/>
        <w:jc w:val="both"/>
      </w:pPr>
      <w:r>
        <w:t xml:space="preserve">The framework generates propositions that can be tested empirically. First, material-specific instruction on polystyrene foam is expected to produce larger gains in the understanding of fragmentation and recovery difficulty than generic plastic-pollution instruction of equal duration. Second, inclusion of explicit stock-and-flow representations is expected to improve learners' ability to explain why environmental foam stocks can rise after bans or reductions in use. Third, instruction that presents contested findings with explicit uncertainty is expected to reduce acceptance of technological-fix narratives without reducing concern. Fourth, programmes that </w:t>
      </w:r>
      <w:r>
        <w:lastRenderedPageBreak/>
        <w:t>couple classroom learning with institutional audit and negotiation are expected to produce larger changes in observed institutional foam use than classroom-only programmes. Fifth, the effects of education on behaviour are expected to be conditional on context, being greater where alternatives are available and affordable. Each proposition specifies a comparison that could be examined in controlled or quasi-experimental designs.</w:t>
      </w:r>
    </w:p>
    <w:p w14:paraId="1F555792" w14:textId="77777777" w:rsidR="008A35DC" w:rsidRDefault="00000000">
      <w:pPr>
        <w:keepNext/>
        <w:spacing w:before="200"/>
      </w:pPr>
      <w:r>
        <w:rPr>
          <w:b/>
          <w:i/>
        </w:rPr>
        <w:t>7.5 Boundaries and Risks of the Model</w:t>
      </w:r>
    </w:p>
    <w:p w14:paraId="280D2BEC" w14:textId="77777777" w:rsidR="008A35DC" w:rsidRDefault="00000000">
      <w:pPr>
        <w:ind w:firstLine="425"/>
        <w:jc w:val="both"/>
      </w:pPr>
      <w:r>
        <w:t>The model is not a claim that education can substitute for regulation, extended producer responsibility, product redesign or waste infrastructure. The policy evidence reviewed in Section 4 indicates that such structural instruments are the primary determinants of foam flows, and that education is most useful when it supports their design, legitimacy and implementation. A second risk is individualisation, in which responsibility for a structurally produced problem is shifted onto children or consumers; the emphasis on action competence and institutional coupling is intended to counter this tendency, but the risk remains if implementation reduces the model to awareness campaigns. A third risk concerns the use of the term Styrofoam. It aids public recognition, but it can obscure distinctions between EPS and XPS and between food service, packaging, construction and marine applications. The model therefore treats the colloquial name as an entry point to more precise material literacy rather than as a technical category.</w:t>
      </w:r>
    </w:p>
    <w:p w14:paraId="1C5AB2D6" w14:textId="77777777" w:rsidR="008A35DC" w:rsidRDefault="00000000">
      <w:pPr>
        <w:ind w:firstLine="425"/>
        <w:jc w:val="both"/>
      </w:pPr>
      <w:r>
        <w:t>Table 5 operationalises the five components by specifying learning outcomes, theoretical bases, indicative measures and the current evidence status of each. It is intended as a design and evaluation matrix rather than a validated instrument, and the evidence classifications reflect the appraisal presented in Sections 3 to 6.</w:t>
      </w:r>
    </w:p>
    <w:p w14:paraId="5E8B74C3" w14:textId="77777777" w:rsidR="008A35DC" w:rsidRDefault="00000000">
      <w:pPr>
        <w:keepNext/>
        <w:spacing w:before="160" w:line="276" w:lineRule="auto"/>
      </w:pPr>
      <w:r>
        <w:rPr>
          <w:b/>
          <w:sz w:val="22"/>
        </w:rPr>
        <w:t>Table 5</w:t>
      </w:r>
    </w:p>
    <w:p w14:paraId="270B3F73" w14:textId="77777777" w:rsidR="008A35DC" w:rsidRDefault="00000000">
      <w:pPr>
        <w:keepNext/>
        <w:spacing w:line="276" w:lineRule="auto"/>
      </w:pPr>
      <w:r>
        <w:rPr>
          <w:i/>
          <w:sz w:val="22"/>
        </w:rPr>
        <w:t>Components of the Styrofoam Systems Education Model with learning outcomes, theoretical basis, indicative measures and current evidence status</w:t>
      </w:r>
    </w:p>
    <w:tbl>
      <w:tblPr>
        <w:tblStyle w:val="TableGrid"/>
        <w:tblW w:w="0" w:type="auto"/>
        <w:jc w:val="center"/>
        <w:tblLayout w:type="fixed"/>
        <w:tblLook w:val="04A0" w:firstRow="1" w:lastRow="0" w:firstColumn="1" w:lastColumn="0" w:noHBand="0" w:noVBand="1"/>
      </w:tblPr>
      <w:tblGrid>
        <w:gridCol w:w="1361"/>
        <w:gridCol w:w="1814"/>
        <w:gridCol w:w="1587"/>
        <w:gridCol w:w="1474"/>
        <w:gridCol w:w="1474"/>
        <w:gridCol w:w="1701"/>
      </w:tblGrid>
      <w:tr w:rsidR="008A35DC" w14:paraId="1427126C" w14:textId="77777777">
        <w:trPr>
          <w:tblHeader/>
          <w:jc w:val="center"/>
        </w:trPr>
        <w:tc>
          <w:tcPr>
            <w:tcW w:w="1361" w:type="dxa"/>
            <w:shd w:val="clear" w:color="auto" w:fill="D9E2EC"/>
          </w:tcPr>
          <w:p w14:paraId="758DD3C0" w14:textId="77777777" w:rsidR="008A35DC" w:rsidRDefault="00000000">
            <w:pPr>
              <w:spacing w:after="0" w:line="240" w:lineRule="auto"/>
            </w:pPr>
            <w:r>
              <w:rPr>
                <w:b/>
                <w:sz w:val="17"/>
              </w:rPr>
              <w:t>Component</w:t>
            </w:r>
          </w:p>
        </w:tc>
        <w:tc>
          <w:tcPr>
            <w:tcW w:w="1814" w:type="dxa"/>
            <w:shd w:val="clear" w:color="auto" w:fill="D9E2EC"/>
          </w:tcPr>
          <w:p w14:paraId="5D0156B2" w14:textId="77777777" w:rsidR="008A35DC" w:rsidRDefault="00000000">
            <w:pPr>
              <w:spacing w:after="0" w:line="240" w:lineRule="auto"/>
            </w:pPr>
            <w:r>
              <w:rPr>
                <w:b/>
                <w:sz w:val="17"/>
              </w:rPr>
              <w:t>Core learning outcomes</w:t>
            </w:r>
          </w:p>
        </w:tc>
        <w:tc>
          <w:tcPr>
            <w:tcW w:w="1587" w:type="dxa"/>
            <w:shd w:val="clear" w:color="auto" w:fill="D9E2EC"/>
          </w:tcPr>
          <w:p w14:paraId="1767E4E0" w14:textId="77777777" w:rsidR="008A35DC" w:rsidRDefault="00000000">
            <w:pPr>
              <w:spacing w:after="0" w:line="240" w:lineRule="auto"/>
            </w:pPr>
            <w:r>
              <w:rPr>
                <w:b/>
                <w:sz w:val="17"/>
              </w:rPr>
              <w:t>Theoretical and empirical basis</w:t>
            </w:r>
          </w:p>
        </w:tc>
        <w:tc>
          <w:tcPr>
            <w:tcW w:w="1474" w:type="dxa"/>
            <w:shd w:val="clear" w:color="auto" w:fill="D9E2EC"/>
          </w:tcPr>
          <w:p w14:paraId="07C422AC" w14:textId="77777777" w:rsidR="008A35DC" w:rsidRDefault="00000000">
            <w:pPr>
              <w:spacing w:after="0" w:line="240" w:lineRule="auto"/>
            </w:pPr>
            <w:r>
              <w:rPr>
                <w:b/>
                <w:sz w:val="17"/>
              </w:rPr>
              <w:t>Indicative measures</w:t>
            </w:r>
          </w:p>
        </w:tc>
        <w:tc>
          <w:tcPr>
            <w:tcW w:w="1474" w:type="dxa"/>
            <w:shd w:val="clear" w:color="auto" w:fill="D9E2EC"/>
          </w:tcPr>
          <w:p w14:paraId="0A72C3EE" w14:textId="77777777" w:rsidR="008A35DC" w:rsidRDefault="00000000">
            <w:pPr>
              <w:spacing w:after="0" w:line="240" w:lineRule="auto"/>
            </w:pPr>
            <w:r>
              <w:rPr>
                <w:b/>
                <w:sz w:val="17"/>
              </w:rPr>
              <w:t>Evidence status</w:t>
            </w:r>
          </w:p>
        </w:tc>
        <w:tc>
          <w:tcPr>
            <w:tcW w:w="1701" w:type="dxa"/>
            <w:shd w:val="clear" w:color="auto" w:fill="D9E2EC"/>
          </w:tcPr>
          <w:p w14:paraId="6FD331B6" w14:textId="77777777" w:rsidR="008A35DC" w:rsidRDefault="00000000">
            <w:pPr>
              <w:spacing w:after="0" w:line="240" w:lineRule="auto"/>
            </w:pPr>
            <w:r>
              <w:rPr>
                <w:b/>
                <w:sz w:val="17"/>
              </w:rPr>
              <w:t>Supporting references</w:t>
            </w:r>
          </w:p>
        </w:tc>
      </w:tr>
      <w:tr w:rsidR="008A35DC" w14:paraId="5173B635" w14:textId="77777777">
        <w:trPr>
          <w:jc w:val="center"/>
        </w:trPr>
        <w:tc>
          <w:tcPr>
            <w:tcW w:w="1361" w:type="dxa"/>
          </w:tcPr>
          <w:p w14:paraId="39FA8417" w14:textId="77777777" w:rsidR="008A35DC" w:rsidRDefault="00000000">
            <w:pPr>
              <w:spacing w:after="0" w:line="240" w:lineRule="auto"/>
            </w:pPr>
            <w:r>
              <w:rPr>
                <w:sz w:val="17"/>
              </w:rPr>
              <w:t>Material literacy</w:t>
            </w:r>
          </w:p>
        </w:tc>
        <w:tc>
          <w:tcPr>
            <w:tcW w:w="1814" w:type="dxa"/>
          </w:tcPr>
          <w:p w14:paraId="5AAA2B70" w14:textId="77777777" w:rsidR="008A35DC" w:rsidRDefault="00000000">
            <w:pPr>
              <w:spacing w:after="0" w:line="240" w:lineRule="auto"/>
            </w:pPr>
            <w:r>
              <w:rPr>
                <w:sz w:val="17"/>
              </w:rPr>
              <w:t>Explain foam forms, uses, fragmentation, recovery difficulty and legacy additives</w:t>
            </w:r>
          </w:p>
        </w:tc>
        <w:tc>
          <w:tcPr>
            <w:tcW w:w="1587" w:type="dxa"/>
          </w:tcPr>
          <w:p w14:paraId="4D5153A9" w14:textId="77777777" w:rsidR="008A35DC" w:rsidRDefault="00000000">
            <w:pPr>
              <w:spacing w:after="0" w:line="240" w:lineRule="auto"/>
            </w:pPr>
            <w:r>
              <w:rPr>
                <w:sz w:val="17"/>
              </w:rPr>
              <w:t>Environmental science of polystyrene foam; general environmental education effects on knowledge</w:t>
            </w:r>
          </w:p>
        </w:tc>
        <w:tc>
          <w:tcPr>
            <w:tcW w:w="1474" w:type="dxa"/>
          </w:tcPr>
          <w:p w14:paraId="44034A6B" w14:textId="77777777" w:rsidR="008A35DC" w:rsidRDefault="00000000">
            <w:pPr>
              <w:spacing w:after="0" w:line="240" w:lineRule="auto"/>
            </w:pPr>
            <w:r>
              <w:rPr>
                <w:sz w:val="17"/>
              </w:rPr>
              <w:t>Concept tests; explanation tasks</w:t>
            </w:r>
          </w:p>
        </w:tc>
        <w:tc>
          <w:tcPr>
            <w:tcW w:w="1474" w:type="dxa"/>
          </w:tcPr>
          <w:p w14:paraId="4D4AC469" w14:textId="77777777" w:rsidR="008A35DC" w:rsidRDefault="00000000">
            <w:pPr>
              <w:spacing w:after="0" w:line="240" w:lineRule="auto"/>
            </w:pPr>
            <w:r>
              <w:rPr>
                <w:sz w:val="17"/>
              </w:rPr>
              <w:t>Content base strong; instructional effect inferred from general evidence</w:t>
            </w:r>
          </w:p>
        </w:tc>
        <w:tc>
          <w:tcPr>
            <w:tcW w:w="1701" w:type="dxa"/>
          </w:tcPr>
          <w:p w14:paraId="485DCC4E" w14:textId="77777777" w:rsidR="008A35DC" w:rsidRDefault="00000000">
            <w:pPr>
              <w:spacing w:after="0" w:line="240" w:lineRule="auto"/>
            </w:pPr>
            <w:r>
              <w:rPr>
                <w:sz w:val="17"/>
              </w:rPr>
              <w:t>Jang et al., 2017; Song et al., 2017; Turner, 2020; van de Wetering et al., 2022</w:t>
            </w:r>
          </w:p>
        </w:tc>
      </w:tr>
      <w:tr w:rsidR="008A35DC" w14:paraId="434F3FA4" w14:textId="77777777">
        <w:trPr>
          <w:jc w:val="center"/>
        </w:trPr>
        <w:tc>
          <w:tcPr>
            <w:tcW w:w="1361" w:type="dxa"/>
          </w:tcPr>
          <w:p w14:paraId="5F220258" w14:textId="77777777" w:rsidR="008A35DC" w:rsidRDefault="00000000">
            <w:pPr>
              <w:spacing w:after="0" w:line="240" w:lineRule="auto"/>
            </w:pPr>
            <w:r>
              <w:rPr>
                <w:sz w:val="17"/>
              </w:rPr>
              <w:t>Life-cycle systems reasoning</w:t>
            </w:r>
          </w:p>
        </w:tc>
        <w:tc>
          <w:tcPr>
            <w:tcW w:w="1814" w:type="dxa"/>
          </w:tcPr>
          <w:p w14:paraId="36C0C3CF" w14:textId="77777777" w:rsidR="008A35DC" w:rsidRDefault="00000000">
            <w:pPr>
              <w:spacing w:after="0" w:line="240" w:lineRule="auto"/>
            </w:pPr>
            <w:r>
              <w:rPr>
                <w:sz w:val="17"/>
              </w:rPr>
              <w:t>Represent stocks, flows and feedback; compare life-cycle trade-offs of materials</w:t>
            </w:r>
          </w:p>
        </w:tc>
        <w:tc>
          <w:tcPr>
            <w:tcW w:w="1587" w:type="dxa"/>
          </w:tcPr>
          <w:p w14:paraId="1C24ADE0" w14:textId="77777777" w:rsidR="008A35DC" w:rsidRDefault="00000000">
            <w:pPr>
              <w:spacing w:after="0" w:line="240" w:lineRule="auto"/>
            </w:pPr>
            <w:r>
              <w:rPr>
                <w:sz w:val="17"/>
              </w:rPr>
              <w:t>Systems thinking and life-cycle education research</w:t>
            </w:r>
          </w:p>
        </w:tc>
        <w:tc>
          <w:tcPr>
            <w:tcW w:w="1474" w:type="dxa"/>
          </w:tcPr>
          <w:p w14:paraId="462F1D67" w14:textId="77777777" w:rsidR="008A35DC" w:rsidRDefault="00000000">
            <w:pPr>
              <w:spacing w:after="0" w:line="240" w:lineRule="auto"/>
            </w:pPr>
            <w:r>
              <w:rPr>
                <w:sz w:val="17"/>
              </w:rPr>
              <w:t>Stock-and-flow tasks; causal maps; life-cycle argumentation</w:t>
            </w:r>
          </w:p>
        </w:tc>
        <w:tc>
          <w:tcPr>
            <w:tcW w:w="1474" w:type="dxa"/>
          </w:tcPr>
          <w:p w14:paraId="1887C6A5" w14:textId="77777777" w:rsidR="008A35DC" w:rsidRDefault="00000000">
            <w:pPr>
              <w:spacing w:after="0" w:line="240" w:lineRule="auto"/>
            </w:pPr>
            <w:r>
              <w:rPr>
                <w:sz w:val="17"/>
              </w:rPr>
              <w:t>Partly supported in other domains; untested for plastics</w:t>
            </w:r>
          </w:p>
        </w:tc>
        <w:tc>
          <w:tcPr>
            <w:tcW w:w="1701" w:type="dxa"/>
          </w:tcPr>
          <w:p w14:paraId="2BDC73B2" w14:textId="77777777" w:rsidR="008A35DC" w:rsidRDefault="00000000">
            <w:pPr>
              <w:spacing w:after="0" w:line="240" w:lineRule="auto"/>
            </w:pPr>
            <w:r>
              <w:rPr>
                <w:sz w:val="17"/>
              </w:rPr>
              <w:t>Ben-Zvi Assaraf &amp; Orion, 2005; Juntunen &amp; Aksela, 2014; Sweeney &amp; Sterman, 2000</w:t>
            </w:r>
          </w:p>
        </w:tc>
      </w:tr>
      <w:tr w:rsidR="008A35DC" w14:paraId="03886138" w14:textId="77777777">
        <w:trPr>
          <w:jc w:val="center"/>
        </w:trPr>
        <w:tc>
          <w:tcPr>
            <w:tcW w:w="1361" w:type="dxa"/>
          </w:tcPr>
          <w:p w14:paraId="52495776" w14:textId="77777777" w:rsidR="008A35DC" w:rsidRDefault="00000000">
            <w:pPr>
              <w:spacing w:after="0" w:line="240" w:lineRule="auto"/>
            </w:pPr>
            <w:r>
              <w:rPr>
                <w:sz w:val="17"/>
              </w:rPr>
              <w:t>Evidence and uncertainty appraisal</w:t>
            </w:r>
          </w:p>
        </w:tc>
        <w:tc>
          <w:tcPr>
            <w:tcW w:w="1814" w:type="dxa"/>
          </w:tcPr>
          <w:p w14:paraId="62AD1E62" w14:textId="77777777" w:rsidR="008A35DC" w:rsidRDefault="00000000">
            <w:pPr>
              <w:spacing w:after="0" w:line="240" w:lineRule="auto"/>
            </w:pPr>
            <w:r>
              <w:rPr>
                <w:sz w:val="17"/>
              </w:rPr>
              <w:t>Distinguish hazard from risk and laboratory from field evidence; evaluate contested claims</w:t>
            </w:r>
          </w:p>
        </w:tc>
        <w:tc>
          <w:tcPr>
            <w:tcW w:w="1587" w:type="dxa"/>
          </w:tcPr>
          <w:p w14:paraId="2673919C" w14:textId="77777777" w:rsidR="008A35DC" w:rsidRDefault="00000000">
            <w:pPr>
              <w:spacing w:after="0" w:line="240" w:lineRule="auto"/>
            </w:pPr>
            <w:r>
              <w:rPr>
                <w:sz w:val="17"/>
              </w:rPr>
              <w:t>Contested findings on styrene and degradation; documented misconceptions</w:t>
            </w:r>
          </w:p>
        </w:tc>
        <w:tc>
          <w:tcPr>
            <w:tcW w:w="1474" w:type="dxa"/>
          </w:tcPr>
          <w:p w14:paraId="3AA5D8C0" w14:textId="77777777" w:rsidR="008A35DC" w:rsidRDefault="00000000">
            <w:pPr>
              <w:spacing w:after="0" w:line="240" w:lineRule="auto"/>
            </w:pPr>
            <w:r>
              <w:rPr>
                <w:sz w:val="17"/>
              </w:rPr>
              <w:t>Claim-evaluation scenarios; justification quality</w:t>
            </w:r>
          </w:p>
        </w:tc>
        <w:tc>
          <w:tcPr>
            <w:tcW w:w="1474" w:type="dxa"/>
          </w:tcPr>
          <w:p w14:paraId="077917BE" w14:textId="77777777" w:rsidR="008A35DC" w:rsidRDefault="00000000">
            <w:pPr>
              <w:spacing w:after="0" w:line="240" w:lineRule="auto"/>
            </w:pPr>
            <w:r>
              <w:rPr>
                <w:sz w:val="17"/>
              </w:rPr>
              <w:t>Hypothesised; justified by persistence of misconceptions</w:t>
            </w:r>
          </w:p>
        </w:tc>
        <w:tc>
          <w:tcPr>
            <w:tcW w:w="1701" w:type="dxa"/>
          </w:tcPr>
          <w:p w14:paraId="4B908D45" w14:textId="77777777" w:rsidR="008A35DC" w:rsidRDefault="00000000">
            <w:pPr>
              <w:spacing w:after="0" w:line="240" w:lineRule="auto"/>
            </w:pPr>
            <w:r>
              <w:rPr>
                <w:sz w:val="17"/>
              </w:rPr>
              <w:t>Dilkes-Hoffman et al., 2019; Kogevinas et al., 2018; Torres et al., 2019; Weber et al., 2017</w:t>
            </w:r>
          </w:p>
        </w:tc>
      </w:tr>
      <w:tr w:rsidR="008A35DC" w14:paraId="55B51A5B" w14:textId="77777777">
        <w:trPr>
          <w:jc w:val="center"/>
        </w:trPr>
        <w:tc>
          <w:tcPr>
            <w:tcW w:w="1361" w:type="dxa"/>
          </w:tcPr>
          <w:p w14:paraId="220649F5" w14:textId="77777777" w:rsidR="008A35DC" w:rsidRDefault="00000000">
            <w:pPr>
              <w:spacing w:after="0" w:line="240" w:lineRule="auto"/>
            </w:pPr>
            <w:r>
              <w:rPr>
                <w:sz w:val="17"/>
              </w:rPr>
              <w:lastRenderedPageBreak/>
              <w:t>Action competence</w:t>
            </w:r>
          </w:p>
        </w:tc>
        <w:tc>
          <w:tcPr>
            <w:tcW w:w="1814" w:type="dxa"/>
          </w:tcPr>
          <w:p w14:paraId="665000B6" w14:textId="77777777" w:rsidR="008A35DC" w:rsidRDefault="00000000">
            <w:pPr>
              <w:spacing w:after="0" w:line="240" w:lineRule="auto"/>
            </w:pPr>
            <w:r>
              <w:rPr>
                <w:sz w:val="17"/>
              </w:rPr>
              <w:t>Identify leverage points; plan and take individual and collective action</w:t>
            </w:r>
          </w:p>
        </w:tc>
        <w:tc>
          <w:tcPr>
            <w:tcW w:w="1587" w:type="dxa"/>
          </w:tcPr>
          <w:p w14:paraId="2638359D" w14:textId="77777777" w:rsidR="008A35DC" w:rsidRDefault="00000000">
            <w:pPr>
              <w:spacing w:after="0" w:line="240" w:lineRule="auto"/>
            </w:pPr>
            <w:r>
              <w:rPr>
                <w:sz w:val="17"/>
              </w:rPr>
              <w:t>Action competence approach; TPB; VBN theory</w:t>
            </w:r>
          </w:p>
        </w:tc>
        <w:tc>
          <w:tcPr>
            <w:tcW w:w="1474" w:type="dxa"/>
          </w:tcPr>
          <w:p w14:paraId="556D864D" w14:textId="77777777" w:rsidR="008A35DC" w:rsidRDefault="00000000">
            <w:pPr>
              <w:spacing w:after="0" w:line="240" w:lineRule="auto"/>
            </w:pPr>
            <w:r>
              <w:rPr>
                <w:sz w:val="17"/>
              </w:rPr>
              <w:t>Action competence scales; observed actions</w:t>
            </w:r>
          </w:p>
        </w:tc>
        <w:tc>
          <w:tcPr>
            <w:tcW w:w="1474" w:type="dxa"/>
          </w:tcPr>
          <w:p w14:paraId="65C60FA3" w14:textId="77777777" w:rsidR="008A35DC" w:rsidRDefault="00000000">
            <w:pPr>
              <w:spacing w:after="0" w:line="240" w:lineRule="auto"/>
            </w:pPr>
            <w:r>
              <w:rPr>
                <w:sz w:val="17"/>
              </w:rPr>
              <w:t>Partly supported longitudinally for ESD; untested for foam</w:t>
            </w:r>
          </w:p>
        </w:tc>
        <w:tc>
          <w:tcPr>
            <w:tcW w:w="1701" w:type="dxa"/>
          </w:tcPr>
          <w:p w14:paraId="7A52CDFB" w14:textId="77777777" w:rsidR="008A35DC" w:rsidRDefault="00000000">
            <w:pPr>
              <w:spacing w:after="0" w:line="240" w:lineRule="auto"/>
            </w:pPr>
            <w:r>
              <w:rPr>
                <w:sz w:val="17"/>
              </w:rPr>
              <w:t>Ajzen, 1991; Jensen &amp; Schnack, 1997; Olsson et al., 2022; Stern, 2000</w:t>
            </w:r>
          </w:p>
        </w:tc>
      </w:tr>
      <w:tr w:rsidR="008A35DC" w14:paraId="5A725D73" w14:textId="77777777">
        <w:trPr>
          <w:jc w:val="center"/>
        </w:trPr>
        <w:tc>
          <w:tcPr>
            <w:tcW w:w="1361" w:type="dxa"/>
          </w:tcPr>
          <w:p w14:paraId="1FC0FEC9" w14:textId="77777777" w:rsidR="008A35DC" w:rsidRDefault="00000000">
            <w:pPr>
              <w:spacing w:after="0" w:line="240" w:lineRule="auto"/>
            </w:pPr>
            <w:r>
              <w:rPr>
                <w:sz w:val="17"/>
              </w:rPr>
              <w:t>Institutional and community coupling</w:t>
            </w:r>
          </w:p>
        </w:tc>
        <w:tc>
          <w:tcPr>
            <w:tcW w:w="1814" w:type="dxa"/>
          </w:tcPr>
          <w:p w14:paraId="49FB23CF" w14:textId="77777777" w:rsidR="008A35DC" w:rsidRDefault="00000000">
            <w:pPr>
              <w:spacing w:after="0" w:line="240" w:lineRule="auto"/>
            </w:pPr>
            <w:r>
              <w:rPr>
                <w:sz w:val="17"/>
              </w:rPr>
              <w:t>Align learning with procurement, waste practice, monitoring and governance</w:t>
            </w:r>
          </w:p>
        </w:tc>
        <w:tc>
          <w:tcPr>
            <w:tcW w:w="1587" w:type="dxa"/>
          </w:tcPr>
          <w:p w14:paraId="42999E48" w14:textId="77777777" w:rsidR="008A35DC" w:rsidRDefault="00000000">
            <w:pPr>
              <w:spacing w:after="0" w:line="240" w:lineRule="auto"/>
            </w:pPr>
            <w:r>
              <w:rPr>
                <w:sz w:val="17"/>
              </w:rPr>
              <w:t>Whole-school ESD; citizen science; participatory governance</w:t>
            </w:r>
          </w:p>
        </w:tc>
        <w:tc>
          <w:tcPr>
            <w:tcW w:w="1474" w:type="dxa"/>
          </w:tcPr>
          <w:p w14:paraId="1A5A0115" w14:textId="77777777" w:rsidR="008A35DC" w:rsidRDefault="00000000">
            <w:pPr>
              <w:spacing w:after="0" w:line="240" w:lineRule="auto"/>
            </w:pPr>
            <w:r>
              <w:rPr>
                <w:sz w:val="17"/>
              </w:rPr>
              <w:t>Institutional audits; procurement records; participation records</w:t>
            </w:r>
          </w:p>
        </w:tc>
        <w:tc>
          <w:tcPr>
            <w:tcW w:w="1474" w:type="dxa"/>
          </w:tcPr>
          <w:p w14:paraId="09E83CB4" w14:textId="77777777" w:rsidR="008A35DC" w:rsidRDefault="00000000">
            <w:pPr>
              <w:spacing w:after="0" w:line="240" w:lineRule="auto"/>
            </w:pPr>
            <w:r>
              <w:rPr>
                <w:sz w:val="17"/>
              </w:rPr>
              <w:t>Partly supported through participatory policy adoption; educational link hypothesised</w:t>
            </w:r>
          </w:p>
        </w:tc>
        <w:tc>
          <w:tcPr>
            <w:tcW w:w="1701" w:type="dxa"/>
          </w:tcPr>
          <w:p w14:paraId="2D6D701A" w14:textId="77777777" w:rsidR="008A35DC" w:rsidRDefault="00000000">
            <w:pPr>
              <w:spacing w:after="0" w:line="240" w:lineRule="auto"/>
            </w:pPr>
            <w:r>
              <w:rPr>
                <w:sz w:val="17"/>
              </w:rPr>
              <w:t>Kiessling et al., 2019; Lee et al., 2015; Mogren et al., 2019</w:t>
            </w:r>
          </w:p>
        </w:tc>
      </w:tr>
      <w:tr w:rsidR="008A35DC" w14:paraId="2938E911" w14:textId="77777777">
        <w:trPr>
          <w:jc w:val="center"/>
        </w:trPr>
        <w:tc>
          <w:tcPr>
            <w:tcW w:w="1361" w:type="dxa"/>
          </w:tcPr>
          <w:p w14:paraId="7077F3F8" w14:textId="77777777" w:rsidR="008A35DC" w:rsidRDefault="00000000">
            <w:pPr>
              <w:spacing w:after="0" w:line="240" w:lineRule="auto"/>
            </w:pPr>
            <w:r>
              <w:rPr>
                <w:sz w:val="17"/>
              </w:rPr>
              <w:t>Context layer</w:t>
            </w:r>
          </w:p>
        </w:tc>
        <w:tc>
          <w:tcPr>
            <w:tcW w:w="1814" w:type="dxa"/>
          </w:tcPr>
          <w:p w14:paraId="44D76036" w14:textId="77777777" w:rsidR="008A35DC" w:rsidRDefault="00000000">
            <w:pPr>
              <w:spacing w:after="0" w:line="240" w:lineRule="auto"/>
            </w:pPr>
            <w:r>
              <w:rPr>
                <w:sz w:val="17"/>
              </w:rPr>
              <w:t>Moderates all pathways</w:t>
            </w:r>
          </w:p>
        </w:tc>
        <w:tc>
          <w:tcPr>
            <w:tcW w:w="1587" w:type="dxa"/>
          </w:tcPr>
          <w:p w14:paraId="1592DFD8" w14:textId="77777777" w:rsidR="008A35DC" w:rsidRDefault="00000000">
            <w:pPr>
              <w:spacing w:after="0" w:line="240" w:lineRule="auto"/>
            </w:pPr>
            <w:r>
              <w:rPr>
                <w:sz w:val="17"/>
              </w:rPr>
              <w:t>Policy, infrastructure and behavioural evidence</w:t>
            </w:r>
          </w:p>
        </w:tc>
        <w:tc>
          <w:tcPr>
            <w:tcW w:w="1474" w:type="dxa"/>
          </w:tcPr>
          <w:p w14:paraId="3EA22E58" w14:textId="77777777" w:rsidR="008A35DC" w:rsidRDefault="00000000">
            <w:pPr>
              <w:spacing w:after="0" w:line="240" w:lineRule="auto"/>
            </w:pPr>
            <w:r>
              <w:rPr>
                <w:sz w:val="17"/>
              </w:rPr>
              <w:t>Contextual covariates in evaluation designs</w:t>
            </w:r>
          </w:p>
        </w:tc>
        <w:tc>
          <w:tcPr>
            <w:tcW w:w="1474" w:type="dxa"/>
          </w:tcPr>
          <w:p w14:paraId="6ED8CDBE" w14:textId="77777777" w:rsidR="008A35DC" w:rsidRDefault="00000000">
            <w:pPr>
              <w:spacing w:after="0" w:line="240" w:lineRule="auto"/>
            </w:pPr>
            <w:r>
              <w:rPr>
                <w:sz w:val="17"/>
              </w:rPr>
              <w:t>Supported as a moderator in behavioural and policy literature</w:t>
            </w:r>
          </w:p>
        </w:tc>
        <w:tc>
          <w:tcPr>
            <w:tcW w:w="1701" w:type="dxa"/>
          </w:tcPr>
          <w:p w14:paraId="0E59E1D2" w14:textId="77777777" w:rsidR="008A35DC" w:rsidRDefault="00000000">
            <w:pPr>
              <w:spacing w:after="0" w:line="240" w:lineRule="auto"/>
            </w:pPr>
            <w:r>
              <w:rPr>
                <w:sz w:val="17"/>
              </w:rPr>
              <w:t>Adam et al., 2020; Heidbreder et al., 2019</w:t>
            </w:r>
          </w:p>
        </w:tc>
      </w:tr>
    </w:tbl>
    <w:p w14:paraId="0751F85D" w14:textId="77777777" w:rsidR="008A35DC" w:rsidRDefault="00000000">
      <w:pPr>
        <w:spacing w:after="240" w:line="240" w:lineRule="auto"/>
      </w:pPr>
      <w:r>
        <w:rPr>
          <w:i/>
          <w:sz w:val="18"/>
        </w:rPr>
        <w:t xml:space="preserve">Note. </w:t>
      </w:r>
      <w:r>
        <w:rPr>
          <w:sz w:val="18"/>
        </w:rPr>
        <w:t>The matrix is a design and evaluation aid and has not been validated as an instrument. ESD = education for sustainable development; TPB = theory of planned behaviour; VBN = value–belief–norm.</w:t>
      </w:r>
    </w:p>
    <w:p w14:paraId="6EB1AA53" w14:textId="77777777" w:rsidR="008A35DC" w:rsidRDefault="00000000">
      <w:pPr>
        <w:keepNext/>
        <w:spacing w:before="280"/>
      </w:pPr>
      <w:r>
        <w:rPr>
          <w:b/>
          <w:sz w:val="26"/>
        </w:rPr>
        <w:t>8. Future Directions</w:t>
      </w:r>
    </w:p>
    <w:p w14:paraId="30E0283E" w14:textId="77777777" w:rsidR="008A35DC" w:rsidRDefault="00000000">
      <w:pPr>
        <w:keepNext/>
        <w:spacing w:before="200"/>
      </w:pPr>
      <w:r>
        <w:rPr>
          <w:b/>
          <w:i/>
        </w:rPr>
        <w:t>8.1 Immediate Priority: Controlled Evaluation of Material-Specific Education</w:t>
      </w:r>
    </w:p>
    <w:p w14:paraId="22749031" w14:textId="77777777" w:rsidR="008A35DC" w:rsidRDefault="00000000">
      <w:pPr>
        <w:ind w:firstLine="425"/>
        <w:jc w:val="both"/>
      </w:pPr>
      <w:r>
        <w:t>The most pressing gap is the absence of evaluated educational interventions focused on polystyrene foam. Existing plastic-pollution studies rely heavily on single-group pre-test and post-test designs and short follow-up (Hartley et al., 2015; Hogan &amp; Urban-Rich, 2025), which cannot distinguish instructional effects from testing effects or general maturation. Cluster-randomised or matched quasi-experimental trials comparing material-specific SSEM instruction with generic plastic-pollution instruction of equal duration would test the first proposition of the model. Studies should span primary, secondary and tertiary levels, include sites in regions with high foam leakage and limited waste infrastructure, and follow learners for at least one academic year. Outcome measures should include validated knowledge and systems-reasoning instruments, measures of uncertainty appraisal, and observed rather than solely self-reported behaviour. Such trials would establish whether the model adds value beyond existing curricula and would provide effect estimates for policy planning.</w:t>
      </w:r>
    </w:p>
    <w:p w14:paraId="6CCC6E15" w14:textId="77777777" w:rsidR="008A35DC" w:rsidRDefault="00000000">
      <w:pPr>
        <w:keepNext/>
        <w:spacing w:before="200"/>
      </w:pPr>
      <w:r>
        <w:rPr>
          <w:b/>
          <w:i/>
        </w:rPr>
        <w:t>8.2 Immediate Priority: Valid Measurement of Systems Reasoning and Action Competence in the Plastics Domain</w:t>
      </w:r>
    </w:p>
    <w:p w14:paraId="79A80400" w14:textId="77777777" w:rsidR="008A35DC" w:rsidRDefault="00000000">
      <w:pPr>
        <w:ind w:firstLine="425"/>
        <w:jc w:val="both"/>
      </w:pPr>
      <w:r>
        <w:t xml:space="preserve">Current systems-thinking assessments were developed for hydrological, ecological or business contexts (Ben-Zvi Assaraf &amp; Orion, 2005; Sweeney &amp; Sterman, 2000), and action competence measures have been validated largely in Swedish upper secondary settings (Olsson et al., 2022). Domain-specific instruments are needed to assess stock-and-flow reasoning about plastic accumulation, trade-off reasoning across life-cycle impacts, and the confidence and skills needed for collective action on institutional plastic use. Development should follow established psychometric procedures, including cognitive interviewing, factor analysis, measurement invariance testing across languages and age groups, and criterion validation against observed </w:t>
      </w:r>
      <w:r>
        <w:lastRenderedPageBreak/>
        <w:t>actions. Without such instruments, the intermediate outcomes of the SSEM cannot be evaluated reliably, and comparisons across studies will remain impressionistic.</w:t>
      </w:r>
    </w:p>
    <w:p w14:paraId="3DAE7540" w14:textId="77777777" w:rsidR="008A35DC" w:rsidRDefault="00000000">
      <w:pPr>
        <w:keepNext/>
        <w:spacing w:before="200"/>
      </w:pPr>
      <w:r>
        <w:rPr>
          <w:b/>
          <w:i/>
        </w:rPr>
        <w:t>8.3 Medium-Term Priority: Linking Educational Outcomes to Institutional and Environmental Change</w:t>
      </w:r>
    </w:p>
    <w:p w14:paraId="68D4FED3" w14:textId="77777777" w:rsidR="008A35DC" w:rsidRDefault="00000000">
      <w:pPr>
        <w:ind w:firstLine="425"/>
        <w:jc w:val="both"/>
      </w:pPr>
      <w:r>
        <w:t>The distal pathway of the model, from education to reduced foam consumption and leakage, is entirely hypothesised. Research should examine whether programmes coupling learning with institutional audits change procurement, catering and waste practices in schools, universities and community organisations, using interrupted time-series designs with purchasing records, waste composition audits and litter surveys as outcomes. Citizen science methods already demonstrate that schoolchildren can generate usable litter data (Kiessling et al., 2019), and these methods could be adapted to monitor foam specifically, provided that foam categories and size thresholds are harmonised. Evidence of this kind is necessary before education can be justified as a mitigation instrument rather than solely as a learning objective.</w:t>
      </w:r>
    </w:p>
    <w:p w14:paraId="4E40D80B" w14:textId="77777777" w:rsidR="008A35DC" w:rsidRDefault="00000000">
      <w:pPr>
        <w:keepNext/>
        <w:spacing w:before="200"/>
      </w:pPr>
      <w:r>
        <w:rPr>
          <w:b/>
          <w:i/>
        </w:rPr>
        <w:t>8.4 Medium-Term Priority: Sectoral and Producer-Focused Learning</w:t>
      </w:r>
    </w:p>
    <w:p w14:paraId="28ACED59" w14:textId="77777777" w:rsidR="008A35DC" w:rsidRDefault="00000000">
      <w:pPr>
        <w:ind w:firstLine="425"/>
        <w:jc w:val="both"/>
      </w:pPr>
      <w:r>
        <w:t>Aquaculture buoys, fish boxes and construction insulation represent foam flows that consumer education does not reach. Participatory processes have produced adopted policy in South Korea and detailed recommendations in Taiwan (Chen et al., 2018; Lee et al., 2015), but outcome evaluations of reduced buoy loss or improved recovery are lacking. Mixed-methods studies with aquaculture cooperatives, fishers, construction contractors and waste operators should examine how training, deliberation, economic incentives and alternative materials interact to change practice. Outcome measures should include buoy retrieval rates, material substitution and the concentrations of legacy additives such as HBCD in recycled products (Jang et al., 2017). This research would extend the SSEM beyond formal schooling and test whether its components are relevant to adult occupational learning.</w:t>
      </w:r>
    </w:p>
    <w:p w14:paraId="0D1A3086" w14:textId="77777777" w:rsidR="008A35DC" w:rsidRDefault="00000000">
      <w:pPr>
        <w:keepNext/>
        <w:spacing w:before="200"/>
      </w:pPr>
      <w:r>
        <w:rPr>
          <w:b/>
          <w:i/>
        </w:rPr>
        <w:t>8.5 Longer-Term Priority: Integrated Assessment of Substitution and Evidence Communication</w:t>
      </w:r>
    </w:p>
    <w:p w14:paraId="40C43934" w14:textId="77777777" w:rsidR="008A35DC" w:rsidRDefault="00000000">
      <w:pPr>
        <w:ind w:firstLine="425"/>
        <w:jc w:val="both"/>
      </w:pPr>
      <w:r>
        <w:t xml:space="preserve">Two longer-term needs follow from the life-cycle and degradation evidence. First, LCA methods that incorporate litter leakage and user behaviour remain under development and highly assumption-dependent (Caspers &amp; Finkbeiner, 2025; Corella-Puertas et al., 2022). Educational research should examine how learners interpret such uncertain comparative evidence, and whether exposure to trade-offs reduces or increases support for foam restrictions. Second, research on insect-mediated and photochemical degradation continues to attract public attention </w:t>
      </w:r>
      <w:r>
        <w:lastRenderedPageBreak/>
        <w:t>(Peng et al., 2024; Ward et al., 2019). Experimental studies of science communication could test whether uncertainty-explicit presentations of these findings preserve support for source reduction better than conventional presentations. Both lines of work would help ensure that the SSEM remains aligned with the evolving scientific evidence rather than fixed to a particular stage of knowledge.</w:t>
      </w:r>
    </w:p>
    <w:p w14:paraId="42D36665" w14:textId="77777777" w:rsidR="008A35DC" w:rsidRDefault="00000000">
      <w:pPr>
        <w:keepNext/>
        <w:spacing w:before="280"/>
      </w:pPr>
      <w:r>
        <w:rPr>
          <w:b/>
          <w:sz w:val="26"/>
        </w:rPr>
        <w:t>9. Conclusions</w:t>
      </w:r>
    </w:p>
    <w:p w14:paraId="430BF6C0" w14:textId="77777777" w:rsidR="008A35DC" w:rsidRDefault="00000000">
      <w:pPr>
        <w:ind w:firstLine="425"/>
        <w:jc w:val="both"/>
      </w:pPr>
      <w:r>
        <w:t>This review set out to appraise the evidence on polystyrene foam pollution, to evaluate the behavioural assumptions of policy responses, to assess what plastic-pollution and sustainability education demonstrably achieves, and to derive a conceptual framework for material-specific education. The most defensible conclusion regarding the material is that foamed polystyrene presents a distinctive pollution problem because of its brittleness, low density, low recovery value and legacy additives. Evidence for rapid fragmentation, difficulty of retrieval and additive transfer to organisms is comparatively strong, whereas conclusions about consumer health risk from food-contact use, the comparative environmental superiority of substitutes and the practical value of insect-mediated or photochemical degradation remain conditional.</w:t>
      </w:r>
    </w:p>
    <w:p w14:paraId="3D05F738" w14:textId="77777777" w:rsidR="008A35DC" w:rsidRDefault="00000000">
      <w:pPr>
        <w:ind w:firstLine="425"/>
        <w:jc w:val="both"/>
      </w:pPr>
      <w:r>
        <w:t>Policy responses have relied mainly on bans, which are rational given the limited feasibility of reuse and recycling, but their environmental outcomes are seldom evaluated, and their success appears to depend on stakeholder engagement, available alternatives and public understanding. Sectoral experience with aquaculture buoys indicates that participatory learning processes can contribute to adopted policy, although outcome data remain scarce.</w:t>
      </w:r>
    </w:p>
    <w:p w14:paraId="28EA0686" w14:textId="77777777" w:rsidR="008A35DC" w:rsidRDefault="00000000">
      <w:pPr>
        <w:ind w:firstLine="425"/>
        <w:jc w:val="both"/>
      </w:pPr>
      <w:r>
        <w:t>Educational evidence consistently shows reliable gains in knowledge and smaller, predominantly self-reported changes in intentions and behaviour. This pattern is better explained by the structural and habitual determinants of plastic use than by an intrinsic weakness of education. Systems thinking, life-cycle thinking and action competence provide the most coherent theoretical basis for addressing this limitation, because they direct learning towards stocks and flows, trade-offs, uncertainty and collective action rather than towards awareness alone.</w:t>
      </w:r>
    </w:p>
    <w:p w14:paraId="3508FABA" w14:textId="77777777" w:rsidR="008A35DC" w:rsidRDefault="00000000">
      <w:pPr>
        <w:ind w:firstLine="425"/>
        <w:jc w:val="both"/>
      </w:pPr>
      <w:r>
        <w:t xml:space="preserve">The Styrofoam Systems Education Model integrates these insights into five components, namely material literacy, life-cycle systems reasoning, evidence and uncertainty appraisal, action competence, and institutional and community coupling, set within a moderating context layer. Relationships between instruction and proximal learning outcomes are supported by existing evidence, whereas relationships between educational outcomes and reductions in foam consumption or leakage remain hypotheses. The broader significance of the synthesis lies in </w:t>
      </w:r>
      <w:r>
        <w:lastRenderedPageBreak/>
        <w:t>demonstrating that material-specific, systems-oriented education can be specified in a testable form, and that its most appropriate role is as a complement to regulation, product redesign and waste infrastructure rather than as a substitute for them.</w:t>
      </w:r>
    </w:p>
    <w:p w14:paraId="34878651" w14:textId="77777777" w:rsidR="008A35DC" w:rsidRDefault="00000000">
      <w:pPr>
        <w:keepNext/>
        <w:spacing w:before="280"/>
      </w:pPr>
      <w:r>
        <w:rPr>
          <w:b/>
          <w:sz w:val="26"/>
        </w:rPr>
        <w:t>10. Limitations</w:t>
      </w:r>
    </w:p>
    <w:p w14:paraId="4E38959C" w14:textId="77777777" w:rsidR="008A35DC" w:rsidRDefault="00000000">
      <w:pPr>
        <w:ind w:firstLine="425"/>
        <w:jc w:val="both"/>
      </w:pPr>
      <w:r>
        <w:t>The first limitation is intrinsic to the narrative review design. Although the search strategy, eligibility criteria and appraisal approach were made explicit, study selection and interpretation involved judgement, and the possibility of selection and interpretive bias cannot be excluded. A systematic review with duplicate independent screening might identify additional studies or weigh the evidence differently.</w:t>
      </w:r>
    </w:p>
    <w:p w14:paraId="6BD066BF" w14:textId="77777777" w:rsidR="008A35DC" w:rsidRDefault="00000000">
      <w:pPr>
        <w:ind w:firstLine="425"/>
        <w:jc w:val="both"/>
      </w:pPr>
      <w:r>
        <w:t>Access to several subscription databases was not available, and the search relied on open multidisciplinary indexes, an education-specific database, institutional sources and citation chasing. Relevant studies indexed only in subscription services may therefore have been missed. The restriction to English-language publications may have excluded educational and monitoring studies from regions where foam pollution is prominent, particularly East and South-East Asia, Latin America and Africa, and the reviewed education evidence is concentrated in Europe and North America.</w:t>
      </w:r>
    </w:p>
    <w:p w14:paraId="3502AEDD" w14:textId="77777777" w:rsidR="008A35DC" w:rsidRDefault="00000000">
      <w:pPr>
        <w:ind w:firstLine="425"/>
        <w:jc w:val="both"/>
      </w:pPr>
      <w:r>
        <w:t>The evidence base was heterogeneous in design, population, outcome and context, spanning laboratory experiments, monitoring surveys, life cycle assessments, policy analyses, surveys and classroom studies. This heterogeneity precluded quantitative synthesis, and the effect sizes reported for environmental education were drawn from a general meta-analysis rather than from plastic-specific or foam-specific studies. Much of the behavioural and educational evidence was observational or based on self-report, and long-term follow-up was rare.</w:t>
      </w:r>
    </w:p>
    <w:p w14:paraId="42FB2954" w14:textId="77777777" w:rsidR="008A35DC" w:rsidRDefault="00000000">
      <w:pPr>
        <w:ind w:firstLine="425"/>
        <w:jc w:val="both"/>
      </w:pPr>
      <w:r>
        <w:t>No evaluated educational intervention focused specifically on polystyrene foam was identified, so the application of general plastic-pollution and sustainability education evidence to foam rests on inference. The SSEM is a conceptual framework derived from this synthesis and has not been empirically validated. Finally, research on polystyrene degradation, life-cycle methods for litter and plastics governance is developing rapidly, and some conclusions may require revision as new evidence emerges.</w:t>
      </w:r>
    </w:p>
    <w:p w14:paraId="43BFD14F" w14:textId="77777777" w:rsidR="00E04473" w:rsidRDefault="00E04473" w:rsidP="00E04473">
      <w:pPr>
        <w:spacing w:after="0" w:line="240" w:lineRule="auto"/>
        <w:rPr>
          <w:rFonts w:cs="Times New Roman"/>
          <w:b/>
        </w:rPr>
      </w:pPr>
      <w:r w:rsidRPr="000839CE">
        <w:rPr>
          <w:rFonts w:cs="Times New Roman"/>
          <w:b/>
        </w:rPr>
        <w:t>Declaration of AI Use</w:t>
      </w:r>
    </w:p>
    <w:p w14:paraId="30CD8F01" w14:textId="77777777" w:rsidR="00E04473" w:rsidRDefault="00E04473" w:rsidP="00E04473">
      <w:pPr>
        <w:spacing w:after="0" w:line="240" w:lineRule="auto"/>
        <w:rPr>
          <w:rFonts w:cs="Times New Roman"/>
          <w:b/>
        </w:rPr>
      </w:pPr>
    </w:p>
    <w:p w14:paraId="58F3E1E5" w14:textId="77777777" w:rsidR="00E04473" w:rsidRDefault="00E04473" w:rsidP="00E04473">
      <w:pPr>
        <w:spacing w:after="0" w:line="240" w:lineRule="auto"/>
        <w:rPr>
          <w:rFonts w:cs="Times New Roman"/>
          <w:b/>
        </w:rPr>
      </w:pPr>
    </w:p>
    <w:p w14:paraId="1F2DE170" w14:textId="77777777" w:rsidR="00E04473" w:rsidRDefault="00E04473" w:rsidP="00E04473">
      <w:pPr>
        <w:spacing w:after="0" w:line="240" w:lineRule="auto"/>
        <w:rPr>
          <w:rFonts w:cs="Times New Roman"/>
          <w:b/>
        </w:rPr>
      </w:pPr>
    </w:p>
    <w:p w14:paraId="3E2E57F6" w14:textId="77777777" w:rsidR="00E04473" w:rsidRPr="002D08AC" w:rsidRDefault="00E04473" w:rsidP="00E04473">
      <w:pPr>
        <w:spacing w:after="0" w:line="240" w:lineRule="auto"/>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2D08AC">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2E746E7F" w14:textId="77777777" w:rsidR="00E04473" w:rsidRDefault="00E04473">
      <w:pPr>
        <w:ind w:firstLine="425"/>
        <w:jc w:val="both"/>
      </w:pPr>
    </w:p>
    <w:p w14:paraId="386D5B93" w14:textId="77777777" w:rsidR="008A35DC" w:rsidRDefault="00000000">
      <w:pPr>
        <w:keepNext/>
        <w:spacing w:before="280"/>
      </w:pPr>
      <w:r>
        <w:rPr>
          <w:b/>
          <w:sz w:val="26"/>
        </w:rPr>
        <w:t>References</w:t>
      </w:r>
    </w:p>
    <w:p w14:paraId="565EEAFF" w14:textId="77777777" w:rsidR="008A35DC" w:rsidRDefault="00000000">
      <w:pPr>
        <w:spacing w:after="80" w:line="276" w:lineRule="auto"/>
        <w:ind w:left="720" w:hanging="720"/>
      </w:pPr>
      <w:r>
        <w:rPr>
          <w:sz w:val="22"/>
        </w:rPr>
        <w:t xml:space="preserve">Adam, I., Walker, T. R., Bezerra, J. C., &amp; Clayton, A. (2020). Policies to reduce single-use plastic marine pollution in West Africa. </w:t>
      </w:r>
      <w:r>
        <w:rPr>
          <w:i/>
          <w:sz w:val="22"/>
        </w:rPr>
        <w:t>Marine Policy, 116</w:t>
      </w:r>
      <w:r>
        <w:rPr>
          <w:sz w:val="22"/>
        </w:rPr>
        <w:t>, Article 103928. https://doi.org/10.1016/j.marpol.2020.103928</w:t>
      </w:r>
    </w:p>
    <w:p w14:paraId="126A1540" w14:textId="77777777" w:rsidR="008A35DC" w:rsidRDefault="00000000">
      <w:pPr>
        <w:spacing w:after="80" w:line="276" w:lineRule="auto"/>
        <w:ind w:left="720" w:hanging="720"/>
      </w:pPr>
      <w:r>
        <w:rPr>
          <w:sz w:val="22"/>
        </w:rPr>
        <w:t xml:space="preserve">Ajzen, I. (1991). The theory of planned behavior. </w:t>
      </w:r>
      <w:r>
        <w:rPr>
          <w:i/>
          <w:sz w:val="22"/>
        </w:rPr>
        <w:t>Organizational Behavior and Human Decision Processes, 50</w:t>
      </w:r>
      <w:r>
        <w:rPr>
          <w:sz w:val="22"/>
        </w:rPr>
        <w:t>(2), 179–211. https://doi.org/10.1016/0749-5978(91)90020-T</w:t>
      </w:r>
    </w:p>
    <w:p w14:paraId="0ABDFF36" w14:textId="77777777" w:rsidR="008A35DC" w:rsidRDefault="00000000">
      <w:pPr>
        <w:spacing w:after="80" w:line="276" w:lineRule="auto"/>
        <w:ind w:left="720" w:hanging="720"/>
      </w:pPr>
      <w:r>
        <w:rPr>
          <w:sz w:val="22"/>
        </w:rPr>
        <w:t xml:space="preserve">Ardoin, N. M., Bowers, A. W., &amp; Gaillard, E. (2020). Environmental education outcomes for conservation: A systematic review. </w:t>
      </w:r>
      <w:r>
        <w:rPr>
          <w:i/>
          <w:sz w:val="22"/>
        </w:rPr>
        <w:t>Biological Conservation, 241</w:t>
      </w:r>
      <w:r>
        <w:rPr>
          <w:sz w:val="22"/>
        </w:rPr>
        <w:t>, Article 108224. https://doi.org/10.1016/j.biocon.2019.108224</w:t>
      </w:r>
    </w:p>
    <w:p w14:paraId="35F46E9E" w14:textId="77777777" w:rsidR="008A35DC" w:rsidRDefault="00000000">
      <w:pPr>
        <w:spacing w:after="80" w:line="276" w:lineRule="auto"/>
        <w:ind w:left="720" w:hanging="720"/>
      </w:pPr>
      <w:r>
        <w:rPr>
          <w:sz w:val="22"/>
        </w:rPr>
        <w:t xml:space="preserve">Baethge, C., Goldbeck-Wood, S., &amp; Mertens, S. (2019). SANRA—a scale for the quality assessment of narrative review articles. </w:t>
      </w:r>
      <w:r>
        <w:rPr>
          <w:i/>
          <w:sz w:val="22"/>
        </w:rPr>
        <w:t>Research Integrity and Peer Review, 4</w:t>
      </w:r>
      <w:r>
        <w:rPr>
          <w:sz w:val="22"/>
        </w:rPr>
        <w:t>, Article 5. https://doi.org/10.1186/s41073-019-0064-8</w:t>
      </w:r>
    </w:p>
    <w:p w14:paraId="7D447F7B" w14:textId="77777777" w:rsidR="008A35DC" w:rsidRDefault="00000000">
      <w:pPr>
        <w:spacing w:after="80" w:line="276" w:lineRule="auto"/>
        <w:ind w:left="720" w:hanging="720"/>
      </w:pPr>
      <w:r>
        <w:rPr>
          <w:sz w:val="22"/>
        </w:rPr>
        <w:t xml:space="preserve">Baxter, L., Lucas, Z., &amp; Walker, T. R. (2022). Evaluating Canada's single-use plastic mitigation policies via brand audit and beach cleanup data to reduce plastic pollution. </w:t>
      </w:r>
      <w:r>
        <w:rPr>
          <w:i/>
          <w:sz w:val="22"/>
        </w:rPr>
        <w:t>Marine Pollution Bulletin, 176</w:t>
      </w:r>
      <w:r>
        <w:rPr>
          <w:sz w:val="22"/>
        </w:rPr>
        <w:t>, Article 113460. https://doi.org/10.1016/j.marpolbul.2022.113460</w:t>
      </w:r>
    </w:p>
    <w:p w14:paraId="47DB9AF4" w14:textId="77777777" w:rsidR="008A35DC" w:rsidRDefault="00000000">
      <w:pPr>
        <w:spacing w:after="80" w:line="276" w:lineRule="auto"/>
        <w:ind w:left="720" w:hanging="720"/>
      </w:pPr>
      <w:r>
        <w:rPr>
          <w:sz w:val="22"/>
        </w:rPr>
        <w:t xml:space="preserve">Ben-Zvi Assaraf, O., &amp; Orion, N. (2005). Development of system thinking skills in the context of earth system education. </w:t>
      </w:r>
      <w:r>
        <w:rPr>
          <w:i/>
          <w:sz w:val="22"/>
        </w:rPr>
        <w:t>Journal of Research in Science Teaching, 42</w:t>
      </w:r>
      <w:r>
        <w:rPr>
          <w:sz w:val="22"/>
        </w:rPr>
        <w:t>(5), 518–560. https://doi.org/10.1002/tea.20061</w:t>
      </w:r>
    </w:p>
    <w:p w14:paraId="4ED4537D" w14:textId="77777777" w:rsidR="008A35DC" w:rsidRDefault="00000000">
      <w:pPr>
        <w:spacing w:after="80" w:line="276" w:lineRule="auto"/>
        <w:ind w:left="720" w:hanging="720"/>
      </w:pPr>
      <w:r>
        <w:rPr>
          <w:sz w:val="22"/>
        </w:rPr>
        <w:t xml:space="preserve">Boeve-de Pauw, J., Gericke, N., Olsson, D., &amp; Berglund, T. (2015). The effectiveness of education for sustainable development. </w:t>
      </w:r>
      <w:r>
        <w:rPr>
          <w:i/>
          <w:sz w:val="22"/>
        </w:rPr>
        <w:t>Sustainability, 7</w:t>
      </w:r>
      <w:r>
        <w:rPr>
          <w:sz w:val="22"/>
        </w:rPr>
        <w:t>(11), 15693–15717. https://doi.org/10.3390/su71115693</w:t>
      </w:r>
    </w:p>
    <w:p w14:paraId="4293BBE0" w14:textId="77777777" w:rsidR="008A35DC" w:rsidRDefault="00000000">
      <w:pPr>
        <w:spacing w:after="80" w:line="276" w:lineRule="auto"/>
        <w:ind w:left="720" w:hanging="720"/>
      </w:pPr>
      <w:r>
        <w:rPr>
          <w:sz w:val="22"/>
        </w:rPr>
        <w:t xml:space="preserve">Bombelli, P., Howe, C. J., &amp; Bertocchini, F. (2017). Polyethylene bio-degradation by caterpillars of the wax moth </w:t>
      </w:r>
      <w:r>
        <w:rPr>
          <w:i/>
          <w:sz w:val="22"/>
        </w:rPr>
        <w:t>Galleria mellonella</w:t>
      </w:r>
      <w:r>
        <w:rPr>
          <w:sz w:val="22"/>
        </w:rPr>
        <w:t xml:space="preserve">. </w:t>
      </w:r>
      <w:r>
        <w:rPr>
          <w:i/>
          <w:sz w:val="22"/>
        </w:rPr>
        <w:t>Current Biology, 27</w:t>
      </w:r>
      <w:r>
        <w:rPr>
          <w:sz w:val="22"/>
        </w:rPr>
        <w:t>(8), R292–R293. https://doi.org/10.1016/j.cub.2017.02.060</w:t>
      </w:r>
    </w:p>
    <w:p w14:paraId="389B5592" w14:textId="77777777" w:rsidR="008A35DC" w:rsidRDefault="00000000">
      <w:pPr>
        <w:spacing w:after="80" w:line="276" w:lineRule="auto"/>
        <w:ind w:left="720" w:hanging="720"/>
      </w:pPr>
      <w:r>
        <w:rPr>
          <w:sz w:val="22"/>
        </w:rPr>
        <w:t xml:space="preserve">Borrelle, S. B., Ringma, J., Law, K. L., Monnahan, C. C., Lebreton, L., McGivern, A., Murphy, E., Jambeck, J., Leonard, G. H., Hilleary, M. A., Eriksen, M., Possingham, H. P., De Frond, H., Gerber, L. R., Polidoro, B., Tahir, A., Bernard, M., Mallos, N., Barnes, M., &amp; Rochman, C. M. (2020). Predicted growth in plastic waste exceeds efforts to mitigate plastic pollution. </w:t>
      </w:r>
      <w:r>
        <w:rPr>
          <w:i/>
          <w:sz w:val="22"/>
        </w:rPr>
        <w:t>Science, 369</w:t>
      </w:r>
      <w:r>
        <w:rPr>
          <w:sz w:val="22"/>
        </w:rPr>
        <w:t>(6510), 1515–1518. https://doi.org/10.1126/science.aba3656</w:t>
      </w:r>
    </w:p>
    <w:p w14:paraId="3A2E89AC" w14:textId="77777777" w:rsidR="008A35DC" w:rsidRDefault="00000000">
      <w:pPr>
        <w:spacing w:after="80" w:line="276" w:lineRule="auto"/>
        <w:ind w:left="720" w:hanging="720"/>
      </w:pPr>
      <w:r>
        <w:rPr>
          <w:sz w:val="22"/>
        </w:rPr>
        <w:t xml:space="preserve">Caspers, J., &amp; Finkbeiner, M. (2025). Littering and consumer behaviour in life cycle assessment – A case study of takeaway packaging for food. </w:t>
      </w:r>
      <w:r>
        <w:rPr>
          <w:i/>
          <w:sz w:val="22"/>
        </w:rPr>
        <w:t>Journal of Cleaner Production, 520</w:t>
      </w:r>
      <w:r>
        <w:rPr>
          <w:sz w:val="22"/>
        </w:rPr>
        <w:t>, Article 146115. https://doi.org/10.1016/j.jclepro.2025.146115</w:t>
      </w:r>
    </w:p>
    <w:p w14:paraId="266457D7" w14:textId="77777777" w:rsidR="008A35DC" w:rsidRDefault="00000000">
      <w:pPr>
        <w:spacing w:after="80" w:line="276" w:lineRule="auto"/>
        <w:ind w:left="720" w:hanging="720"/>
      </w:pPr>
      <w:r>
        <w:rPr>
          <w:sz w:val="22"/>
        </w:rPr>
        <w:t xml:space="preserve">Chen, C.-L., Kuo, P.-H., Lee, T.-C., &amp; Liu, C.-H. (2018). Snow lines on shorelines: Solving Styrofoam buoy marine debris from oyster culture in Taiwan. </w:t>
      </w:r>
      <w:r>
        <w:rPr>
          <w:i/>
          <w:sz w:val="22"/>
        </w:rPr>
        <w:t>Ocean &amp; Coastal Management, 165</w:t>
      </w:r>
      <w:r>
        <w:rPr>
          <w:sz w:val="22"/>
        </w:rPr>
        <w:t>, 346–355. https://doi.org/10.1016/j.ocecoaman.2018.09.005</w:t>
      </w:r>
    </w:p>
    <w:p w14:paraId="728A8A1A" w14:textId="77777777" w:rsidR="008A35DC" w:rsidRDefault="00000000">
      <w:pPr>
        <w:spacing w:after="80" w:line="276" w:lineRule="auto"/>
        <w:ind w:left="720" w:hanging="720"/>
      </w:pPr>
      <w:r>
        <w:rPr>
          <w:sz w:val="22"/>
        </w:rPr>
        <w:t xml:space="preserve">Corella-Puertas, E., Guieu, P., Aufoujal, A., Bulle, C., &amp; Boulay, A.-M. (2022). Development of simplified characterization factors for the assessment of expanded polystyrene and tire wear microplastic emissions applied in a food container life cycle assessment. </w:t>
      </w:r>
      <w:r>
        <w:rPr>
          <w:i/>
          <w:sz w:val="22"/>
        </w:rPr>
        <w:t>Journal of Industrial Ecology, 26</w:t>
      </w:r>
      <w:r>
        <w:rPr>
          <w:sz w:val="22"/>
        </w:rPr>
        <w:t>(6), 1882–1894. https://doi.org/10.1111/jiec.13269</w:t>
      </w:r>
    </w:p>
    <w:p w14:paraId="47E0EDB9" w14:textId="77777777" w:rsidR="008A35DC" w:rsidRDefault="00000000">
      <w:pPr>
        <w:spacing w:after="80" w:line="276" w:lineRule="auto"/>
        <w:ind w:left="720" w:hanging="720"/>
      </w:pPr>
      <w:r>
        <w:rPr>
          <w:sz w:val="22"/>
        </w:rPr>
        <w:t xml:space="preserve">Dilkes-Hoffman, L., Ashworth, P., Laycock, B., Pratt, S., &amp; Lant, P. (2019). Public attitudes towards bioplastics – knowledge, perception and end-of-life management. </w:t>
      </w:r>
      <w:r>
        <w:rPr>
          <w:i/>
          <w:sz w:val="22"/>
        </w:rPr>
        <w:t>Resources, Conservation and Recycling, 151</w:t>
      </w:r>
      <w:r>
        <w:rPr>
          <w:sz w:val="22"/>
        </w:rPr>
        <w:t>, Article 104479. https://doi.org/10.1016/j.resconrec.2019.104479</w:t>
      </w:r>
    </w:p>
    <w:p w14:paraId="1B0CA9CD" w14:textId="77777777" w:rsidR="008A35DC" w:rsidRDefault="00000000">
      <w:pPr>
        <w:spacing w:after="80" w:line="276" w:lineRule="auto"/>
        <w:ind w:left="720" w:hanging="720"/>
      </w:pPr>
      <w:r>
        <w:rPr>
          <w:sz w:val="22"/>
        </w:rPr>
        <w:lastRenderedPageBreak/>
        <w:t xml:space="preserve">Doganca Kucuk, Z., &amp; Saysel, A. K. (2018). Developing seventh grade students' understanding of complex environmental problems with systems tools and representations: A quasi-experimental study. </w:t>
      </w:r>
      <w:r>
        <w:rPr>
          <w:i/>
          <w:sz w:val="22"/>
        </w:rPr>
        <w:t>Research in Science Education, 48</w:t>
      </w:r>
      <w:r>
        <w:rPr>
          <w:sz w:val="22"/>
        </w:rPr>
        <w:t>(2), 491–514. https://doi.org/10.1007/s11165-017-9620-8</w:t>
      </w:r>
    </w:p>
    <w:p w14:paraId="4FDADDE9" w14:textId="77777777" w:rsidR="008A35DC" w:rsidRDefault="00000000">
      <w:pPr>
        <w:spacing w:after="80" w:line="276" w:lineRule="auto"/>
        <w:ind w:left="720" w:hanging="720"/>
      </w:pPr>
      <w:r>
        <w:rPr>
          <w:sz w:val="22"/>
        </w:rPr>
        <w:t xml:space="preserve">Evagorou, M., Korfiatis, K., Nicolaou, C., &amp; Constantinou, C. (2009). An investigation of the potential of interactive simulations for developing system thinking skills in elementary school: A case study with fifth-graders and sixth-graders. </w:t>
      </w:r>
      <w:r>
        <w:rPr>
          <w:i/>
          <w:sz w:val="22"/>
        </w:rPr>
        <w:t>International Journal of Science Education, 31</w:t>
      </w:r>
      <w:r>
        <w:rPr>
          <w:sz w:val="22"/>
        </w:rPr>
        <w:t>(5), 655–674. https://doi.org/10.1080/09500690701749313</w:t>
      </w:r>
    </w:p>
    <w:p w14:paraId="1A801594" w14:textId="77777777" w:rsidR="008A35DC" w:rsidRDefault="00000000">
      <w:pPr>
        <w:spacing w:after="80" w:line="276" w:lineRule="auto"/>
        <w:ind w:left="720" w:hanging="720"/>
      </w:pPr>
      <w:r>
        <w:rPr>
          <w:sz w:val="22"/>
        </w:rPr>
        <w:t xml:space="preserve">Gallego-Schmid, A., Mendoza, J. M. F., &amp; Azapagic, A. (2019). Environmental impacts of takeaway food containers. </w:t>
      </w:r>
      <w:r>
        <w:rPr>
          <w:i/>
          <w:sz w:val="22"/>
        </w:rPr>
        <w:t>Journal of Cleaner Production, 211</w:t>
      </w:r>
      <w:r>
        <w:rPr>
          <w:sz w:val="22"/>
        </w:rPr>
        <w:t>, 417–427. https://doi.org/10.1016/j.jclepro.2018.11.220</w:t>
      </w:r>
    </w:p>
    <w:p w14:paraId="3EC891C0" w14:textId="77777777" w:rsidR="008A35DC" w:rsidRDefault="00000000">
      <w:pPr>
        <w:spacing w:after="80" w:line="276" w:lineRule="auto"/>
        <w:ind w:left="720" w:hanging="720"/>
      </w:pPr>
      <w:r>
        <w:rPr>
          <w:sz w:val="22"/>
        </w:rPr>
        <w:t xml:space="preserve">Gelbke, H.-P., Banton, M., Block, C., Dawkins, G., Eisert, R., Leibold, E., Pemberton, M., Puijk, I. M., Sakoda, A., &amp; Yasukawa, A. (2019). Risk assessment for migration of styrene oligomers into food from polystyrene food containers. </w:t>
      </w:r>
      <w:r>
        <w:rPr>
          <w:i/>
          <w:sz w:val="22"/>
        </w:rPr>
        <w:t>Food and Chemical Toxicology, 124</w:t>
      </w:r>
      <w:r>
        <w:rPr>
          <w:sz w:val="22"/>
        </w:rPr>
        <w:t>, 151–167. https://doi.org/10.1016/j.fct.2018.11.017</w:t>
      </w:r>
    </w:p>
    <w:p w14:paraId="2F8C5B6D" w14:textId="77777777" w:rsidR="008A35DC" w:rsidRDefault="00000000">
      <w:pPr>
        <w:spacing w:after="80" w:line="276" w:lineRule="auto"/>
        <w:ind w:left="720" w:hanging="720"/>
      </w:pPr>
      <w:r>
        <w:rPr>
          <w:sz w:val="22"/>
        </w:rPr>
        <w:t xml:space="preserve">Geyer, R., Jambeck, J. R., &amp; Law, K. L. (2017). Production, use, and fate of all plastics ever made. </w:t>
      </w:r>
      <w:r>
        <w:rPr>
          <w:i/>
          <w:sz w:val="22"/>
        </w:rPr>
        <w:t>Science Advances, 3</w:t>
      </w:r>
      <w:r>
        <w:rPr>
          <w:sz w:val="22"/>
        </w:rPr>
        <w:t>(7), Article e1700782. https://doi.org/10.1126/sciadv.1700782</w:t>
      </w:r>
    </w:p>
    <w:p w14:paraId="369C34EC" w14:textId="77777777" w:rsidR="008A35DC" w:rsidRDefault="00000000">
      <w:pPr>
        <w:spacing w:after="80" w:line="276" w:lineRule="auto"/>
        <w:ind w:left="720" w:hanging="720"/>
      </w:pPr>
      <w:r>
        <w:rPr>
          <w:sz w:val="22"/>
        </w:rPr>
        <w:t xml:space="preserve">Greenhalgh, T., Thorne, S., &amp; Malterud, K. (2018). Time to challenge the spurious hierarchy of systematic over narrative reviews? </w:t>
      </w:r>
      <w:r>
        <w:rPr>
          <w:i/>
          <w:sz w:val="22"/>
        </w:rPr>
        <w:t>European Journal of Clinical Investigation, 48</w:t>
      </w:r>
      <w:r>
        <w:rPr>
          <w:sz w:val="22"/>
        </w:rPr>
        <w:t>(6), Article e12931. https://doi.org/10.1111/eci.12931</w:t>
      </w:r>
    </w:p>
    <w:p w14:paraId="21A710C9" w14:textId="77777777" w:rsidR="008A35DC" w:rsidRDefault="00000000">
      <w:pPr>
        <w:spacing w:after="80" w:line="276" w:lineRule="auto"/>
        <w:ind w:left="720" w:hanging="720"/>
      </w:pPr>
      <w:r>
        <w:rPr>
          <w:sz w:val="22"/>
        </w:rPr>
        <w:t xml:space="preserve">Hahladakis, J. N., Velis, C. A., Weber, R., Iacovidou, E., &amp; Purnell, P. (2018). An overview of chemical additives present in plastics: Migration, release, fate and environmental impact during their use, disposal and recycling. </w:t>
      </w:r>
      <w:r>
        <w:rPr>
          <w:i/>
          <w:sz w:val="22"/>
        </w:rPr>
        <w:t>Journal of Hazardous Materials, 344</w:t>
      </w:r>
      <w:r>
        <w:rPr>
          <w:sz w:val="22"/>
        </w:rPr>
        <w:t>, 179–199. https://doi.org/10.1016/j.jhazmat.2017.10.014</w:t>
      </w:r>
    </w:p>
    <w:p w14:paraId="213BBAB3" w14:textId="77777777" w:rsidR="008A35DC" w:rsidRDefault="00000000">
      <w:pPr>
        <w:spacing w:after="80" w:line="276" w:lineRule="auto"/>
        <w:ind w:left="720" w:hanging="720"/>
      </w:pPr>
      <w:r>
        <w:rPr>
          <w:sz w:val="22"/>
        </w:rPr>
        <w:t xml:space="preserve">Hartley, B. L., Pahl, S., Veiga, J., Vlachogianni, T., Vasconcelos, L., Maes, T., Doyle, T., d'Arcy Metcalfe, R., Öztürk, A. A., Di Berardo, M., &amp; Thompson, R. C. (2018). Exploring public views on marine litter in Europe: Perceived causes, consequences and pathways to change. </w:t>
      </w:r>
      <w:r>
        <w:rPr>
          <w:i/>
          <w:sz w:val="22"/>
        </w:rPr>
        <w:t>Marine Pollution Bulletin, 133</w:t>
      </w:r>
      <w:r>
        <w:rPr>
          <w:sz w:val="22"/>
        </w:rPr>
        <w:t>, 945–955. https://doi.org/10.1016/j.marpolbul.2018.05.061</w:t>
      </w:r>
    </w:p>
    <w:p w14:paraId="0B762A0A" w14:textId="77777777" w:rsidR="008A35DC" w:rsidRDefault="00000000">
      <w:pPr>
        <w:spacing w:after="80" w:line="276" w:lineRule="auto"/>
        <w:ind w:left="720" w:hanging="720"/>
      </w:pPr>
      <w:r>
        <w:rPr>
          <w:sz w:val="22"/>
        </w:rPr>
        <w:t xml:space="preserve">Hartley, B. L., Thompson, R. C., &amp; Pahl, S. (2015). Marine litter education boosts children's understanding and self-reported actions. </w:t>
      </w:r>
      <w:r>
        <w:rPr>
          <w:i/>
          <w:sz w:val="22"/>
        </w:rPr>
        <w:t>Marine Pollution Bulletin, 90</w:t>
      </w:r>
      <w:r>
        <w:rPr>
          <w:sz w:val="22"/>
        </w:rPr>
        <w:t>(1–2), 209–217. https://doi.org/10.1016/j.marpolbul.2014.10.049</w:t>
      </w:r>
    </w:p>
    <w:p w14:paraId="4F378046" w14:textId="77777777" w:rsidR="008A35DC" w:rsidRDefault="00000000">
      <w:pPr>
        <w:spacing w:after="80" w:line="276" w:lineRule="auto"/>
        <w:ind w:left="720" w:hanging="720"/>
      </w:pPr>
      <w:r>
        <w:rPr>
          <w:sz w:val="22"/>
        </w:rPr>
        <w:t xml:space="preserve">Heidbreder, L. M., Bablok, I., Drews, S., &amp; Menzel, C. (2019). Tackling the plastic problem: A review on perceptions, behaviors, and interventions. </w:t>
      </w:r>
      <w:r>
        <w:rPr>
          <w:i/>
          <w:sz w:val="22"/>
        </w:rPr>
        <w:t>Science of the Total Environment, 668</w:t>
      </w:r>
      <w:r>
        <w:rPr>
          <w:sz w:val="22"/>
        </w:rPr>
        <w:t>, 1077–1093. https://doi.org/10.1016/j.scitotenv.2019.02.437</w:t>
      </w:r>
    </w:p>
    <w:p w14:paraId="1F40D194" w14:textId="77777777" w:rsidR="008A35DC" w:rsidRDefault="00000000">
      <w:pPr>
        <w:spacing w:after="80" w:line="276" w:lineRule="auto"/>
        <w:ind w:left="720" w:hanging="720"/>
      </w:pPr>
      <w:r>
        <w:rPr>
          <w:sz w:val="22"/>
        </w:rPr>
        <w:t xml:space="preserve">Helmberger, M. S., Miesel, J. R., Tiemann, L. K., &amp; Grieshop, M. J. (2022). Soil invertebrates generate microplastics from polystyrene foam debris. </w:t>
      </w:r>
      <w:r>
        <w:rPr>
          <w:i/>
          <w:sz w:val="22"/>
        </w:rPr>
        <w:t>Journal of Insect Science, 22</w:t>
      </w:r>
      <w:r>
        <w:rPr>
          <w:sz w:val="22"/>
        </w:rPr>
        <w:t>(1), Article 21. https://doi.org/10.1093/jisesa/ieac005</w:t>
      </w:r>
    </w:p>
    <w:p w14:paraId="14B4CD92" w14:textId="77777777" w:rsidR="008A35DC" w:rsidRDefault="00000000">
      <w:pPr>
        <w:spacing w:after="80" w:line="276" w:lineRule="auto"/>
        <w:ind w:left="720" w:hanging="720"/>
      </w:pPr>
      <w:r>
        <w:rPr>
          <w:sz w:val="22"/>
        </w:rPr>
        <w:t xml:space="preserve">Hmelo-Silver, C. E., &amp; Azevedo, R. (2006). Understanding complex systems: Some core challenges. </w:t>
      </w:r>
      <w:r>
        <w:rPr>
          <w:i/>
          <w:sz w:val="22"/>
        </w:rPr>
        <w:t>Journal of the Learning Sciences, 15</w:t>
      </w:r>
      <w:r>
        <w:rPr>
          <w:sz w:val="22"/>
        </w:rPr>
        <w:t>(1), 53–61. https://doi.org/10.1207/s15327809jls1501_7</w:t>
      </w:r>
    </w:p>
    <w:p w14:paraId="773F135B" w14:textId="77777777" w:rsidR="008A35DC" w:rsidRDefault="00000000">
      <w:pPr>
        <w:spacing w:after="80" w:line="276" w:lineRule="auto"/>
        <w:ind w:left="720" w:hanging="720"/>
      </w:pPr>
      <w:r>
        <w:rPr>
          <w:sz w:val="22"/>
        </w:rPr>
        <w:t xml:space="preserve">Hogan, S., &amp; Urban-Rich, J. (2025). Increasing knowledge and awareness of microplastic pollution in United States middle school students in a hybrid-classroom setting through science education. </w:t>
      </w:r>
      <w:r>
        <w:rPr>
          <w:i/>
          <w:sz w:val="22"/>
        </w:rPr>
        <w:t>Journal of Geoscience Education, 73</w:t>
      </w:r>
      <w:r>
        <w:rPr>
          <w:sz w:val="22"/>
        </w:rPr>
        <w:t>(1), 16–27. https://doi.org/10.1080/10899995.2024.2333725</w:t>
      </w:r>
    </w:p>
    <w:p w14:paraId="49D6888A" w14:textId="77777777" w:rsidR="008A35DC" w:rsidRDefault="00000000">
      <w:pPr>
        <w:spacing w:after="80" w:line="276" w:lineRule="auto"/>
        <w:ind w:left="720" w:hanging="720"/>
      </w:pPr>
      <w:r>
        <w:rPr>
          <w:sz w:val="22"/>
        </w:rPr>
        <w:t xml:space="preserve">Jaakkola, E. (2020). Designing conceptual articles: Four approaches. </w:t>
      </w:r>
      <w:r>
        <w:rPr>
          <w:i/>
          <w:sz w:val="22"/>
        </w:rPr>
        <w:t>AMS Review, 10</w:t>
      </w:r>
      <w:r>
        <w:rPr>
          <w:sz w:val="22"/>
        </w:rPr>
        <w:t>(1–2), 18–26. https://doi.org/10.1007/s13162-020-00161-0</w:t>
      </w:r>
    </w:p>
    <w:p w14:paraId="4640E0FC" w14:textId="77777777" w:rsidR="008A35DC" w:rsidRDefault="00000000">
      <w:pPr>
        <w:spacing w:after="80" w:line="276" w:lineRule="auto"/>
        <w:ind w:left="720" w:hanging="720"/>
      </w:pPr>
      <w:r>
        <w:rPr>
          <w:sz w:val="22"/>
        </w:rPr>
        <w:lastRenderedPageBreak/>
        <w:t xml:space="preserve">Jambeck, J. R., Geyer, R., Wilcox, C., Siegler, T. R., Perryman, M., Andrady, A., Narayan, R., &amp; Law, K. L. (2015). Plastic waste inputs from land into the ocean. </w:t>
      </w:r>
      <w:r>
        <w:rPr>
          <w:i/>
          <w:sz w:val="22"/>
        </w:rPr>
        <w:t>Science, 347</w:t>
      </w:r>
      <w:r>
        <w:rPr>
          <w:sz w:val="22"/>
        </w:rPr>
        <w:t>(6223), 768–771. https://doi.org/10.1126/science.1260352</w:t>
      </w:r>
    </w:p>
    <w:p w14:paraId="42040EFF" w14:textId="77777777" w:rsidR="008A35DC" w:rsidRDefault="00000000">
      <w:pPr>
        <w:spacing w:after="80" w:line="276" w:lineRule="auto"/>
        <w:ind w:left="720" w:hanging="720"/>
      </w:pPr>
      <w:r>
        <w:rPr>
          <w:sz w:val="22"/>
        </w:rPr>
        <w:t xml:space="preserve">Jang, M., Shim, W. J., Han, G. M., Rani, M., Song, Y. K., &amp; Hong, S. H. (2016). Styrofoam debris as a source of hazardous additives for marine organisms. </w:t>
      </w:r>
      <w:r>
        <w:rPr>
          <w:i/>
          <w:sz w:val="22"/>
        </w:rPr>
        <w:t>Environmental Science &amp; Technology, 50</w:t>
      </w:r>
      <w:r>
        <w:rPr>
          <w:sz w:val="22"/>
        </w:rPr>
        <w:t>(10), 4951–4960. https://doi.org/10.1021/acs.est.5b05485</w:t>
      </w:r>
    </w:p>
    <w:p w14:paraId="30C0123F" w14:textId="77777777" w:rsidR="008A35DC" w:rsidRDefault="00000000">
      <w:pPr>
        <w:spacing w:after="80" w:line="276" w:lineRule="auto"/>
        <w:ind w:left="720" w:hanging="720"/>
      </w:pPr>
      <w:r>
        <w:rPr>
          <w:sz w:val="22"/>
        </w:rPr>
        <w:t xml:space="preserve">Jang, M., Shim, W. J., Han, G. M., Rani, M., Song, Y. K., &amp; Hong, S. H. (2017). Widespread detection of a brominated flame retardant, hexabromocyclododecane, in expanded polystyrene marine debris and microplastics from South Korea and the Asia-Pacific coastal region. </w:t>
      </w:r>
      <w:r>
        <w:rPr>
          <w:i/>
          <w:sz w:val="22"/>
        </w:rPr>
        <w:t>Environmental Pollution, 231</w:t>
      </w:r>
      <w:r>
        <w:rPr>
          <w:sz w:val="22"/>
        </w:rPr>
        <w:t>, 785–794. https://doi.org/10.1016/j.envpol.2017.08.066</w:t>
      </w:r>
    </w:p>
    <w:p w14:paraId="5388CAE9" w14:textId="77777777" w:rsidR="008A35DC" w:rsidRDefault="00000000">
      <w:pPr>
        <w:spacing w:after="80" w:line="276" w:lineRule="auto"/>
        <w:ind w:left="720" w:hanging="720"/>
      </w:pPr>
      <w:r>
        <w:rPr>
          <w:sz w:val="22"/>
        </w:rPr>
        <w:t xml:space="preserve">Jensen, B. B., &amp; Schnack, K. (1997). The action competence approach in environmental education. </w:t>
      </w:r>
      <w:r>
        <w:rPr>
          <w:i/>
          <w:sz w:val="22"/>
        </w:rPr>
        <w:t>Environmental Education Research, 3</w:t>
      </w:r>
      <w:r>
        <w:rPr>
          <w:sz w:val="22"/>
        </w:rPr>
        <w:t>(2), 163–178. https://doi.org/10.1080/1350462970030205</w:t>
      </w:r>
    </w:p>
    <w:p w14:paraId="41DD262F" w14:textId="77777777" w:rsidR="008A35DC" w:rsidRDefault="00000000">
      <w:pPr>
        <w:spacing w:after="80" w:line="276" w:lineRule="auto"/>
        <w:ind w:left="720" w:hanging="720"/>
      </w:pPr>
      <w:r>
        <w:rPr>
          <w:sz w:val="22"/>
        </w:rPr>
        <w:t xml:space="preserve">Juntunen, M. K., &amp; Aksela, M. K. (2014). Improving students' argumentation skills through a product life-cycle analysis project in chemistry education. </w:t>
      </w:r>
      <w:r>
        <w:rPr>
          <w:i/>
          <w:sz w:val="22"/>
        </w:rPr>
        <w:t>Chemistry Education Research and Practice, 15</w:t>
      </w:r>
      <w:r>
        <w:rPr>
          <w:sz w:val="22"/>
        </w:rPr>
        <w:t>(4), 639–649. https://doi.org/10.1039/c4rp00068d</w:t>
      </w:r>
    </w:p>
    <w:p w14:paraId="5C0EB53C" w14:textId="77777777" w:rsidR="008A35DC" w:rsidRDefault="00000000">
      <w:pPr>
        <w:spacing w:after="80" w:line="276" w:lineRule="auto"/>
        <w:ind w:left="720" w:hanging="720"/>
      </w:pPr>
      <w:r>
        <w:rPr>
          <w:sz w:val="22"/>
        </w:rPr>
        <w:t xml:space="preserve">Kiessling, T., Knickmeier, K., Kruse, K., Brennecke, D., Nauendorf, A., &amp; Thiel, M. (2019). Plastic Pirates sample litter at rivers in Germany – Riverside litter and litter sources estimated by schoolchildren. </w:t>
      </w:r>
      <w:r>
        <w:rPr>
          <w:i/>
          <w:sz w:val="22"/>
        </w:rPr>
        <w:t>Environmental Pollution, 245</w:t>
      </w:r>
      <w:r>
        <w:rPr>
          <w:sz w:val="22"/>
        </w:rPr>
        <w:t>, 545–557. https://doi.org/10.1016/j.envpol.2018.11.025</w:t>
      </w:r>
    </w:p>
    <w:p w14:paraId="3B4BA8AC" w14:textId="77777777" w:rsidR="008A35DC" w:rsidRDefault="00000000">
      <w:pPr>
        <w:spacing w:after="80" w:line="276" w:lineRule="auto"/>
        <w:ind w:left="720" w:hanging="720"/>
      </w:pPr>
      <w:r>
        <w:rPr>
          <w:sz w:val="22"/>
        </w:rPr>
        <w:t xml:space="preserve">Kirchherr, J., &amp; Piscicelli, L. (2019). Towards an education for the circular economy (ECE): Five teaching principles and a case study. </w:t>
      </w:r>
      <w:r>
        <w:rPr>
          <w:i/>
          <w:sz w:val="22"/>
        </w:rPr>
        <w:t>Resources, Conservation and Recycling, 150</w:t>
      </w:r>
      <w:r>
        <w:rPr>
          <w:sz w:val="22"/>
        </w:rPr>
        <w:t>, Article 104406. https://doi.org/10.1016/j.resconrec.2019.104406</w:t>
      </w:r>
    </w:p>
    <w:p w14:paraId="60929B36" w14:textId="77777777" w:rsidR="008A35DC" w:rsidRDefault="00000000">
      <w:pPr>
        <w:spacing w:after="80" w:line="276" w:lineRule="auto"/>
        <w:ind w:left="720" w:hanging="720"/>
      </w:pPr>
      <w:r>
        <w:rPr>
          <w:sz w:val="22"/>
        </w:rPr>
        <w:t xml:space="preserve">Kogevinas, M., Gwinn, W. M., Kriebel, D., Phillips, D. H., Sim, M., Bertke, S. J., Calaf, G. M., Colosio, C., Fritz, J. M., Fukushima, S., Hemminki, K., Jensen, A. A., Kolstad, H., Mráz, J., Nesnow, S., Nylander-French, L. A., Parent, M.-E., Sandy, M., Smith-Roe, S. L., . . . Straif, K. (2018). Carcinogenicity of quinoline, styrene, and styrene-7,8-oxide. </w:t>
      </w:r>
      <w:r>
        <w:rPr>
          <w:i/>
          <w:sz w:val="22"/>
        </w:rPr>
        <w:t>The Lancet Oncology, 19</w:t>
      </w:r>
      <w:r>
        <w:rPr>
          <w:sz w:val="22"/>
        </w:rPr>
        <w:t>(6), 728–729. https://doi.org/10.1016/S1470-2045(18)30316-4</w:t>
      </w:r>
    </w:p>
    <w:p w14:paraId="73594074" w14:textId="77777777" w:rsidR="008A35DC" w:rsidRDefault="00000000">
      <w:pPr>
        <w:spacing w:after="80" w:line="276" w:lineRule="auto"/>
        <w:ind w:left="720" w:hanging="720"/>
      </w:pPr>
      <w:r>
        <w:rPr>
          <w:sz w:val="22"/>
        </w:rPr>
        <w:t xml:space="preserve">Kollmuss, A., &amp; Agyeman, J. (2002). Mind the gap: Why do people act environmentally and what are the barriers to pro-environmental behavior? </w:t>
      </w:r>
      <w:r>
        <w:rPr>
          <w:i/>
          <w:sz w:val="22"/>
        </w:rPr>
        <w:t>Environmental Education Research, 8</w:t>
      </w:r>
      <w:r>
        <w:rPr>
          <w:sz w:val="22"/>
        </w:rPr>
        <w:t>(3), 239–260. https://doi.org/10.1080/13504620220145401</w:t>
      </w:r>
    </w:p>
    <w:p w14:paraId="420A9A2D" w14:textId="77777777" w:rsidR="008A35DC" w:rsidRDefault="00000000">
      <w:pPr>
        <w:spacing w:after="80" w:line="276" w:lineRule="auto"/>
        <w:ind w:left="720" w:hanging="720"/>
      </w:pPr>
      <w:r>
        <w:rPr>
          <w:sz w:val="22"/>
        </w:rPr>
        <w:t xml:space="preserve">Lau, W. W. Y., Shiran, Y., Bailey, R. M., Cook, E., Stuchtey, M. R., Koskella, J., Velis, C. A., Godfrey, L., Boucher, J., Murphy, M. B., Thompson, R. C., Jankowska, E., Castillo Castillo, A., Pilditch, T. D., Dixon, B., Koerselman, L., Kosior, E., Favoino, E., Gutberlet, J., . . . Palardy, J. E. (2020). Evaluating scenarios toward zero plastic pollution. </w:t>
      </w:r>
      <w:r>
        <w:rPr>
          <w:i/>
          <w:sz w:val="22"/>
        </w:rPr>
        <w:t>Science, 369</w:t>
      </w:r>
      <w:r>
        <w:rPr>
          <w:sz w:val="22"/>
        </w:rPr>
        <w:t>(6510), 1455–1461. https://doi.org/10.1126/science.aba9475</w:t>
      </w:r>
    </w:p>
    <w:p w14:paraId="2BC989E3" w14:textId="77777777" w:rsidR="008A35DC" w:rsidRDefault="00000000">
      <w:pPr>
        <w:spacing w:after="80" w:line="276" w:lineRule="auto"/>
        <w:ind w:left="720" w:hanging="720"/>
      </w:pPr>
      <w:r>
        <w:rPr>
          <w:sz w:val="22"/>
        </w:rPr>
        <w:t xml:space="preserve">Lee, J., Hong, S., Jang, Y. C., Lee, M. J., Kang, D., &amp; Shim, W. J. (2015). Finding solutions for the styrofoam buoy debris problem through participatory workshops. </w:t>
      </w:r>
      <w:r>
        <w:rPr>
          <w:i/>
          <w:sz w:val="22"/>
        </w:rPr>
        <w:t>Marine Policy, 51</w:t>
      </w:r>
      <w:r>
        <w:rPr>
          <w:sz w:val="22"/>
        </w:rPr>
        <w:t>, 182–189. https://doi.org/10.1016/j.marpol.2014.08.008</w:t>
      </w:r>
    </w:p>
    <w:p w14:paraId="6DBBA5A0" w14:textId="77777777" w:rsidR="008A35DC" w:rsidRDefault="00000000">
      <w:pPr>
        <w:spacing w:after="80" w:line="276" w:lineRule="auto"/>
        <w:ind w:left="720" w:hanging="720"/>
      </w:pPr>
      <w:r>
        <w:rPr>
          <w:sz w:val="22"/>
        </w:rPr>
        <w:t xml:space="preserve">Lin, Q.-B., Song, X.-C., Fang, H., Wu, Y.-M., &amp; Wang, Z.-W. (2017). Migration of styrene and ethylbenzene from virgin and recycled expanded polystyrene containers and discrimination of these two kinds of polystyrene by principal component analysis. </w:t>
      </w:r>
      <w:r>
        <w:rPr>
          <w:i/>
          <w:sz w:val="22"/>
        </w:rPr>
        <w:t>Food Additives &amp; Contaminants: Part A, 34</w:t>
      </w:r>
      <w:r>
        <w:rPr>
          <w:sz w:val="22"/>
        </w:rPr>
        <w:t>(1), 126–132. https://doi.org/10.1080/19440049.2016.1253875</w:t>
      </w:r>
    </w:p>
    <w:p w14:paraId="52CDD4FF" w14:textId="77777777" w:rsidR="008A35DC" w:rsidRDefault="00000000">
      <w:pPr>
        <w:spacing w:after="80" w:line="276" w:lineRule="auto"/>
        <w:ind w:left="720" w:hanging="720"/>
      </w:pPr>
      <w:r>
        <w:rPr>
          <w:sz w:val="22"/>
        </w:rPr>
        <w:t xml:space="preserve">MacLeod, M., Arp, H. P. H., Tekman, M. B., &amp; Jahnke, A. (2021). The global threat from plastic pollution. </w:t>
      </w:r>
      <w:r>
        <w:rPr>
          <w:i/>
          <w:sz w:val="22"/>
        </w:rPr>
        <w:t>Science, 373</w:t>
      </w:r>
      <w:r>
        <w:rPr>
          <w:sz w:val="22"/>
        </w:rPr>
        <w:t>(6550), 61–65. https://doi.org/10.1126/science.abg5433</w:t>
      </w:r>
    </w:p>
    <w:p w14:paraId="3D712DCD" w14:textId="77777777" w:rsidR="008A35DC" w:rsidRDefault="00000000">
      <w:pPr>
        <w:spacing w:after="80" w:line="276" w:lineRule="auto"/>
        <w:ind w:left="720" w:hanging="720"/>
      </w:pPr>
      <w:r>
        <w:rPr>
          <w:sz w:val="22"/>
        </w:rPr>
        <w:lastRenderedPageBreak/>
        <w:t xml:space="preserve">Mahaffy, P. G., Krief, A., Hopf, H., Mehta, G., &amp; Matlin, S. A. (2018). Reorienting chemistry education through systems thinking. </w:t>
      </w:r>
      <w:r>
        <w:rPr>
          <w:i/>
          <w:sz w:val="22"/>
        </w:rPr>
        <w:t>Nature Reviews Chemistry, 2</w:t>
      </w:r>
      <w:r>
        <w:rPr>
          <w:sz w:val="22"/>
        </w:rPr>
        <w:t>(4), Article 0126. https://doi.org/10.1038/s41570-018-0126</w:t>
      </w:r>
    </w:p>
    <w:p w14:paraId="39F6F248" w14:textId="77777777" w:rsidR="008A35DC" w:rsidRDefault="00000000">
      <w:pPr>
        <w:spacing w:after="80" w:line="276" w:lineRule="auto"/>
        <w:ind w:left="720" w:hanging="720"/>
      </w:pPr>
      <w:r>
        <w:rPr>
          <w:sz w:val="22"/>
        </w:rPr>
        <w:t xml:space="preserve">Maharana, T., Negi, Y. S., &amp; Mohanty, B. (2007). Review article: Recycling of polystyrene. </w:t>
      </w:r>
      <w:r>
        <w:rPr>
          <w:i/>
          <w:sz w:val="22"/>
        </w:rPr>
        <w:t>Polymer-Plastics Technology and Engineering, 46</w:t>
      </w:r>
      <w:r>
        <w:rPr>
          <w:sz w:val="22"/>
        </w:rPr>
        <w:t>(7), 729–736. https://doi.org/10.1080/03602550701273963</w:t>
      </w:r>
    </w:p>
    <w:p w14:paraId="51B981B5" w14:textId="77777777" w:rsidR="008A35DC" w:rsidRDefault="00000000">
      <w:pPr>
        <w:spacing w:after="80" w:line="276" w:lineRule="auto"/>
        <w:ind w:left="720" w:hanging="720"/>
      </w:pPr>
      <w:r>
        <w:rPr>
          <w:sz w:val="22"/>
        </w:rPr>
        <w:t xml:space="preserve">Mattsson, K., Johnson, E. V., Malmendal, A., Linse, S., Hansson, L.-A., &amp; Cedervall, T. (2017). Brain damage and behavioural disorders in fish induced by plastic nanoparticles delivered through the food chain. </w:t>
      </w:r>
      <w:r>
        <w:rPr>
          <w:i/>
          <w:sz w:val="22"/>
        </w:rPr>
        <w:t>Scientific Reports, 7</w:t>
      </w:r>
      <w:r>
        <w:rPr>
          <w:sz w:val="22"/>
        </w:rPr>
        <w:t>, Article 11452. https://doi.org/10.1038/s41598-017-10813-0</w:t>
      </w:r>
    </w:p>
    <w:p w14:paraId="54B1D684" w14:textId="77777777" w:rsidR="008A35DC" w:rsidRDefault="00000000">
      <w:pPr>
        <w:spacing w:after="80" w:line="276" w:lineRule="auto"/>
        <w:ind w:left="720" w:hanging="720"/>
      </w:pPr>
      <w:r>
        <w:rPr>
          <w:sz w:val="22"/>
        </w:rPr>
        <w:t xml:space="preserve">Mogren, A., Gericke, N., &amp; Scherp, H.-Å. (2019). Whole school approaches to education for sustainable development: A model that links to school improvement. </w:t>
      </w:r>
      <w:r>
        <w:rPr>
          <w:i/>
          <w:sz w:val="22"/>
        </w:rPr>
        <w:t>Environmental Education Research, 25</w:t>
      </w:r>
      <w:r>
        <w:rPr>
          <w:sz w:val="22"/>
        </w:rPr>
        <w:t>(4), 508–531. https://doi.org/10.1080/13504622.2018.1455074</w:t>
      </w:r>
    </w:p>
    <w:p w14:paraId="457F7705" w14:textId="77777777" w:rsidR="008A35DC" w:rsidRDefault="00000000">
      <w:pPr>
        <w:spacing w:after="80" w:line="276" w:lineRule="auto"/>
        <w:ind w:left="720" w:hanging="720"/>
      </w:pPr>
      <w:r>
        <w:rPr>
          <w:sz w:val="22"/>
        </w:rPr>
        <w:t xml:space="preserve">Nuojua, S., Cracknell, D., Heske, A., Pahl, S., Wyles, K. J., &amp; Thompson, R. C. (2024). Global scoping review of behavioral interventions to reduce plastic pollution with recommendations for key sectors. </w:t>
      </w:r>
      <w:r>
        <w:rPr>
          <w:i/>
          <w:sz w:val="22"/>
        </w:rPr>
        <w:t>Conservation Science and Practice, 6</w:t>
      </w:r>
      <w:r>
        <w:rPr>
          <w:sz w:val="22"/>
        </w:rPr>
        <w:t>(8), Article e13174. https://doi.org/10.1111/csp2.13174</w:t>
      </w:r>
    </w:p>
    <w:p w14:paraId="4605D854" w14:textId="77777777" w:rsidR="008A35DC" w:rsidRDefault="00000000">
      <w:pPr>
        <w:spacing w:after="80" w:line="276" w:lineRule="auto"/>
        <w:ind w:left="720" w:hanging="720"/>
      </w:pPr>
      <w:r>
        <w:rPr>
          <w:sz w:val="22"/>
        </w:rPr>
        <w:t xml:space="preserve">Olsson, D., Gericke, N., &amp; Boeve-de Pauw, J. (2022). The effectiveness of education for sustainable development revisited – a longitudinal study on secondary students' action competence for sustainability. </w:t>
      </w:r>
      <w:r>
        <w:rPr>
          <w:i/>
          <w:sz w:val="22"/>
        </w:rPr>
        <w:t>Environmental Education Research, 28</w:t>
      </w:r>
      <w:r>
        <w:rPr>
          <w:sz w:val="22"/>
        </w:rPr>
        <w:t>(3), 405–429. https://doi.org/10.1080/13504622.2022.2033170</w:t>
      </w:r>
    </w:p>
    <w:p w14:paraId="6948DC5D" w14:textId="77777777" w:rsidR="008A35DC" w:rsidRDefault="00000000">
      <w:pPr>
        <w:spacing w:after="80" w:line="276" w:lineRule="auto"/>
        <w:ind w:left="720" w:hanging="720"/>
      </w:pPr>
      <w:r>
        <w:rPr>
          <w:sz w:val="22"/>
        </w:rPr>
        <w:t xml:space="preserve">Organisation for Economic Co-operation and Development. (2022). </w:t>
      </w:r>
      <w:r>
        <w:rPr>
          <w:i/>
          <w:sz w:val="22"/>
        </w:rPr>
        <w:t>Global plastics outlook: Economic drivers, environmental impacts and policy options</w:t>
      </w:r>
      <w:r>
        <w:rPr>
          <w:sz w:val="22"/>
        </w:rPr>
        <w:t>. OECD Publishing. https://doi.org/10.1787/de747aef-en</w:t>
      </w:r>
    </w:p>
    <w:p w14:paraId="2B3AD16D" w14:textId="77777777" w:rsidR="008A35DC" w:rsidRDefault="00000000">
      <w:pPr>
        <w:spacing w:after="80" w:line="276" w:lineRule="auto"/>
        <w:ind w:left="720" w:hanging="720"/>
      </w:pPr>
      <w:r>
        <w:rPr>
          <w:sz w:val="22"/>
        </w:rPr>
        <w:t xml:space="preserve">Otto, S., &amp; Pensini, P. (2017). Nature-based environmental education of children: Environmental knowledge and connectedness to nature, together, are related to ecological behaviour. </w:t>
      </w:r>
      <w:r>
        <w:rPr>
          <w:i/>
          <w:sz w:val="22"/>
        </w:rPr>
        <w:t>Global Environmental Change, 47</w:t>
      </w:r>
      <w:r>
        <w:rPr>
          <w:sz w:val="22"/>
        </w:rPr>
        <w:t>, 88–94. https://doi.org/10.1016/j.gloenvcha.2017.09.009</w:t>
      </w:r>
    </w:p>
    <w:p w14:paraId="0A80FCD2" w14:textId="77777777" w:rsidR="008A35DC" w:rsidRDefault="00000000">
      <w:pPr>
        <w:spacing w:after="80" w:line="276" w:lineRule="auto"/>
        <w:ind w:left="720" w:hanging="720"/>
      </w:pPr>
      <w:r>
        <w:rPr>
          <w:sz w:val="22"/>
        </w:rPr>
        <w:t xml:space="preserve">Pahl, S., Wyles, K. J., &amp; Thompson, R. C. (2017). Channelling passion for the ocean towards plastic pollution. </w:t>
      </w:r>
      <w:r>
        <w:rPr>
          <w:i/>
          <w:sz w:val="22"/>
        </w:rPr>
        <w:t>Nature Human Behaviour, 1</w:t>
      </w:r>
      <w:r>
        <w:rPr>
          <w:sz w:val="22"/>
        </w:rPr>
        <w:t>(10), 697–699. https://doi.org/10.1038/s41562-017-0204-4</w:t>
      </w:r>
    </w:p>
    <w:p w14:paraId="116FBCF0" w14:textId="77777777" w:rsidR="008A35DC" w:rsidRDefault="00000000">
      <w:pPr>
        <w:spacing w:after="80" w:line="276" w:lineRule="auto"/>
        <w:ind w:left="720" w:hanging="720"/>
      </w:pPr>
      <w:r>
        <w:rPr>
          <w:sz w:val="22"/>
        </w:rPr>
        <w:t>Peng, B.-Y., Su, Y., Chen, Z., Chen, J., Zhou, X., Benbow, M. E., Criddle, C. S., Wu, W.-M., &amp; Zhang, Y. (2019). Biodegradation of polystyrene by dark (</w:t>
      </w:r>
      <w:r>
        <w:rPr>
          <w:i/>
          <w:sz w:val="22"/>
        </w:rPr>
        <w:t>Tenebrio obscurus</w:t>
      </w:r>
      <w:r>
        <w:rPr>
          <w:sz w:val="22"/>
        </w:rPr>
        <w:t>) and yellow (</w:t>
      </w:r>
      <w:r>
        <w:rPr>
          <w:i/>
          <w:sz w:val="22"/>
        </w:rPr>
        <w:t>Tenebrio molitor</w:t>
      </w:r>
      <w:r>
        <w:rPr>
          <w:sz w:val="22"/>
        </w:rPr>
        <w:t xml:space="preserve">) mealworms (Coleoptera: Tenebrionidae). </w:t>
      </w:r>
      <w:r>
        <w:rPr>
          <w:i/>
          <w:sz w:val="22"/>
        </w:rPr>
        <w:t>Environmental Science &amp; Technology, 53</w:t>
      </w:r>
      <w:r>
        <w:rPr>
          <w:sz w:val="22"/>
        </w:rPr>
        <w:t>(9), 5256–5265. https://doi.org/10.1021/acs.est.8b06963</w:t>
      </w:r>
    </w:p>
    <w:p w14:paraId="06B002F5" w14:textId="77777777" w:rsidR="008A35DC" w:rsidRDefault="00000000">
      <w:pPr>
        <w:spacing w:after="80" w:line="276" w:lineRule="auto"/>
        <w:ind w:left="720" w:hanging="720"/>
      </w:pPr>
      <w:r>
        <w:rPr>
          <w:sz w:val="22"/>
        </w:rPr>
        <w:t>Peng, B.-Y., Xu, Y., Zhou, X., Wu, W.-M., &amp; Zhang, Y. (2024). Generation and fate of nanoplastics in the intestine of plastic-degrading insect (</w:t>
      </w:r>
      <w:r>
        <w:rPr>
          <w:i/>
          <w:sz w:val="22"/>
        </w:rPr>
        <w:t>Tenebrio molitor</w:t>
      </w:r>
      <w:r>
        <w:rPr>
          <w:sz w:val="22"/>
        </w:rPr>
        <w:t xml:space="preserve"> larvae) during polystyrene microplastic biodegradation. </w:t>
      </w:r>
      <w:r>
        <w:rPr>
          <w:i/>
          <w:sz w:val="22"/>
        </w:rPr>
        <w:t>Environmental Science &amp; Technology, 58</w:t>
      </w:r>
      <w:r>
        <w:rPr>
          <w:sz w:val="22"/>
        </w:rPr>
        <w:t>(23), 10368–10377. https://doi.org/10.1021/acs.est.4c01130</w:t>
      </w:r>
    </w:p>
    <w:p w14:paraId="296E1439" w14:textId="77777777" w:rsidR="008A35DC" w:rsidRDefault="00000000">
      <w:pPr>
        <w:spacing w:after="80" w:line="276" w:lineRule="auto"/>
        <w:ind w:left="720" w:hanging="720"/>
      </w:pPr>
      <w:r>
        <w:rPr>
          <w:sz w:val="22"/>
        </w:rPr>
        <w:t xml:space="preserve">Raab, P., &amp; Bogner, F. X. (2020). Microplastics in the environment: Raising awareness in primary education. </w:t>
      </w:r>
      <w:r>
        <w:rPr>
          <w:i/>
          <w:sz w:val="22"/>
        </w:rPr>
        <w:t>The American Biology Teacher, 82</w:t>
      </w:r>
      <w:r>
        <w:rPr>
          <w:sz w:val="22"/>
        </w:rPr>
        <w:t>(7), 478–487. https://doi.org/10.1525/abt.2020.82.7.478</w:t>
      </w:r>
    </w:p>
    <w:p w14:paraId="7F0A906A" w14:textId="77777777" w:rsidR="008A35DC" w:rsidRDefault="00000000">
      <w:pPr>
        <w:spacing w:after="80" w:line="276" w:lineRule="auto"/>
        <w:ind w:left="720" w:hanging="720"/>
      </w:pPr>
      <w:r>
        <w:rPr>
          <w:sz w:val="22"/>
        </w:rPr>
        <w:t xml:space="preserve">Raab, P., &amp; Bogner, F. X. (2021). Knowledge acquisition and environmental values in a microplastic learning module: Does the learning environment matter? </w:t>
      </w:r>
      <w:r>
        <w:rPr>
          <w:i/>
          <w:sz w:val="22"/>
        </w:rPr>
        <w:t>Studies in Educational Evaluation, 71</w:t>
      </w:r>
      <w:r>
        <w:rPr>
          <w:sz w:val="22"/>
        </w:rPr>
        <w:t>, Article 101091. https://doi.org/10.1016/j.stueduc.2021.101091</w:t>
      </w:r>
    </w:p>
    <w:p w14:paraId="53533E2C" w14:textId="77777777" w:rsidR="008A35DC" w:rsidRDefault="00000000">
      <w:pPr>
        <w:spacing w:after="80" w:line="276" w:lineRule="auto"/>
        <w:ind w:left="720" w:hanging="720"/>
      </w:pPr>
      <w:r>
        <w:rPr>
          <w:sz w:val="22"/>
        </w:rPr>
        <w:t xml:space="preserve">Rose, C. M., Adams, J. M., Hinchey, E. K., Nestlerode, J. A., &amp; Patterson, M. R. (2013). The incredible shrinking cup lab: Connecting with ocean and Great Lakes scientists to investigate the effect of </w:t>
      </w:r>
      <w:r>
        <w:rPr>
          <w:sz w:val="22"/>
        </w:rPr>
        <w:lastRenderedPageBreak/>
        <w:t xml:space="preserve">depth and water pressure on polystyrene. </w:t>
      </w:r>
      <w:r>
        <w:rPr>
          <w:i/>
          <w:sz w:val="22"/>
        </w:rPr>
        <w:t>Science Activities: Classroom Projects and Curriculum Ideas, 50</w:t>
      </w:r>
      <w:r>
        <w:rPr>
          <w:sz w:val="22"/>
        </w:rPr>
        <w:t>(1), 1–8. https://doi.org/10.1080/00368121.2012.727754</w:t>
      </w:r>
    </w:p>
    <w:p w14:paraId="3B850E01" w14:textId="77777777" w:rsidR="008A35DC" w:rsidRDefault="00000000">
      <w:pPr>
        <w:spacing w:after="80" w:line="276" w:lineRule="auto"/>
        <w:ind w:left="720" w:hanging="720"/>
      </w:pPr>
      <w:r>
        <w:rPr>
          <w:sz w:val="22"/>
        </w:rPr>
        <w:t xml:space="preserve">Schnurr, R. E. J., Alboiu, V., Chaudhary, M., Corbett, R. A., Quanz, M. E., Sankar, K., Srain, H. S., Thavarajah, V., Xanthos, D., &amp; Walker, T. R. (2018). Reducing marine pollution from single-use plastics (SUPs): A review. </w:t>
      </w:r>
      <w:r>
        <w:rPr>
          <w:i/>
          <w:sz w:val="22"/>
        </w:rPr>
        <w:t>Marine Pollution Bulletin, 137</w:t>
      </w:r>
      <w:r>
        <w:rPr>
          <w:sz w:val="22"/>
        </w:rPr>
        <w:t>, 157–171. https://doi.org/10.1016/j.marpolbul.2018.10.001</w:t>
      </w:r>
    </w:p>
    <w:p w14:paraId="7A77050A" w14:textId="77777777" w:rsidR="008A35DC" w:rsidRDefault="00000000">
      <w:pPr>
        <w:spacing w:after="80" w:line="276" w:lineRule="auto"/>
        <w:ind w:left="720" w:hanging="720"/>
      </w:pPr>
      <w:r>
        <w:rPr>
          <w:sz w:val="22"/>
        </w:rPr>
        <w:t xml:space="preserve">Soares, J., Miguel, I., Venâncio, C., Lopes, I., &amp; Oliveira, M. (2021). Public views on plastic pollution: Knowledge, perceived impacts, and pro-environmental behaviours. </w:t>
      </w:r>
      <w:r>
        <w:rPr>
          <w:i/>
          <w:sz w:val="22"/>
        </w:rPr>
        <w:t>Journal of Hazardous Materials, 412</w:t>
      </w:r>
      <w:r>
        <w:rPr>
          <w:sz w:val="22"/>
        </w:rPr>
        <w:t>, Article 125227. https://doi.org/10.1016/j.jhazmat.2021.125227</w:t>
      </w:r>
    </w:p>
    <w:p w14:paraId="4309582E" w14:textId="77777777" w:rsidR="008A35DC" w:rsidRDefault="00000000">
      <w:pPr>
        <w:spacing w:after="80" w:line="276" w:lineRule="auto"/>
        <w:ind w:left="720" w:hanging="720"/>
      </w:pPr>
      <w:r>
        <w:rPr>
          <w:sz w:val="22"/>
        </w:rPr>
        <w:t xml:space="preserve">Song, Y. K., Hong, S. H., Jang, M., Han, G. M., Jung, S. W., &amp; Shim, W. J. (2017). Combined effects of UV exposure duration and mechanical abrasion on microplastic fragmentation by polymer type. </w:t>
      </w:r>
      <w:r>
        <w:rPr>
          <w:i/>
          <w:sz w:val="22"/>
        </w:rPr>
        <w:t>Environmental Science &amp; Technology, 51</w:t>
      </w:r>
      <w:r>
        <w:rPr>
          <w:sz w:val="22"/>
        </w:rPr>
        <w:t>(8), 4368–4376. https://doi.org/10.1021/acs.est.6b06155</w:t>
      </w:r>
    </w:p>
    <w:p w14:paraId="5888A6D0" w14:textId="77777777" w:rsidR="008A35DC" w:rsidRDefault="00000000">
      <w:pPr>
        <w:spacing w:after="80" w:line="276" w:lineRule="auto"/>
        <w:ind w:left="720" w:hanging="720"/>
      </w:pPr>
      <w:r>
        <w:rPr>
          <w:sz w:val="22"/>
        </w:rPr>
        <w:t xml:space="preserve">Song, Y. K., Hong, S. H., Jang, M., Han, G. M., Jung, S. W., &amp; Shim, W. J. (2018). Corrections to “Combined effects of UV exposure duration and mechanical abrasion on microplastic fragmentation by polymer type”. </w:t>
      </w:r>
      <w:r>
        <w:rPr>
          <w:i/>
          <w:sz w:val="22"/>
        </w:rPr>
        <w:t>Environmental Science &amp; Technology, 52</w:t>
      </w:r>
      <w:r>
        <w:rPr>
          <w:sz w:val="22"/>
        </w:rPr>
        <w:t>(6), 3831–3832. https://doi.org/10.1021/acs.est.8b00172</w:t>
      </w:r>
    </w:p>
    <w:p w14:paraId="0D746C0E" w14:textId="77777777" w:rsidR="008A35DC" w:rsidRDefault="00000000">
      <w:pPr>
        <w:spacing w:after="80" w:line="276" w:lineRule="auto"/>
        <w:ind w:left="720" w:hanging="720"/>
      </w:pPr>
      <w:r>
        <w:rPr>
          <w:sz w:val="22"/>
        </w:rPr>
        <w:t xml:space="preserve">Stern, P. C. (2000). New environmental theories: Toward a coherent theory of environmentally significant behavior. </w:t>
      </w:r>
      <w:r>
        <w:rPr>
          <w:i/>
          <w:sz w:val="22"/>
        </w:rPr>
        <w:t>Journal of Social Issues, 56</w:t>
      </w:r>
      <w:r>
        <w:rPr>
          <w:sz w:val="22"/>
        </w:rPr>
        <w:t>(3), 407–424. https://doi.org/10.1111/0022-4537.00175</w:t>
      </w:r>
    </w:p>
    <w:p w14:paraId="46621D8B" w14:textId="77777777" w:rsidR="008A35DC" w:rsidRDefault="00000000">
      <w:pPr>
        <w:spacing w:after="80" w:line="276" w:lineRule="auto"/>
        <w:ind w:left="720" w:hanging="720"/>
      </w:pPr>
      <w:r>
        <w:rPr>
          <w:sz w:val="22"/>
        </w:rPr>
        <w:t xml:space="preserve">Stevenson, R. B. (2007). Schooling and environmental education: Contradictions in purpose and practice. </w:t>
      </w:r>
      <w:r>
        <w:rPr>
          <w:i/>
          <w:sz w:val="22"/>
        </w:rPr>
        <w:t>Environmental Education Research, 13</w:t>
      </w:r>
      <w:r>
        <w:rPr>
          <w:sz w:val="22"/>
        </w:rPr>
        <w:t>(2), 139–153. https://doi.org/10.1080/13504620701295726</w:t>
      </w:r>
    </w:p>
    <w:p w14:paraId="3D1429C6" w14:textId="77777777" w:rsidR="008A35DC" w:rsidRDefault="00000000">
      <w:pPr>
        <w:spacing w:after="80" w:line="276" w:lineRule="auto"/>
        <w:ind w:left="720" w:hanging="720"/>
      </w:pPr>
      <w:r>
        <w:rPr>
          <w:sz w:val="22"/>
        </w:rPr>
        <w:t xml:space="preserve">Sweeney, L. B., &amp; Sterman, J. D. (2000). Bathtub dynamics: Initial results of a systems thinking inventory. </w:t>
      </w:r>
      <w:r>
        <w:rPr>
          <w:i/>
          <w:sz w:val="22"/>
        </w:rPr>
        <w:t>System Dynamics Review, 16</w:t>
      </w:r>
      <w:r>
        <w:rPr>
          <w:sz w:val="22"/>
        </w:rPr>
        <w:t>(4), 249–286. https://doi.org/10.1002/sdr.198</w:t>
      </w:r>
    </w:p>
    <w:p w14:paraId="49936752" w14:textId="77777777" w:rsidR="008A35DC" w:rsidRDefault="00000000">
      <w:pPr>
        <w:spacing w:after="80" w:line="276" w:lineRule="auto"/>
        <w:ind w:left="720" w:hanging="720"/>
      </w:pPr>
      <w:r>
        <w:rPr>
          <w:sz w:val="22"/>
        </w:rPr>
        <w:t xml:space="preserve">Tawfik, M. S., &amp; Huyghebaert, A. (1998). Polystyrene cups and containers: Styrene migration. </w:t>
      </w:r>
      <w:r>
        <w:rPr>
          <w:i/>
          <w:sz w:val="22"/>
        </w:rPr>
        <w:t>Food Additives &amp; Contaminants, 15</w:t>
      </w:r>
      <w:r>
        <w:rPr>
          <w:sz w:val="22"/>
        </w:rPr>
        <w:t>(5), 592–599. https://doi.org/10.1080/02652039809374686</w:t>
      </w:r>
    </w:p>
    <w:p w14:paraId="36EF9F30" w14:textId="77777777" w:rsidR="008A35DC" w:rsidRDefault="00000000">
      <w:pPr>
        <w:spacing w:after="80" w:line="276" w:lineRule="auto"/>
        <w:ind w:left="720" w:hanging="720"/>
      </w:pPr>
      <w:r>
        <w:rPr>
          <w:sz w:val="22"/>
        </w:rPr>
        <w:t xml:space="preserve">Thompson, R. C., Olsen, Y., Mitchell, R. P., Davis, A., Rowland, S. J., John, A. W. G., McGonigle, D., &amp; Russell, A. E. (2004). Lost at sea: Where is all the plastic? </w:t>
      </w:r>
      <w:r>
        <w:rPr>
          <w:i/>
          <w:sz w:val="22"/>
        </w:rPr>
        <w:t>Science, 304</w:t>
      </w:r>
      <w:r>
        <w:rPr>
          <w:sz w:val="22"/>
        </w:rPr>
        <w:t>(5672), 838. https://doi.org/10.1126/science.1094559</w:t>
      </w:r>
    </w:p>
    <w:p w14:paraId="21BACB95" w14:textId="77777777" w:rsidR="008A35DC" w:rsidRDefault="00000000">
      <w:pPr>
        <w:spacing w:after="80" w:line="276" w:lineRule="auto"/>
        <w:ind w:left="720" w:hanging="720"/>
      </w:pPr>
      <w:r>
        <w:rPr>
          <w:sz w:val="22"/>
        </w:rPr>
        <w:t xml:space="preserve">Torraco, R. J. (2016). Writing integrative literature reviews: Using the past and present to explore the future. </w:t>
      </w:r>
      <w:r>
        <w:rPr>
          <w:i/>
          <w:sz w:val="22"/>
        </w:rPr>
        <w:t>Human Resource Development Review, 15</w:t>
      </w:r>
      <w:r>
        <w:rPr>
          <w:sz w:val="22"/>
        </w:rPr>
        <w:t>(4), 404–428. https://doi.org/10.1177/1534484316671606</w:t>
      </w:r>
    </w:p>
    <w:p w14:paraId="1620D020" w14:textId="77777777" w:rsidR="008A35DC" w:rsidRDefault="00000000">
      <w:pPr>
        <w:spacing w:after="80" w:line="276" w:lineRule="auto"/>
        <w:ind w:left="720" w:hanging="720"/>
      </w:pPr>
      <w:r>
        <w:rPr>
          <w:sz w:val="22"/>
        </w:rPr>
        <w:t xml:space="preserve">Torres, H. R., Reynolds, C. J., Lewis, A., Muller-Karger, F., Alsharif, K., &amp; Mastenbrook, K. (2019). Examining youth perceptions and social contexts of litter to improve marine debris environmental education. </w:t>
      </w:r>
      <w:r>
        <w:rPr>
          <w:i/>
          <w:sz w:val="22"/>
        </w:rPr>
        <w:t>Environmental Education Research, 25</w:t>
      </w:r>
      <w:r>
        <w:rPr>
          <w:sz w:val="22"/>
        </w:rPr>
        <w:t>(9), 1400–1415. https://doi.org/10.1080/13504622.2019.1633274</w:t>
      </w:r>
    </w:p>
    <w:p w14:paraId="03DD098F" w14:textId="77777777" w:rsidR="008A35DC" w:rsidRDefault="00000000">
      <w:pPr>
        <w:spacing w:after="80" w:line="276" w:lineRule="auto"/>
        <w:ind w:left="720" w:hanging="720"/>
      </w:pPr>
      <w:r>
        <w:rPr>
          <w:sz w:val="22"/>
        </w:rPr>
        <w:t xml:space="preserve">Turner, A. (2020). Foamed polystyrene in the marine environment: Sources, additives, transport, behavior, and impacts. </w:t>
      </w:r>
      <w:r>
        <w:rPr>
          <w:i/>
          <w:sz w:val="22"/>
        </w:rPr>
        <w:t>Environmental Science &amp; Technology, 54</w:t>
      </w:r>
      <w:r>
        <w:rPr>
          <w:sz w:val="22"/>
        </w:rPr>
        <w:t>(17), 10411–10420. https://doi.org/10.1021/acs.est.0c03221</w:t>
      </w:r>
    </w:p>
    <w:p w14:paraId="51C473B0" w14:textId="77777777" w:rsidR="008A35DC" w:rsidRDefault="00000000">
      <w:pPr>
        <w:spacing w:after="80" w:line="276" w:lineRule="auto"/>
        <w:ind w:left="720" w:hanging="720"/>
      </w:pPr>
      <w:r>
        <w:rPr>
          <w:sz w:val="22"/>
        </w:rPr>
        <w:t xml:space="preserve">United Nations Educational, Scientific and Cultural Organization. (2017). </w:t>
      </w:r>
      <w:r>
        <w:rPr>
          <w:i/>
          <w:sz w:val="22"/>
        </w:rPr>
        <w:t>Education for Sustainable Development Goals: Learning objectives</w:t>
      </w:r>
      <w:r>
        <w:rPr>
          <w:sz w:val="22"/>
        </w:rPr>
        <w:t>. https://unesdoc.unesco.org/ark:/48223/pf0000247444</w:t>
      </w:r>
    </w:p>
    <w:p w14:paraId="7896FE60" w14:textId="77777777" w:rsidR="008A35DC" w:rsidRDefault="00000000">
      <w:pPr>
        <w:spacing w:after="80" w:line="276" w:lineRule="auto"/>
        <w:ind w:left="720" w:hanging="720"/>
      </w:pPr>
      <w:r>
        <w:rPr>
          <w:sz w:val="22"/>
        </w:rPr>
        <w:t xml:space="preserve">United Nations Environment Programme. (2018). </w:t>
      </w:r>
      <w:r>
        <w:rPr>
          <w:i/>
          <w:sz w:val="22"/>
        </w:rPr>
        <w:t>Single-use plastics: A roadmap for sustainability</w:t>
      </w:r>
      <w:r>
        <w:rPr>
          <w:sz w:val="22"/>
        </w:rPr>
        <w:t>. https://www.unep.org/resources/report/single-use-plastics-roadmap-sustainability</w:t>
      </w:r>
    </w:p>
    <w:p w14:paraId="53A9A81A" w14:textId="77777777" w:rsidR="008A35DC" w:rsidRDefault="00000000">
      <w:pPr>
        <w:spacing w:after="80" w:line="276" w:lineRule="auto"/>
        <w:ind w:left="720" w:hanging="720"/>
      </w:pPr>
      <w:r>
        <w:rPr>
          <w:sz w:val="22"/>
        </w:rPr>
        <w:t xml:space="preserve">van de Wetering, J., Leijten, P., Spitzer, J., &amp; Thomaes, S. (2022). Does environmental education benefit environmental outcomes in children and adolescents? A meta-analysis. </w:t>
      </w:r>
      <w:r>
        <w:rPr>
          <w:i/>
          <w:sz w:val="22"/>
        </w:rPr>
        <w:t>Journal of Environmental Psychology, 81</w:t>
      </w:r>
      <w:r>
        <w:rPr>
          <w:sz w:val="22"/>
        </w:rPr>
        <w:t>, Article 101782. https://doi.org/10.1016/j.jenvp.2022.101782</w:t>
      </w:r>
    </w:p>
    <w:p w14:paraId="2EA2D7C5" w14:textId="77777777" w:rsidR="008A35DC" w:rsidRDefault="00000000">
      <w:pPr>
        <w:spacing w:after="80" w:line="276" w:lineRule="auto"/>
        <w:ind w:left="720" w:hanging="720"/>
      </w:pPr>
      <w:r>
        <w:rPr>
          <w:sz w:val="22"/>
        </w:rPr>
        <w:lastRenderedPageBreak/>
        <w:t xml:space="preserve">Vesterinen, M., &amp; Ratinen, I. (2024). Sustainability competences in primary school education – a systematic literature review. </w:t>
      </w:r>
      <w:r>
        <w:rPr>
          <w:i/>
          <w:sz w:val="22"/>
        </w:rPr>
        <w:t>Environmental Education Research, 30</w:t>
      </w:r>
      <w:r>
        <w:rPr>
          <w:sz w:val="22"/>
        </w:rPr>
        <w:t>(1), 56–67. https://doi.org/10.1080/13504622.2023.2170984</w:t>
      </w:r>
    </w:p>
    <w:p w14:paraId="383C70BE" w14:textId="77777777" w:rsidR="008A35DC" w:rsidRDefault="00000000">
      <w:pPr>
        <w:spacing w:after="80" w:line="276" w:lineRule="auto"/>
        <w:ind w:left="720" w:hanging="720"/>
      </w:pPr>
      <w:r>
        <w:rPr>
          <w:sz w:val="22"/>
        </w:rPr>
        <w:t xml:space="preserve">Wagner, T. P. (2020). Policy instruments to reduce consumption of expanded polystyrene food service ware in the USA. </w:t>
      </w:r>
      <w:r>
        <w:rPr>
          <w:i/>
          <w:sz w:val="22"/>
        </w:rPr>
        <w:t>Detritus, 9</w:t>
      </w:r>
      <w:r>
        <w:rPr>
          <w:sz w:val="22"/>
        </w:rPr>
        <w:t>, 11–26. https://doi.org/10.31025/2611-4135/2020.13903</w:t>
      </w:r>
    </w:p>
    <w:p w14:paraId="01BDEA24" w14:textId="77777777" w:rsidR="008A35DC" w:rsidRDefault="00000000">
      <w:pPr>
        <w:spacing w:after="80" w:line="276" w:lineRule="auto"/>
        <w:ind w:left="720" w:hanging="720"/>
      </w:pPr>
      <w:r>
        <w:rPr>
          <w:sz w:val="22"/>
        </w:rPr>
        <w:t xml:space="preserve">Ward, C. P., Armstrong, C. J., Walsh, A. N., Jackson, J. H., &amp; Reddy, C. M. (2019). Sunlight converts polystyrene to carbon dioxide and dissolved organic carbon. </w:t>
      </w:r>
      <w:r>
        <w:rPr>
          <w:i/>
          <w:sz w:val="22"/>
        </w:rPr>
        <w:t>Environmental Science &amp; Technology Letters, 6</w:t>
      </w:r>
      <w:r>
        <w:rPr>
          <w:sz w:val="22"/>
        </w:rPr>
        <w:t>(11), 669–674. https://doi.org/10.1021/acs.estlett.9b00532</w:t>
      </w:r>
    </w:p>
    <w:p w14:paraId="6DCC14A2" w14:textId="77777777" w:rsidR="008A35DC" w:rsidRDefault="00000000">
      <w:pPr>
        <w:spacing w:after="80" w:line="276" w:lineRule="auto"/>
        <w:ind w:left="720" w:hanging="720"/>
      </w:pPr>
      <w:r>
        <w:rPr>
          <w:sz w:val="22"/>
        </w:rPr>
        <w:t xml:space="preserve">Weber, C., Pusch, S., &amp; Opatz, T. (2017). Polyethylene bio-degradation by caterpillars? </w:t>
      </w:r>
      <w:r>
        <w:rPr>
          <w:i/>
          <w:sz w:val="22"/>
        </w:rPr>
        <w:t>Current Biology, 27</w:t>
      </w:r>
      <w:r>
        <w:rPr>
          <w:sz w:val="22"/>
        </w:rPr>
        <w:t>(15), R744–R745. https://doi.org/10.1016/j.cub.2017.07.004</w:t>
      </w:r>
    </w:p>
    <w:p w14:paraId="4940757A" w14:textId="77777777" w:rsidR="008A35DC" w:rsidRDefault="00000000">
      <w:pPr>
        <w:spacing w:after="80" w:line="276" w:lineRule="auto"/>
        <w:ind w:left="720" w:hanging="720"/>
      </w:pPr>
      <w:r>
        <w:rPr>
          <w:sz w:val="22"/>
        </w:rPr>
        <w:t xml:space="preserve">Wiek, A., Withycombe, L., &amp; Redman, C. L. (2011). Key competencies in sustainability: A reference framework for academic program development. </w:t>
      </w:r>
      <w:r>
        <w:rPr>
          <w:i/>
          <w:sz w:val="22"/>
        </w:rPr>
        <w:t>Sustainability Science, 6</w:t>
      </w:r>
      <w:r>
        <w:rPr>
          <w:sz w:val="22"/>
        </w:rPr>
        <w:t>(2), 203–218. https://doi.org/10.1007/s11625-011-0132-6</w:t>
      </w:r>
    </w:p>
    <w:p w14:paraId="48E7A602" w14:textId="77777777" w:rsidR="008A35DC" w:rsidRDefault="00000000">
      <w:pPr>
        <w:spacing w:after="80" w:line="276" w:lineRule="auto"/>
        <w:ind w:left="720" w:hanging="720"/>
      </w:pPr>
      <w:r>
        <w:rPr>
          <w:sz w:val="22"/>
        </w:rPr>
        <w:t xml:space="preserve">Wyles, K. J., Pahl, S., Holland, M., &amp; Thompson, R. C. (2017). Can beach cleans do more than clean-up litter? Comparing beach cleans to other coastal activities. </w:t>
      </w:r>
      <w:r>
        <w:rPr>
          <w:i/>
          <w:sz w:val="22"/>
        </w:rPr>
        <w:t>Environment and Behavior, 49</w:t>
      </w:r>
      <w:r>
        <w:rPr>
          <w:sz w:val="22"/>
        </w:rPr>
        <w:t>(5), 509–535. https://doi.org/10.1177/0013916516649412</w:t>
      </w:r>
    </w:p>
    <w:p w14:paraId="79D868A6" w14:textId="77777777" w:rsidR="008A35DC" w:rsidRDefault="00000000">
      <w:pPr>
        <w:spacing w:after="80" w:line="276" w:lineRule="auto"/>
        <w:ind w:left="720" w:hanging="720"/>
      </w:pPr>
      <w:r>
        <w:rPr>
          <w:sz w:val="22"/>
        </w:rPr>
        <w:t xml:space="preserve">Xanthos, D., &amp; Walker, T. R. (2017). International policies to reduce plastic marine pollution from single-use plastics (plastic bags and microbeads): A review. </w:t>
      </w:r>
      <w:r>
        <w:rPr>
          <w:i/>
          <w:sz w:val="22"/>
        </w:rPr>
        <w:t>Marine Pollution Bulletin, 118</w:t>
      </w:r>
      <w:r>
        <w:rPr>
          <w:sz w:val="22"/>
        </w:rPr>
        <w:t>(1–2), 17–26. https://doi.org/10.1016/j.marpolbul.2017.02.048</w:t>
      </w:r>
    </w:p>
    <w:p w14:paraId="7E33A4E8" w14:textId="77777777" w:rsidR="008A35DC" w:rsidRDefault="00000000">
      <w:pPr>
        <w:spacing w:after="80" w:line="276" w:lineRule="auto"/>
        <w:ind w:left="720" w:hanging="720"/>
      </w:pPr>
      <w:r>
        <w:rPr>
          <w:sz w:val="22"/>
        </w:rPr>
        <w:t xml:space="preserve">Yang, Y., Yang, J., Wu, W.-M., Zhao, J., Song, Y., Gao, L., Yang, R., &amp; Jiang, L. (2015a). Biodegradation and mineralization of polystyrene by plastic-eating mealworms: Part 1. Chemical and physical characterization and isotopic tests. </w:t>
      </w:r>
      <w:r>
        <w:rPr>
          <w:i/>
          <w:sz w:val="22"/>
        </w:rPr>
        <w:t>Environmental Science &amp; Technology, 49</w:t>
      </w:r>
      <w:r>
        <w:rPr>
          <w:sz w:val="22"/>
        </w:rPr>
        <w:t>(20), 12080–12086. https://doi.org/10.1021/acs.est.5b02661</w:t>
      </w:r>
    </w:p>
    <w:p w14:paraId="1E4A5B2F" w14:textId="77777777" w:rsidR="008A35DC" w:rsidRDefault="00000000">
      <w:pPr>
        <w:spacing w:after="80" w:line="276" w:lineRule="auto"/>
        <w:ind w:left="720" w:hanging="720"/>
      </w:pPr>
      <w:r>
        <w:rPr>
          <w:sz w:val="22"/>
        </w:rPr>
        <w:t xml:space="preserve">Yang, Y., Yang, J., Wu, W.-M., Zhao, J., Song, Y., Gao, L., Yang, R., &amp; Jiang, L. (2015b). Biodegradation and mineralization of polystyrene by plastic-eating mealworms: Part 2. Role of gut microorganisms. </w:t>
      </w:r>
      <w:r>
        <w:rPr>
          <w:i/>
          <w:sz w:val="22"/>
        </w:rPr>
        <w:t>Environmental Science &amp; Technology, 49</w:t>
      </w:r>
      <w:r>
        <w:rPr>
          <w:sz w:val="22"/>
        </w:rPr>
        <w:t>(20), 12087–12093. https://doi.org/10.1021/acs.est.5b02663</w:t>
      </w:r>
    </w:p>
    <w:sectPr w:rsidR="008A35DC" w:rsidSect="00034616">
      <w:headerReference w:type="even" r:id="rId9"/>
      <w:headerReference w:type="default" r:id="rId10"/>
      <w:footerReference w:type="even" r:id="rId11"/>
      <w:footerReference w:type="default" r:id="rId12"/>
      <w:headerReference w:type="first" r:id="rId13"/>
      <w:footerReference w:type="first" r:id="rId14"/>
      <w:pgSz w:w="11906" w:h="16838"/>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664D1" w14:textId="77777777" w:rsidR="00CF4EA4" w:rsidRDefault="00CF4EA4">
      <w:pPr>
        <w:spacing w:after="0" w:line="240" w:lineRule="auto"/>
      </w:pPr>
      <w:r>
        <w:separator/>
      </w:r>
    </w:p>
  </w:endnote>
  <w:endnote w:type="continuationSeparator" w:id="0">
    <w:p w14:paraId="7E200301" w14:textId="77777777" w:rsidR="00CF4EA4" w:rsidRDefault="00CF4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5038" w14:textId="77777777" w:rsidR="00F82F93" w:rsidRDefault="00F82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C308" w14:textId="77777777" w:rsidR="008A35DC" w:rsidRDefault="00000000">
    <w:pPr>
      <w:pStyle w:val="Footer"/>
      <w:jc w:val="center"/>
    </w:pPr>
    <w:r>
      <w:fldChar w:fldCharType="begin"/>
    </w:r>
    <w:r>
      <w:instrText>PAGE</w:instrText>
    </w:r>
    <w:r>
      <w:fldChar w:fldCharType="separate"/>
    </w:r>
    <w:r w:rsidR="00504FF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DAC0" w14:textId="77777777" w:rsidR="00F82F93" w:rsidRDefault="00F82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22A87" w14:textId="77777777" w:rsidR="00CF4EA4" w:rsidRDefault="00CF4EA4">
      <w:pPr>
        <w:spacing w:after="0" w:line="240" w:lineRule="auto"/>
      </w:pPr>
      <w:r>
        <w:separator/>
      </w:r>
    </w:p>
  </w:footnote>
  <w:footnote w:type="continuationSeparator" w:id="0">
    <w:p w14:paraId="06E23C77" w14:textId="77777777" w:rsidR="00CF4EA4" w:rsidRDefault="00CF4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CECB" w14:textId="567884ED" w:rsidR="00F82F93" w:rsidRDefault="00F82F93">
    <w:pPr>
      <w:pStyle w:val="Header"/>
    </w:pPr>
    <w:r>
      <w:rPr>
        <w:noProof/>
      </w:rPr>
      <w:pict w14:anchorId="2EFDB7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8" o:spid="_x0000_s1026" type="#_x0000_t136" style="position:absolute;margin-left:0;margin-top:0;width:597.1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D32F6" w14:textId="1679DDC7" w:rsidR="00F82F93" w:rsidRDefault="00F82F93">
    <w:pPr>
      <w:pStyle w:val="Header"/>
    </w:pPr>
    <w:r>
      <w:rPr>
        <w:noProof/>
      </w:rPr>
      <w:pict w14:anchorId="53A906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9" o:spid="_x0000_s1027" type="#_x0000_t136" style="position:absolute;margin-left:0;margin-top:0;width:597.1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9029" w14:textId="374EEA44" w:rsidR="00F82F93" w:rsidRDefault="00F82F93">
    <w:pPr>
      <w:pStyle w:val="Header"/>
    </w:pPr>
    <w:r>
      <w:rPr>
        <w:noProof/>
      </w:rPr>
      <w:pict w14:anchorId="277E67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602937" o:spid="_x0000_s1025" type="#_x0000_t136" style="position:absolute;margin-left:0;margin-top:0;width:597.1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9455555">
    <w:abstractNumId w:val="8"/>
  </w:num>
  <w:num w:numId="2" w16cid:durableId="709695442">
    <w:abstractNumId w:val="6"/>
  </w:num>
  <w:num w:numId="3" w16cid:durableId="271285132">
    <w:abstractNumId w:val="5"/>
  </w:num>
  <w:num w:numId="4" w16cid:durableId="641885651">
    <w:abstractNumId w:val="4"/>
  </w:num>
  <w:num w:numId="5" w16cid:durableId="881359400">
    <w:abstractNumId w:val="7"/>
  </w:num>
  <w:num w:numId="6" w16cid:durableId="1703894422">
    <w:abstractNumId w:val="3"/>
  </w:num>
  <w:num w:numId="7" w16cid:durableId="1226793511">
    <w:abstractNumId w:val="2"/>
  </w:num>
  <w:num w:numId="8" w16cid:durableId="201090394">
    <w:abstractNumId w:val="1"/>
  </w:num>
  <w:num w:numId="9" w16cid:durableId="2020160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4FFA"/>
    <w:rsid w:val="005E3853"/>
    <w:rsid w:val="00691710"/>
    <w:rsid w:val="007A5708"/>
    <w:rsid w:val="008A35DC"/>
    <w:rsid w:val="00AA1D8D"/>
    <w:rsid w:val="00B47730"/>
    <w:rsid w:val="00CB0664"/>
    <w:rsid w:val="00CF4EA4"/>
    <w:rsid w:val="00D21E0D"/>
    <w:rsid w:val="00DA2424"/>
    <w:rsid w:val="00E04473"/>
    <w:rsid w:val="00F82F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B696A5"/>
  <w14:defaultImageDpi w14:val="300"/>
  <w15:docId w15:val="{5A415E52-0CEE-4366-A10B-2897A9664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16810</Words>
  <Characters>95822</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the Styrofoam Systems Education Model (SSEM)</dc:title>
  <dc:subject/>
  <dc:creator/>
  <cp:keywords/>
  <dc:description>generated by python-docx</dc:description>
  <cp:lastModifiedBy>SDI 1084</cp:lastModifiedBy>
  <cp:revision>6</cp:revision>
  <dcterms:created xsi:type="dcterms:W3CDTF">2013-12-23T23:15:00Z</dcterms:created>
  <dcterms:modified xsi:type="dcterms:W3CDTF">2026-09-25T13:12:00Z</dcterms:modified>
  <cp:category/>
</cp:coreProperties>
</file>