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14757" w14:textId="77777777" w:rsidR="00BD7065" w:rsidRDefault="00BD7065">
      <w:pPr>
        <w:pStyle w:val="TitleManuscript"/>
      </w:pPr>
      <w:r w:rsidRPr="00BD7065">
        <w:t>Review Article</w:t>
      </w:r>
    </w:p>
    <w:p w14:paraId="2F51834B" w14:textId="2BA7A4FD" w:rsidR="006B1619" w:rsidRDefault="00000000">
      <w:pPr>
        <w:pStyle w:val="TitleManuscript"/>
      </w:pPr>
      <w:r>
        <w:t xml:space="preserve">Trends in Extended-Spectrum β-Lactamase, </w:t>
      </w:r>
      <w:proofErr w:type="spellStart"/>
      <w:r>
        <w:t>AmpC</w:t>
      </w:r>
      <w:proofErr w:type="spellEnd"/>
      <w:r>
        <w:t xml:space="preserve"> β-Lactamase and Carbapenem Resistance among Enterobacterales in Sri Lanka: A Critical Narrative Review</w:t>
      </w:r>
    </w:p>
    <w:p w14:paraId="15EB8EC8" w14:textId="77777777" w:rsidR="000F5C05" w:rsidRDefault="000F5C05">
      <w:pPr>
        <w:pStyle w:val="TitleManuscript"/>
      </w:pPr>
    </w:p>
    <w:p w14:paraId="5F7E1D0A" w14:textId="77777777" w:rsidR="000F5C05" w:rsidRDefault="000F5C05">
      <w:pPr>
        <w:pStyle w:val="TitleManuscript"/>
      </w:pPr>
    </w:p>
    <w:p w14:paraId="652693DC" w14:textId="77777777" w:rsidR="006B1619" w:rsidRDefault="00000000">
      <w:pPr>
        <w:pStyle w:val="Heading1"/>
      </w:pPr>
      <w:r>
        <w:t>Abstract</w:t>
      </w:r>
    </w:p>
    <w:p w14:paraId="140340EE" w14:textId="77777777" w:rsidR="006B1619" w:rsidRDefault="00000000">
      <w:r>
        <w:t>Extended-spectrum β-lactamase (ESBL), AmpC β-lactamase and carbapenem resistance in Enterobacterales threaten the reliability of empirical therapy and the interpretation of routine antimicrobial-resistance surveillance in Sri Lanka. This critical narrative review evaluates the available human, molecular, environmental and policy evidence, with particular attention to whether studies genuinely establish temporal trends. Peer-reviewed research and relevant institutional documents published through 24 August 2026 were identified through scholarly-source searching, reference tracing and verification of bibliographic records. Sri Lankan studies document substantial ESBL production among selected urinary and hospital isolates, alongside clinically important plasmid-mediated AmpC enzymes and diverse carbapenemase mechanisms, including OXA-48-like and NDM variants. Nevertheless, the reported proportions cannot be arranged into a coherent national time series because sampling frames, specimen types, geographical coverage, organism composition, phenotypic definitions and confirmatory testing differ markedly. Some studies intentionally enrolled resistant isolates, whereas others assessed all isolates in a laboratory population. Molecular investigations offer stronger evidence for the presence of specific enzymes and mobile genetic contexts than for their population prevalence or direction of spread. Studies of cancer patients, hospital wastewater and animal-associated environments expose additional reservoirs and high-risk settings but do not independently prove intersectoral transmission. Diagnostic co-production, altered permeability and variable carbapenemase expression further complicate the equivalence of resistance phenotype and resistance mechanism. The most defensible interpretation is that clinically significant ESBL, AmpC and carbapenemase-mediated resistance is well documented in Sri Lanka, while the magnitude and direction of national change remain inadequately established. A harmonised, denominator-explicit surveillance framework, targeted molecular confirmation and prospectively linked clinical and One Health datasets are priorities for translating isolated findings into actionable trends.</w:t>
      </w:r>
    </w:p>
    <w:p w14:paraId="5BDEB46A" w14:textId="77777777" w:rsidR="006B1619" w:rsidRDefault="00000000">
      <w:pPr>
        <w:spacing w:after="260"/>
      </w:pPr>
      <w:r>
        <w:rPr>
          <w:b/>
        </w:rPr>
        <w:t xml:space="preserve">Keywords: </w:t>
      </w:r>
      <w:r>
        <w:t>Antimicrobial resistance; carbapenemase; CTX-M; OXA-48-like enzymes; NDM; surveillance bias; One Health; urinary tract infection</w:t>
      </w:r>
    </w:p>
    <w:p w14:paraId="09BC2B11" w14:textId="77777777" w:rsidR="006B1619" w:rsidRDefault="00000000">
      <w:pPr>
        <w:pStyle w:val="Heading1"/>
      </w:pPr>
      <w:r>
        <w:t>1. Introduction</w:t>
      </w:r>
    </w:p>
    <w:p w14:paraId="12CCD583" w14:textId="77777777" w:rsidR="006B1619" w:rsidRDefault="00000000">
      <w:r>
        <w:t xml:space="preserve">The therapeutic significance of β-lactam resistance is especially acute when the affected organisms belong to the order Enterobacterales, which includes familiar causes of urinary tract infection, bloodstream infection, pneumonia and healthcare-associated sepsis. Infections involving </w:t>
      </w:r>
      <w:r>
        <w:rPr>
          <w:i/>
        </w:rPr>
        <w:t>Escherichia coli</w:t>
      </w:r>
      <w:r>
        <w:t xml:space="preserve">, </w:t>
      </w:r>
      <w:r>
        <w:rPr>
          <w:i/>
        </w:rPr>
        <w:t>Klebsiella pneumoniae</w:t>
      </w:r>
      <w:r>
        <w:t xml:space="preserve"> and related species are encountered across community and hospital services. Their capacity to acquire or upregulate β-lactamases allows resistance to emerge against drug classes on which empirical treatment </w:t>
      </w:r>
      <w:r>
        <w:lastRenderedPageBreak/>
        <w:t>frequently depends. Yet the shorthand of a single resistance rate masks distinctions between enzyme families, bacterial host species, antibiotic substrates and laboratory methods. Global accounts of β-lactamase epidemiology demonstrate that epidemiological comparisons become unreliable when studies pool these distinct pathways (Bonomo et al., 2018; Bush &amp; Bradford, 2020).</w:t>
      </w:r>
    </w:p>
    <w:p w14:paraId="5727CE1E" w14:textId="77777777" w:rsidR="006B1619" w:rsidRDefault="00000000">
      <w:r>
        <w:t>Extended-spectrum β-lactamases (ESBLs) are enzymes capable of hydrolysing important extended-spectrum cephalosporins and aztreonam, generally with inhibition by established β-lactamase inhibitors for classical ESBL classes. AmpC β-lactamases have a different hydrolysis and inhibitor profile and may arise through inducible or derepressed chromosomal expression or acquired plasmid genes. Carbapenem resistance is a broader phenotypic designation: carbapenemase production is a prominent cause, but impaired permeability combined with ESBL or AmpC activity can also increase carbapenem minimum inhibitory concentrations. Consequently, ESBL production, AmpC production, carbapenem resistance and carbapenemase production are neither mutually exclusive nor interchangeable states (Jacoby, 2009; Poirel et al., 2012; Tamma et al., 2019).</w:t>
      </w:r>
    </w:p>
    <w:p w14:paraId="2D1B3256" w14:textId="77777777" w:rsidR="006B1619" w:rsidRDefault="00000000">
      <w:r>
        <w:t xml:space="preserve">In Sri Lanka, the literature has developed in partly disconnected streams. Earlier reports from urinary tract infection cohorts documented ESBL-positive Enterobacterales in southern and western healthcare settings. Subsequent investigations characterised carbapenem-resistant </w:t>
      </w:r>
      <w:r>
        <w:rPr>
          <w:i/>
        </w:rPr>
        <w:t>K. pneumoniae</w:t>
      </w:r>
      <w:r>
        <w:t xml:space="preserve"> and identified OXA-181, NDM and other molecular determinants. More recent studies have combined inhibitor-based phenotyping, polymerase chain reaction, whole-genome sequencing and analyses of hospital effluent. This broadening of techniques represents a genuine advance in the evidence base. Nevertheless, the quantitative language of prevalence and trend has not always kept pace with the changing denominator or the distinction between selected clinical isolates and a target population (Guruge et al., 2025; Hall et al., 2014; Kumudunie et al., 2020; V. Perera, Gamage, et al., 2022; Tillekeratne et al., 2016).</w:t>
      </w:r>
    </w:p>
    <w:p w14:paraId="0766D421" w14:textId="77777777" w:rsidR="006B1619" w:rsidRDefault="00000000">
      <w:r>
        <w:t>The stakes of this distinction extend beyond epidemiological terminology. A resistance proportion reported among organisms isolated from patients already diagnosed with a complicated urinary tract infection does not estimate the risk that a Sri Lankan resident will acquire such an infection. Likewise, carbapenemase genes identified among a small, enriched collection of resistant isolates cannot be interpreted as their prevalence in all clinical Enterobacterales. Clinical management depends on the resistance profile of the infecting organism, infection site, source control, severity and availability of drugs; surveillance policy additionally depends on a denominator that is stable across facilities and time. An unqualified numerical comparison can misdirect both stewardship and resource allocation (Bush &amp; Bradford, 2020; Tamma et al., 2026).</w:t>
      </w:r>
    </w:p>
    <w:p w14:paraId="0EE4A306" w14:textId="77777777" w:rsidR="006B1619" w:rsidRDefault="00000000">
      <w:r>
        <w:t xml:space="preserve">The distinction is particularly relevant to the country's regional position. Studies of </w:t>
      </w:r>
      <w:r>
        <w:rPr>
          <w:i/>
        </w:rPr>
        <w:t>K. pneumoniae</w:t>
      </w:r>
      <w:r>
        <w:t xml:space="preserve"> from Sri Lanka have identified OXA-181-bearing sequence types related to lineages recognised elsewhere in South Asia, but genetic similarity is not a travel history and does not by itself demonstrate direction, frequency or date of cross-border movement. The complex interplay of clonal expansion, mobile genetic elements and selective pressure also means that the frequency of one carbapenemase gene within a study may change independently of the phenotypic prevalence of carbapenem resistance (Hall et al., 2014; Pitout et al., 2019; Zhu et al., 2018).</w:t>
      </w:r>
    </w:p>
    <w:p w14:paraId="744ED705" w14:textId="77777777" w:rsidR="006B1619" w:rsidRDefault="00000000">
      <w:r>
        <w:t>Two recent reviews have substantially improved the field's orientation. A Sri Lankan One Health synthesis addressed antimicrobial resistance across diverse bacterial taxa, drugs, human settings, animals and environments, making clear both the breadth of observations and the uneven evidence base. A more focused comparison considered ESBL, AmpC and carbapenemases in Sri Lankan and global human Enterobacterales. These accounts establish that the underlying mechanisms have been described, but they do not remove the need for a denominator-centred appraisal of temporal inference, diagnostic misclassification and the conditions under which molecular findings can inform clinical surveillance (Nisansala et al., 2025; V. Perera et al., 2025).</w:t>
      </w:r>
    </w:p>
    <w:p w14:paraId="0F9BE3B7" w14:textId="77777777" w:rsidR="006B1619" w:rsidRDefault="00000000">
      <w:r>
        <w:lastRenderedPageBreak/>
        <w:t>A defensible critical review must therefore separate three questions that are too often collapsed: which resistance mechanisms have been demonstrated in Sri Lanka; what proportions have been observed within precisely defined study samples; and what can be inferred about changes in those proportions over time. These questions operate at different levels of evidence. A validated molecular sequence can provide strong support for the presence of a particular determinant in an isolate even when the collection is epidemiologically unrepresentative. A large laboratory dataset can provide a useful local antibiogram while lacking genotypic resolution. Neither type of evidence alone establishes a national secular trend. Combining them requires attention to sampling, laboratory consistency and the clinical meaning of the populations being compared (Pierce et al., 2017; Senanayake et al., 2024).</w:t>
      </w:r>
    </w:p>
    <w:p w14:paraId="6A7B918F" w14:textId="77777777" w:rsidR="006B1619" w:rsidRDefault="00000000">
      <w:pPr>
        <w:pStyle w:val="Heading2"/>
      </w:pPr>
      <w:r>
        <w:t>1.1 Scope, Research Gap and Objectives</w:t>
      </w:r>
    </w:p>
    <w:p w14:paraId="218C0FFD" w14:textId="77777777" w:rsidR="006B1619" w:rsidRDefault="00000000">
      <w:r>
        <w:t>This review examines resistance mediated by ESBL, AmpC β-lactamase and carbapenem resistance mechanisms in Enterobacterales relevant to Sri Lanka. The primary evidence concerns human clinical isolates and microbiological surveillance, with targeted inclusion of animal and environmental studies where they illuminate possible reservoirs or methodological limits. The review treats older terminology, especially Enterobacteriaceae, as the wording of original publications rather than as a basis for excluding otherwise relevant investigations. It addresses the consequences of enzyme co-production, porin changes, infection-site differences and gene-detection technologies while excluding non-Enterobacterales pathogens from the core synthesis.</w:t>
      </w:r>
    </w:p>
    <w:p w14:paraId="154E2C1D" w14:textId="77777777" w:rsidR="006B1619" w:rsidRDefault="00000000">
      <w:r>
        <w:t>The central knowledge gap is not the absence of documented resistant organisms but the lack of a critically comparable, longitudinal description of their occurrence across the country. The objectives are to assess the strength of evidence for the principal enzyme families, determine which published percentages can legitimately be compared, distinguish confirmed mechanisms from phenotypic proxies, evaluate clinical and One Health implications, and propose specific surveillance and research improvements. The intended contribution is an evidence-calibrated appraisal of what “trends” can mean in a literature dominated by geographically concentrated, methodologically heterogeneous studies.</w:t>
      </w:r>
    </w:p>
    <w:p w14:paraId="72FF07C9" w14:textId="77777777" w:rsidR="006B1619" w:rsidRDefault="00000000">
      <w:pPr>
        <w:pStyle w:val="Heading1"/>
      </w:pPr>
      <w:r>
        <w:t>2. Methods for Literature Selection</w:t>
      </w:r>
    </w:p>
    <w:p w14:paraId="3CDA8D26" w14:textId="77777777" w:rsidR="006B1619" w:rsidRDefault="00000000">
      <w:pPr>
        <w:pStyle w:val="Heading2"/>
      </w:pPr>
      <w:r>
        <w:t>2.1 Review Design and Rationale</w:t>
      </w:r>
    </w:p>
    <w:p w14:paraId="2765D0A2" w14:textId="77777777" w:rsidR="006B1619" w:rsidRDefault="00000000">
      <w:r>
        <w:t>A critical narrative review was chosen because the research question spans mechanistic microbiology, clinical epidemiology, diagnosis, stewardship and environmental surveillance rather than a single intervention–outcome comparison. A conventional meta-analysis of the reported proportions would be particularly vulnerable to spurious precision: a urinary ESBL fraction, a preselected collection of resistant isolates and a blood-culture carbapenem-resistance fraction do not share an eligible population or event definition. The narrative approach permits explicit separation of these estimands while appraising their limitations. Its credibility nonetheless depends on a reproducible information-search account, transparent relevance criteria and critical treatment of disconfirming findings. The Scale for the Assessment of Narrative Review Articles informed attention to importance, scientific reasoning, references and presentation, without implying that an unreported formal appraisal score was calculated (Baethge et al., 2019).</w:t>
      </w:r>
    </w:p>
    <w:p w14:paraId="0801AAED" w14:textId="77777777" w:rsidR="006B1619" w:rsidRDefault="00000000">
      <w:pPr>
        <w:pStyle w:val="Heading2"/>
      </w:pPr>
      <w:r>
        <w:t>2.2 Information Sources</w:t>
      </w:r>
    </w:p>
    <w:p w14:paraId="4306F1EE" w14:textId="77777777" w:rsidR="006B1619" w:rsidRDefault="00000000">
      <w:r>
        <w:t xml:space="preserve">The research was assembled from accessible records identified through PubMed, OpenAlex and the Directory of Open Access Journals, supplemented by targeted scholarly web searches, article-level reference tracing and </w:t>
      </w:r>
      <w:r>
        <w:lastRenderedPageBreak/>
        <w:t>verification against journal records and DOI metadata. Regional relevance was addressed through searches for Sri Lankan research and through publications and surveillance documents of the Sri Lankan Ministry of Health and the World Health Organization. Full texts or abstracts were examined to establish whether each source dealt directly with Sri Lanka, with Enterobacterales, and with a relevant phenotype or molecular mechanism. The approach was purposive rather than a claim of comprehensive capture of all locally archived material.</w:t>
      </w:r>
    </w:p>
    <w:p w14:paraId="7C7C1B43" w14:textId="77777777" w:rsidR="006B1619" w:rsidRDefault="00000000">
      <w:pPr>
        <w:pStyle w:val="Heading2"/>
      </w:pPr>
      <w:r>
        <w:t>2.3 Search Strategy and Search Period</w:t>
      </w:r>
    </w:p>
    <w:p w14:paraId="402ED772" w14:textId="77777777" w:rsidR="006B1619" w:rsidRDefault="00000000">
      <w:r>
        <w:t xml:space="preserve">The principal search period extended from 1 January 2010 to 24 August 2026; an earlier foundational account of AmpC was retained to explain the mechanistic classification. The selected start date captures the transition towards modern clinical reports and genetic characterisation of carbapenemases in the Sri Lankan setting. The core concepts were combined with variants of the following expression: (“Sri Lanka” OR Sri Lankan) AND (Enterobacterales OR Enterobacteriaceae OR </w:t>
      </w:r>
      <w:r>
        <w:rPr>
          <w:i/>
        </w:rPr>
        <w:t>Escherichia coli</w:t>
      </w:r>
      <w:r>
        <w:t xml:space="preserve"> OR Klebsiella OR Enterobacter) AND (“extended-spectrum beta-lactamase” OR ESBL OR AmpC OR “third-generation cephalosporin resistance” OR carbapenemase OR “carbapenem resistance” OR NDM OR OXA-48 OR OXA-181 OR OXA-232 OR KPC). Supplementary combinations included urinary tract infection, bloodstream infection, intensive care, malignancy, faecal carriage, wastewater, livestock, molecular epidemiology, plasmid, diagnostic method, temporal trend and antimicrobial stewardship. Search language was adapted to each interface. The publication-date cut-off governed evidence selection, so later corrections or subsequently released studies were not presented as part of the evidence base.</w:t>
      </w:r>
    </w:p>
    <w:p w14:paraId="600BFEDD" w14:textId="77777777" w:rsidR="006B1619" w:rsidRDefault="00000000">
      <w:pPr>
        <w:pStyle w:val="Heading2"/>
      </w:pPr>
      <w:r>
        <w:t>2.4 Eligibility Criteria</w:t>
      </w:r>
    </w:p>
    <w:p w14:paraId="473D44F1" w14:textId="77777777" w:rsidR="006B1619" w:rsidRDefault="00000000">
      <w:r>
        <w:t>Eligible journal publications were original clinical, laboratory, molecular, population, animal or environmental studies with demonstrable relevance to the defined mechanisms in the Sri Lankan setting. Methodological reviews, major comparative reviews and international clinical guidance were included where they supplied a necessary interpretation of β-lactamases or evidence evaluation. Eligible institutional records were national surveillance and policy documents with identifiable issuing bodies. A source reporting nonsusceptibility to cephalosporins or carbapenems without confirmatory mechanisms could contribute to a phenotypic discussion, but not to claims about a particular enzyme genotype. Studies of species outside Enterobacterales were included only when needed to explain a surveillance or One Health boundary, not as numerator data for this review.</w:t>
      </w:r>
    </w:p>
    <w:p w14:paraId="148AB788" w14:textId="77777777" w:rsidR="006B1619" w:rsidRDefault="00000000">
      <w:r>
        <w:t>Only verifiable peer-reviewed articles and authoritative institutional sources were retained. Records without sufficient bibliographic identity, unsupported claims circulating in secondary summaries, conference poster abstracts lacking adequate methodological detail and reports of resistant bacteria in other countries without meaningful mechanistic context were excluded from direct evidentiary claims. No numerical data were imputed when denominators, breakpoints, specimen characteristics or genetic methods were unclear. English-language full texts and accessible English abstracts were used; this may underrepresent local-language or minimally indexed findings.</w:t>
      </w:r>
    </w:p>
    <w:p w14:paraId="28AF980D" w14:textId="77777777" w:rsidR="006B1619" w:rsidRDefault="00000000">
      <w:pPr>
        <w:pStyle w:val="Heading2"/>
      </w:pPr>
      <w:r>
        <w:t>2.5 Screening, Duplicate Handling and Study Selection</w:t>
      </w:r>
    </w:p>
    <w:p w14:paraId="7368F4AD" w14:textId="77777777" w:rsidR="006B1619" w:rsidRDefault="00000000">
      <w:r>
        <w:t xml:space="preserve">Records were considered initially for topic and country relevance, then assessed for an extractable study population, measurement definition and claim-specific usefulness. Where the same article appeared in an index, repository and journal website, it was treated as one study by comparison of DOI, title, authors and publication details. Distinct articles drawing on overlapping hospitals were not automatically assumed to represent independent populations, and closely related papers on the same isolate collection were interpreted with caution. No numerical search yield, exclusion count or full-text retrieval rate is reported because a formally </w:t>
      </w:r>
      <w:r>
        <w:lastRenderedPageBreak/>
        <w:t>logged systematic screening exercise was not undertaken. This restraint avoids misrepresenting a targeted narrative selection as a PRISMA-type systematic review.</w:t>
      </w:r>
    </w:p>
    <w:p w14:paraId="1C7F7567" w14:textId="77777777" w:rsidR="006B1619" w:rsidRDefault="00000000">
      <w:pPr>
        <w:pStyle w:val="Heading2"/>
      </w:pPr>
      <w:r>
        <w:t>2.6 Critical Appraisal and Evidence Synthesis</w:t>
      </w:r>
    </w:p>
    <w:p w14:paraId="60C7C144" w14:textId="77777777" w:rsidR="006B1619" w:rsidRDefault="00000000">
      <w:r>
        <w:t>Appraisal focused on sampling frame, culture indications, patient or isolate deduplication, geography, specimen mix, setting, recruitment period, denominator validity, susceptibility standards, phenotypic confirmation and whether sequence-based findings were corroborated. Where provided, clinical infection was distinguished from colonisation and molecular gene carriage. The possibility of selective culture ordering, tertiary referral, enrichment of resistant isolates, population movement and unequal access to diagnostics was considered when evaluating external validity. A numerical proportion was interpreted only alongside the denominator to which it applied. A temporal finding required repeated comparable samples or a robust design accounting for changes in ascertainment; unrelated cross-sectional snapshots were not recoded into a trend.</w:t>
      </w:r>
    </w:p>
    <w:p w14:paraId="6A4E272A" w14:textId="77777777" w:rsidR="006B1619" w:rsidRDefault="00000000">
      <w:r>
        <w:t>Synthesis was organised around enzyme mechanisms, clinical occurrence, co-production and diagnostic challenges, temporal interpretation, therapeutic consequences, environmental interfaces and surveillance design. Evidence categories were kept separate when assays tested different phenomena. Disagreements between reports were examined for plausible effects of case mix, species distribution, method and sampling rather than assumed to reflect biological change. The relative credibility of findings was stated qualitatively; no unsupported formal risk-of-bias score or pooled effect estimate was assigned. This approach is consistent with the primary purpose of critical narrative synthesis: to explain not only what has been observed, but the limits of what can be inferred from it (Baethge et al., 2019).</w:t>
      </w:r>
    </w:p>
    <w:p w14:paraId="534171D0" w14:textId="77777777" w:rsidR="006B1619" w:rsidRDefault="00000000">
      <w:pPr>
        <w:pStyle w:val="Heading1"/>
      </w:pPr>
      <w:r>
        <w:t>3. Resistance Mechanisms and Their Surveillance Meaning</w:t>
      </w:r>
    </w:p>
    <w:p w14:paraId="10B8268F" w14:textId="77777777" w:rsidR="006B1619" w:rsidRDefault="00000000">
      <w:pPr>
        <w:pStyle w:val="Heading2"/>
      </w:pPr>
      <w:r>
        <w:t>3.1 ESBL Activity Is Not a Single Molecular Phenotype</w:t>
      </w:r>
    </w:p>
    <w:p w14:paraId="03AC084E" w14:textId="77777777" w:rsidR="006B1619" w:rsidRDefault="00000000">
      <w:r>
        <w:t xml:space="preserve">ESBL-mediated resistance has gained prominence because extended-spectrum cephalosporins are used widely in infections caused by </w:t>
      </w:r>
      <w:r>
        <w:rPr>
          <w:i/>
        </w:rPr>
        <w:t>E. coli</w:t>
      </w:r>
      <w:r>
        <w:t xml:space="preserve"> and </w:t>
      </w:r>
      <w:r>
        <w:rPr>
          <w:i/>
        </w:rPr>
        <w:t>K. pneumoniae</w:t>
      </w:r>
      <w:r>
        <w:t>. The functional label describes hydrolysis of particular β-lactam substrates rather than a single genetic family. CTX-M variants occupy a central place in the contemporary global ESBL landscape, but variants within TEM, SHV and other families can yield distinct enzyme functions. Consequently, the detection of a named family alone does not necessarily establish its ESBL status unless the allele and functional consequences are known. A positive phenotypic confirmatory test supplies different information from a polymerase-chain-reaction signal and is subject to interference when additional β-lactamases are expressed (Bush &amp; Bradford, 2020; Jacoby, 2009).</w:t>
      </w:r>
    </w:p>
    <w:p w14:paraId="79C74F55" w14:textId="77777777" w:rsidR="006B1619" w:rsidRDefault="00000000">
      <w:r>
        <w:t>Sri Lankan urinary investigations provide substantial evidence of both ESBL activity and the presence of CTX-M determinants. In the western hospital investigation integrating phenotypic and genetic testing, CTX-M-15 was identified among the characterised ESBL determinants, while a southern community-associated urinary study supplied further genotype information in isolates originating outside purely inpatient care. These findings reinforce the clinical importance of CTX-M-like activity. They do not, however, demonstrate an island-wide CTX-M proportion because the contributing specimens came from defined healthcare catchments and the proportions depended on which isolates proceeded to molecular testing (V. Perera, Gamage, et al., 2022; Priyadharshana et al., 2019).</w:t>
      </w:r>
    </w:p>
    <w:p w14:paraId="6E3B5627" w14:textId="77777777" w:rsidR="006B1619" w:rsidRDefault="00000000">
      <w:r>
        <w:t xml:space="preserve">The practical surveillance problem is that an ESBL-positive urinary isolate has at least three relevant descriptions: its species, its antibiotic-specific susceptibility pattern and the demonstrated mechanism. The term ESBL should not be applied indiscriminately to every ceftriaxone-nonsusceptible isolate. Such </w:t>
      </w:r>
      <w:r>
        <w:lastRenderedPageBreak/>
        <w:t>nonsusceptibility may occur through AmpC, carbapenemases or other combinations of mechanisms, while co-existing resistance determinants can obscure an ESBL inhibitor effect. A mechanism-specific surveillance numerator therefore requires a defined laboratory algorithm, and a cephalosporin-resistance numerator must be labelled as a phenotypic proxy rather than renamed retrospectively (Bush &amp; Bradford, 2020; V. Perera et al., 2023).</w:t>
      </w:r>
    </w:p>
    <w:p w14:paraId="7565141F" w14:textId="77777777" w:rsidR="006B1619" w:rsidRDefault="00000000">
      <w:pPr>
        <w:pStyle w:val="Heading2"/>
      </w:pPr>
      <w:r>
        <w:t>3.2 AmpC Enzymes Complicate Both Detection and Inference</w:t>
      </w:r>
    </w:p>
    <w:p w14:paraId="41C1D023" w14:textId="77777777" w:rsidR="006B1619" w:rsidRDefault="00000000">
      <w:r>
        <w:t xml:space="preserve">AmpC β-lactamases are especially instructive because their biology undermines a simple resistant-versus-susceptible classification. Some Enterobacterales possess chromosomal ampC loci subject to inducible expression, while acquired plasmid-mediated variants appear in species without that inherent regulatory background. Clinical selection of derepressed mutants under β-lactam exposure and simultaneous carriage of ESBL determinants can shift susceptibility profiles. The behaviour of </w:t>
      </w:r>
      <w:r>
        <w:rPr>
          <w:i/>
        </w:rPr>
        <w:t>Enterobacter cloacae</w:t>
      </w:r>
      <w:r>
        <w:t xml:space="preserve"> complex, </w:t>
      </w:r>
      <w:r>
        <w:rPr>
          <w:i/>
        </w:rPr>
        <w:t>Citrobacter freundii</w:t>
      </w:r>
      <w:r>
        <w:t xml:space="preserve"> and </w:t>
      </w:r>
      <w:r>
        <w:rPr>
          <w:i/>
        </w:rPr>
        <w:t>Klebsiella aerogenes</w:t>
      </w:r>
      <w:r>
        <w:t xml:space="preserve"> differs in important respects from that of </w:t>
      </w:r>
      <w:r>
        <w:rPr>
          <w:i/>
        </w:rPr>
        <w:t>E. coli</w:t>
      </w:r>
      <w:r>
        <w:t xml:space="preserve"> bearing an acquired CMY-type enzyme. Interpretation must therefore incorporate species identity as well as assay performance (Jacoby, 2009; Tamma et al., 2019).</w:t>
      </w:r>
    </w:p>
    <w:p w14:paraId="435AB7B1" w14:textId="77777777" w:rsidR="006B1619" w:rsidRDefault="00000000">
      <w:r>
        <w:t>A western Sri Lankan study identified CMY-2, CMY-42, DHA-1 and ACT-1 among its urinary isolates, providing stronger evidence for mechanistic diversity than a generic statement that AmpC was present. Its reported AmpC proportion, however, represents the study's defined isolate collection, not all urinary infections in the country. Moreover, the existence of plasmid-mediated variants cannot be established by a phenotypic screen alone without molecular or other discriminating evidence. Where multiple β-lactamases coexist, tests designed for a simpler resistance profile may produce misleading assignments (V. Perera, Gamage, et al., 2022; V. Perera et al., 2023).</w:t>
      </w:r>
    </w:p>
    <w:p w14:paraId="0A45C723" w14:textId="77777777" w:rsidR="006B1619" w:rsidRDefault="00000000">
      <w:r>
        <w:t>In a clinical context, AmpC classification can alter choices among third-generation cephalosporins, cefepime and carbapenems, but clinical recommendations must take account of organism group, site and susceptibility rather than rely solely on a categorical AmpC flag. An enzyme can be relevant even when an initial susceptibility result appears favourable, especially for organisms at meaningful risk of inducible derepression. Conversely, assigning that risk to every species carrying a putative ampC marker is unwarranted. Current international guidance explicitly separates organism-specific AmpC risk from other β-lactamase categories, a distinction that Sri Lankan microbiology reports could adopt without necessarily increasing routine testing costs (Tamma et al., 2019; Tamma et al., 2026).</w:t>
      </w:r>
    </w:p>
    <w:p w14:paraId="31F54848" w14:textId="77777777" w:rsidR="006B1619" w:rsidRDefault="00000000">
      <w:pPr>
        <w:pStyle w:val="Heading2"/>
      </w:pPr>
      <w:r>
        <w:t>3.3 Carbapenem Resistance Includes Enzymatic and Non-enzymatic Routes</w:t>
      </w:r>
    </w:p>
    <w:p w14:paraId="29E2BF56" w14:textId="77777777" w:rsidR="006B1619" w:rsidRDefault="00000000">
      <w:r>
        <w:t>Carbapenem-resistant Enterobacterales (CRE) are defined by a susceptibility phenotype against relevant carbapenem agents, whereas carbapenemase-producing Enterobacterales (CPE) are defined by demonstrable carbapenem-hydrolysing enzymes. Important carbapenemases include class A KPC, class B metallo-β-lactamases such as NDM and VIM, and class D OXA-48-like enzymes. Different genes create different inhibitor susceptibilities and diagnostic blind spots. Reduced outer-membrane permeability may amplify the effects of ESBL or AmpC activity and produce substantial carbapenem nonsusceptibility even in the absence of a detected carbapenemase. The two categories overlap extensively but must not be reported as synonyms (Bonomo et al., 2018; Poirel et al., 2012).</w:t>
      </w:r>
    </w:p>
    <w:p w14:paraId="7AD2FD29" w14:textId="77777777" w:rsidR="006B1619" w:rsidRDefault="00000000">
      <w:r>
        <w:t xml:space="preserve">Carbapenemase diversification in Sri Lanka is not merely speculative. A molecular study of 22 carbapenem-resistant </w:t>
      </w:r>
      <w:r>
        <w:rPr>
          <w:i/>
        </w:rPr>
        <w:t>K. pneumoniae</w:t>
      </w:r>
      <w:r>
        <w:t xml:space="preserve"> described OXA-181 and NDM-1 alongside CTX-M-15, with different sequence types and porin alterations. Whole-genome sequencing in a separate intensive-care collection subsequently found OXA-</w:t>
      </w:r>
      <w:r>
        <w:lastRenderedPageBreak/>
        <w:t xml:space="preserve">181 in selected </w:t>
      </w:r>
      <w:r>
        <w:rPr>
          <w:i/>
        </w:rPr>
        <w:t>K. pneumoniae</w:t>
      </w:r>
      <w:r>
        <w:t>, with plasmid contexts and resistance-associated permeability changes. A later mixed-specimen hospital investigation also detected KPC alongside OXA-48-like and NDM genes, showing that it would be incorrect to describe the local carbapenemase landscape as comprising a single enzyme family (Hall et al., 2014; Kumudunie et al., 2020; Zhu et al., 2018).</w:t>
      </w:r>
    </w:p>
    <w:p w14:paraId="0B471392" w14:textId="77777777" w:rsidR="006B1619" w:rsidRDefault="00000000">
      <w:r>
        <w:t>These demonstrations require careful qualification. First, the presence of multiple alleles in a hospital or high-risk collection does not establish how common they are in the community. Second, OXA-48-like enzymes vary in their apparent activity against different carbapenems, and some phenotypic screening methods may fail to flag producers without ancillary resistance mechanisms. Third, genes can coexist within an isolate. A denominator of carbapenemase-positive organisms cannot be converted into a distribution summing to 100% when organisms carry more than one gene; the 2020 Sri Lankan study, for instance, identified more carbapenemase gene occurrences than carbapenemase-producing isolates. These properties make explicit gene-versus-isolate denominators essential (Kumudunie et al., 2020; Pitout et al., 2019).</w:t>
      </w:r>
    </w:p>
    <w:p w14:paraId="40C67D50" w14:textId="77777777" w:rsidR="006B1619" w:rsidRDefault="00000000">
      <w:pPr>
        <w:pStyle w:val="Heading2"/>
      </w:pPr>
      <w:r>
        <w:t>3.4 Co-production and Permeability Create Layered Resistance</w:t>
      </w:r>
    </w:p>
    <w:p w14:paraId="19C24586" w14:textId="77777777" w:rsidR="006B1619" w:rsidRDefault="00000000">
      <w:r>
        <w:t xml:space="preserve">An Enterobacterales isolate can carry an ESBL gene, an acquired AmpC gene and a carbapenemase while also exhibiting porin changes and non-β-lactam resistance. The resulting phenotype is not an additive readout of gene presence: expression levels, substrate affinity, permeability, efflux and antibiotic concentrations interact. Early Sri Lankan </w:t>
      </w:r>
      <w:r>
        <w:rPr>
          <w:i/>
        </w:rPr>
        <w:t>K. pneumoniae</w:t>
      </w:r>
      <w:r>
        <w:t xml:space="preserve"> work linked a particular ompK36 alteration with greater meropenem minimum inhibitory concentrations within a small selected collection. Later studies characterised multi-gene combinations among resistant urinary and other isolates. Such findings support an interaction-based mechanistic interpretation, but the strength of specific molecular associations should not be inflated into a validated population-level causal pathway (Hall et al., 2014; V. Perera et al., 2024).</w:t>
      </w:r>
    </w:p>
    <w:p w14:paraId="4CF1E8E4" w14:textId="77777777" w:rsidR="006B1619" w:rsidRDefault="00000000">
      <w:r>
        <w:t>For surveillance, a hierarchy of certainty is preferable to a single ESBL/AmpC/CRE label. Antibiotic-specific disk-diffusion or minimum inhibitory concentration results establish observed phenotypic susceptibility under a given standard. Inhibitor tests and carbapenem inactivation tests provide presumptive or confirmatory functional evidence according to their validated scope. Gene assays demonstrate selected sequence targets; whole-genome sequencing can interrogate broader alleles and genetic context but does not automatically establish enzyme expression or transmissibility. Documenting which level was actually measured permits meaningful comparison across laboratories and across successive surveillance periods (V. Perera et al., 2023; Pierce et al., 2017).</w:t>
      </w:r>
    </w:p>
    <w:p w14:paraId="77804A0B" w14:textId="77777777" w:rsidR="006B1619" w:rsidRDefault="00000000">
      <w:r>
        <w:t>Table 1 consolidates these categories as surveillance constructs rather than merely as biochemical definitions. Its central implication is that different assays answer different questions: a study recording ceftriaxone nonsusceptibility cannot be pooled directly with one recording confirmed CTX-M production, and a carbapenemase gene frequency cannot be substituted for the rate of carbapenem-resistant clinical infection. This distinction is the starting point for interpreting the Sri Lankan evidence.</w:t>
      </w:r>
    </w:p>
    <w:p w14:paraId="0FA57253" w14:textId="77777777" w:rsidR="006B1619" w:rsidRDefault="00000000">
      <w:pPr>
        <w:pStyle w:val="TableCaption"/>
      </w:pPr>
      <w:r>
        <w:t>Table 1. Distinct constructs underlying β-lactam resistance reports and their comparability limits</w:t>
      </w:r>
    </w:p>
    <w:tbl>
      <w:tblPr>
        <w:tblW w:w="0" w:type="auto"/>
        <w:jc w:val="center"/>
        <w:tblLayout w:type="fixed"/>
        <w:tblLook w:val="04A0" w:firstRow="1" w:lastRow="0" w:firstColumn="1" w:lastColumn="0" w:noHBand="0" w:noVBand="1"/>
      </w:tblPr>
      <w:tblGrid>
        <w:gridCol w:w="1613"/>
        <w:gridCol w:w="1987"/>
        <w:gridCol w:w="2333"/>
        <w:gridCol w:w="2549"/>
        <w:gridCol w:w="1598"/>
      </w:tblGrid>
      <w:tr w:rsidR="006B1619" w14:paraId="7CE0DB07" w14:textId="77777777">
        <w:trPr>
          <w:cantSplit/>
          <w:tblHeader/>
          <w:jc w:val="center"/>
        </w:trPr>
        <w:tc>
          <w:tcPr>
            <w:tcW w:w="1613" w:type="dxa"/>
            <w:shd w:val="clear" w:color="auto" w:fill="E7EBEF"/>
            <w:tcMar>
              <w:top w:w="80" w:type="dxa"/>
              <w:left w:w="90" w:type="dxa"/>
              <w:bottom w:w="90" w:type="dxa"/>
              <w:right w:w="75" w:type="dxa"/>
            </w:tcMar>
            <w:vAlign w:val="center"/>
          </w:tcPr>
          <w:p w14:paraId="591F8409" w14:textId="77777777" w:rsidR="006B1619" w:rsidRDefault="00000000">
            <w:pPr>
              <w:spacing w:after="0" w:line="250" w:lineRule="auto"/>
              <w:jc w:val="left"/>
            </w:pPr>
            <w:r>
              <w:rPr>
                <w:b/>
                <w:sz w:val="16"/>
              </w:rPr>
              <w:t>Construct</w:t>
            </w:r>
          </w:p>
        </w:tc>
        <w:tc>
          <w:tcPr>
            <w:tcW w:w="1987" w:type="dxa"/>
            <w:shd w:val="clear" w:color="auto" w:fill="E7EBEF"/>
            <w:tcMar>
              <w:top w:w="80" w:type="dxa"/>
              <w:left w:w="90" w:type="dxa"/>
              <w:bottom w:w="90" w:type="dxa"/>
              <w:right w:w="75" w:type="dxa"/>
            </w:tcMar>
            <w:vAlign w:val="center"/>
          </w:tcPr>
          <w:p w14:paraId="29193BB7" w14:textId="77777777" w:rsidR="006B1619" w:rsidRDefault="00000000">
            <w:pPr>
              <w:spacing w:after="0" w:line="250" w:lineRule="auto"/>
              <w:jc w:val="left"/>
            </w:pPr>
            <w:r>
              <w:rPr>
                <w:b/>
                <w:sz w:val="16"/>
              </w:rPr>
              <w:t>What it establishes</w:t>
            </w:r>
          </w:p>
        </w:tc>
        <w:tc>
          <w:tcPr>
            <w:tcW w:w="2333" w:type="dxa"/>
            <w:shd w:val="clear" w:color="auto" w:fill="E7EBEF"/>
            <w:tcMar>
              <w:top w:w="80" w:type="dxa"/>
              <w:left w:w="90" w:type="dxa"/>
              <w:bottom w:w="90" w:type="dxa"/>
              <w:right w:w="75" w:type="dxa"/>
            </w:tcMar>
            <w:vAlign w:val="center"/>
          </w:tcPr>
          <w:p w14:paraId="4814AB47" w14:textId="77777777" w:rsidR="006B1619" w:rsidRDefault="00000000">
            <w:pPr>
              <w:spacing w:after="0" w:line="250" w:lineRule="auto"/>
              <w:jc w:val="left"/>
            </w:pPr>
            <w:r>
              <w:rPr>
                <w:b/>
                <w:sz w:val="16"/>
              </w:rPr>
              <w:t>Appropriate evidence</w:t>
            </w:r>
          </w:p>
        </w:tc>
        <w:tc>
          <w:tcPr>
            <w:tcW w:w="2549" w:type="dxa"/>
            <w:shd w:val="clear" w:color="auto" w:fill="E7EBEF"/>
            <w:tcMar>
              <w:top w:w="80" w:type="dxa"/>
              <w:left w:w="90" w:type="dxa"/>
              <w:bottom w:w="90" w:type="dxa"/>
              <w:right w:w="75" w:type="dxa"/>
            </w:tcMar>
            <w:vAlign w:val="center"/>
          </w:tcPr>
          <w:p w14:paraId="5BFBADCA" w14:textId="77777777" w:rsidR="006B1619" w:rsidRDefault="00000000">
            <w:pPr>
              <w:spacing w:after="0" w:line="250" w:lineRule="auto"/>
              <w:jc w:val="left"/>
            </w:pPr>
            <w:r>
              <w:rPr>
                <w:b/>
                <w:sz w:val="16"/>
              </w:rPr>
              <w:t>Reason estimates diverge</w:t>
            </w:r>
          </w:p>
        </w:tc>
        <w:tc>
          <w:tcPr>
            <w:tcW w:w="1598" w:type="dxa"/>
            <w:shd w:val="clear" w:color="auto" w:fill="E7EBEF"/>
            <w:tcMar>
              <w:top w:w="80" w:type="dxa"/>
              <w:left w:w="90" w:type="dxa"/>
              <w:bottom w:w="90" w:type="dxa"/>
              <w:right w:w="75" w:type="dxa"/>
            </w:tcMar>
            <w:vAlign w:val="center"/>
          </w:tcPr>
          <w:p w14:paraId="614706E8" w14:textId="77777777" w:rsidR="006B1619" w:rsidRDefault="00000000">
            <w:pPr>
              <w:spacing w:after="0" w:line="250" w:lineRule="auto"/>
              <w:jc w:val="left"/>
            </w:pPr>
            <w:r>
              <w:rPr>
                <w:b/>
                <w:sz w:val="16"/>
              </w:rPr>
              <w:t>Supporting references</w:t>
            </w:r>
          </w:p>
        </w:tc>
      </w:tr>
      <w:tr w:rsidR="006B1619" w14:paraId="777D5D60" w14:textId="77777777">
        <w:trPr>
          <w:cantSplit/>
          <w:jc w:val="center"/>
        </w:trPr>
        <w:tc>
          <w:tcPr>
            <w:tcW w:w="1613" w:type="dxa"/>
            <w:tcMar>
              <w:top w:w="65" w:type="dxa"/>
              <w:left w:w="90" w:type="dxa"/>
              <w:bottom w:w="70" w:type="dxa"/>
              <w:right w:w="75" w:type="dxa"/>
            </w:tcMar>
            <w:vAlign w:val="center"/>
          </w:tcPr>
          <w:p w14:paraId="593F9932" w14:textId="77777777" w:rsidR="006B1619" w:rsidRDefault="00000000">
            <w:pPr>
              <w:spacing w:after="0" w:line="254" w:lineRule="auto"/>
              <w:jc w:val="left"/>
            </w:pPr>
            <w:r>
              <w:rPr>
                <w:sz w:val="16"/>
              </w:rPr>
              <w:t>ESBL-producing Enterobacterales</w:t>
            </w:r>
          </w:p>
        </w:tc>
        <w:tc>
          <w:tcPr>
            <w:tcW w:w="1987" w:type="dxa"/>
            <w:tcMar>
              <w:top w:w="65" w:type="dxa"/>
              <w:left w:w="90" w:type="dxa"/>
              <w:bottom w:w="70" w:type="dxa"/>
              <w:right w:w="75" w:type="dxa"/>
            </w:tcMar>
            <w:vAlign w:val="center"/>
          </w:tcPr>
          <w:p w14:paraId="77E50487" w14:textId="77777777" w:rsidR="006B1619" w:rsidRDefault="00000000">
            <w:pPr>
              <w:spacing w:after="0" w:line="254" w:lineRule="auto"/>
              <w:jc w:val="left"/>
            </w:pPr>
            <w:r>
              <w:rPr>
                <w:sz w:val="16"/>
              </w:rPr>
              <w:t>Extended-spectrum cephalosporin hydrolysis associated with an ESBL phenotype</w:t>
            </w:r>
          </w:p>
        </w:tc>
        <w:tc>
          <w:tcPr>
            <w:tcW w:w="2333" w:type="dxa"/>
            <w:tcMar>
              <w:top w:w="65" w:type="dxa"/>
              <w:left w:w="90" w:type="dxa"/>
              <w:bottom w:w="70" w:type="dxa"/>
              <w:right w:w="75" w:type="dxa"/>
            </w:tcMar>
            <w:vAlign w:val="center"/>
          </w:tcPr>
          <w:p w14:paraId="27EBA86E" w14:textId="77777777" w:rsidR="006B1619" w:rsidRDefault="00000000">
            <w:pPr>
              <w:spacing w:after="0" w:line="254" w:lineRule="auto"/>
              <w:jc w:val="left"/>
            </w:pPr>
            <w:r>
              <w:rPr>
                <w:sz w:val="16"/>
              </w:rPr>
              <w:t>Validated inhibitor-based phenotyping; allele-resolved molecular testing when available</w:t>
            </w:r>
          </w:p>
        </w:tc>
        <w:tc>
          <w:tcPr>
            <w:tcW w:w="2549" w:type="dxa"/>
            <w:tcMar>
              <w:top w:w="65" w:type="dxa"/>
              <w:left w:w="90" w:type="dxa"/>
              <w:bottom w:w="70" w:type="dxa"/>
              <w:right w:w="75" w:type="dxa"/>
            </w:tcMar>
            <w:vAlign w:val="center"/>
          </w:tcPr>
          <w:p w14:paraId="16A94154" w14:textId="77777777" w:rsidR="006B1619" w:rsidRDefault="00000000">
            <w:pPr>
              <w:spacing w:after="0" w:line="254" w:lineRule="auto"/>
              <w:jc w:val="left"/>
            </w:pPr>
            <w:r>
              <w:rPr>
                <w:sz w:val="16"/>
              </w:rPr>
              <w:t>Ceftriaxone resistance is not equivalent to an ESBL mechanism; AmpC co-production can mask inhibitor effects</w:t>
            </w:r>
          </w:p>
        </w:tc>
        <w:tc>
          <w:tcPr>
            <w:tcW w:w="1598" w:type="dxa"/>
            <w:tcMar>
              <w:top w:w="65" w:type="dxa"/>
              <w:left w:w="90" w:type="dxa"/>
              <w:bottom w:w="70" w:type="dxa"/>
              <w:right w:w="75" w:type="dxa"/>
            </w:tcMar>
            <w:vAlign w:val="center"/>
          </w:tcPr>
          <w:p w14:paraId="763C0449" w14:textId="77777777" w:rsidR="006B1619" w:rsidRDefault="00000000">
            <w:pPr>
              <w:spacing w:after="0" w:line="254" w:lineRule="auto"/>
              <w:jc w:val="left"/>
            </w:pPr>
            <w:r>
              <w:rPr>
                <w:sz w:val="16"/>
              </w:rPr>
              <w:t>Bush &amp; Bradford (2020); V. Perera et al. (2023)</w:t>
            </w:r>
          </w:p>
        </w:tc>
      </w:tr>
      <w:tr w:rsidR="006B1619" w14:paraId="2A1D9953" w14:textId="77777777">
        <w:trPr>
          <w:cantSplit/>
          <w:jc w:val="center"/>
        </w:trPr>
        <w:tc>
          <w:tcPr>
            <w:tcW w:w="1613" w:type="dxa"/>
            <w:tcMar>
              <w:top w:w="65" w:type="dxa"/>
              <w:left w:w="90" w:type="dxa"/>
              <w:bottom w:w="70" w:type="dxa"/>
              <w:right w:w="75" w:type="dxa"/>
            </w:tcMar>
            <w:vAlign w:val="center"/>
          </w:tcPr>
          <w:p w14:paraId="1F742BA1" w14:textId="77777777" w:rsidR="006B1619" w:rsidRDefault="00000000">
            <w:pPr>
              <w:spacing w:after="0" w:line="254" w:lineRule="auto"/>
              <w:jc w:val="left"/>
            </w:pPr>
            <w:r>
              <w:rPr>
                <w:sz w:val="16"/>
              </w:rPr>
              <w:lastRenderedPageBreak/>
              <w:t>AmpC-producing Enterobacterales</w:t>
            </w:r>
          </w:p>
        </w:tc>
        <w:tc>
          <w:tcPr>
            <w:tcW w:w="1987" w:type="dxa"/>
            <w:tcMar>
              <w:top w:w="65" w:type="dxa"/>
              <w:left w:w="90" w:type="dxa"/>
              <w:bottom w:w="70" w:type="dxa"/>
              <w:right w:w="75" w:type="dxa"/>
            </w:tcMar>
            <w:vAlign w:val="center"/>
          </w:tcPr>
          <w:p w14:paraId="46BA8DCA" w14:textId="77777777" w:rsidR="006B1619" w:rsidRDefault="00000000">
            <w:pPr>
              <w:spacing w:after="0" w:line="254" w:lineRule="auto"/>
              <w:jc w:val="left"/>
            </w:pPr>
            <w:r>
              <w:rPr>
                <w:sz w:val="16"/>
              </w:rPr>
              <w:t>AmpC activity, which may be inducible, derepressed or plasmid-mediated</w:t>
            </w:r>
          </w:p>
        </w:tc>
        <w:tc>
          <w:tcPr>
            <w:tcW w:w="2333" w:type="dxa"/>
            <w:tcMar>
              <w:top w:w="65" w:type="dxa"/>
              <w:left w:w="90" w:type="dxa"/>
              <w:bottom w:w="70" w:type="dxa"/>
              <w:right w:w="75" w:type="dxa"/>
            </w:tcMar>
            <w:vAlign w:val="center"/>
          </w:tcPr>
          <w:p w14:paraId="7DDE511A" w14:textId="77777777" w:rsidR="006B1619" w:rsidRDefault="00000000">
            <w:pPr>
              <w:spacing w:after="0" w:line="254" w:lineRule="auto"/>
              <w:jc w:val="left"/>
            </w:pPr>
            <w:r>
              <w:rPr>
                <w:sz w:val="16"/>
              </w:rPr>
              <w:t>Species-aware assays and, for acquired variants, genotypic confirmation</w:t>
            </w:r>
          </w:p>
        </w:tc>
        <w:tc>
          <w:tcPr>
            <w:tcW w:w="2549" w:type="dxa"/>
            <w:tcMar>
              <w:top w:w="65" w:type="dxa"/>
              <w:left w:w="90" w:type="dxa"/>
              <w:bottom w:w="70" w:type="dxa"/>
              <w:right w:w="75" w:type="dxa"/>
            </w:tcMar>
            <w:vAlign w:val="center"/>
          </w:tcPr>
          <w:p w14:paraId="54DA40AA" w14:textId="77777777" w:rsidR="006B1619" w:rsidRDefault="00000000">
            <w:pPr>
              <w:spacing w:after="0" w:line="254" w:lineRule="auto"/>
              <w:jc w:val="left"/>
            </w:pPr>
            <w:r>
              <w:rPr>
                <w:sz w:val="16"/>
              </w:rPr>
              <w:t>Species background and co-produced enzymes determine screening performance</w:t>
            </w:r>
          </w:p>
        </w:tc>
        <w:tc>
          <w:tcPr>
            <w:tcW w:w="1598" w:type="dxa"/>
            <w:tcMar>
              <w:top w:w="65" w:type="dxa"/>
              <w:left w:w="90" w:type="dxa"/>
              <w:bottom w:w="70" w:type="dxa"/>
              <w:right w:w="75" w:type="dxa"/>
            </w:tcMar>
            <w:vAlign w:val="center"/>
          </w:tcPr>
          <w:p w14:paraId="53EF9B17" w14:textId="77777777" w:rsidR="006B1619" w:rsidRDefault="00000000">
            <w:pPr>
              <w:spacing w:after="0" w:line="254" w:lineRule="auto"/>
              <w:jc w:val="left"/>
            </w:pPr>
            <w:r>
              <w:rPr>
                <w:sz w:val="16"/>
              </w:rPr>
              <w:t>Jacoby (2009); Tamma et al. (2019)</w:t>
            </w:r>
          </w:p>
        </w:tc>
      </w:tr>
      <w:tr w:rsidR="006B1619" w14:paraId="4AC30C57" w14:textId="77777777">
        <w:trPr>
          <w:cantSplit/>
          <w:jc w:val="center"/>
        </w:trPr>
        <w:tc>
          <w:tcPr>
            <w:tcW w:w="1613" w:type="dxa"/>
            <w:tcMar>
              <w:top w:w="65" w:type="dxa"/>
              <w:left w:w="90" w:type="dxa"/>
              <w:bottom w:w="70" w:type="dxa"/>
              <w:right w:w="75" w:type="dxa"/>
            </w:tcMar>
            <w:vAlign w:val="center"/>
          </w:tcPr>
          <w:p w14:paraId="4C8FC212" w14:textId="77777777" w:rsidR="006B1619" w:rsidRDefault="00000000">
            <w:pPr>
              <w:spacing w:after="0" w:line="254" w:lineRule="auto"/>
              <w:jc w:val="left"/>
            </w:pPr>
            <w:r>
              <w:rPr>
                <w:sz w:val="16"/>
              </w:rPr>
              <w:t>CRE phenotype</w:t>
            </w:r>
          </w:p>
        </w:tc>
        <w:tc>
          <w:tcPr>
            <w:tcW w:w="1987" w:type="dxa"/>
            <w:tcMar>
              <w:top w:w="65" w:type="dxa"/>
              <w:left w:w="90" w:type="dxa"/>
              <w:bottom w:w="70" w:type="dxa"/>
              <w:right w:w="75" w:type="dxa"/>
            </w:tcMar>
            <w:vAlign w:val="center"/>
          </w:tcPr>
          <w:p w14:paraId="4214F9DE" w14:textId="77777777" w:rsidR="006B1619" w:rsidRDefault="00000000">
            <w:pPr>
              <w:spacing w:after="0" w:line="254" w:lineRule="auto"/>
              <w:jc w:val="left"/>
            </w:pPr>
            <w:r>
              <w:rPr>
                <w:sz w:val="16"/>
              </w:rPr>
              <w:t>Nonsusceptibility or resistance to relevant carbapenem agents under defined breakpoints</w:t>
            </w:r>
          </w:p>
        </w:tc>
        <w:tc>
          <w:tcPr>
            <w:tcW w:w="2333" w:type="dxa"/>
            <w:tcMar>
              <w:top w:w="65" w:type="dxa"/>
              <w:left w:w="90" w:type="dxa"/>
              <w:bottom w:w="70" w:type="dxa"/>
              <w:right w:w="75" w:type="dxa"/>
            </w:tcMar>
            <w:vAlign w:val="center"/>
          </w:tcPr>
          <w:p w14:paraId="39C27E82" w14:textId="77777777" w:rsidR="006B1619" w:rsidRDefault="00000000">
            <w:pPr>
              <w:spacing w:after="0" w:line="254" w:lineRule="auto"/>
              <w:jc w:val="left"/>
            </w:pPr>
            <w:r>
              <w:rPr>
                <w:sz w:val="16"/>
              </w:rPr>
              <w:t>Drug-specific susceptibility results, with interpretive standard and species stated</w:t>
            </w:r>
          </w:p>
        </w:tc>
        <w:tc>
          <w:tcPr>
            <w:tcW w:w="2549" w:type="dxa"/>
            <w:tcMar>
              <w:top w:w="65" w:type="dxa"/>
              <w:left w:w="90" w:type="dxa"/>
              <w:bottom w:w="70" w:type="dxa"/>
              <w:right w:w="75" w:type="dxa"/>
            </w:tcMar>
            <w:vAlign w:val="center"/>
          </w:tcPr>
          <w:p w14:paraId="757C184A" w14:textId="77777777" w:rsidR="006B1619" w:rsidRDefault="00000000">
            <w:pPr>
              <w:spacing w:after="0" w:line="254" w:lineRule="auto"/>
              <w:jc w:val="left"/>
            </w:pPr>
            <w:r>
              <w:rPr>
                <w:sz w:val="16"/>
              </w:rPr>
              <w:t>CRE may arise without carbapenemase production</w:t>
            </w:r>
          </w:p>
        </w:tc>
        <w:tc>
          <w:tcPr>
            <w:tcW w:w="1598" w:type="dxa"/>
            <w:tcMar>
              <w:top w:w="65" w:type="dxa"/>
              <w:left w:w="90" w:type="dxa"/>
              <w:bottom w:w="70" w:type="dxa"/>
              <w:right w:w="75" w:type="dxa"/>
            </w:tcMar>
            <w:vAlign w:val="center"/>
          </w:tcPr>
          <w:p w14:paraId="34BCD1A2" w14:textId="77777777" w:rsidR="006B1619" w:rsidRDefault="00000000">
            <w:pPr>
              <w:spacing w:after="0" w:line="254" w:lineRule="auto"/>
              <w:jc w:val="left"/>
            </w:pPr>
            <w:r>
              <w:rPr>
                <w:sz w:val="16"/>
              </w:rPr>
              <w:t>Bonomo et al. (2018); Nordmann et al. (2012)</w:t>
            </w:r>
          </w:p>
        </w:tc>
      </w:tr>
      <w:tr w:rsidR="006B1619" w14:paraId="520B7F88" w14:textId="77777777">
        <w:trPr>
          <w:cantSplit/>
          <w:jc w:val="center"/>
        </w:trPr>
        <w:tc>
          <w:tcPr>
            <w:tcW w:w="1613" w:type="dxa"/>
            <w:tcMar>
              <w:top w:w="65" w:type="dxa"/>
              <w:left w:w="90" w:type="dxa"/>
              <w:bottom w:w="70" w:type="dxa"/>
              <w:right w:w="75" w:type="dxa"/>
            </w:tcMar>
            <w:vAlign w:val="center"/>
          </w:tcPr>
          <w:p w14:paraId="37BD534D" w14:textId="77777777" w:rsidR="006B1619" w:rsidRDefault="00000000">
            <w:pPr>
              <w:spacing w:after="0" w:line="254" w:lineRule="auto"/>
              <w:jc w:val="left"/>
            </w:pPr>
            <w:r>
              <w:rPr>
                <w:sz w:val="16"/>
              </w:rPr>
              <w:t>CPE mechanism</w:t>
            </w:r>
          </w:p>
        </w:tc>
        <w:tc>
          <w:tcPr>
            <w:tcW w:w="1987" w:type="dxa"/>
            <w:tcMar>
              <w:top w:w="65" w:type="dxa"/>
              <w:left w:w="90" w:type="dxa"/>
              <w:bottom w:w="70" w:type="dxa"/>
              <w:right w:w="75" w:type="dxa"/>
            </w:tcMar>
            <w:vAlign w:val="center"/>
          </w:tcPr>
          <w:p w14:paraId="753187D0" w14:textId="77777777" w:rsidR="006B1619" w:rsidRDefault="00000000">
            <w:pPr>
              <w:spacing w:after="0" w:line="254" w:lineRule="auto"/>
              <w:jc w:val="left"/>
            </w:pPr>
            <w:r>
              <w:rPr>
                <w:sz w:val="16"/>
              </w:rPr>
              <w:t>Demonstrated carbapenemase activity or a functionally relevant enzyme determinant</w:t>
            </w:r>
          </w:p>
        </w:tc>
        <w:tc>
          <w:tcPr>
            <w:tcW w:w="2333" w:type="dxa"/>
            <w:tcMar>
              <w:top w:w="65" w:type="dxa"/>
              <w:left w:w="90" w:type="dxa"/>
              <w:bottom w:w="70" w:type="dxa"/>
              <w:right w:w="75" w:type="dxa"/>
            </w:tcMar>
            <w:vAlign w:val="center"/>
          </w:tcPr>
          <w:p w14:paraId="08342469" w14:textId="77777777" w:rsidR="006B1619" w:rsidRDefault="00000000">
            <w:pPr>
              <w:spacing w:after="0" w:line="254" w:lineRule="auto"/>
              <w:jc w:val="left"/>
            </w:pPr>
            <w:r>
              <w:rPr>
                <w:sz w:val="16"/>
              </w:rPr>
              <w:t>Carbapenemase activity test; target gene assay and/or sequence interpretation</w:t>
            </w:r>
          </w:p>
        </w:tc>
        <w:tc>
          <w:tcPr>
            <w:tcW w:w="2549" w:type="dxa"/>
            <w:tcMar>
              <w:top w:w="65" w:type="dxa"/>
              <w:left w:w="90" w:type="dxa"/>
              <w:bottom w:w="70" w:type="dxa"/>
              <w:right w:w="75" w:type="dxa"/>
            </w:tcMar>
            <w:vAlign w:val="center"/>
          </w:tcPr>
          <w:p w14:paraId="53658EB5" w14:textId="77777777" w:rsidR="006B1619" w:rsidRDefault="00000000">
            <w:pPr>
              <w:spacing w:after="0" w:line="254" w:lineRule="auto"/>
              <w:jc w:val="left"/>
            </w:pPr>
            <w:r>
              <w:rPr>
                <w:sz w:val="16"/>
              </w:rPr>
              <w:t>CPE and CRE overlap substantially; producers with low MICs may escape phenotypic CRE screening</w:t>
            </w:r>
          </w:p>
        </w:tc>
        <w:tc>
          <w:tcPr>
            <w:tcW w:w="1598" w:type="dxa"/>
            <w:tcMar>
              <w:top w:w="65" w:type="dxa"/>
              <w:left w:w="90" w:type="dxa"/>
              <w:bottom w:w="70" w:type="dxa"/>
              <w:right w:w="75" w:type="dxa"/>
            </w:tcMar>
            <w:vAlign w:val="center"/>
          </w:tcPr>
          <w:p w14:paraId="7A20A94A" w14:textId="77777777" w:rsidR="006B1619" w:rsidRDefault="00000000">
            <w:pPr>
              <w:spacing w:after="0" w:line="254" w:lineRule="auto"/>
              <w:jc w:val="left"/>
            </w:pPr>
            <w:r>
              <w:rPr>
                <w:sz w:val="16"/>
              </w:rPr>
              <w:t>Pierce et al. (2017); Poirel et al. (2012)</w:t>
            </w:r>
          </w:p>
        </w:tc>
      </w:tr>
      <w:tr w:rsidR="006B1619" w14:paraId="6952D067" w14:textId="77777777">
        <w:trPr>
          <w:cantSplit/>
          <w:jc w:val="center"/>
        </w:trPr>
        <w:tc>
          <w:tcPr>
            <w:tcW w:w="1613" w:type="dxa"/>
            <w:tcMar>
              <w:top w:w="65" w:type="dxa"/>
              <w:left w:w="90" w:type="dxa"/>
              <w:bottom w:w="70" w:type="dxa"/>
              <w:right w:w="75" w:type="dxa"/>
            </w:tcMar>
            <w:vAlign w:val="center"/>
          </w:tcPr>
          <w:p w14:paraId="1E2863CB" w14:textId="77777777" w:rsidR="006B1619" w:rsidRDefault="00000000">
            <w:pPr>
              <w:spacing w:after="0" w:line="254" w:lineRule="auto"/>
              <w:jc w:val="left"/>
            </w:pPr>
            <w:r>
              <w:rPr>
                <w:sz w:val="16"/>
              </w:rPr>
              <w:t>Gene-family detection</w:t>
            </w:r>
          </w:p>
        </w:tc>
        <w:tc>
          <w:tcPr>
            <w:tcW w:w="1987" w:type="dxa"/>
            <w:tcMar>
              <w:top w:w="65" w:type="dxa"/>
              <w:left w:w="90" w:type="dxa"/>
              <w:bottom w:w="70" w:type="dxa"/>
              <w:right w:w="75" w:type="dxa"/>
            </w:tcMar>
            <w:vAlign w:val="center"/>
          </w:tcPr>
          <w:p w14:paraId="0E891EFE" w14:textId="77777777" w:rsidR="006B1619" w:rsidRDefault="00000000">
            <w:pPr>
              <w:spacing w:after="0" w:line="254" w:lineRule="auto"/>
              <w:jc w:val="left"/>
            </w:pPr>
            <w:r>
              <w:rPr>
                <w:sz w:val="16"/>
              </w:rPr>
              <w:t>Presence of a tested sequence target, sometimes without exact allele resolution</w:t>
            </w:r>
          </w:p>
        </w:tc>
        <w:tc>
          <w:tcPr>
            <w:tcW w:w="2333" w:type="dxa"/>
            <w:tcMar>
              <w:top w:w="65" w:type="dxa"/>
              <w:left w:w="90" w:type="dxa"/>
              <w:bottom w:w="70" w:type="dxa"/>
              <w:right w:w="75" w:type="dxa"/>
            </w:tcMar>
            <w:vAlign w:val="center"/>
          </w:tcPr>
          <w:p w14:paraId="3D76AB40" w14:textId="77777777" w:rsidR="006B1619" w:rsidRDefault="00000000">
            <w:pPr>
              <w:spacing w:after="0" w:line="254" w:lineRule="auto"/>
              <w:jc w:val="left"/>
            </w:pPr>
            <w:r>
              <w:rPr>
                <w:sz w:val="16"/>
              </w:rPr>
              <w:t>Targeted PCR or suitable sequencing with appropriate controls</w:t>
            </w:r>
          </w:p>
        </w:tc>
        <w:tc>
          <w:tcPr>
            <w:tcW w:w="2549" w:type="dxa"/>
            <w:tcMar>
              <w:top w:w="65" w:type="dxa"/>
              <w:left w:w="90" w:type="dxa"/>
              <w:bottom w:w="70" w:type="dxa"/>
              <w:right w:w="75" w:type="dxa"/>
            </w:tcMar>
            <w:vAlign w:val="center"/>
          </w:tcPr>
          <w:p w14:paraId="0C9479D7" w14:textId="77777777" w:rsidR="006B1619" w:rsidRDefault="00000000">
            <w:pPr>
              <w:spacing w:after="0" w:line="254" w:lineRule="auto"/>
              <w:jc w:val="left"/>
            </w:pPr>
            <w:r>
              <w:rPr>
                <w:sz w:val="16"/>
              </w:rPr>
              <w:t>Gene-family membership need not establish phenotype, expression or direct transfer</w:t>
            </w:r>
          </w:p>
        </w:tc>
        <w:tc>
          <w:tcPr>
            <w:tcW w:w="1598" w:type="dxa"/>
            <w:tcMar>
              <w:top w:w="65" w:type="dxa"/>
              <w:left w:w="90" w:type="dxa"/>
              <w:bottom w:w="70" w:type="dxa"/>
              <w:right w:w="75" w:type="dxa"/>
            </w:tcMar>
            <w:vAlign w:val="center"/>
          </w:tcPr>
          <w:p w14:paraId="3712DA70" w14:textId="77777777" w:rsidR="006B1619" w:rsidRDefault="00000000">
            <w:pPr>
              <w:spacing w:after="0" w:line="254" w:lineRule="auto"/>
              <w:jc w:val="left"/>
            </w:pPr>
            <w:r>
              <w:rPr>
                <w:sz w:val="16"/>
              </w:rPr>
              <w:t>Pitout et al. (2019); Guruge et al. (2025)</w:t>
            </w:r>
          </w:p>
        </w:tc>
      </w:tr>
      <w:tr w:rsidR="006B1619" w14:paraId="4E4530EF" w14:textId="77777777">
        <w:trPr>
          <w:cantSplit/>
          <w:jc w:val="center"/>
        </w:trPr>
        <w:tc>
          <w:tcPr>
            <w:tcW w:w="1613" w:type="dxa"/>
            <w:tcMar>
              <w:top w:w="65" w:type="dxa"/>
              <w:left w:w="90" w:type="dxa"/>
              <w:bottom w:w="70" w:type="dxa"/>
              <w:right w:w="75" w:type="dxa"/>
            </w:tcMar>
            <w:vAlign w:val="center"/>
          </w:tcPr>
          <w:p w14:paraId="2911F7D4" w14:textId="77777777" w:rsidR="006B1619" w:rsidRDefault="00000000">
            <w:pPr>
              <w:spacing w:after="0" w:line="254" w:lineRule="auto"/>
              <w:jc w:val="left"/>
            </w:pPr>
            <w:r>
              <w:rPr>
                <w:sz w:val="16"/>
              </w:rPr>
              <w:t>Clinical infection burden</w:t>
            </w:r>
          </w:p>
        </w:tc>
        <w:tc>
          <w:tcPr>
            <w:tcW w:w="1987" w:type="dxa"/>
            <w:tcMar>
              <w:top w:w="65" w:type="dxa"/>
              <w:left w:w="90" w:type="dxa"/>
              <w:bottom w:w="70" w:type="dxa"/>
              <w:right w:w="75" w:type="dxa"/>
            </w:tcMar>
            <w:vAlign w:val="center"/>
          </w:tcPr>
          <w:p w14:paraId="315D55E2" w14:textId="77777777" w:rsidR="006B1619" w:rsidRDefault="00000000">
            <w:pPr>
              <w:spacing w:after="0" w:line="254" w:lineRule="auto"/>
              <w:jc w:val="left"/>
            </w:pPr>
            <w:r>
              <w:rPr>
                <w:sz w:val="16"/>
              </w:rPr>
              <w:t>Episodes affecting a defined patient population over time</w:t>
            </w:r>
          </w:p>
        </w:tc>
        <w:tc>
          <w:tcPr>
            <w:tcW w:w="2333" w:type="dxa"/>
            <w:tcMar>
              <w:top w:w="65" w:type="dxa"/>
              <w:left w:w="90" w:type="dxa"/>
              <w:bottom w:w="70" w:type="dxa"/>
              <w:right w:w="75" w:type="dxa"/>
            </w:tcMar>
            <w:vAlign w:val="center"/>
          </w:tcPr>
          <w:p w14:paraId="64B49F15" w14:textId="77777777" w:rsidR="006B1619" w:rsidRDefault="00000000">
            <w:pPr>
              <w:spacing w:after="0" w:line="254" w:lineRule="auto"/>
              <w:jc w:val="left"/>
            </w:pPr>
            <w:r>
              <w:rPr>
                <w:sz w:val="16"/>
              </w:rPr>
              <w:t>Clinical case criteria, patient linkage and population or admission denominators</w:t>
            </w:r>
          </w:p>
        </w:tc>
        <w:tc>
          <w:tcPr>
            <w:tcW w:w="2549" w:type="dxa"/>
            <w:tcMar>
              <w:top w:w="65" w:type="dxa"/>
              <w:left w:w="90" w:type="dxa"/>
              <w:bottom w:w="70" w:type="dxa"/>
              <w:right w:w="75" w:type="dxa"/>
            </w:tcMar>
            <w:vAlign w:val="center"/>
          </w:tcPr>
          <w:p w14:paraId="0047DC9F" w14:textId="77777777" w:rsidR="006B1619" w:rsidRDefault="00000000">
            <w:pPr>
              <w:spacing w:after="0" w:line="254" w:lineRule="auto"/>
              <w:jc w:val="left"/>
            </w:pPr>
            <w:r>
              <w:rPr>
                <w:sz w:val="16"/>
              </w:rPr>
              <w:t>Routine isolate fractions do not measure incidence of infection or colonisation</w:t>
            </w:r>
          </w:p>
        </w:tc>
        <w:tc>
          <w:tcPr>
            <w:tcW w:w="1598" w:type="dxa"/>
            <w:tcMar>
              <w:top w:w="65" w:type="dxa"/>
              <w:left w:w="90" w:type="dxa"/>
              <w:bottom w:w="70" w:type="dxa"/>
              <w:right w:w="75" w:type="dxa"/>
            </w:tcMar>
            <w:vAlign w:val="center"/>
          </w:tcPr>
          <w:p w14:paraId="5FE77A21" w14:textId="77777777" w:rsidR="006B1619" w:rsidRDefault="00000000">
            <w:pPr>
              <w:spacing w:after="0" w:line="254" w:lineRule="auto"/>
              <w:jc w:val="left"/>
            </w:pPr>
            <w:r>
              <w:rPr>
                <w:sz w:val="16"/>
              </w:rPr>
              <w:t>Tillekeratne et al. (2016); Nisansala et al. (2025)</w:t>
            </w:r>
          </w:p>
        </w:tc>
      </w:tr>
    </w:tbl>
    <w:p w14:paraId="4F732D18" w14:textId="77777777" w:rsidR="006B1619" w:rsidRDefault="00000000">
      <w:pPr>
        <w:pStyle w:val="TableNote"/>
        <w:keepLines/>
      </w:pPr>
      <w:r>
        <w:t>Note. ESBL = extended-spectrum β-lactamase; AmpC = class C β-lactamase; CRE = carbapenem-resistant Enterobacterales; CPE = carbapenemase-producing Enterobacterales; PCR = polymerase chain reaction. Categories are not mutually exclusive.</w:t>
      </w:r>
    </w:p>
    <w:p w14:paraId="1095DD9E" w14:textId="77777777" w:rsidR="006B1619" w:rsidRDefault="006B1619">
      <w:pPr>
        <w:spacing w:after="20"/>
      </w:pPr>
    </w:p>
    <w:p w14:paraId="6063BF74" w14:textId="77777777" w:rsidR="006B1619" w:rsidRDefault="00000000">
      <w:pPr>
        <w:pStyle w:val="Heading1"/>
      </w:pPr>
      <w:r>
        <w:t>4. Human Clinical Evidence: Denominators, Settings and Uneven Coverage</w:t>
      </w:r>
    </w:p>
    <w:p w14:paraId="6DB4A2CC" w14:textId="77777777" w:rsidR="006B1619" w:rsidRDefault="00000000">
      <w:pPr>
        <w:pStyle w:val="Heading2"/>
      </w:pPr>
      <w:r>
        <w:t>4.1 Urinary Isolates Have Supplied Much of the Human Evidence</w:t>
      </w:r>
    </w:p>
    <w:p w14:paraId="45D66E43" w14:textId="77777777" w:rsidR="006B1619" w:rsidRDefault="00000000">
      <w:r>
        <w:t>Urinary tract infection (UTI) research has been a major contributor to Sri Lankan β-lactamase data. Its relative accessibility is a strength because culture-confirmed Enterobacterales can be linked to a recognisable clinical syndrome and to antibiograms. At the same time, urinary cultures are not requested uniformly for every symptomatic patient: complicated infection, prior antibiotic exposure, treatment failure and referral to a tertiary centre can all make culture more likely. Consequently, culture-based ESBL percentages may be considerably higher than the probability of an ESBL UTI among all patients with urinary symptoms, and neither proportion necessarily characterises asymptomatic faecal carriage (Priyadharshana et al., 2019; Tillekeratne et al., 2016).</w:t>
      </w:r>
    </w:p>
    <w:p w14:paraId="4E50C772" w14:textId="77777777" w:rsidR="006B1619" w:rsidRDefault="00000000">
      <w:r>
        <w:t>A prospective southern hospital study conducted in 2013 found ESBL production in 74 of 184 urinary Enterobacteriaceae isolates, approximately 40.2%. This is a precisely interpretable numerator and denominator: it measures laboratory-confirmed ESBL among recovered Enterobacterales in that recruitment setting. The authors also documented a community-acquisition dimension, showing that such organisms were not restricted to episodes first developing during an inpatient stay. Yet clinical acquisition classifications depend on definitions and exposure history; a community-associated case may involve recent healthcare contact or previously selected antimicrobial resistance. The study therefore supports a reservoir beyond the immediately hospital-acquired category without proving general community prevalence (Tillekeratne et al., 2016).</w:t>
      </w:r>
    </w:p>
    <w:p w14:paraId="0C0048B8" w14:textId="77777777" w:rsidR="006B1619" w:rsidRDefault="00000000">
      <w:r>
        <w:t xml:space="preserve">A separate 2019 Galle District investigation enrolled patients with suspected community-acquired UTI and examined the organism-specific proportions of ESBL positivity. Among 149 isolated </w:t>
      </w:r>
      <w:r>
        <w:rPr>
          <w:i/>
        </w:rPr>
        <w:t>E. coli</w:t>
      </w:r>
      <w:r>
        <w:t xml:space="preserve">, 68 were ESBL producers, while four of 16 </w:t>
      </w:r>
      <w:r>
        <w:rPr>
          <w:i/>
        </w:rPr>
        <w:t>K. pneumoniae</w:t>
      </w:r>
      <w:r>
        <w:t xml:space="preserve"> were ESBL producers. These organism-specific findings are valuable because they retain the species denominator instead of presenting an undifferentiated pooled percentage. </w:t>
      </w:r>
      <w:r>
        <w:lastRenderedPageBreak/>
        <w:t xml:space="preserve">Nevertheless, the investigation's initial symptomatic population, culture-positive subset and cultured species counts are three different denominators. Treating 68 of 149 as a patient-level incidence of ESBL UTI would incorrectly assume that every sampled patient grew </w:t>
      </w:r>
      <w:r>
        <w:rPr>
          <w:i/>
        </w:rPr>
        <w:t>E. coli</w:t>
      </w:r>
      <w:r>
        <w:t xml:space="preserve"> and that each isolate corresponds to a unique incident infection (Priyadharshana et al., 2019).</w:t>
      </w:r>
    </w:p>
    <w:p w14:paraId="01F26854" w14:textId="77777777" w:rsidR="006B1619" w:rsidRDefault="00000000">
      <w:r>
        <w:t xml:space="preserve">The Ragama inpatient study published in 2017 took a different approach: it recruited 61 patients with already confirmed ESBL UTI and described the distribution and antimicrobial susceptibility of those organisms. Most selected isolates were </w:t>
      </w:r>
      <w:r>
        <w:rPr>
          <w:i/>
        </w:rPr>
        <w:t>E. coli</w:t>
      </w:r>
      <w:r>
        <w:t>; a smaller number belonged to Klebsiella. Meropenem susceptibility was preserved for many, but not all, isolates. Its design was suited to describing therapeutic options within a selected ESBL-positive patient group, not to estimating how frequently ESBL UTI occurred among all urine cultures. Using this work as a prevalence datum beside the southern hospital's 74/184 numerator would be a categorical error, even though both papers are informative for different clinical purposes (Fernando et al., 2017).</w:t>
      </w:r>
    </w:p>
    <w:p w14:paraId="4B991BCE" w14:textId="77777777" w:rsidR="006B1619" w:rsidRDefault="00000000">
      <w:r>
        <w:t>An investigation of non-β-lactam drugs and carbapenems among ESBL-positive and non-ESBL urinary isolates further demonstrates the potential value of within-setting comparisons. Such studies can quantify the co-resistance pattern likely to affect empirical choices, provided their breakpoints, organism mix and selection criteria are stated. Their findings should not be transported unmodified across specimen types or clinical units, since prior antimicrobial exposure and healthcare acquisition influence the probability that an isolate enters the study. The main contribution is a conditional antibiogram within a known population, not an estimate of the total national burden (Wijesooriya et al., 2017).</w:t>
      </w:r>
    </w:p>
    <w:p w14:paraId="4BCC9E01" w14:textId="77777777" w:rsidR="006B1619" w:rsidRDefault="00000000">
      <w:pPr>
        <w:pStyle w:val="Heading2"/>
      </w:pPr>
      <w:r>
        <w:t>4.2 Mixed-Specimen Hospital Studies Describe Different Populations</w:t>
      </w:r>
    </w:p>
    <w:p w14:paraId="03D679FD" w14:textId="77777777" w:rsidR="006B1619" w:rsidRDefault="00000000">
      <w:r>
        <w:t>Broader specimen collections can provide information about hospital microbiological workload and can reveal resistance in infections beyond the urinary tract. A tertiary hospital investigation encompassing 593 Enterobacteriaceae isolates from multiple clinical sources identified 154 ESBL-producing isolates and 57 CRE isolates, corresponding to 26.0% and 9.6% of that study collection, respectively. This contrasts numerically with higher proportions in some UTI-focused investigations, but the contrast is not a demonstrable decrease in ESBL prevalence. Different specimen distributions, dates, referral pathways, organism frequencies and assay algorithms account for plausible alternatives. The study's strength lay additionally in carbapenemase phenotyping and selected genetic confirmation, which illuminated what lay behind the CRE phenotype (Kumudunie et al., 2020).</w:t>
      </w:r>
    </w:p>
    <w:p w14:paraId="5612886B" w14:textId="77777777" w:rsidR="006B1619" w:rsidRDefault="00000000">
      <w:r>
        <w:t>A teaching-hospital laboratory records analysis spanning October 2021 to May 2024 reported 499 ESBL-positive isolates among 758 Enterobacterales laboratory isolates and 59 labelled as carbapenemase producers. These figures suggest a sizeable burden within that particular laboratory dataset, but the denominator should not be conflated with either unique patients or clinically confirmed infection episodes without evidence of deduplication and specimen adjudication. Moreover, differences from the 2017–2018 tertiary hospital results cannot be interpreted as an increase from 26.0% to 65.8%. The hospitals, sample mix, periods, selection processes and operational definitions are distinct (Kumudunie et al., 2020; Senanayake et al., 2024).</w:t>
      </w:r>
    </w:p>
    <w:p w14:paraId="200862D7" w14:textId="77777777" w:rsidR="006B1619" w:rsidRDefault="00000000">
      <w:r>
        <w:t xml:space="preserve">The western Sri Lankan study published in 2022 is distinctive because it intentionally considered ESBL, AmpC and carbapenemase production within a linked clinical UTI framework and contrasted community-acquired with hospital-acquired presentations. It found substantial overlapping resistance mechanisms and a greater burden in the hospital-acquired group under its case definitions. The data make a strong argument against viewing all UTI isolates as a homogeneous epidemiological unit. Yet the very strength of this clinically differentiated design limits transportability: the fraction of hospital-acquired patients sampled at participating </w:t>
      </w:r>
      <w:r>
        <w:lastRenderedPageBreak/>
        <w:t>centres and the restriction to urinary isolates prevent direct extrapolation to population-wide bloodstream or respiratory infection rates (V. Perera, Gamage, et al., 2022).</w:t>
      </w:r>
    </w:p>
    <w:p w14:paraId="7CC49025" w14:textId="77777777" w:rsidR="006B1619" w:rsidRDefault="00000000">
      <w:r>
        <w:t>The treatment of multiple isolate sources is also consequential. A single resistant patient with prolonged admission can generate repeat urine, respiratory and bloodstream cultures. Without a first-isolate-per-patient rule or clearly distinguished isolate-episode counts, a facility's percentage can be influenced by culture intensity. Intensive care units may contribute high proportions because of complex clinical conditions and frequent sampling, while outpatient episodes remain incompletely represented. The literature supports the practical need to stratify these contributors; it does not supply adequate evidence to quantify their separate contributions to the reported between-study differences (Kumudunie et al., 2020; Senanayake et al., 2024).</w:t>
      </w:r>
    </w:p>
    <w:p w14:paraId="1BDAC491" w14:textId="77777777" w:rsidR="006B1619" w:rsidRDefault="00000000">
      <w:pPr>
        <w:pStyle w:val="Heading2"/>
      </w:pPr>
      <w:r>
        <w:t>4.3 Specialist Oncology Settings Reveal Risk, Not National Prevalence</w:t>
      </w:r>
    </w:p>
    <w:p w14:paraId="32B3C286" w14:textId="77777777" w:rsidR="006B1619" w:rsidRDefault="00000000">
      <w:r>
        <w:t>Cancer hospitals deserve separate consideration because immunosuppression, indwelling devices, repeated antibiotic exposure and healthcare contact can favour both acquisition and detection of resistant organisms. A Sri Lankan National Cancer Institute investigation assessed phenotypic carbapenem resistance and carbapenemase production among selected Enterobacterales from cancer patients. Its confirmation of resistant phenotypes and selected carbapenemase genes is clinically pertinent for this vulnerable group. However, a set of isolates already selected because of carbapenem nonsusceptibility cannot establish the proportion of all cancer patients who develop CRE infection, still less that of all Sri Lankan hospital patients (Pitagampola et al., 2024).</w:t>
      </w:r>
    </w:p>
    <w:p w14:paraId="353A4BF9" w14:textId="77777777" w:rsidR="006B1619" w:rsidRDefault="00000000">
      <w:r>
        <w:t>Another oncology-related investigation detected genetic determinants including a VIM carbapenemase and highlighted diversity beyond OXA-48-like enzymes and NDM. That finding is important as a signal for diagnostic assay coverage: molecular panels restricted to the most familiar targets can miss locally relevant variants. It is not necessarily evidence that VIM became prevalent at a particular date. The timing of first documented detection depends on whether investigators looked for it, how many isolates they tested and which publication became available first. The phrase first report refers to documentary evidence within a specified investigation rather than to biological emergence on the island (Chathuranga et al., 2024).</w:t>
      </w:r>
    </w:p>
    <w:p w14:paraId="18815944" w14:textId="77777777" w:rsidR="006B1619" w:rsidRDefault="00000000">
      <w:r>
        <w:t>The distinction between a high-risk hospital's isolate composition and a broader disease burden is crucial for stewardship. An oncology unit may rightly base empirical protocols on its own recent severe-infection susceptibility data even when those data are inappropriate for setting treatment across primary care. Conversely, a community UTI antibiogram cannot safely substitute for unit-specific blood-culture evidence in a neutropenic patient. A stratified network should preserve precisely these clinically meaningful differences, rather than force all hospital categories into one national average that obscures heterogeneity (Pitagampola et al., 2024; Tamma et al., 2026).</w:t>
      </w:r>
    </w:p>
    <w:p w14:paraId="354A35F5" w14:textId="77777777" w:rsidR="006B1619" w:rsidRDefault="00000000">
      <w:pPr>
        <w:pStyle w:val="Heading2"/>
      </w:pPr>
      <w:r>
        <w:t>4.4 Published Percentages Are Conditional, Not Directly Comparable</w:t>
      </w:r>
    </w:p>
    <w:p w14:paraId="7B04D0F1" w14:textId="77777777" w:rsidR="006B1619" w:rsidRDefault="00000000">
      <w:r>
        <w:t>The clinical literature thus provides convergent proof of the presence of serious β-lactam resistance, but only partial evidence concerning population frequency. Differences are not limited to geography or calendar period. Some studies ask about all Enterobacterales cultured, some about isolates of one species, some about clinically defined UTI episodes, and others about collections deliberately enriched for ESBL or CRE. Even within a single study, an ESBL proportion, an AmpC proportion and a carbapenemase proportion may overlap because one isolate can produce several enzymes. Percentages with unlike numerators or denominators cannot be treated as mutually exclusive components of a national burden (Fernando et al., 2017; Kumudunie et al., 2020; V. Perera, Gamage, et al., 2022).</w:t>
      </w:r>
    </w:p>
    <w:p w14:paraId="02D09EB2" w14:textId="77777777" w:rsidR="006B1619" w:rsidRDefault="00000000">
      <w:r>
        <w:lastRenderedPageBreak/>
        <w:t>Published single-centre observations also contain little direct information about rural–urban gradients, primary-care attendance, asymptomatic carriage, paediatric epidemiology outside selected hospitals or long-term outcomes by enzyme type. The available Sri Lankan work offers useful local decision support and mechanistic evidence, but rarely the continuous, population-based sampling needed to estimate secular changes independently of laboratory demand. The appropriate interpretation is neither that the problem is restricted to investigated hospitals nor that the observed proportions characterise all regions. Both claims exceed the spatial and institutional coverage of the evidence (Nisansala et al., 2025; V. Perera et al., 2025).</w:t>
      </w:r>
    </w:p>
    <w:p w14:paraId="1864D0EF" w14:textId="77777777" w:rsidR="006B1619" w:rsidRDefault="00000000">
      <w:r>
        <w:t>Table 2 retains the principal denominators and study populations alongside representative findings. The figures have deliberately not been ranked from low to high or sequenced into a national time trend. A large percentage in a specialist or selectively sampled cohort is an estimate for that cohort; it does not by itself indicate a higher underlying rate than a smaller percentage from a different population.</w:t>
      </w:r>
    </w:p>
    <w:p w14:paraId="6EB01220" w14:textId="77777777" w:rsidR="006B1619" w:rsidRDefault="00000000">
      <w:pPr>
        <w:pStyle w:val="TableCaption"/>
      </w:pPr>
      <w:r>
        <w:t>Table 2. Representative Sri Lankan clinical observations and their denominators</w:t>
      </w:r>
    </w:p>
    <w:tbl>
      <w:tblPr>
        <w:tblW w:w="0" w:type="auto"/>
        <w:jc w:val="center"/>
        <w:tblLayout w:type="fixed"/>
        <w:tblLook w:val="04A0" w:firstRow="1" w:lastRow="0" w:firstColumn="1" w:lastColumn="0" w:noHBand="0" w:noVBand="1"/>
      </w:tblPr>
      <w:tblGrid>
        <w:gridCol w:w="1613"/>
        <w:gridCol w:w="1987"/>
        <w:gridCol w:w="2333"/>
        <w:gridCol w:w="2549"/>
        <w:gridCol w:w="1598"/>
      </w:tblGrid>
      <w:tr w:rsidR="006B1619" w14:paraId="58195BD7" w14:textId="77777777">
        <w:trPr>
          <w:cantSplit/>
          <w:tblHeader/>
          <w:jc w:val="center"/>
        </w:trPr>
        <w:tc>
          <w:tcPr>
            <w:tcW w:w="1613" w:type="dxa"/>
            <w:shd w:val="clear" w:color="auto" w:fill="E7EBEF"/>
            <w:tcMar>
              <w:top w:w="80" w:type="dxa"/>
              <w:left w:w="90" w:type="dxa"/>
              <w:bottom w:w="90" w:type="dxa"/>
              <w:right w:w="75" w:type="dxa"/>
            </w:tcMar>
            <w:vAlign w:val="center"/>
          </w:tcPr>
          <w:p w14:paraId="73B45A65" w14:textId="77777777" w:rsidR="006B1619" w:rsidRDefault="00000000">
            <w:pPr>
              <w:spacing w:after="0" w:line="250" w:lineRule="auto"/>
              <w:jc w:val="left"/>
            </w:pPr>
            <w:r>
              <w:rPr>
                <w:b/>
                <w:sz w:val="16"/>
              </w:rPr>
              <w:t>Setting and observation period</w:t>
            </w:r>
          </w:p>
        </w:tc>
        <w:tc>
          <w:tcPr>
            <w:tcW w:w="1987" w:type="dxa"/>
            <w:shd w:val="clear" w:color="auto" w:fill="E7EBEF"/>
            <w:tcMar>
              <w:top w:w="80" w:type="dxa"/>
              <w:left w:w="90" w:type="dxa"/>
              <w:bottom w:w="90" w:type="dxa"/>
              <w:right w:w="75" w:type="dxa"/>
            </w:tcMar>
            <w:vAlign w:val="center"/>
          </w:tcPr>
          <w:p w14:paraId="68FCCFCC" w14:textId="77777777" w:rsidR="006B1619" w:rsidRDefault="00000000">
            <w:pPr>
              <w:spacing w:after="0" w:line="250" w:lineRule="auto"/>
              <w:jc w:val="left"/>
            </w:pPr>
            <w:r>
              <w:rPr>
                <w:b/>
                <w:sz w:val="16"/>
              </w:rPr>
              <w:t>Tested population / denominator</w:t>
            </w:r>
          </w:p>
        </w:tc>
        <w:tc>
          <w:tcPr>
            <w:tcW w:w="2333" w:type="dxa"/>
            <w:shd w:val="clear" w:color="auto" w:fill="E7EBEF"/>
            <w:tcMar>
              <w:top w:w="80" w:type="dxa"/>
              <w:left w:w="90" w:type="dxa"/>
              <w:bottom w:w="90" w:type="dxa"/>
              <w:right w:w="75" w:type="dxa"/>
            </w:tcMar>
            <w:vAlign w:val="center"/>
          </w:tcPr>
          <w:p w14:paraId="45BCAFBB" w14:textId="77777777" w:rsidR="006B1619" w:rsidRDefault="00000000">
            <w:pPr>
              <w:spacing w:after="0" w:line="250" w:lineRule="auto"/>
              <w:jc w:val="left"/>
            </w:pPr>
            <w:r>
              <w:rPr>
                <w:b/>
                <w:sz w:val="16"/>
              </w:rPr>
              <w:t>Representative finding</w:t>
            </w:r>
          </w:p>
        </w:tc>
        <w:tc>
          <w:tcPr>
            <w:tcW w:w="2549" w:type="dxa"/>
            <w:shd w:val="clear" w:color="auto" w:fill="E7EBEF"/>
            <w:tcMar>
              <w:top w:w="80" w:type="dxa"/>
              <w:left w:w="90" w:type="dxa"/>
              <w:bottom w:w="90" w:type="dxa"/>
              <w:right w:w="75" w:type="dxa"/>
            </w:tcMar>
            <w:vAlign w:val="center"/>
          </w:tcPr>
          <w:p w14:paraId="72AE84FA" w14:textId="77777777" w:rsidR="006B1619" w:rsidRDefault="00000000">
            <w:pPr>
              <w:spacing w:after="0" w:line="250" w:lineRule="auto"/>
              <w:jc w:val="left"/>
            </w:pPr>
            <w:r>
              <w:rPr>
                <w:b/>
                <w:sz w:val="16"/>
              </w:rPr>
              <w:t>Principal inferential limitation</w:t>
            </w:r>
          </w:p>
        </w:tc>
        <w:tc>
          <w:tcPr>
            <w:tcW w:w="1598" w:type="dxa"/>
            <w:shd w:val="clear" w:color="auto" w:fill="E7EBEF"/>
            <w:tcMar>
              <w:top w:w="80" w:type="dxa"/>
              <w:left w:w="90" w:type="dxa"/>
              <w:bottom w:w="90" w:type="dxa"/>
              <w:right w:w="75" w:type="dxa"/>
            </w:tcMar>
            <w:vAlign w:val="center"/>
          </w:tcPr>
          <w:p w14:paraId="2C30682D" w14:textId="77777777" w:rsidR="006B1619" w:rsidRDefault="00000000">
            <w:pPr>
              <w:spacing w:after="0" w:line="250" w:lineRule="auto"/>
              <w:jc w:val="left"/>
            </w:pPr>
            <w:r>
              <w:rPr>
                <w:b/>
                <w:sz w:val="16"/>
              </w:rPr>
              <w:t>Supporting references</w:t>
            </w:r>
          </w:p>
        </w:tc>
      </w:tr>
      <w:tr w:rsidR="006B1619" w14:paraId="173DB7C2" w14:textId="77777777">
        <w:trPr>
          <w:cantSplit/>
          <w:jc w:val="center"/>
        </w:trPr>
        <w:tc>
          <w:tcPr>
            <w:tcW w:w="1613" w:type="dxa"/>
            <w:tcMar>
              <w:top w:w="65" w:type="dxa"/>
              <w:left w:w="90" w:type="dxa"/>
              <w:bottom w:w="70" w:type="dxa"/>
              <w:right w:w="75" w:type="dxa"/>
            </w:tcMar>
            <w:vAlign w:val="center"/>
          </w:tcPr>
          <w:p w14:paraId="5FE52A9C" w14:textId="77777777" w:rsidR="006B1619" w:rsidRDefault="00000000">
            <w:pPr>
              <w:spacing w:after="0" w:line="254" w:lineRule="auto"/>
              <w:jc w:val="left"/>
            </w:pPr>
            <w:r>
              <w:rPr>
                <w:sz w:val="16"/>
              </w:rPr>
              <w:t>Southern tertiary hospital; 2013</w:t>
            </w:r>
          </w:p>
        </w:tc>
        <w:tc>
          <w:tcPr>
            <w:tcW w:w="1987" w:type="dxa"/>
            <w:tcMar>
              <w:top w:w="65" w:type="dxa"/>
              <w:left w:w="90" w:type="dxa"/>
              <w:bottom w:w="70" w:type="dxa"/>
              <w:right w:w="75" w:type="dxa"/>
            </w:tcMar>
            <w:vAlign w:val="center"/>
          </w:tcPr>
          <w:p w14:paraId="75A084E6" w14:textId="77777777" w:rsidR="006B1619" w:rsidRDefault="00000000">
            <w:pPr>
              <w:spacing w:after="0" w:line="254" w:lineRule="auto"/>
              <w:jc w:val="left"/>
            </w:pPr>
            <w:r>
              <w:rPr>
                <w:sz w:val="16"/>
              </w:rPr>
              <w:t>184 urinary Enterobacteriaceae isolates</w:t>
            </w:r>
          </w:p>
        </w:tc>
        <w:tc>
          <w:tcPr>
            <w:tcW w:w="2333" w:type="dxa"/>
            <w:tcMar>
              <w:top w:w="65" w:type="dxa"/>
              <w:left w:w="90" w:type="dxa"/>
              <w:bottom w:w="70" w:type="dxa"/>
              <w:right w:w="75" w:type="dxa"/>
            </w:tcMar>
            <w:vAlign w:val="center"/>
          </w:tcPr>
          <w:p w14:paraId="2A1770C7" w14:textId="77777777" w:rsidR="006B1619" w:rsidRDefault="00000000">
            <w:pPr>
              <w:spacing w:after="0" w:line="254" w:lineRule="auto"/>
              <w:jc w:val="left"/>
            </w:pPr>
            <w:r>
              <w:rPr>
                <w:sz w:val="16"/>
              </w:rPr>
              <w:t>74/184 ESBL-positive (40.2%)</w:t>
            </w:r>
          </w:p>
        </w:tc>
        <w:tc>
          <w:tcPr>
            <w:tcW w:w="2549" w:type="dxa"/>
            <w:tcMar>
              <w:top w:w="65" w:type="dxa"/>
              <w:left w:w="90" w:type="dxa"/>
              <w:bottom w:w="70" w:type="dxa"/>
              <w:right w:w="75" w:type="dxa"/>
            </w:tcMar>
            <w:vAlign w:val="center"/>
          </w:tcPr>
          <w:p w14:paraId="604E5AA2" w14:textId="77777777" w:rsidR="006B1619" w:rsidRDefault="00000000">
            <w:pPr>
              <w:spacing w:after="0" w:line="254" w:lineRule="auto"/>
              <w:jc w:val="left"/>
            </w:pPr>
            <w:r>
              <w:rPr>
                <w:sz w:val="16"/>
              </w:rPr>
              <w:t>Not a population rate; cultured UTI isolates from one hospital</w:t>
            </w:r>
          </w:p>
        </w:tc>
        <w:tc>
          <w:tcPr>
            <w:tcW w:w="1598" w:type="dxa"/>
            <w:tcMar>
              <w:top w:w="65" w:type="dxa"/>
              <w:left w:w="90" w:type="dxa"/>
              <w:bottom w:w="70" w:type="dxa"/>
              <w:right w:w="75" w:type="dxa"/>
            </w:tcMar>
            <w:vAlign w:val="center"/>
          </w:tcPr>
          <w:p w14:paraId="38F7D89C" w14:textId="77777777" w:rsidR="006B1619" w:rsidRDefault="00000000">
            <w:pPr>
              <w:spacing w:after="0" w:line="254" w:lineRule="auto"/>
              <w:jc w:val="left"/>
            </w:pPr>
            <w:r>
              <w:rPr>
                <w:sz w:val="16"/>
              </w:rPr>
              <w:t>Tillekeratne et al. (2016)</w:t>
            </w:r>
          </w:p>
        </w:tc>
      </w:tr>
      <w:tr w:rsidR="006B1619" w14:paraId="5B9F71D9" w14:textId="77777777">
        <w:trPr>
          <w:cantSplit/>
          <w:jc w:val="center"/>
        </w:trPr>
        <w:tc>
          <w:tcPr>
            <w:tcW w:w="1613" w:type="dxa"/>
            <w:tcMar>
              <w:top w:w="65" w:type="dxa"/>
              <w:left w:w="90" w:type="dxa"/>
              <w:bottom w:w="70" w:type="dxa"/>
              <w:right w:w="75" w:type="dxa"/>
            </w:tcMar>
            <w:vAlign w:val="center"/>
          </w:tcPr>
          <w:p w14:paraId="35BF5436" w14:textId="77777777" w:rsidR="006B1619" w:rsidRDefault="00000000">
            <w:pPr>
              <w:spacing w:after="0" w:line="254" w:lineRule="auto"/>
              <w:jc w:val="left"/>
            </w:pPr>
            <w:r>
              <w:rPr>
                <w:sz w:val="16"/>
              </w:rPr>
              <w:t>Ragama inpatient service; 2015</w:t>
            </w:r>
          </w:p>
        </w:tc>
        <w:tc>
          <w:tcPr>
            <w:tcW w:w="1987" w:type="dxa"/>
            <w:tcMar>
              <w:top w:w="65" w:type="dxa"/>
              <w:left w:w="90" w:type="dxa"/>
              <w:bottom w:w="70" w:type="dxa"/>
              <w:right w:w="75" w:type="dxa"/>
            </w:tcMar>
            <w:vAlign w:val="center"/>
          </w:tcPr>
          <w:p w14:paraId="080E6114" w14:textId="77777777" w:rsidR="006B1619" w:rsidRDefault="00000000">
            <w:pPr>
              <w:spacing w:after="0" w:line="254" w:lineRule="auto"/>
              <w:jc w:val="left"/>
            </w:pPr>
            <w:r>
              <w:rPr>
                <w:sz w:val="16"/>
              </w:rPr>
              <w:t>61 patients preselected for confirmed ESBL UTI</w:t>
            </w:r>
          </w:p>
        </w:tc>
        <w:tc>
          <w:tcPr>
            <w:tcW w:w="2333" w:type="dxa"/>
            <w:tcMar>
              <w:top w:w="65" w:type="dxa"/>
              <w:left w:w="90" w:type="dxa"/>
              <w:bottom w:w="70" w:type="dxa"/>
              <w:right w:w="75" w:type="dxa"/>
            </w:tcMar>
            <w:vAlign w:val="center"/>
          </w:tcPr>
          <w:p w14:paraId="2AAEFE5B" w14:textId="77777777" w:rsidR="006B1619" w:rsidRDefault="00000000">
            <w:pPr>
              <w:spacing w:after="0" w:line="254" w:lineRule="auto"/>
              <w:jc w:val="left"/>
            </w:pPr>
            <w:r>
              <w:rPr>
                <w:sz w:val="16"/>
              </w:rPr>
              <w:t>Susceptibility patterns in 61 ESBL cases</w:t>
            </w:r>
          </w:p>
        </w:tc>
        <w:tc>
          <w:tcPr>
            <w:tcW w:w="2549" w:type="dxa"/>
            <w:tcMar>
              <w:top w:w="65" w:type="dxa"/>
              <w:left w:w="90" w:type="dxa"/>
              <w:bottom w:w="70" w:type="dxa"/>
              <w:right w:w="75" w:type="dxa"/>
            </w:tcMar>
            <w:vAlign w:val="center"/>
          </w:tcPr>
          <w:p w14:paraId="1660A47B" w14:textId="77777777" w:rsidR="006B1619" w:rsidRDefault="00000000">
            <w:pPr>
              <w:spacing w:after="0" w:line="254" w:lineRule="auto"/>
              <w:jc w:val="left"/>
            </w:pPr>
            <w:r>
              <w:rPr>
                <w:sz w:val="16"/>
              </w:rPr>
              <w:t>No denominator of all UTI cases or all cultured Enterobacterales</w:t>
            </w:r>
          </w:p>
        </w:tc>
        <w:tc>
          <w:tcPr>
            <w:tcW w:w="1598" w:type="dxa"/>
            <w:tcMar>
              <w:top w:w="65" w:type="dxa"/>
              <w:left w:w="90" w:type="dxa"/>
              <w:bottom w:w="70" w:type="dxa"/>
              <w:right w:w="75" w:type="dxa"/>
            </w:tcMar>
            <w:vAlign w:val="center"/>
          </w:tcPr>
          <w:p w14:paraId="1492B7BC" w14:textId="77777777" w:rsidR="006B1619" w:rsidRDefault="00000000">
            <w:pPr>
              <w:spacing w:after="0" w:line="254" w:lineRule="auto"/>
              <w:jc w:val="left"/>
            </w:pPr>
            <w:r>
              <w:rPr>
                <w:sz w:val="16"/>
              </w:rPr>
              <w:t>Fernando et al. (2017)</w:t>
            </w:r>
          </w:p>
        </w:tc>
      </w:tr>
      <w:tr w:rsidR="006B1619" w14:paraId="1DF8F528" w14:textId="77777777">
        <w:trPr>
          <w:cantSplit/>
          <w:jc w:val="center"/>
        </w:trPr>
        <w:tc>
          <w:tcPr>
            <w:tcW w:w="1613" w:type="dxa"/>
            <w:tcMar>
              <w:top w:w="65" w:type="dxa"/>
              <w:left w:w="90" w:type="dxa"/>
              <w:bottom w:w="70" w:type="dxa"/>
              <w:right w:w="75" w:type="dxa"/>
            </w:tcMar>
            <w:vAlign w:val="center"/>
          </w:tcPr>
          <w:p w14:paraId="0EDF87C6" w14:textId="77777777" w:rsidR="006B1619" w:rsidRDefault="00000000">
            <w:pPr>
              <w:spacing w:after="0" w:line="254" w:lineRule="auto"/>
              <w:jc w:val="left"/>
            </w:pPr>
            <w:r>
              <w:rPr>
                <w:sz w:val="16"/>
              </w:rPr>
              <w:t>Galle community-associated UTI study</w:t>
            </w:r>
          </w:p>
        </w:tc>
        <w:tc>
          <w:tcPr>
            <w:tcW w:w="1987" w:type="dxa"/>
            <w:tcMar>
              <w:top w:w="65" w:type="dxa"/>
              <w:left w:w="90" w:type="dxa"/>
              <w:bottom w:w="70" w:type="dxa"/>
              <w:right w:w="75" w:type="dxa"/>
            </w:tcMar>
            <w:vAlign w:val="center"/>
          </w:tcPr>
          <w:p w14:paraId="306866A9" w14:textId="77777777" w:rsidR="006B1619" w:rsidRDefault="00000000">
            <w:pPr>
              <w:spacing w:after="0" w:line="254" w:lineRule="auto"/>
              <w:jc w:val="left"/>
            </w:pPr>
            <w:r>
              <w:rPr>
                <w:sz w:val="16"/>
              </w:rPr>
              <w:t xml:space="preserve">149 </w:t>
            </w:r>
            <w:r>
              <w:rPr>
                <w:i/>
                <w:sz w:val="16"/>
              </w:rPr>
              <w:t>E. coli</w:t>
            </w:r>
            <w:r>
              <w:rPr>
                <w:sz w:val="16"/>
              </w:rPr>
              <w:t xml:space="preserve">; 16 </w:t>
            </w:r>
            <w:r>
              <w:rPr>
                <w:i/>
                <w:sz w:val="16"/>
              </w:rPr>
              <w:t>K. pneumoniae</w:t>
            </w:r>
            <w:r>
              <w:rPr>
                <w:sz w:val="16"/>
              </w:rPr>
              <w:t xml:space="preserve"> urinary isolates</w:t>
            </w:r>
          </w:p>
        </w:tc>
        <w:tc>
          <w:tcPr>
            <w:tcW w:w="2333" w:type="dxa"/>
            <w:tcMar>
              <w:top w:w="65" w:type="dxa"/>
              <w:left w:w="90" w:type="dxa"/>
              <w:bottom w:w="70" w:type="dxa"/>
              <w:right w:w="75" w:type="dxa"/>
            </w:tcMar>
            <w:vAlign w:val="center"/>
          </w:tcPr>
          <w:p w14:paraId="30372FEC" w14:textId="77777777" w:rsidR="006B1619" w:rsidRDefault="00000000">
            <w:pPr>
              <w:spacing w:after="0" w:line="254" w:lineRule="auto"/>
              <w:jc w:val="left"/>
            </w:pPr>
            <w:r>
              <w:rPr>
                <w:sz w:val="16"/>
              </w:rPr>
              <w:t xml:space="preserve">68/149 </w:t>
            </w:r>
            <w:r>
              <w:rPr>
                <w:i/>
                <w:sz w:val="16"/>
              </w:rPr>
              <w:t>E. coli</w:t>
            </w:r>
            <w:r>
              <w:rPr>
                <w:sz w:val="16"/>
              </w:rPr>
              <w:t xml:space="preserve"> and 4/16 </w:t>
            </w:r>
            <w:r>
              <w:rPr>
                <w:i/>
                <w:sz w:val="16"/>
              </w:rPr>
              <w:t>K. pneumoniae</w:t>
            </w:r>
            <w:r>
              <w:rPr>
                <w:sz w:val="16"/>
              </w:rPr>
              <w:t xml:space="preserve"> ESBL-positive</w:t>
            </w:r>
          </w:p>
        </w:tc>
        <w:tc>
          <w:tcPr>
            <w:tcW w:w="2549" w:type="dxa"/>
            <w:tcMar>
              <w:top w:w="65" w:type="dxa"/>
              <w:left w:w="90" w:type="dxa"/>
              <w:bottom w:w="70" w:type="dxa"/>
              <w:right w:w="75" w:type="dxa"/>
            </w:tcMar>
            <w:vAlign w:val="center"/>
          </w:tcPr>
          <w:p w14:paraId="503631FF" w14:textId="77777777" w:rsidR="006B1619" w:rsidRDefault="00000000">
            <w:pPr>
              <w:spacing w:after="0" w:line="254" w:lineRule="auto"/>
              <w:jc w:val="left"/>
            </w:pPr>
            <w:r>
              <w:rPr>
                <w:sz w:val="16"/>
              </w:rPr>
              <w:t>Organism-specific fractions within culture-positive patients</w:t>
            </w:r>
          </w:p>
        </w:tc>
        <w:tc>
          <w:tcPr>
            <w:tcW w:w="1598" w:type="dxa"/>
            <w:tcMar>
              <w:top w:w="65" w:type="dxa"/>
              <w:left w:w="90" w:type="dxa"/>
              <w:bottom w:w="70" w:type="dxa"/>
              <w:right w:w="75" w:type="dxa"/>
            </w:tcMar>
            <w:vAlign w:val="center"/>
          </w:tcPr>
          <w:p w14:paraId="4A28E57E" w14:textId="77777777" w:rsidR="006B1619" w:rsidRDefault="00000000">
            <w:pPr>
              <w:spacing w:after="0" w:line="254" w:lineRule="auto"/>
              <w:jc w:val="left"/>
            </w:pPr>
            <w:r>
              <w:rPr>
                <w:sz w:val="16"/>
              </w:rPr>
              <w:t>Priyadharshana et al. (2019)</w:t>
            </w:r>
          </w:p>
        </w:tc>
      </w:tr>
      <w:tr w:rsidR="006B1619" w14:paraId="357C9564" w14:textId="77777777">
        <w:trPr>
          <w:cantSplit/>
          <w:jc w:val="center"/>
        </w:trPr>
        <w:tc>
          <w:tcPr>
            <w:tcW w:w="1613" w:type="dxa"/>
            <w:tcMar>
              <w:top w:w="65" w:type="dxa"/>
              <w:left w:w="90" w:type="dxa"/>
              <w:bottom w:w="70" w:type="dxa"/>
              <w:right w:w="75" w:type="dxa"/>
            </w:tcMar>
            <w:vAlign w:val="center"/>
          </w:tcPr>
          <w:p w14:paraId="72E1C5F6" w14:textId="77777777" w:rsidR="006B1619" w:rsidRDefault="00000000">
            <w:pPr>
              <w:spacing w:after="0" w:line="254" w:lineRule="auto"/>
              <w:jc w:val="left"/>
            </w:pPr>
            <w:r>
              <w:rPr>
                <w:sz w:val="16"/>
              </w:rPr>
              <w:t>Tertiary mixed specimens; 2017–2018</w:t>
            </w:r>
          </w:p>
        </w:tc>
        <w:tc>
          <w:tcPr>
            <w:tcW w:w="1987" w:type="dxa"/>
            <w:tcMar>
              <w:top w:w="65" w:type="dxa"/>
              <w:left w:w="90" w:type="dxa"/>
              <w:bottom w:w="70" w:type="dxa"/>
              <w:right w:w="75" w:type="dxa"/>
            </w:tcMar>
            <w:vAlign w:val="center"/>
          </w:tcPr>
          <w:p w14:paraId="5A7464AD" w14:textId="77777777" w:rsidR="006B1619" w:rsidRDefault="00000000">
            <w:pPr>
              <w:spacing w:after="0" w:line="254" w:lineRule="auto"/>
              <w:jc w:val="left"/>
            </w:pPr>
            <w:r>
              <w:rPr>
                <w:sz w:val="16"/>
              </w:rPr>
              <w:t>593 clinical Enterobacteriaceae isolates</w:t>
            </w:r>
          </w:p>
        </w:tc>
        <w:tc>
          <w:tcPr>
            <w:tcW w:w="2333" w:type="dxa"/>
            <w:tcMar>
              <w:top w:w="65" w:type="dxa"/>
              <w:left w:w="90" w:type="dxa"/>
              <w:bottom w:w="70" w:type="dxa"/>
              <w:right w:w="75" w:type="dxa"/>
            </w:tcMar>
            <w:vAlign w:val="center"/>
          </w:tcPr>
          <w:p w14:paraId="3E4739DB" w14:textId="77777777" w:rsidR="006B1619" w:rsidRDefault="00000000">
            <w:pPr>
              <w:spacing w:after="0" w:line="254" w:lineRule="auto"/>
              <w:jc w:val="left"/>
            </w:pPr>
            <w:r>
              <w:rPr>
                <w:sz w:val="16"/>
              </w:rPr>
              <w:t>154/593 ESBL (26.0%); 57/593 CRE (9.6%)</w:t>
            </w:r>
          </w:p>
        </w:tc>
        <w:tc>
          <w:tcPr>
            <w:tcW w:w="2549" w:type="dxa"/>
            <w:tcMar>
              <w:top w:w="65" w:type="dxa"/>
              <w:left w:w="90" w:type="dxa"/>
              <w:bottom w:w="70" w:type="dxa"/>
              <w:right w:w="75" w:type="dxa"/>
            </w:tcMar>
            <w:vAlign w:val="center"/>
          </w:tcPr>
          <w:p w14:paraId="4D836DCF" w14:textId="77777777" w:rsidR="006B1619" w:rsidRDefault="00000000">
            <w:pPr>
              <w:spacing w:after="0" w:line="254" w:lineRule="auto"/>
              <w:jc w:val="left"/>
            </w:pPr>
            <w:r>
              <w:rPr>
                <w:sz w:val="16"/>
              </w:rPr>
              <w:t>Specimen-mix and site-specific results; CPE confirmation in selected CRE</w:t>
            </w:r>
          </w:p>
        </w:tc>
        <w:tc>
          <w:tcPr>
            <w:tcW w:w="1598" w:type="dxa"/>
            <w:tcMar>
              <w:top w:w="65" w:type="dxa"/>
              <w:left w:w="90" w:type="dxa"/>
              <w:bottom w:w="70" w:type="dxa"/>
              <w:right w:w="75" w:type="dxa"/>
            </w:tcMar>
            <w:vAlign w:val="center"/>
          </w:tcPr>
          <w:p w14:paraId="46188394" w14:textId="77777777" w:rsidR="006B1619" w:rsidRDefault="00000000">
            <w:pPr>
              <w:spacing w:after="0" w:line="254" w:lineRule="auto"/>
              <w:jc w:val="left"/>
            </w:pPr>
            <w:r>
              <w:rPr>
                <w:sz w:val="16"/>
              </w:rPr>
              <w:t>Kumudunie et al. (2020)</w:t>
            </w:r>
          </w:p>
        </w:tc>
      </w:tr>
      <w:tr w:rsidR="006B1619" w14:paraId="6D6B2262" w14:textId="77777777">
        <w:trPr>
          <w:cantSplit/>
          <w:jc w:val="center"/>
        </w:trPr>
        <w:tc>
          <w:tcPr>
            <w:tcW w:w="1613" w:type="dxa"/>
            <w:tcMar>
              <w:top w:w="65" w:type="dxa"/>
              <w:left w:w="90" w:type="dxa"/>
              <w:bottom w:w="70" w:type="dxa"/>
              <w:right w:w="75" w:type="dxa"/>
            </w:tcMar>
            <w:vAlign w:val="center"/>
          </w:tcPr>
          <w:p w14:paraId="077BE1E4" w14:textId="77777777" w:rsidR="006B1619" w:rsidRDefault="00000000">
            <w:pPr>
              <w:spacing w:after="0" w:line="254" w:lineRule="auto"/>
              <w:jc w:val="left"/>
            </w:pPr>
            <w:r>
              <w:rPr>
                <w:sz w:val="16"/>
              </w:rPr>
              <w:t>Two western hospitals; urinary isolates</w:t>
            </w:r>
          </w:p>
        </w:tc>
        <w:tc>
          <w:tcPr>
            <w:tcW w:w="1987" w:type="dxa"/>
            <w:tcMar>
              <w:top w:w="65" w:type="dxa"/>
              <w:left w:w="90" w:type="dxa"/>
              <w:bottom w:w="70" w:type="dxa"/>
              <w:right w:w="75" w:type="dxa"/>
            </w:tcMar>
            <w:vAlign w:val="center"/>
          </w:tcPr>
          <w:p w14:paraId="3695A306" w14:textId="77777777" w:rsidR="006B1619" w:rsidRDefault="00000000">
            <w:pPr>
              <w:spacing w:after="0" w:line="254" w:lineRule="auto"/>
              <w:jc w:val="left"/>
            </w:pPr>
            <w:r>
              <w:rPr>
                <w:sz w:val="16"/>
              </w:rPr>
              <w:t>422 Enterobacteriaceae causing UTI</w:t>
            </w:r>
          </w:p>
        </w:tc>
        <w:tc>
          <w:tcPr>
            <w:tcW w:w="2333" w:type="dxa"/>
            <w:tcMar>
              <w:top w:w="65" w:type="dxa"/>
              <w:left w:w="90" w:type="dxa"/>
              <w:bottom w:w="70" w:type="dxa"/>
              <w:right w:w="75" w:type="dxa"/>
            </w:tcMar>
            <w:vAlign w:val="center"/>
          </w:tcPr>
          <w:p w14:paraId="259BE3B0" w14:textId="77777777" w:rsidR="006B1619" w:rsidRDefault="00000000">
            <w:pPr>
              <w:spacing w:after="0" w:line="254" w:lineRule="auto"/>
              <w:jc w:val="left"/>
            </w:pPr>
            <w:r>
              <w:rPr>
                <w:sz w:val="16"/>
              </w:rPr>
              <w:t>212/422 ESBL; 79/422 AmpC; 46/422 carbapenemase phenotypes</w:t>
            </w:r>
          </w:p>
        </w:tc>
        <w:tc>
          <w:tcPr>
            <w:tcW w:w="2549" w:type="dxa"/>
            <w:tcMar>
              <w:top w:w="65" w:type="dxa"/>
              <w:left w:w="90" w:type="dxa"/>
              <w:bottom w:w="70" w:type="dxa"/>
              <w:right w:w="75" w:type="dxa"/>
            </w:tcMar>
            <w:vAlign w:val="center"/>
          </w:tcPr>
          <w:p w14:paraId="687AADDA" w14:textId="77777777" w:rsidR="006B1619" w:rsidRDefault="00000000">
            <w:pPr>
              <w:spacing w:after="0" w:line="254" w:lineRule="auto"/>
              <w:jc w:val="left"/>
            </w:pPr>
            <w:r>
              <w:rPr>
                <w:sz w:val="16"/>
              </w:rPr>
              <w:t>Overlapping mechanisms; differential hospital/community case mix</w:t>
            </w:r>
          </w:p>
        </w:tc>
        <w:tc>
          <w:tcPr>
            <w:tcW w:w="1598" w:type="dxa"/>
            <w:tcMar>
              <w:top w:w="65" w:type="dxa"/>
              <w:left w:w="90" w:type="dxa"/>
              <w:bottom w:w="70" w:type="dxa"/>
              <w:right w:w="75" w:type="dxa"/>
            </w:tcMar>
            <w:vAlign w:val="center"/>
          </w:tcPr>
          <w:p w14:paraId="456C7902" w14:textId="77777777" w:rsidR="006B1619" w:rsidRDefault="00000000">
            <w:pPr>
              <w:spacing w:after="0" w:line="254" w:lineRule="auto"/>
              <w:jc w:val="left"/>
            </w:pPr>
            <w:r>
              <w:rPr>
                <w:sz w:val="16"/>
              </w:rPr>
              <w:t>V. Perera, Gamage, et al. (2022)</w:t>
            </w:r>
          </w:p>
        </w:tc>
      </w:tr>
      <w:tr w:rsidR="006B1619" w14:paraId="0704AED6" w14:textId="77777777">
        <w:trPr>
          <w:cantSplit/>
          <w:jc w:val="center"/>
        </w:trPr>
        <w:tc>
          <w:tcPr>
            <w:tcW w:w="1613" w:type="dxa"/>
            <w:tcMar>
              <w:top w:w="65" w:type="dxa"/>
              <w:left w:w="90" w:type="dxa"/>
              <w:bottom w:w="70" w:type="dxa"/>
              <w:right w:w="75" w:type="dxa"/>
            </w:tcMar>
            <w:vAlign w:val="center"/>
          </w:tcPr>
          <w:p w14:paraId="4212EF94" w14:textId="77777777" w:rsidR="006B1619" w:rsidRDefault="00000000">
            <w:pPr>
              <w:spacing w:after="0" w:line="254" w:lineRule="auto"/>
              <w:jc w:val="left"/>
            </w:pPr>
            <w:r>
              <w:rPr>
                <w:sz w:val="16"/>
              </w:rPr>
              <w:t>Teaching-hospital laboratory; 2021–2024</w:t>
            </w:r>
          </w:p>
        </w:tc>
        <w:tc>
          <w:tcPr>
            <w:tcW w:w="1987" w:type="dxa"/>
            <w:tcMar>
              <w:top w:w="65" w:type="dxa"/>
              <w:left w:w="90" w:type="dxa"/>
              <w:bottom w:w="70" w:type="dxa"/>
              <w:right w:w="75" w:type="dxa"/>
            </w:tcMar>
            <w:vAlign w:val="center"/>
          </w:tcPr>
          <w:p w14:paraId="6B7DE2D8" w14:textId="77777777" w:rsidR="006B1619" w:rsidRDefault="00000000">
            <w:pPr>
              <w:spacing w:after="0" w:line="254" w:lineRule="auto"/>
              <w:jc w:val="left"/>
            </w:pPr>
            <w:r>
              <w:rPr>
                <w:sz w:val="16"/>
              </w:rPr>
              <w:t>758 Enterobacterales laboratory isolates</w:t>
            </w:r>
          </w:p>
        </w:tc>
        <w:tc>
          <w:tcPr>
            <w:tcW w:w="2333" w:type="dxa"/>
            <w:tcMar>
              <w:top w:w="65" w:type="dxa"/>
              <w:left w:w="90" w:type="dxa"/>
              <w:bottom w:w="70" w:type="dxa"/>
              <w:right w:w="75" w:type="dxa"/>
            </w:tcMar>
            <w:vAlign w:val="center"/>
          </w:tcPr>
          <w:p w14:paraId="57746FC1" w14:textId="77777777" w:rsidR="006B1619" w:rsidRDefault="00000000">
            <w:pPr>
              <w:spacing w:after="0" w:line="254" w:lineRule="auto"/>
              <w:jc w:val="left"/>
            </w:pPr>
            <w:r>
              <w:rPr>
                <w:sz w:val="16"/>
              </w:rPr>
              <w:t>499/758 ESBL-labelled; 59/758 carbapenemase-labelled</w:t>
            </w:r>
          </w:p>
        </w:tc>
        <w:tc>
          <w:tcPr>
            <w:tcW w:w="2549" w:type="dxa"/>
            <w:tcMar>
              <w:top w:w="65" w:type="dxa"/>
              <w:left w:w="90" w:type="dxa"/>
              <w:bottom w:w="70" w:type="dxa"/>
              <w:right w:w="75" w:type="dxa"/>
            </w:tcMar>
            <w:vAlign w:val="center"/>
          </w:tcPr>
          <w:p w14:paraId="28F01F8C" w14:textId="77777777" w:rsidR="006B1619" w:rsidRDefault="00000000">
            <w:pPr>
              <w:spacing w:after="0" w:line="254" w:lineRule="auto"/>
              <w:jc w:val="left"/>
            </w:pPr>
            <w:r>
              <w:rPr>
                <w:sz w:val="16"/>
              </w:rPr>
              <w:t>Retrospective record denominator; isolate/patient duplication uncertain</w:t>
            </w:r>
          </w:p>
        </w:tc>
        <w:tc>
          <w:tcPr>
            <w:tcW w:w="1598" w:type="dxa"/>
            <w:tcMar>
              <w:top w:w="65" w:type="dxa"/>
              <w:left w:w="90" w:type="dxa"/>
              <w:bottom w:w="70" w:type="dxa"/>
              <w:right w:w="75" w:type="dxa"/>
            </w:tcMar>
            <w:vAlign w:val="center"/>
          </w:tcPr>
          <w:p w14:paraId="1EF70EEF" w14:textId="77777777" w:rsidR="006B1619" w:rsidRDefault="00000000">
            <w:pPr>
              <w:spacing w:after="0" w:line="254" w:lineRule="auto"/>
              <w:jc w:val="left"/>
            </w:pPr>
            <w:r>
              <w:rPr>
                <w:sz w:val="16"/>
              </w:rPr>
              <w:t>Senanayake et al. (2024)</w:t>
            </w:r>
          </w:p>
        </w:tc>
      </w:tr>
      <w:tr w:rsidR="006B1619" w14:paraId="5ADB5416" w14:textId="77777777">
        <w:trPr>
          <w:cantSplit/>
          <w:jc w:val="center"/>
        </w:trPr>
        <w:tc>
          <w:tcPr>
            <w:tcW w:w="1613" w:type="dxa"/>
            <w:tcMar>
              <w:top w:w="65" w:type="dxa"/>
              <w:left w:w="90" w:type="dxa"/>
              <w:bottom w:w="70" w:type="dxa"/>
              <w:right w:w="75" w:type="dxa"/>
            </w:tcMar>
            <w:vAlign w:val="center"/>
          </w:tcPr>
          <w:p w14:paraId="59B3EA35" w14:textId="77777777" w:rsidR="006B1619" w:rsidRDefault="00000000">
            <w:pPr>
              <w:spacing w:after="0" w:line="254" w:lineRule="auto"/>
              <w:jc w:val="left"/>
            </w:pPr>
            <w:r>
              <w:rPr>
                <w:sz w:val="16"/>
              </w:rPr>
              <w:t>National Cancer Institute</w:t>
            </w:r>
          </w:p>
        </w:tc>
        <w:tc>
          <w:tcPr>
            <w:tcW w:w="1987" w:type="dxa"/>
            <w:tcMar>
              <w:top w:w="65" w:type="dxa"/>
              <w:left w:w="90" w:type="dxa"/>
              <w:bottom w:w="70" w:type="dxa"/>
              <w:right w:w="75" w:type="dxa"/>
            </w:tcMar>
            <w:vAlign w:val="center"/>
          </w:tcPr>
          <w:p w14:paraId="662CE25F" w14:textId="77777777" w:rsidR="006B1619" w:rsidRDefault="00000000">
            <w:pPr>
              <w:spacing w:after="0" w:line="254" w:lineRule="auto"/>
              <w:jc w:val="left"/>
            </w:pPr>
            <w:r>
              <w:rPr>
                <w:sz w:val="16"/>
              </w:rPr>
              <w:t>58 carbapenem-nonsusceptible isolates selected for evaluation</w:t>
            </w:r>
          </w:p>
        </w:tc>
        <w:tc>
          <w:tcPr>
            <w:tcW w:w="2333" w:type="dxa"/>
            <w:tcMar>
              <w:top w:w="65" w:type="dxa"/>
              <w:left w:w="90" w:type="dxa"/>
              <w:bottom w:w="70" w:type="dxa"/>
              <w:right w:w="75" w:type="dxa"/>
            </w:tcMar>
            <w:vAlign w:val="center"/>
          </w:tcPr>
          <w:p w14:paraId="62F53EA9" w14:textId="77777777" w:rsidR="006B1619" w:rsidRDefault="00000000">
            <w:pPr>
              <w:spacing w:after="0" w:line="254" w:lineRule="auto"/>
              <w:jc w:val="left"/>
            </w:pPr>
            <w:r>
              <w:rPr>
                <w:sz w:val="16"/>
              </w:rPr>
              <w:t>37/58 positive in Carba NP assay</w:t>
            </w:r>
          </w:p>
        </w:tc>
        <w:tc>
          <w:tcPr>
            <w:tcW w:w="2549" w:type="dxa"/>
            <w:tcMar>
              <w:top w:w="65" w:type="dxa"/>
              <w:left w:w="90" w:type="dxa"/>
              <w:bottom w:w="70" w:type="dxa"/>
              <w:right w:w="75" w:type="dxa"/>
            </w:tcMar>
            <w:vAlign w:val="center"/>
          </w:tcPr>
          <w:p w14:paraId="7571C5AA" w14:textId="77777777" w:rsidR="006B1619" w:rsidRDefault="00000000">
            <w:pPr>
              <w:spacing w:after="0" w:line="254" w:lineRule="auto"/>
              <w:jc w:val="left"/>
            </w:pPr>
            <w:r>
              <w:rPr>
                <w:sz w:val="16"/>
              </w:rPr>
              <w:t>Only among preselected carbapenem-nonsusceptible isolates</w:t>
            </w:r>
          </w:p>
        </w:tc>
        <w:tc>
          <w:tcPr>
            <w:tcW w:w="1598" w:type="dxa"/>
            <w:tcMar>
              <w:top w:w="65" w:type="dxa"/>
              <w:left w:w="90" w:type="dxa"/>
              <w:bottom w:w="70" w:type="dxa"/>
              <w:right w:w="75" w:type="dxa"/>
            </w:tcMar>
            <w:vAlign w:val="center"/>
          </w:tcPr>
          <w:p w14:paraId="28B8F6A8" w14:textId="77777777" w:rsidR="006B1619" w:rsidRDefault="00000000">
            <w:pPr>
              <w:spacing w:after="0" w:line="254" w:lineRule="auto"/>
              <w:jc w:val="left"/>
            </w:pPr>
            <w:r>
              <w:rPr>
                <w:sz w:val="16"/>
              </w:rPr>
              <w:t>Pitagampola et al. (2024)</w:t>
            </w:r>
          </w:p>
        </w:tc>
      </w:tr>
      <w:tr w:rsidR="006B1619" w14:paraId="36E7EF6D" w14:textId="77777777">
        <w:trPr>
          <w:cantSplit/>
          <w:jc w:val="center"/>
        </w:trPr>
        <w:tc>
          <w:tcPr>
            <w:tcW w:w="1613" w:type="dxa"/>
            <w:tcMar>
              <w:top w:w="65" w:type="dxa"/>
              <w:left w:w="90" w:type="dxa"/>
              <w:bottom w:w="70" w:type="dxa"/>
              <w:right w:w="75" w:type="dxa"/>
            </w:tcMar>
            <w:vAlign w:val="center"/>
          </w:tcPr>
          <w:p w14:paraId="2B35ADA7" w14:textId="77777777" w:rsidR="006B1619" w:rsidRDefault="00000000">
            <w:pPr>
              <w:spacing w:after="0" w:line="254" w:lineRule="auto"/>
              <w:jc w:val="left"/>
            </w:pPr>
            <w:r>
              <w:rPr>
                <w:sz w:val="16"/>
              </w:rPr>
              <w:t>Cancer patients in specialist study</w:t>
            </w:r>
          </w:p>
        </w:tc>
        <w:tc>
          <w:tcPr>
            <w:tcW w:w="1987" w:type="dxa"/>
            <w:tcMar>
              <w:top w:w="65" w:type="dxa"/>
              <w:left w:w="90" w:type="dxa"/>
              <w:bottom w:w="70" w:type="dxa"/>
              <w:right w:w="75" w:type="dxa"/>
            </w:tcMar>
            <w:vAlign w:val="center"/>
          </w:tcPr>
          <w:p w14:paraId="4553BB75" w14:textId="77777777" w:rsidR="006B1619" w:rsidRDefault="00000000">
            <w:pPr>
              <w:spacing w:after="0" w:line="254" w:lineRule="auto"/>
              <w:jc w:val="left"/>
            </w:pPr>
            <w:r>
              <w:rPr>
                <w:sz w:val="16"/>
              </w:rPr>
              <w:t>94 Enterobacteriaceae in analysed clinical material</w:t>
            </w:r>
          </w:p>
        </w:tc>
        <w:tc>
          <w:tcPr>
            <w:tcW w:w="2333" w:type="dxa"/>
            <w:tcMar>
              <w:top w:w="65" w:type="dxa"/>
              <w:left w:w="90" w:type="dxa"/>
              <w:bottom w:w="70" w:type="dxa"/>
              <w:right w:w="75" w:type="dxa"/>
            </w:tcMar>
            <w:vAlign w:val="center"/>
          </w:tcPr>
          <w:p w14:paraId="384B3E89" w14:textId="77777777" w:rsidR="006B1619" w:rsidRDefault="00000000">
            <w:pPr>
              <w:spacing w:after="0" w:line="254" w:lineRule="auto"/>
              <w:jc w:val="left"/>
            </w:pPr>
            <w:r>
              <w:rPr>
                <w:sz w:val="16"/>
              </w:rPr>
              <w:t>44/94 CRE in the selected oncological collection</w:t>
            </w:r>
          </w:p>
        </w:tc>
        <w:tc>
          <w:tcPr>
            <w:tcW w:w="2549" w:type="dxa"/>
            <w:tcMar>
              <w:top w:w="65" w:type="dxa"/>
              <w:left w:w="90" w:type="dxa"/>
              <w:bottom w:w="70" w:type="dxa"/>
              <w:right w:w="75" w:type="dxa"/>
            </w:tcMar>
            <w:vAlign w:val="center"/>
          </w:tcPr>
          <w:p w14:paraId="39AAEF1A" w14:textId="77777777" w:rsidR="006B1619" w:rsidRDefault="00000000">
            <w:pPr>
              <w:spacing w:after="0" w:line="254" w:lineRule="auto"/>
              <w:jc w:val="left"/>
            </w:pPr>
            <w:r>
              <w:rPr>
                <w:sz w:val="16"/>
              </w:rPr>
              <w:t>High-risk population; does not estimate a national CRE rate</w:t>
            </w:r>
          </w:p>
        </w:tc>
        <w:tc>
          <w:tcPr>
            <w:tcW w:w="1598" w:type="dxa"/>
            <w:tcMar>
              <w:top w:w="65" w:type="dxa"/>
              <w:left w:w="90" w:type="dxa"/>
              <w:bottom w:w="70" w:type="dxa"/>
              <w:right w:w="75" w:type="dxa"/>
            </w:tcMar>
            <w:vAlign w:val="center"/>
          </w:tcPr>
          <w:p w14:paraId="6DA39069" w14:textId="77777777" w:rsidR="006B1619" w:rsidRDefault="00000000">
            <w:pPr>
              <w:spacing w:after="0" w:line="254" w:lineRule="auto"/>
              <w:jc w:val="left"/>
            </w:pPr>
            <w:r>
              <w:rPr>
                <w:sz w:val="16"/>
              </w:rPr>
              <w:t>Chathuranga et al. (2024)</w:t>
            </w:r>
          </w:p>
        </w:tc>
      </w:tr>
    </w:tbl>
    <w:p w14:paraId="7AD8F5FF" w14:textId="77777777" w:rsidR="006B1619" w:rsidRDefault="00000000">
      <w:pPr>
        <w:pStyle w:val="TableNote"/>
        <w:keepLines/>
      </w:pPr>
      <w:r>
        <w:t>Note. ESBL = extended-spectrum β-lactamase; AmpC = class C β-lactamase; CRE = carbapenem-resistant Enterobacterales; CPE = carbapenemase-producing Enterobacterales; UTI = urinary tract infection. Rates are not comparable across rows and should not be pooled or ordered into a temporal series.</w:t>
      </w:r>
    </w:p>
    <w:p w14:paraId="706229D3" w14:textId="77777777" w:rsidR="006B1619" w:rsidRDefault="006B1619">
      <w:pPr>
        <w:spacing w:after="20"/>
      </w:pPr>
    </w:p>
    <w:p w14:paraId="00EB7CF7" w14:textId="77777777" w:rsidR="006B1619" w:rsidRDefault="00000000">
      <w:pPr>
        <w:pStyle w:val="Heading1"/>
      </w:pPr>
      <w:r>
        <w:t>5. Molecular Epidemiology and Diagnostic Discordance</w:t>
      </w:r>
    </w:p>
    <w:p w14:paraId="6525C634" w14:textId="77777777" w:rsidR="006B1619" w:rsidRDefault="00000000">
      <w:pPr>
        <w:pStyle w:val="Heading2"/>
      </w:pPr>
      <w:r>
        <w:t>5.1 Evidence of Multiple Carbapenemase Lineages</w:t>
      </w:r>
    </w:p>
    <w:p w14:paraId="753194C0" w14:textId="77777777" w:rsidR="006B1619" w:rsidRDefault="00000000">
      <w:r>
        <w:t xml:space="preserve">The molecular record provides a longer perspective than a superficial reading of recent prevalence papers might suggest. OXA-181 and NDM were documented in selected Sri Lankan carbapenem-resistant </w:t>
      </w:r>
      <w:r>
        <w:rPr>
          <w:i/>
        </w:rPr>
        <w:t>K. pneumoniae</w:t>
      </w:r>
      <w:r>
        <w:t xml:space="preserve"> as early as the 2014 study, alongside CTX-M-15 and sequence types already recognised in the wider </w:t>
      </w:r>
      <w:r>
        <w:lastRenderedPageBreak/>
        <w:t>region. That early detection establishes historical presence but cannot establish when the genes first entered the country. Furthermore, related sequence types or shared plasmid features across countries are compatible with multiple transmission pathways, including independent acquisition and unsampled intermediate settings. Genomic proximity, patient travel histories and sufficiently resolved temporal sampling would be needed to turn this plausible regional connection into a directional reconstruction (Hall et al., 2014; Pitout et al., 2019).</w:t>
      </w:r>
    </w:p>
    <w:p w14:paraId="0A248995" w14:textId="77777777" w:rsidR="006B1619" w:rsidRDefault="00000000">
      <w:r>
        <w:t xml:space="preserve">A 2018 whole-genome sequencing investigation of intensive-care-associated </w:t>
      </w:r>
      <w:r>
        <w:rPr>
          <w:i/>
        </w:rPr>
        <w:t>K. pneumoniae</w:t>
      </w:r>
      <w:r>
        <w:t xml:space="preserve"> identified blaOXA-181 among ten isolates obtained from a wider respiratory specimen collection, distributed across ST147 and ST437. The analysis of ColE-type plasmid variants and additional resistance and virulence determinants moved the field beyond binary susceptibility classification. It also suggested that the same carbapenemase can be carried in multiple related or distinct genomic backgrounds. Still, because the selected sequenced isolates represented a deliberately focused subset, their sequence-type composition should not be read as the distribution of clones across Sri Lankan intensive-care units (Zhu et al., 2018).</w:t>
      </w:r>
    </w:p>
    <w:p w14:paraId="36BEC81C" w14:textId="77777777" w:rsidR="006B1619" w:rsidRDefault="00000000">
      <w:r>
        <w:t>The later 2020 hospital study reported OXA-48-like genes in 48 of 54 carbapenemase-producing isolates, alongside NDM in eight and KPC in two. This is compelling evidence for OXA-48-like predominance within that molecularly characterised subgroup. It is not evidence that 88.9% of all Enterobacterales circulating in Sri Lanka contain OXA-48-like carbapenemases. The fact that the recorded number of carbapenemase genes exceeded the number of enzyme-positive isolates is itself instructive: overlapping determinants make gene-level fractions non-exclusive and render simplistic sums invalid (Kumudunie et al., 2020).</w:t>
      </w:r>
    </w:p>
    <w:p w14:paraId="500FAFBD" w14:textId="77777777" w:rsidR="006B1619" w:rsidRDefault="00000000">
      <w:r>
        <w:t>The 2022 UTI molecular investigation reported specific NDM and OXA-48-like variants, including NDM-1, NDM-4, OXA-181 and OXA-232. Such allele-level resolution is more informative than merely listing enzyme families, because susceptibility to newer inhibitors may differ across molecular classes and because individual OXA-48-like alleles have distinctive epidemiological associations. Yet absence of KPC, VIM or IMP from one targeted urinary cohort cannot establish their absence elsewhere. The subsequent identification of KPC in a different hospital collection and VIM among selected oncology isolates illustrates the danger of treating a bounded sample as an exhaustive national inventory (Chathuranga et al., 2024; Kumudunie et al., 2020; V. Perera, Gamage, et al., 2022).</w:t>
      </w:r>
    </w:p>
    <w:p w14:paraId="04D5D023" w14:textId="77777777" w:rsidR="006B1619" w:rsidRDefault="00000000">
      <w:pPr>
        <w:pStyle w:val="Heading2"/>
      </w:pPr>
      <w:r>
        <w:t>5.2 Coexisting Genes and Host Backgrounds</w:t>
      </w:r>
    </w:p>
    <w:p w14:paraId="199E8677" w14:textId="77777777" w:rsidR="006B1619" w:rsidRDefault="00000000">
      <w:r>
        <w:t>Genomic findings also help explain why the same broad enzyme label may accompany different susceptibility patterns. An eight-isolate investigation of multidrug-resistant Enterobacterales from hospital-acquired UTI found resistance determinants, virulence features and mobile genetic elements across several species and sequence types. The work provides concrete evidence of genomic complexity, including combinations of carbapenemase genes. However, eight deliberately selected genomes cannot resolve whether the observed combinations are rare, commonplace or increasing. The scientific strength of such analysis is gene-context discovery and hypothesis generation, not frequency estimation (V. Perera, de Silva, et al., 2022).</w:t>
      </w:r>
    </w:p>
    <w:p w14:paraId="71993C19" w14:textId="77777777" w:rsidR="006B1619" w:rsidRDefault="00000000">
      <w:r>
        <w:t>A later Sri Lankan analysis explicitly explored associations between resistance phenotypes and combinations of bla genes. It underscored how gene co-occurrence and resistance to non-β-lactam agents can complicate interpretation, especially when comparing isolates with and without detected carbapenemase determinants. In resistance-enriched collections, proportions of co-production are inherently conditional on the initial selection process. Such analyses are therefore well suited to choosing diagnostic assays and understanding why a single marker poorly predicts drug susceptibility. They are less suited to producing an estimate of the prevalence of multi-gene carriage among unselected patients (V. Perera et al., 2024).</w:t>
      </w:r>
    </w:p>
    <w:p w14:paraId="1EA3861E" w14:textId="77777777" w:rsidR="006B1619" w:rsidRDefault="00000000">
      <w:r>
        <w:lastRenderedPageBreak/>
        <w:t xml:space="preserve">The permeability component deserves equal emphasis. Carbapenem minimum inhibitory concentrations can be influenced by porin loss or alteration in addition to enzyme identity. The association between ompK36 variation and meropenem nonsusceptibility described in Sri Lankan </w:t>
      </w:r>
      <w:r>
        <w:rPr>
          <w:i/>
        </w:rPr>
        <w:t>K. pneumoniae</w:t>
      </w:r>
      <w:r>
        <w:t xml:space="preserve"> represents a biologically coherent example of this interaction. At the same time, sequence comparison alone may not establish expression levels, and the association found in a small collection should not be projected automatically to every local </w:t>
      </w:r>
      <w:r>
        <w:rPr>
          <w:i/>
        </w:rPr>
        <w:t>K. pneumoniae</w:t>
      </w:r>
      <w:r>
        <w:t xml:space="preserve"> lineage. Diagnostic algorithms that consider only carbapenemase genes may therefore fail to explain some phenotypically resistant isolates (Hall et al., 2014; Zhu et al., 2018).</w:t>
      </w:r>
    </w:p>
    <w:p w14:paraId="025CEA45" w14:textId="77777777" w:rsidR="006B1619" w:rsidRDefault="00000000">
      <w:pPr>
        <w:pStyle w:val="Heading2"/>
      </w:pPr>
      <w:r>
        <w:t>5.3 Phenotypic Tests Are Sensitive to the Selected Test Population</w:t>
      </w:r>
    </w:p>
    <w:p w14:paraId="4194037A" w14:textId="77777777" w:rsidR="006B1619" w:rsidRDefault="00000000">
      <w:r>
        <w:t>Phenotypic ESBL confirmation, AmpC inhibitor assays and carbapenemase detection each have different validation requirements. Their performance depends not only on the test principle but also on species composition, background enzymes, enzyme quantity, growth conditions and the distribution of target genotypes. An evaluation of β-lactamase detection among 176 selected Sri Lankan uropathogens highlighted the challenges of assays in a population where many isolates contained multiple determinants. Performance estimates obtained in this complex selected collection should be interpreted as internal diagnostic evidence rather than as guarantees of identical sensitivity or specificity in every Sri Lankan laboratory (V. Perera et al., 2023).</w:t>
      </w:r>
    </w:p>
    <w:p w14:paraId="665631D1" w14:textId="77777777" w:rsidR="006B1619" w:rsidRDefault="00000000">
      <w:r>
        <w:t>The modified carbapenem inactivation method offers a practical approach to the detection of carbapenemase activity and has undergone rigorous laboratory evaluation. Nevertheless, the ability to detect enzymatic activity cannot, on its own, identify the precise gene allele responsible. Conversely, a molecular panel with a narrow set of targets may identify specific common genes efficiently but return an apparently negative result for an untested variant. The need for reflex sequencing or expanded confirmation is greatest when phenotype and genotype disagree, when unusual enzymes are suspected or when a cluster suggests healthcare transmission (Nordmann et al., 2012; Pierce et al., 2017).</w:t>
      </w:r>
    </w:p>
    <w:p w14:paraId="13C20F3F" w14:textId="77777777" w:rsidR="006B1619" w:rsidRDefault="00000000">
      <w:r>
        <w:t>International work on OXA-48-like enzymes emphasises particularly important detection difficulties. Some producers show relatively subtle elevations in carbapenem minimum inhibitory concentrations, especially in the absence of additional resistance mechanisms. These organisms can be missed by overly restrictive screening cut-offs, while a screening strategy that maximises sensitivity can increase the number of isolates requiring confirmatory assessment. The optimal laboratory pathway therefore depends on the purpose of testing: individual clinical treatment, rapid infection-control detection or long-term national mechanism surveillance. A single universal cut-off cannot fulfil all three purposes equally well (Pitout et al., 2019; Poirel et al., 2012).</w:t>
      </w:r>
    </w:p>
    <w:p w14:paraId="16CFA214" w14:textId="77777777" w:rsidR="006B1619" w:rsidRDefault="00000000">
      <w:pPr>
        <w:pStyle w:val="Heading2"/>
      </w:pPr>
      <w:r>
        <w:t>5.4 Defining the Unit of Molecular Inference</w:t>
      </w:r>
    </w:p>
    <w:p w14:paraId="3689A9F7" w14:textId="77777777" w:rsidR="006B1619" w:rsidRDefault="00000000">
      <w:r>
        <w:t>There is a fundamental difference between observing a gene, demonstrating its location on a mobile element and proving that it has transferred between organisms in a particular setting. Short-read sequencing can detect an allele but may not resolve the complete plasmid; long-read approaches improve genetic-context resolution but still require epidemiological and experimental evidence for claims about transmission. Similarly, finding the same allele in multiple isolates provides weaker evidence of a direct transmission event than close whole-genome relatedness linked to time, place and patient exposure. These distinctions matter in a region where important carbapenemase families are widely distributed beyond national borders (V. Perera, de Silva, et al., 2022; Pitout et al., 2019; Zhu et al., 2018).</w:t>
      </w:r>
    </w:p>
    <w:p w14:paraId="5A4A3442" w14:textId="77777777" w:rsidR="006B1619" w:rsidRDefault="00000000">
      <w:r>
        <w:t xml:space="preserve">For Sri Lankan surveillance, this implies a tiered model: continuous routine phenotyping to detect a changing burden, consistent functional tests to distinguish CPE from non-CPE CRE, and selected sequencing to determine </w:t>
      </w:r>
      <w:r>
        <w:lastRenderedPageBreak/>
        <w:t>which clones or genetic vehicles account for changes. The mechanistic argument for this sequence is strong, but the country-specific resource requirements and added yield of each tier remain inadequately evaluated. Molecular richness without consistent denominator metadata can make an isolated report appear more advanced while leaving the key epidemiological question unanswered. Conversely, large antibiogram series without periodic genotyping may conceal shifts between NDM, OXA-48-like and other determinants with different therapeutic implications (Kumudunie et al., 2020; V. Perera et al., 2023).</w:t>
      </w:r>
    </w:p>
    <w:p w14:paraId="6BC3A569" w14:textId="77777777" w:rsidR="006B1619" w:rsidRDefault="00000000">
      <w:r>
        <w:t>Table 3 distinguishes the analytical questions that different methods can resolve and the forms of misclassification that remain. It also clarifies why the most appropriate confirmation pathway depends on whether the immediate purpose is patient treatment, outbreak assessment or estimation of mechanism-specific prevalence. These domains overlap operationally but require distinct reporting outputs.</w:t>
      </w:r>
    </w:p>
    <w:p w14:paraId="4BAD9A64" w14:textId="77777777" w:rsidR="006B1619" w:rsidRDefault="00000000">
      <w:pPr>
        <w:pStyle w:val="TableCaption"/>
      </w:pPr>
      <w:r>
        <w:t>Table 3. What diagnostic approaches can and cannot infer about resistance mechanisms</w:t>
      </w:r>
    </w:p>
    <w:tbl>
      <w:tblPr>
        <w:tblW w:w="0" w:type="auto"/>
        <w:jc w:val="center"/>
        <w:tblLayout w:type="fixed"/>
        <w:tblLook w:val="04A0" w:firstRow="1" w:lastRow="0" w:firstColumn="1" w:lastColumn="0" w:noHBand="0" w:noVBand="1"/>
      </w:tblPr>
      <w:tblGrid>
        <w:gridCol w:w="1613"/>
        <w:gridCol w:w="1987"/>
        <w:gridCol w:w="2333"/>
        <w:gridCol w:w="2549"/>
        <w:gridCol w:w="1598"/>
      </w:tblGrid>
      <w:tr w:rsidR="006B1619" w14:paraId="1528E4C0" w14:textId="77777777">
        <w:trPr>
          <w:cantSplit/>
          <w:tblHeader/>
          <w:jc w:val="center"/>
        </w:trPr>
        <w:tc>
          <w:tcPr>
            <w:tcW w:w="1613" w:type="dxa"/>
            <w:shd w:val="clear" w:color="auto" w:fill="E7EBEF"/>
            <w:tcMar>
              <w:top w:w="80" w:type="dxa"/>
              <w:left w:w="90" w:type="dxa"/>
              <w:bottom w:w="90" w:type="dxa"/>
              <w:right w:w="75" w:type="dxa"/>
            </w:tcMar>
            <w:vAlign w:val="center"/>
          </w:tcPr>
          <w:p w14:paraId="5E08C1DF" w14:textId="77777777" w:rsidR="006B1619" w:rsidRDefault="00000000">
            <w:pPr>
              <w:spacing w:after="0" w:line="250" w:lineRule="auto"/>
              <w:jc w:val="left"/>
            </w:pPr>
            <w:r>
              <w:rPr>
                <w:b/>
                <w:sz w:val="16"/>
              </w:rPr>
              <w:t>Approach</w:t>
            </w:r>
          </w:p>
        </w:tc>
        <w:tc>
          <w:tcPr>
            <w:tcW w:w="1987" w:type="dxa"/>
            <w:shd w:val="clear" w:color="auto" w:fill="E7EBEF"/>
            <w:tcMar>
              <w:top w:w="80" w:type="dxa"/>
              <w:left w:w="90" w:type="dxa"/>
              <w:bottom w:w="90" w:type="dxa"/>
              <w:right w:w="75" w:type="dxa"/>
            </w:tcMar>
            <w:vAlign w:val="center"/>
          </w:tcPr>
          <w:p w14:paraId="11027629" w14:textId="77777777" w:rsidR="006B1619" w:rsidRDefault="00000000">
            <w:pPr>
              <w:spacing w:after="0" w:line="250" w:lineRule="auto"/>
              <w:jc w:val="left"/>
            </w:pPr>
            <w:r>
              <w:rPr>
                <w:b/>
                <w:sz w:val="16"/>
              </w:rPr>
              <w:t>Direct analytical output</w:t>
            </w:r>
          </w:p>
        </w:tc>
        <w:tc>
          <w:tcPr>
            <w:tcW w:w="2333" w:type="dxa"/>
            <w:shd w:val="clear" w:color="auto" w:fill="E7EBEF"/>
            <w:tcMar>
              <w:top w:w="80" w:type="dxa"/>
              <w:left w:w="90" w:type="dxa"/>
              <w:bottom w:w="90" w:type="dxa"/>
              <w:right w:w="75" w:type="dxa"/>
            </w:tcMar>
            <w:vAlign w:val="center"/>
          </w:tcPr>
          <w:p w14:paraId="267BB6D2" w14:textId="77777777" w:rsidR="006B1619" w:rsidRDefault="00000000">
            <w:pPr>
              <w:spacing w:after="0" w:line="250" w:lineRule="auto"/>
              <w:jc w:val="left"/>
            </w:pPr>
            <w:r>
              <w:rPr>
                <w:b/>
                <w:sz w:val="16"/>
              </w:rPr>
              <w:t>Advantage for surveillance</w:t>
            </w:r>
          </w:p>
        </w:tc>
        <w:tc>
          <w:tcPr>
            <w:tcW w:w="2549" w:type="dxa"/>
            <w:shd w:val="clear" w:color="auto" w:fill="E7EBEF"/>
            <w:tcMar>
              <w:top w:w="80" w:type="dxa"/>
              <w:left w:w="90" w:type="dxa"/>
              <w:bottom w:w="90" w:type="dxa"/>
              <w:right w:w="75" w:type="dxa"/>
            </w:tcMar>
            <w:vAlign w:val="center"/>
          </w:tcPr>
          <w:p w14:paraId="73216B68" w14:textId="77777777" w:rsidR="006B1619" w:rsidRDefault="00000000">
            <w:pPr>
              <w:spacing w:after="0" w:line="250" w:lineRule="auto"/>
              <w:jc w:val="left"/>
            </w:pPr>
            <w:r>
              <w:rPr>
                <w:b/>
                <w:sz w:val="16"/>
              </w:rPr>
              <w:t>Important uncertainty</w:t>
            </w:r>
          </w:p>
        </w:tc>
        <w:tc>
          <w:tcPr>
            <w:tcW w:w="1598" w:type="dxa"/>
            <w:shd w:val="clear" w:color="auto" w:fill="E7EBEF"/>
            <w:tcMar>
              <w:top w:w="80" w:type="dxa"/>
              <w:left w:w="90" w:type="dxa"/>
              <w:bottom w:w="90" w:type="dxa"/>
              <w:right w:w="75" w:type="dxa"/>
            </w:tcMar>
            <w:vAlign w:val="center"/>
          </w:tcPr>
          <w:p w14:paraId="64225BCE" w14:textId="77777777" w:rsidR="006B1619" w:rsidRDefault="00000000">
            <w:pPr>
              <w:spacing w:after="0" w:line="250" w:lineRule="auto"/>
              <w:jc w:val="left"/>
            </w:pPr>
            <w:r>
              <w:rPr>
                <w:b/>
                <w:sz w:val="16"/>
              </w:rPr>
              <w:t>Supporting references</w:t>
            </w:r>
          </w:p>
        </w:tc>
      </w:tr>
      <w:tr w:rsidR="006B1619" w14:paraId="035F5413" w14:textId="77777777">
        <w:trPr>
          <w:cantSplit/>
          <w:jc w:val="center"/>
        </w:trPr>
        <w:tc>
          <w:tcPr>
            <w:tcW w:w="1613" w:type="dxa"/>
            <w:tcMar>
              <w:top w:w="65" w:type="dxa"/>
              <w:left w:w="90" w:type="dxa"/>
              <w:bottom w:w="70" w:type="dxa"/>
              <w:right w:w="75" w:type="dxa"/>
            </w:tcMar>
            <w:vAlign w:val="center"/>
          </w:tcPr>
          <w:p w14:paraId="5CDC5757" w14:textId="77777777" w:rsidR="006B1619" w:rsidRDefault="00000000">
            <w:pPr>
              <w:spacing w:after="0" w:line="254" w:lineRule="auto"/>
              <w:jc w:val="left"/>
            </w:pPr>
            <w:r>
              <w:rPr>
                <w:sz w:val="16"/>
              </w:rPr>
              <w:t>Routine susceptibility testing</w:t>
            </w:r>
          </w:p>
        </w:tc>
        <w:tc>
          <w:tcPr>
            <w:tcW w:w="1987" w:type="dxa"/>
            <w:tcMar>
              <w:top w:w="65" w:type="dxa"/>
              <w:left w:w="90" w:type="dxa"/>
              <w:bottom w:w="70" w:type="dxa"/>
              <w:right w:w="75" w:type="dxa"/>
            </w:tcMar>
            <w:vAlign w:val="center"/>
          </w:tcPr>
          <w:p w14:paraId="0C0F8A49" w14:textId="77777777" w:rsidR="006B1619" w:rsidRDefault="00000000">
            <w:pPr>
              <w:spacing w:after="0" w:line="254" w:lineRule="auto"/>
              <w:jc w:val="left"/>
            </w:pPr>
            <w:r>
              <w:rPr>
                <w:sz w:val="16"/>
              </w:rPr>
              <w:t>Drug-specific inhibition or growth relative to cut-off</w:t>
            </w:r>
          </w:p>
        </w:tc>
        <w:tc>
          <w:tcPr>
            <w:tcW w:w="2333" w:type="dxa"/>
            <w:tcMar>
              <w:top w:w="65" w:type="dxa"/>
              <w:left w:w="90" w:type="dxa"/>
              <w:bottom w:w="70" w:type="dxa"/>
              <w:right w:w="75" w:type="dxa"/>
            </w:tcMar>
            <w:vAlign w:val="center"/>
          </w:tcPr>
          <w:p w14:paraId="4B38D8A7" w14:textId="77777777" w:rsidR="006B1619" w:rsidRDefault="00000000">
            <w:pPr>
              <w:spacing w:after="0" w:line="254" w:lineRule="auto"/>
              <w:jc w:val="left"/>
            </w:pPr>
            <w:r>
              <w:rPr>
                <w:sz w:val="16"/>
              </w:rPr>
              <w:t>Broad availability; supports longitudinal phenotypic trend analysis</w:t>
            </w:r>
          </w:p>
        </w:tc>
        <w:tc>
          <w:tcPr>
            <w:tcW w:w="2549" w:type="dxa"/>
            <w:tcMar>
              <w:top w:w="65" w:type="dxa"/>
              <w:left w:w="90" w:type="dxa"/>
              <w:bottom w:w="70" w:type="dxa"/>
              <w:right w:w="75" w:type="dxa"/>
            </w:tcMar>
            <w:vAlign w:val="center"/>
          </w:tcPr>
          <w:p w14:paraId="5EDC591B" w14:textId="77777777" w:rsidR="006B1619" w:rsidRDefault="00000000">
            <w:pPr>
              <w:spacing w:after="0" w:line="254" w:lineRule="auto"/>
              <w:jc w:val="left"/>
            </w:pPr>
            <w:r>
              <w:rPr>
                <w:sz w:val="16"/>
              </w:rPr>
              <w:t>Not an enzyme classification; breakpoints and panels may change</w:t>
            </w:r>
          </w:p>
        </w:tc>
        <w:tc>
          <w:tcPr>
            <w:tcW w:w="1598" w:type="dxa"/>
            <w:tcMar>
              <w:top w:w="65" w:type="dxa"/>
              <w:left w:w="90" w:type="dxa"/>
              <w:bottom w:w="70" w:type="dxa"/>
              <w:right w:w="75" w:type="dxa"/>
            </w:tcMar>
            <w:vAlign w:val="center"/>
          </w:tcPr>
          <w:p w14:paraId="465343DD" w14:textId="77777777" w:rsidR="006B1619" w:rsidRDefault="00000000">
            <w:pPr>
              <w:spacing w:after="0" w:line="254" w:lineRule="auto"/>
              <w:jc w:val="left"/>
            </w:pPr>
            <w:r>
              <w:rPr>
                <w:sz w:val="16"/>
              </w:rPr>
              <w:t>Bush &amp; Bradford (2020); Ministry of Health and Mass Media, Sri Lanka (2024)</w:t>
            </w:r>
          </w:p>
        </w:tc>
      </w:tr>
      <w:tr w:rsidR="006B1619" w14:paraId="38FAE688" w14:textId="77777777">
        <w:trPr>
          <w:cantSplit/>
          <w:jc w:val="center"/>
        </w:trPr>
        <w:tc>
          <w:tcPr>
            <w:tcW w:w="1613" w:type="dxa"/>
            <w:tcMar>
              <w:top w:w="65" w:type="dxa"/>
              <w:left w:w="90" w:type="dxa"/>
              <w:bottom w:w="70" w:type="dxa"/>
              <w:right w:w="75" w:type="dxa"/>
            </w:tcMar>
            <w:vAlign w:val="center"/>
          </w:tcPr>
          <w:p w14:paraId="7B2907C2" w14:textId="77777777" w:rsidR="006B1619" w:rsidRDefault="00000000">
            <w:pPr>
              <w:spacing w:after="0" w:line="254" w:lineRule="auto"/>
              <w:jc w:val="left"/>
            </w:pPr>
            <w:r>
              <w:rPr>
                <w:sz w:val="16"/>
              </w:rPr>
              <w:t>ESBL combination/inhibitor tests</w:t>
            </w:r>
          </w:p>
        </w:tc>
        <w:tc>
          <w:tcPr>
            <w:tcW w:w="1987" w:type="dxa"/>
            <w:tcMar>
              <w:top w:w="65" w:type="dxa"/>
              <w:left w:w="90" w:type="dxa"/>
              <w:bottom w:w="70" w:type="dxa"/>
              <w:right w:w="75" w:type="dxa"/>
            </w:tcMar>
            <w:vAlign w:val="center"/>
          </w:tcPr>
          <w:p w14:paraId="701B99C8" w14:textId="77777777" w:rsidR="006B1619" w:rsidRDefault="00000000">
            <w:pPr>
              <w:spacing w:after="0" w:line="254" w:lineRule="auto"/>
              <w:jc w:val="left"/>
            </w:pPr>
            <w:r>
              <w:rPr>
                <w:sz w:val="16"/>
              </w:rPr>
              <w:t>Functional ESBL-associated inhibitor effect</w:t>
            </w:r>
          </w:p>
        </w:tc>
        <w:tc>
          <w:tcPr>
            <w:tcW w:w="2333" w:type="dxa"/>
            <w:tcMar>
              <w:top w:w="65" w:type="dxa"/>
              <w:left w:w="90" w:type="dxa"/>
              <w:bottom w:w="70" w:type="dxa"/>
              <w:right w:w="75" w:type="dxa"/>
            </w:tcMar>
            <w:vAlign w:val="center"/>
          </w:tcPr>
          <w:p w14:paraId="6DE774AE" w14:textId="77777777" w:rsidR="006B1619" w:rsidRDefault="00000000">
            <w:pPr>
              <w:spacing w:after="0" w:line="254" w:lineRule="auto"/>
              <w:jc w:val="left"/>
            </w:pPr>
            <w:r>
              <w:rPr>
                <w:sz w:val="16"/>
              </w:rPr>
              <w:t>Distinguishes ESBL phenotype from simple cephalosporin screening</w:t>
            </w:r>
          </w:p>
        </w:tc>
        <w:tc>
          <w:tcPr>
            <w:tcW w:w="2549" w:type="dxa"/>
            <w:tcMar>
              <w:top w:w="65" w:type="dxa"/>
              <w:left w:w="90" w:type="dxa"/>
              <w:bottom w:w="70" w:type="dxa"/>
              <w:right w:w="75" w:type="dxa"/>
            </w:tcMar>
            <w:vAlign w:val="center"/>
          </w:tcPr>
          <w:p w14:paraId="63742E1F" w14:textId="77777777" w:rsidR="006B1619" w:rsidRDefault="00000000">
            <w:pPr>
              <w:spacing w:after="0" w:line="254" w:lineRule="auto"/>
              <w:jc w:val="left"/>
            </w:pPr>
            <w:r>
              <w:rPr>
                <w:sz w:val="16"/>
              </w:rPr>
              <w:t>Coexisting AmpC or carbapenemase activity can obscure results</w:t>
            </w:r>
          </w:p>
        </w:tc>
        <w:tc>
          <w:tcPr>
            <w:tcW w:w="1598" w:type="dxa"/>
            <w:tcMar>
              <w:top w:w="65" w:type="dxa"/>
              <w:left w:w="90" w:type="dxa"/>
              <w:bottom w:w="70" w:type="dxa"/>
              <w:right w:w="75" w:type="dxa"/>
            </w:tcMar>
            <w:vAlign w:val="center"/>
          </w:tcPr>
          <w:p w14:paraId="7B1A3F4A" w14:textId="77777777" w:rsidR="006B1619" w:rsidRDefault="00000000">
            <w:pPr>
              <w:spacing w:after="0" w:line="254" w:lineRule="auto"/>
              <w:jc w:val="left"/>
            </w:pPr>
            <w:r>
              <w:rPr>
                <w:sz w:val="16"/>
              </w:rPr>
              <w:t>V. Perera et al. (2023)</w:t>
            </w:r>
          </w:p>
        </w:tc>
      </w:tr>
      <w:tr w:rsidR="006B1619" w14:paraId="1FE05BC9" w14:textId="77777777">
        <w:trPr>
          <w:cantSplit/>
          <w:jc w:val="center"/>
        </w:trPr>
        <w:tc>
          <w:tcPr>
            <w:tcW w:w="1613" w:type="dxa"/>
            <w:tcMar>
              <w:top w:w="65" w:type="dxa"/>
              <w:left w:w="90" w:type="dxa"/>
              <w:bottom w:w="70" w:type="dxa"/>
              <w:right w:w="75" w:type="dxa"/>
            </w:tcMar>
            <w:vAlign w:val="center"/>
          </w:tcPr>
          <w:p w14:paraId="0C6AB192" w14:textId="77777777" w:rsidR="006B1619" w:rsidRDefault="00000000">
            <w:pPr>
              <w:spacing w:after="0" w:line="254" w:lineRule="auto"/>
              <w:jc w:val="left"/>
            </w:pPr>
            <w:r>
              <w:rPr>
                <w:sz w:val="16"/>
              </w:rPr>
              <w:t>AmpC phenotypic testing</w:t>
            </w:r>
          </w:p>
        </w:tc>
        <w:tc>
          <w:tcPr>
            <w:tcW w:w="1987" w:type="dxa"/>
            <w:tcMar>
              <w:top w:w="65" w:type="dxa"/>
              <w:left w:w="90" w:type="dxa"/>
              <w:bottom w:w="70" w:type="dxa"/>
              <w:right w:w="75" w:type="dxa"/>
            </w:tcMar>
            <w:vAlign w:val="center"/>
          </w:tcPr>
          <w:p w14:paraId="742AF06C" w14:textId="77777777" w:rsidR="006B1619" w:rsidRDefault="00000000">
            <w:pPr>
              <w:spacing w:after="0" w:line="254" w:lineRule="auto"/>
              <w:jc w:val="left"/>
            </w:pPr>
            <w:r>
              <w:rPr>
                <w:sz w:val="16"/>
              </w:rPr>
              <w:t>Presumptive class C activity</w:t>
            </w:r>
          </w:p>
        </w:tc>
        <w:tc>
          <w:tcPr>
            <w:tcW w:w="2333" w:type="dxa"/>
            <w:tcMar>
              <w:top w:w="65" w:type="dxa"/>
              <w:left w:w="90" w:type="dxa"/>
              <w:bottom w:w="70" w:type="dxa"/>
              <w:right w:w="75" w:type="dxa"/>
            </w:tcMar>
            <w:vAlign w:val="center"/>
          </w:tcPr>
          <w:p w14:paraId="2E565CE4" w14:textId="77777777" w:rsidR="006B1619" w:rsidRDefault="00000000">
            <w:pPr>
              <w:spacing w:after="0" w:line="254" w:lineRule="auto"/>
              <w:jc w:val="left"/>
            </w:pPr>
            <w:r>
              <w:rPr>
                <w:sz w:val="16"/>
              </w:rPr>
              <w:t>May inform selection of isolates for confirmation</w:t>
            </w:r>
          </w:p>
        </w:tc>
        <w:tc>
          <w:tcPr>
            <w:tcW w:w="2549" w:type="dxa"/>
            <w:tcMar>
              <w:top w:w="65" w:type="dxa"/>
              <w:left w:w="90" w:type="dxa"/>
              <w:bottom w:w="70" w:type="dxa"/>
              <w:right w:w="75" w:type="dxa"/>
            </w:tcMar>
            <w:vAlign w:val="center"/>
          </w:tcPr>
          <w:p w14:paraId="423661D5" w14:textId="77777777" w:rsidR="006B1619" w:rsidRDefault="00000000">
            <w:pPr>
              <w:spacing w:after="0" w:line="254" w:lineRule="auto"/>
              <w:jc w:val="left"/>
            </w:pPr>
            <w:r>
              <w:rPr>
                <w:sz w:val="16"/>
              </w:rPr>
              <w:t>Cannot reliably distinguish chromosomal derepression from acquired genes</w:t>
            </w:r>
          </w:p>
        </w:tc>
        <w:tc>
          <w:tcPr>
            <w:tcW w:w="1598" w:type="dxa"/>
            <w:tcMar>
              <w:top w:w="65" w:type="dxa"/>
              <w:left w:w="90" w:type="dxa"/>
              <w:bottom w:w="70" w:type="dxa"/>
              <w:right w:w="75" w:type="dxa"/>
            </w:tcMar>
            <w:vAlign w:val="center"/>
          </w:tcPr>
          <w:p w14:paraId="3B53FB66" w14:textId="77777777" w:rsidR="006B1619" w:rsidRDefault="00000000">
            <w:pPr>
              <w:spacing w:after="0" w:line="254" w:lineRule="auto"/>
              <w:jc w:val="left"/>
            </w:pPr>
            <w:r>
              <w:rPr>
                <w:sz w:val="16"/>
              </w:rPr>
              <w:t>Jacoby (2009); Tamma et al. (2019)</w:t>
            </w:r>
          </w:p>
        </w:tc>
      </w:tr>
      <w:tr w:rsidR="006B1619" w14:paraId="0D3D7C47" w14:textId="77777777">
        <w:trPr>
          <w:cantSplit/>
          <w:jc w:val="center"/>
        </w:trPr>
        <w:tc>
          <w:tcPr>
            <w:tcW w:w="1613" w:type="dxa"/>
            <w:tcMar>
              <w:top w:w="65" w:type="dxa"/>
              <w:left w:w="90" w:type="dxa"/>
              <w:bottom w:w="70" w:type="dxa"/>
              <w:right w:w="75" w:type="dxa"/>
            </w:tcMar>
            <w:vAlign w:val="center"/>
          </w:tcPr>
          <w:p w14:paraId="7D2DFECA" w14:textId="77777777" w:rsidR="006B1619" w:rsidRDefault="00000000">
            <w:pPr>
              <w:spacing w:after="0" w:line="254" w:lineRule="auto"/>
              <w:jc w:val="left"/>
            </w:pPr>
            <w:r>
              <w:rPr>
                <w:sz w:val="16"/>
              </w:rPr>
              <w:t>Carbapenem inactivation / biochemical tests</w:t>
            </w:r>
          </w:p>
        </w:tc>
        <w:tc>
          <w:tcPr>
            <w:tcW w:w="1987" w:type="dxa"/>
            <w:tcMar>
              <w:top w:w="65" w:type="dxa"/>
              <w:left w:w="90" w:type="dxa"/>
              <w:bottom w:w="70" w:type="dxa"/>
              <w:right w:w="75" w:type="dxa"/>
            </w:tcMar>
            <w:vAlign w:val="center"/>
          </w:tcPr>
          <w:p w14:paraId="6894843D" w14:textId="77777777" w:rsidR="006B1619" w:rsidRDefault="00000000">
            <w:pPr>
              <w:spacing w:after="0" w:line="254" w:lineRule="auto"/>
              <w:jc w:val="left"/>
            </w:pPr>
            <w:r>
              <w:rPr>
                <w:sz w:val="16"/>
              </w:rPr>
              <w:t>Carbapenemase-associated functional activity</w:t>
            </w:r>
          </w:p>
        </w:tc>
        <w:tc>
          <w:tcPr>
            <w:tcW w:w="2333" w:type="dxa"/>
            <w:tcMar>
              <w:top w:w="65" w:type="dxa"/>
              <w:left w:w="90" w:type="dxa"/>
              <w:bottom w:w="70" w:type="dxa"/>
              <w:right w:w="75" w:type="dxa"/>
            </w:tcMar>
            <w:vAlign w:val="center"/>
          </w:tcPr>
          <w:p w14:paraId="24A217EA" w14:textId="77777777" w:rsidR="006B1619" w:rsidRDefault="00000000">
            <w:pPr>
              <w:spacing w:after="0" w:line="254" w:lineRule="auto"/>
              <w:jc w:val="left"/>
            </w:pPr>
            <w:r>
              <w:rPr>
                <w:sz w:val="16"/>
              </w:rPr>
              <w:t>Useful reflex test for suspected CPE</w:t>
            </w:r>
          </w:p>
        </w:tc>
        <w:tc>
          <w:tcPr>
            <w:tcW w:w="2549" w:type="dxa"/>
            <w:tcMar>
              <w:top w:w="65" w:type="dxa"/>
              <w:left w:w="90" w:type="dxa"/>
              <w:bottom w:w="70" w:type="dxa"/>
              <w:right w:w="75" w:type="dxa"/>
            </w:tcMar>
            <w:vAlign w:val="center"/>
          </w:tcPr>
          <w:p w14:paraId="797C3A3B" w14:textId="77777777" w:rsidR="006B1619" w:rsidRDefault="00000000">
            <w:pPr>
              <w:spacing w:after="0" w:line="254" w:lineRule="auto"/>
              <w:jc w:val="left"/>
            </w:pPr>
            <w:r>
              <w:rPr>
                <w:sz w:val="16"/>
              </w:rPr>
              <w:t>Does not identify allele; weak expression can complicate detection</w:t>
            </w:r>
          </w:p>
        </w:tc>
        <w:tc>
          <w:tcPr>
            <w:tcW w:w="1598" w:type="dxa"/>
            <w:tcMar>
              <w:top w:w="65" w:type="dxa"/>
              <w:left w:w="90" w:type="dxa"/>
              <w:bottom w:w="70" w:type="dxa"/>
              <w:right w:w="75" w:type="dxa"/>
            </w:tcMar>
            <w:vAlign w:val="center"/>
          </w:tcPr>
          <w:p w14:paraId="2DD2DB8D" w14:textId="77777777" w:rsidR="006B1619" w:rsidRDefault="00000000">
            <w:pPr>
              <w:spacing w:after="0" w:line="254" w:lineRule="auto"/>
              <w:jc w:val="left"/>
            </w:pPr>
            <w:r>
              <w:rPr>
                <w:sz w:val="16"/>
              </w:rPr>
              <w:t>Pierce et al. (2017); Nordmann et al. (2012)</w:t>
            </w:r>
          </w:p>
        </w:tc>
      </w:tr>
      <w:tr w:rsidR="006B1619" w14:paraId="7A686762" w14:textId="77777777">
        <w:trPr>
          <w:cantSplit/>
          <w:jc w:val="center"/>
        </w:trPr>
        <w:tc>
          <w:tcPr>
            <w:tcW w:w="1613" w:type="dxa"/>
            <w:tcMar>
              <w:top w:w="65" w:type="dxa"/>
              <w:left w:w="90" w:type="dxa"/>
              <w:bottom w:w="70" w:type="dxa"/>
              <w:right w:w="75" w:type="dxa"/>
            </w:tcMar>
            <w:vAlign w:val="center"/>
          </w:tcPr>
          <w:p w14:paraId="0AD57149" w14:textId="77777777" w:rsidR="006B1619" w:rsidRDefault="00000000">
            <w:pPr>
              <w:spacing w:after="0" w:line="254" w:lineRule="auto"/>
              <w:jc w:val="left"/>
            </w:pPr>
            <w:r>
              <w:rPr>
                <w:sz w:val="16"/>
              </w:rPr>
              <w:t>Targeted molecular panel</w:t>
            </w:r>
          </w:p>
        </w:tc>
        <w:tc>
          <w:tcPr>
            <w:tcW w:w="1987" w:type="dxa"/>
            <w:tcMar>
              <w:top w:w="65" w:type="dxa"/>
              <w:left w:w="90" w:type="dxa"/>
              <w:bottom w:w="70" w:type="dxa"/>
              <w:right w:w="75" w:type="dxa"/>
            </w:tcMar>
            <w:vAlign w:val="center"/>
          </w:tcPr>
          <w:p w14:paraId="3967A78E" w14:textId="77777777" w:rsidR="006B1619" w:rsidRDefault="00000000">
            <w:pPr>
              <w:spacing w:after="0" w:line="254" w:lineRule="auto"/>
              <w:jc w:val="left"/>
            </w:pPr>
            <w:r>
              <w:rPr>
                <w:sz w:val="16"/>
              </w:rPr>
              <w:t>Presence or absence of a predefined gene target</w:t>
            </w:r>
          </w:p>
        </w:tc>
        <w:tc>
          <w:tcPr>
            <w:tcW w:w="2333" w:type="dxa"/>
            <w:tcMar>
              <w:top w:w="65" w:type="dxa"/>
              <w:left w:w="90" w:type="dxa"/>
              <w:bottom w:w="70" w:type="dxa"/>
              <w:right w:w="75" w:type="dxa"/>
            </w:tcMar>
            <w:vAlign w:val="center"/>
          </w:tcPr>
          <w:p w14:paraId="5893C89A" w14:textId="77777777" w:rsidR="006B1619" w:rsidRDefault="00000000">
            <w:pPr>
              <w:spacing w:after="0" w:line="254" w:lineRule="auto"/>
              <w:jc w:val="left"/>
            </w:pPr>
            <w:r>
              <w:rPr>
                <w:sz w:val="16"/>
              </w:rPr>
              <w:t>Fast identification of locally known mechanisms</w:t>
            </w:r>
          </w:p>
        </w:tc>
        <w:tc>
          <w:tcPr>
            <w:tcW w:w="2549" w:type="dxa"/>
            <w:tcMar>
              <w:top w:w="65" w:type="dxa"/>
              <w:left w:w="90" w:type="dxa"/>
              <w:bottom w:w="70" w:type="dxa"/>
              <w:right w:w="75" w:type="dxa"/>
            </w:tcMar>
            <w:vAlign w:val="center"/>
          </w:tcPr>
          <w:p w14:paraId="3883A9DE" w14:textId="77777777" w:rsidR="006B1619" w:rsidRDefault="00000000">
            <w:pPr>
              <w:spacing w:after="0" w:line="254" w:lineRule="auto"/>
              <w:jc w:val="left"/>
            </w:pPr>
            <w:r>
              <w:rPr>
                <w:sz w:val="16"/>
              </w:rPr>
              <w:t>Untested genes and unknown variants remain invisible</w:t>
            </w:r>
          </w:p>
        </w:tc>
        <w:tc>
          <w:tcPr>
            <w:tcW w:w="1598" w:type="dxa"/>
            <w:tcMar>
              <w:top w:w="65" w:type="dxa"/>
              <w:left w:w="90" w:type="dxa"/>
              <w:bottom w:w="70" w:type="dxa"/>
              <w:right w:w="75" w:type="dxa"/>
            </w:tcMar>
            <w:vAlign w:val="center"/>
          </w:tcPr>
          <w:p w14:paraId="2E186F09" w14:textId="77777777" w:rsidR="006B1619" w:rsidRDefault="00000000">
            <w:pPr>
              <w:spacing w:after="0" w:line="254" w:lineRule="auto"/>
              <w:jc w:val="left"/>
            </w:pPr>
            <w:r>
              <w:rPr>
                <w:sz w:val="16"/>
              </w:rPr>
              <w:t>Kumudunie et al. (2020); Chathuranga et al. (2024)</w:t>
            </w:r>
          </w:p>
        </w:tc>
      </w:tr>
      <w:tr w:rsidR="006B1619" w14:paraId="6A520199" w14:textId="77777777">
        <w:trPr>
          <w:cantSplit/>
          <w:jc w:val="center"/>
        </w:trPr>
        <w:tc>
          <w:tcPr>
            <w:tcW w:w="1613" w:type="dxa"/>
            <w:tcMar>
              <w:top w:w="65" w:type="dxa"/>
              <w:left w:w="90" w:type="dxa"/>
              <w:bottom w:w="70" w:type="dxa"/>
              <w:right w:w="75" w:type="dxa"/>
            </w:tcMar>
            <w:vAlign w:val="center"/>
          </w:tcPr>
          <w:p w14:paraId="125326DF" w14:textId="77777777" w:rsidR="006B1619" w:rsidRDefault="00000000">
            <w:pPr>
              <w:spacing w:after="0" w:line="254" w:lineRule="auto"/>
              <w:jc w:val="left"/>
            </w:pPr>
            <w:r>
              <w:rPr>
                <w:sz w:val="16"/>
              </w:rPr>
              <w:t>Whole-genome sequencing</w:t>
            </w:r>
          </w:p>
        </w:tc>
        <w:tc>
          <w:tcPr>
            <w:tcW w:w="1987" w:type="dxa"/>
            <w:tcMar>
              <w:top w:w="65" w:type="dxa"/>
              <w:left w:w="90" w:type="dxa"/>
              <w:bottom w:w="70" w:type="dxa"/>
              <w:right w:w="75" w:type="dxa"/>
            </w:tcMar>
            <w:vAlign w:val="center"/>
          </w:tcPr>
          <w:p w14:paraId="1B06EDB0" w14:textId="77777777" w:rsidR="006B1619" w:rsidRDefault="00000000">
            <w:pPr>
              <w:spacing w:after="0" w:line="254" w:lineRule="auto"/>
              <w:jc w:val="left"/>
            </w:pPr>
            <w:r>
              <w:rPr>
                <w:sz w:val="16"/>
              </w:rPr>
              <w:t>Alleles, genomic background and candidate mobile elements</w:t>
            </w:r>
          </w:p>
        </w:tc>
        <w:tc>
          <w:tcPr>
            <w:tcW w:w="2333" w:type="dxa"/>
            <w:tcMar>
              <w:top w:w="65" w:type="dxa"/>
              <w:left w:w="90" w:type="dxa"/>
              <w:bottom w:w="70" w:type="dxa"/>
              <w:right w:w="75" w:type="dxa"/>
            </w:tcMar>
            <w:vAlign w:val="center"/>
          </w:tcPr>
          <w:p w14:paraId="73D94703" w14:textId="77777777" w:rsidR="006B1619" w:rsidRDefault="00000000">
            <w:pPr>
              <w:spacing w:after="0" w:line="254" w:lineRule="auto"/>
              <w:jc w:val="left"/>
            </w:pPr>
            <w:r>
              <w:rPr>
                <w:sz w:val="16"/>
              </w:rPr>
              <w:t>Supports cluster investigation and resistance-mechanism analysis</w:t>
            </w:r>
          </w:p>
        </w:tc>
        <w:tc>
          <w:tcPr>
            <w:tcW w:w="2549" w:type="dxa"/>
            <w:tcMar>
              <w:top w:w="65" w:type="dxa"/>
              <w:left w:w="90" w:type="dxa"/>
              <w:bottom w:w="70" w:type="dxa"/>
              <w:right w:w="75" w:type="dxa"/>
            </w:tcMar>
            <w:vAlign w:val="center"/>
          </w:tcPr>
          <w:p w14:paraId="71862244" w14:textId="77777777" w:rsidR="006B1619" w:rsidRDefault="00000000">
            <w:pPr>
              <w:spacing w:after="0" w:line="254" w:lineRule="auto"/>
              <w:jc w:val="left"/>
            </w:pPr>
            <w:r>
              <w:rPr>
                <w:sz w:val="16"/>
              </w:rPr>
              <w:t>Sequenced isolates may be unrepresentative; transfer not automatically proved</w:t>
            </w:r>
          </w:p>
        </w:tc>
        <w:tc>
          <w:tcPr>
            <w:tcW w:w="1598" w:type="dxa"/>
            <w:tcMar>
              <w:top w:w="65" w:type="dxa"/>
              <w:left w:w="90" w:type="dxa"/>
              <w:bottom w:w="70" w:type="dxa"/>
              <w:right w:w="75" w:type="dxa"/>
            </w:tcMar>
            <w:vAlign w:val="center"/>
          </w:tcPr>
          <w:p w14:paraId="41DD855C" w14:textId="77777777" w:rsidR="006B1619" w:rsidRDefault="00000000">
            <w:pPr>
              <w:spacing w:after="0" w:line="254" w:lineRule="auto"/>
              <w:jc w:val="left"/>
            </w:pPr>
            <w:r>
              <w:rPr>
                <w:sz w:val="16"/>
              </w:rPr>
              <w:t>Hall et al. (2014); Zhu et al. (2018)</w:t>
            </w:r>
          </w:p>
        </w:tc>
      </w:tr>
      <w:tr w:rsidR="006B1619" w14:paraId="0386EE49" w14:textId="77777777">
        <w:trPr>
          <w:cantSplit/>
          <w:jc w:val="center"/>
        </w:trPr>
        <w:tc>
          <w:tcPr>
            <w:tcW w:w="1613" w:type="dxa"/>
            <w:tcMar>
              <w:top w:w="65" w:type="dxa"/>
              <w:left w:w="90" w:type="dxa"/>
              <w:bottom w:w="70" w:type="dxa"/>
              <w:right w:w="75" w:type="dxa"/>
            </w:tcMar>
            <w:vAlign w:val="center"/>
          </w:tcPr>
          <w:p w14:paraId="671428FD" w14:textId="77777777" w:rsidR="006B1619" w:rsidRDefault="00000000">
            <w:pPr>
              <w:spacing w:after="0" w:line="254" w:lineRule="auto"/>
              <w:jc w:val="left"/>
            </w:pPr>
            <w:r>
              <w:rPr>
                <w:sz w:val="16"/>
              </w:rPr>
              <w:t>Wastewater metagenomics</w:t>
            </w:r>
          </w:p>
        </w:tc>
        <w:tc>
          <w:tcPr>
            <w:tcW w:w="1987" w:type="dxa"/>
            <w:tcMar>
              <w:top w:w="65" w:type="dxa"/>
              <w:left w:w="90" w:type="dxa"/>
              <w:bottom w:w="70" w:type="dxa"/>
              <w:right w:w="75" w:type="dxa"/>
            </w:tcMar>
            <w:vAlign w:val="center"/>
          </w:tcPr>
          <w:p w14:paraId="0B756D05" w14:textId="77777777" w:rsidR="006B1619" w:rsidRDefault="00000000">
            <w:pPr>
              <w:spacing w:after="0" w:line="254" w:lineRule="auto"/>
              <w:jc w:val="left"/>
            </w:pPr>
            <w:r>
              <w:rPr>
                <w:sz w:val="16"/>
              </w:rPr>
              <w:t>Gene sequences and relative abundance across mixed material</w:t>
            </w:r>
          </w:p>
        </w:tc>
        <w:tc>
          <w:tcPr>
            <w:tcW w:w="2333" w:type="dxa"/>
            <w:tcMar>
              <w:top w:w="65" w:type="dxa"/>
              <w:left w:w="90" w:type="dxa"/>
              <w:bottom w:w="70" w:type="dxa"/>
              <w:right w:w="75" w:type="dxa"/>
            </w:tcMar>
            <w:vAlign w:val="center"/>
          </w:tcPr>
          <w:p w14:paraId="32E41D01" w14:textId="77777777" w:rsidR="006B1619" w:rsidRDefault="00000000">
            <w:pPr>
              <w:spacing w:after="0" w:line="254" w:lineRule="auto"/>
              <w:jc w:val="left"/>
            </w:pPr>
            <w:r>
              <w:rPr>
                <w:sz w:val="16"/>
              </w:rPr>
              <w:t>Identifies environmental reservoirs and candidate genetic contexts</w:t>
            </w:r>
          </w:p>
        </w:tc>
        <w:tc>
          <w:tcPr>
            <w:tcW w:w="2549" w:type="dxa"/>
            <w:tcMar>
              <w:top w:w="65" w:type="dxa"/>
              <w:left w:w="90" w:type="dxa"/>
              <w:bottom w:w="70" w:type="dxa"/>
              <w:right w:w="75" w:type="dxa"/>
            </w:tcMar>
            <w:vAlign w:val="center"/>
          </w:tcPr>
          <w:p w14:paraId="74396E13" w14:textId="77777777" w:rsidR="006B1619" w:rsidRDefault="00000000">
            <w:pPr>
              <w:spacing w:after="0" w:line="254" w:lineRule="auto"/>
              <w:jc w:val="left"/>
            </w:pPr>
            <w:r>
              <w:rPr>
                <w:sz w:val="16"/>
              </w:rPr>
              <w:t>Viability, host assignment, clinical burden and transmission are unresolved</w:t>
            </w:r>
          </w:p>
        </w:tc>
        <w:tc>
          <w:tcPr>
            <w:tcW w:w="1598" w:type="dxa"/>
            <w:tcMar>
              <w:top w:w="65" w:type="dxa"/>
              <w:left w:w="90" w:type="dxa"/>
              <w:bottom w:w="70" w:type="dxa"/>
              <w:right w:w="75" w:type="dxa"/>
            </w:tcMar>
            <w:vAlign w:val="center"/>
          </w:tcPr>
          <w:p w14:paraId="5A40D061" w14:textId="77777777" w:rsidR="006B1619" w:rsidRDefault="00000000">
            <w:pPr>
              <w:spacing w:after="0" w:line="254" w:lineRule="auto"/>
              <w:jc w:val="left"/>
            </w:pPr>
            <w:r>
              <w:rPr>
                <w:sz w:val="16"/>
              </w:rPr>
              <w:t>Guruge et al. (2025)</w:t>
            </w:r>
          </w:p>
        </w:tc>
      </w:tr>
    </w:tbl>
    <w:p w14:paraId="6A702036" w14:textId="77777777" w:rsidR="006B1619" w:rsidRDefault="00000000">
      <w:pPr>
        <w:pStyle w:val="TableNote"/>
        <w:keepLines/>
      </w:pPr>
      <w:r>
        <w:t>Note. ESBL = extended-spectrum β-lactamase; AmpC = class C β-lactamase; CPE = carbapenemase-producing Enterobacterales. A negative limited-target assay does not exclude resistance by an untested mechanism.</w:t>
      </w:r>
    </w:p>
    <w:p w14:paraId="6A90B292" w14:textId="77777777" w:rsidR="006B1619" w:rsidRDefault="006B1619">
      <w:pPr>
        <w:spacing w:after="20"/>
      </w:pPr>
    </w:p>
    <w:p w14:paraId="4C1F8E03" w14:textId="77777777" w:rsidR="006B1619" w:rsidRDefault="00000000">
      <w:pPr>
        <w:pStyle w:val="Heading1"/>
      </w:pPr>
      <w:r>
        <w:t>6. Can a National Temporal Trend Be Demonstrated?</w:t>
      </w:r>
    </w:p>
    <w:p w14:paraId="7197F668" w14:textId="77777777" w:rsidR="006B1619" w:rsidRDefault="00000000">
      <w:pPr>
        <w:pStyle w:val="Heading2"/>
      </w:pPr>
      <w:r>
        <w:t>6.1 A Sequence of Publications Is Not a Time Series</w:t>
      </w:r>
    </w:p>
    <w:p w14:paraId="6DD4F481" w14:textId="77777777" w:rsidR="006B1619" w:rsidRDefault="00000000">
      <w:r>
        <w:t xml:space="preserve">The word trend implies a change in a defined measure across time, observed under sufficiently consistent conditions for its direction and magnitude to be interpretable. Publication dates are not measurement dates, and changes in the sites contributing isolates cannot be treated as changes within one surveillance population. An ESBL percentage from 2013 urinary cultures, a 2017–2018 tertiary hospital mixed-specimen dataset and a 2021–2024 teaching-hospital laboratory record are observations of different populations. Arranging them </w:t>
      </w:r>
      <w:r>
        <w:lastRenderedPageBreak/>
        <w:t>chronologically may create an attractive figure, but such a graph would not provide a credible estimate of national increase or decrease (Kumudunie et al., 2020; Senanayake et al., 2024; Tillekeratne et al., 2016).</w:t>
      </w:r>
    </w:p>
    <w:p w14:paraId="1DB4FB77" w14:textId="77777777" w:rsidR="006B1619" w:rsidRDefault="00000000">
      <w:r>
        <w:t>Repeated susceptibility data from the same facility would be a better basis, but even within a facility changes in laboratory methods, organism identification, antibiotic panel inclusion, clinical service mix and isolate deduplication can alter the observed denominator. Temporal comparison requires documentation of these factors and a reasonably constant definition of the event being counted. Shifts in outpatient attendance, hospital capacity or specimen submission may produce apparent variation even if the underlying risk of colonisation or infection remains stable. Thus, a microbiology numerator is not independent of healthcare utilisation, and resistance percentages alone are not sufficient to describe the absolute burden of disease (Nisansala et al., 2025; Senanayake et al., 2024).</w:t>
      </w:r>
    </w:p>
    <w:p w14:paraId="431FCEC9" w14:textId="77777777" w:rsidR="006B1619" w:rsidRDefault="00000000">
      <w:r>
        <w:t>A further limitation concerns the distinction between the date an organism was isolated and the period represented by a published summary. Molecular papers may analyse archived collections years after the original culture. The publication of a newly detected carbapenemase allele can signal expansion of diagnostic capability rather than biological emergence. This is particularly true when previous laboratories did not routinely genotype carbapenem-resistant isolates or when primers targeted only a small set of familiar determinants. For instance, the later documentation of VIM in an oncology collection should not be interpreted as proof that VIM had been absent from Sri Lanka in preceding years (Chathuranga et al., 2024; Hall et al., 2014).</w:t>
      </w:r>
    </w:p>
    <w:p w14:paraId="364CC498" w14:textId="77777777" w:rsidR="006B1619" w:rsidRDefault="00000000">
      <w:pPr>
        <w:pStyle w:val="Heading2"/>
      </w:pPr>
      <w:r>
        <w:t>6.2 Resistance Rates Depend on the Estimand</w:t>
      </w:r>
    </w:p>
    <w:p w14:paraId="3A1ED150" w14:textId="77777777" w:rsidR="006B1619" w:rsidRDefault="00000000">
      <w:r>
        <w:t>At least four distinct quantities are relevant to policy. One is the fraction of Enterobacterales isolates nonsusceptible to a specified antibiotic in a defined laboratory population. A second is the fraction with a confirmed ESBL, AmpC or carbapenemase mechanism among tested isolates. A third is the occurrence of resistant infection episodes per number of patients, admissions or population-time. A fourth is the prevalence of colonisation in people who may have no recognised illness. These quantities differ in numerator, denominator and clinical meaning. Published Sri Lankan investigations have mainly described the first two, with limited ability to estimate the third or fourth across representative settings (Fernando et al., 2017; V. Perera, Gamage, et al., 2022).</w:t>
      </w:r>
    </w:p>
    <w:p w14:paraId="4B50B896" w14:textId="77777777" w:rsidR="006B1619" w:rsidRDefault="00000000">
      <w:r>
        <w:t xml:space="preserve">A conditional example illustrates the problem. If carbapenemase testing is performed only on carbapenem-nonsusceptible </w:t>
      </w:r>
      <w:r>
        <w:rPr>
          <w:i/>
        </w:rPr>
        <w:t>K. pneumoniae</w:t>
      </w:r>
      <w:r>
        <w:t xml:space="preserve">, the fraction positive for OXA-48-like genes is a proportion within the selected resistant subset. It cannot be used as the prevalence of OXA-48-like </w:t>
      </w:r>
      <w:r>
        <w:rPr>
          <w:i/>
        </w:rPr>
        <w:t>K. pneumoniae</w:t>
      </w:r>
      <w:r>
        <w:t xml:space="preserve"> among all </w:t>
      </w:r>
      <w:r>
        <w:rPr>
          <w:i/>
        </w:rPr>
        <w:t>K. pneumoniae</w:t>
      </w:r>
      <w:r>
        <w:t xml:space="preserve"> isolates unless the full sequential testing denominator and selection rule are supplied. Similarly, 49 recovered </w:t>
      </w:r>
      <w:r>
        <w:rPr>
          <w:i/>
        </w:rPr>
        <w:t>E. coli</w:t>
      </w:r>
      <w:r>
        <w:t xml:space="preserve"> from environmental samples constitute a different epidemiological denominator from the number of water or soil samples initially collected. Explicit reporting of each stage can prevent a misleading conversion from isolate prevalence into a patient or environmental-exposure risk (Kumudunie et al., 2020; Randeni et al., 2026).</w:t>
      </w:r>
    </w:p>
    <w:p w14:paraId="72C63A1E" w14:textId="77777777" w:rsidR="006B1619" w:rsidRDefault="00000000">
      <w:r>
        <w:t>Separating mechanisms is especially necessary because they overlap. An isolate harbouring both NDM and an ESBL determinant contributes to the relevant mechanism-specific counts without representing two infection episodes. A policy dashboard reporting the percentage of ESBL producers and the percentage of carbapenemase producers should say whether these are mutually exclusive classes, hierarchical categories or overlapping flags. Otherwise, trends in the categories may reflect changes in how co-production is handled instead of genuine changes in microbiology. The Sri Lankan evidence of multi-enzyme carriage makes this more than a theoretical concern (V. Perera, de Silva, et al., 2022; V. Perera et al., 2024).</w:t>
      </w:r>
    </w:p>
    <w:p w14:paraId="39B072C1" w14:textId="77777777" w:rsidR="006B1619" w:rsidRDefault="00000000">
      <w:pPr>
        <w:pStyle w:val="Heading2"/>
      </w:pPr>
      <w:r>
        <w:lastRenderedPageBreak/>
        <w:t>6.3 The Existing Surveillance Architecture Is Promising but Incomplete</w:t>
      </w:r>
    </w:p>
    <w:p w14:paraId="412F38A5" w14:textId="77777777" w:rsidR="006B1619" w:rsidRDefault="00000000">
      <w:r>
        <w:t>Sri Lanka's national strategic plan for antimicrobial resistance identifies surveillance, laboratory capacity, rational antimicrobial use and One Health coordination as policy priorities. It provides an institutional framework within which mechanism-specific Enterobacterales surveillance could become more comparable. Yet the existence of a national plan does not establish that all participating laboratories currently share the same organism identification platforms, isolate deduplication procedures, confirmatory capacity or clinical metadata. Surveillance quality depends on implementation and regular auditing rather than the scope of a policy statement alone (Ariyawansa et al., 2023; Ministry of Health, Sri Lanka, 2024).</w:t>
      </w:r>
    </w:p>
    <w:p w14:paraId="4B9CE64F" w14:textId="77777777" w:rsidR="006B1619" w:rsidRDefault="00000000">
      <w:r>
        <w:t>The national AMR surveillance system and related reporting structures offer a potential foundation for interpreting routine antimicrobial susceptibility data. However, a national estimate should be distinguished from a convenience sample of sentinel centres, and changes in the composition of centres require explicit adjustment or stratified presentation. A facility entering surveillance midway through a period may change the network average even if resistance is stable at every original facility. Similarly, expanding culture access can bring previously unobserved community infections into the dataset, altering the observed proportion independently of antimicrobial selection. Transparent reporting should include site participation, specimen numbers, organism distribution, tested antimicrobial panels, duplicate rules and missingness over time (Ministry of Health and Mass Media, Sri Lanka, 2024).</w:t>
      </w:r>
    </w:p>
    <w:p w14:paraId="5D3C52C4" w14:textId="77777777" w:rsidR="006B1619" w:rsidRDefault="00000000">
      <w:r>
        <w:t>The most credible current judgment is thus asymmetric. There is high confidence that Sri Lanka has had clinically significant ESBL producers and several carbapenemase families for more than a decade, moderate confidence that substantial burdens occur in several sampled hospital and urinary populations, and low confidence in the magnitude or direction of a single national temporal trend for ESBL, AmpC or CRE. This conclusion does not imply that resistance is static. It means that the published designs cannot cleanly separate temporal change from changes in who was sampled and how resistance was measured (Hall et al., 2014; Nisansala et al., 2025; Senanayake et al., 2024).</w:t>
      </w:r>
    </w:p>
    <w:p w14:paraId="6E4022E2" w14:textId="77777777" w:rsidR="006B1619" w:rsidRDefault="00000000">
      <w:pPr>
        <w:pStyle w:val="Heading2"/>
      </w:pPr>
      <w:r>
        <w:t>6.4 Geographic and Species Heterogeneity May Conceal Important Local Trends</w:t>
      </w:r>
    </w:p>
    <w:p w14:paraId="2D8737B5" w14:textId="77777777" w:rsidR="006B1619" w:rsidRDefault="00000000">
      <w:r>
        <w:t xml:space="preserve">Country-level summaries can obscure meaningful changes at finer scales. </w:t>
      </w:r>
      <w:r>
        <w:rPr>
          <w:i/>
        </w:rPr>
        <w:t>K. pneumoniae</w:t>
      </w:r>
      <w:r>
        <w:t xml:space="preserve"> may dominate among carbapenem-resistant isolates in certain referral or intensive-care settings, while </w:t>
      </w:r>
      <w:r>
        <w:rPr>
          <w:i/>
        </w:rPr>
        <w:t>E. coli</w:t>
      </w:r>
      <w:r>
        <w:t xml:space="preserve"> contributes heavily to ESBL-positive urinary isolates. Their ecology, hospital associations and likelihood of appearing in community specimens differ. A pooled Enterobacterales percentage can therefore change as a consequence of a shift in species mix even if species-specific resistance probabilities are stable. Species-stratified estimates, ideally further divided by infection syndrome, could distinguish changes in the clinical population from changes in resistance within a species (Kumudunie et al., 2020; Priyadharshana et al., 2019).</w:t>
      </w:r>
    </w:p>
    <w:p w14:paraId="3770DB1E" w14:textId="77777777" w:rsidR="006B1619" w:rsidRDefault="00000000">
      <w:r>
        <w:t>The concentration of identified studies around a limited number of hospitals in the Western and Southern Provinces further constrains geographic interpretation. Absence of published evidence from less studied districts does not mean resistance is absent there; it more likely reflects incomplete observation. Nor can findings from a national cancer centre substitute for estimates from general hospitals, where culture ordering and illness severity may differ. Regional variation deserves direct measurement rather than inference from institution names or the presumed urbanity of the sampled catchment (Pitagampola et al., 2024; Tillekeratne et al., 2016).</w:t>
      </w:r>
    </w:p>
    <w:p w14:paraId="7F92E8DC" w14:textId="77777777" w:rsidR="006B1619" w:rsidRDefault="00000000">
      <w:r>
        <w:t xml:space="preserve">These considerations make a national average meaningful only when accompanied by its construction rules. A reproducible dashboard could present site-level panels, species-specific denominators and a stable first-isolate definition, followed by carefully weighted aggregate estimates if the surveillance network's population coverage </w:t>
      </w:r>
      <w:r>
        <w:lastRenderedPageBreak/>
        <w:t>supports weighting. Confidence intervals and statistical process-control approaches could then identify changes worth investigation. By contrast, an unweighted arithmetic mean of percentages from individual publications would assign comparable status to a small mechanism-enriched cohort and a large mixed-specimen laboratory dataset. Such aggregation would manufacture an apparent national trend rather than estimate one (Nisansala et al., 2025; V. Perera et al., 2025).</w:t>
      </w:r>
    </w:p>
    <w:p w14:paraId="41FC2D64" w14:textId="77777777" w:rsidR="006B1619" w:rsidRDefault="00000000">
      <w:pPr>
        <w:pStyle w:val="Heading1"/>
      </w:pPr>
      <w:r>
        <w:t>7. Clinical Meaning: Empirical Therapy, Stewardship and Infection Prevention</w:t>
      </w:r>
    </w:p>
    <w:p w14:paraId="02663DB5" w14:textId="77777777" w:rsidR="006B1619" w:rsidRDefault="00000000">
      <w:pPr>
        <w:pStyle w:val="Heading2"/>
      </w:pPr>
      <w:r>
        <w:t>7.1 The Resistance Mechanism Does Not Substitute for a Clinical Diagnosis</w:t>
      </w:r>
    </w:p>
    <w:p w14:paraId="2759FD35" w14:textId="77777777" w:rsidR="006B1619" w:rsidRDefault="00000000">
      <w:r>
        <w:t>Antimicrobial resistance is clinically consequential because it narrows active treatment options and can delay suitable empirical therapy. Yet a resistant laboratory isolate does not alone establish that the patient has an infection requiring treatment. The importance of a urinary culture depends on symptoms, specimen quality, comorbidities and whether bacteriuria reflects colonisation. Invasive infection requires distinct judgments about source control, severity and the likelihood that bloodstream or deep-tissue drug exposure will be adequate. A mechanism-specific antibiogram is therefore an aid to clinical decision-making rather than an automatic treatment algorithm (Y. K. Perera et al., 2023; Tamma et al., 2026).</w:t>
      </w:r>
    </w:p>
    <w:p w14:paraId="4253936D" w14:textId="77777777" w:rsidR="006B1619" w:rsidRDefault="00000000">
      <w:r>
        <w:t>The high frequency of ESBL activity in selected UTI datasets raises a legitimate concern for empirical third-generation cephalosporin use in populations resembling those studied. However, a regimen appropriate for complicated inpatient UTI may not be justified for uncomplicated community infection without current syndrome-specific local evidence. Equally, apparent laboratory susceptibility to one drug class cannot compensate for poor penetration into the infected compartment. The epidemiological review must resist translating a selected isolate proportion into blanket prescribing advice. In this context, stratification by community or hospital acquisition is more useful than invoking a national ESBL percentage of uncertain meaning (V. Perera, Gamage, et al., 2022; Tillekeratne et al., 2016).</w:t>
      </w:r>
    </w:p>
    <w:p w14:paraId="1B4B9DC8" w14:textId="77777777" w:rsidR="006B1619" w:rsidRDefault="00000000">
      <w:pPr>
        <w:pStyle w:val="Heading2"/>
      </w:pPr>
      <w:r>
        <w:t>7.2 Laboratory Discordance and Clinical Outcomes Require Careful Interpretation</w:t>
      </w:r>
    </w:p>
    <w:p w14:paraId="3EF0CBB0" w14:textId="77777777" w:rsidR="006B1619" w:rsidRDefault="00000000">
      <w:r>
        <w:t>A Sri Lankan observational study evaluated clinical responses when empirical therapy for UTI was discordant with in-vitro susceptibility against third-generation cephalosporin-resistant Enterobacteriaceae. The reported improvement in many evaluated patients is a meaningful observation, especially because it challenges the automatic equation of discordant laboratory susceptibility with immediate clinical failure in every UTI. Nevertheless, improvement can reflect spontaneous resolution of some infections, differences in disease severity, urinary antimicrobial concentrations, subsequent regimen changes and selection of patients whose outcomes were available. Without randomisation and adequate adjustment, the study cannot establish that deliberately using an inactive agent is equally effective or safe (Y. K. Perera et al., 2023).</w:t>
      </w:r>
    </w:p>
    <w:p w14:paraId="36C2E419" w14:textId="77777777" w:rsidR="006B1619" w:rsidRDefault="00000000">
      <w:r>
        <w:t>The interpretation becomes particularly important when comparing urine with bloodstream infection. Antimicrobial exposure in the urinary tract and systemic circulation can differ substantially, while bacteremia and severe sepsis involve different risks. International randomised and guidance evidence supports caution with certain non-carbapenem β-lactams in serious ESBL-producing Enterobacterales infections, but treatment guidelines are conditional on resistance mechanism, infection source and drug susceptibility. The Sri Lankan observational UTI finding should therefore inform questions about syndrome-specific response, not be generalised to life-threatening invasive infection (Bush &amp; Bradford, 2020; Tamma et al., 2026).</w:t>
      </w:r>
    </w:p>
    <w:p w14:paraId="6DB55FA8" w14:textId="77777777" w:rsidR="006B1619" w:rsidRDefault="00000000">
      <w:r>
        <w:t xml:space="preserve">Reported meropenem susceptibility in selected ESBL UTI collections indicates that carbapenems retained activity against many tested isolates at those sites and times. This finding is clinically useful yet has two limits. It </w:t>
      </w:r>
      <w:r>
        <w:lastRenderedPageBreak/>
        <w:t>does not mean carbapenems are uniformly active against all contemporary ESBL-positive organisms, and it does not warrant using carbapenems indiscriminately for every suspected UTI. Empirical overuse may create avoidable selection pressure. The therapeutic value of the observation lies in identifying an option when disease severity and confirmed susceptibility justify its use, while preserving stewardship principles (Fernando et al., 2017; Wijesooriya et al., 2017).</w:t>
      </w:r>
    </w:p>
    <w:p w14:paraId="6223A24C" w14:textId="77777777" w:rsidR="006B1619" w:rsidRDefault="00000000">
      <w:pPr>
        <w:pStyle w:val="Heading2"/>
      </w:pPr>
      <w:r>
        <w:t>7.3 Carbapenemase Class Is Relevant to Advanced Treatment Choices</w:t>
      </w:r>
    </w:p>
    <w:p w14:paraId="0C16179A" w14:textId="77777777" w:rsidR="006B1619" w:rsidRDefault="00000000">
      <w:r>
        <w:t>For CRE infections, distinguishing NDM from OXA-48-like or KPC mechanisms has particular potential importance because enzyme class can alter activity of newer β-lactam/β-lactamase-inhibitor combinations. The presence of an NDM metallo-β-lactamase cannot be managed as if it were equivalent to a serine carbapenemase. Likewise, a positive OXA-48-like molecular result should be interpreted alongside the organism's complete susceptibility profile, since co-produced ESBL or AmpC enzymes can affect combinations differently. The strongest treatment frameworks link the mechanism to the infection syndrome, drug availability, interpretive standards and toxicity profile rather than recommending a drug on the gene result alone (Bonomo et al., 2018; Tamma et al., 2026).</w:t>
      </w:r>
    </w:p>
    <w:p w14:paraId="46942831" w14:textId="77777777" w:rsidR="006B1619" w:rsidRDefault="00000000">
      <w:r>
        <w:t>Sri Lankan detection of OXA-181, OXA-232, NDM variants, KPC and VIM thus has more than descriptive value. It shows that a local diagnostic service limited to one carbapenemase target would be insufficient for all clinically consequential resistant isolates. However, no inference about the effectiveness or availability of every newer agent in Sri Lanka follows from gene identification. Laboratory susceptibility testing and local access need to be established before international recommendations can be operationalised. The appropriate translation is mechanism-aware diagnostic capacity, not a claim that a specific treatment regimen has been validated in Sri Lankan patient cohorts (Chathuranga et al., 2024; Kumudunie et al., 2020; V. Perera, Gamage, et al., 2022).</w:t>
      </w:r>
    </w:p>
    <w:p w14:paraId="3CD6B0F3" w14:textId="77777777" w:rsidR="006B1619" w:rsidRDefault="00000000">
      <w:pPr>
        <w:pStyle w:val="Heading2"/>
      </w:pPr>
      <w:r>
        <w:t>7.4 Stewardship and Infection Control Have Different Outcome Measures</w:t>
      </w:r>
    </w:p>
    <w:p w14:paraId="134F2941" w14:textId="77777777" w:rsidR="006B1619" w:rsidRDefault="00000000">
      <w:r>
        <w:t>Stewardship aims to improve antibiotic selection, dosing, duration and the balance between efficacy and collateral selection. Infection prevention aims to reduce acquisition and transmission in clinical settings. Both are implicated by ESBL- and CPE-producing Enterobacterales, but their success should not be evaluated by a single laboratory percentage. A fall in carbapenem prescribing without clinical deterioration may indicate stewardship improvement; a reduction in hospital-acquired CPE acquisition requires admission-screening and transmission-oriented evidence. A lower proportion of resistant positive cultures can arise through many processes, including changed sampling behaviour, rather than demonstrated success of either programme (Ariyawansa et al., 2023; Ministry of Health, Sri Lanka, 2024).</w:t>
      </w:r>
    </w:p>
    <w:p w14:paraId="5EEE6752" w14:textId="77777777" w:rsidR="006B1619" w:rsidRDefault="00000000">
      <w:r>
        <w:t>High-risk units such as oncology and intensive care warrant protocols responsive to their own pathogen distribution and clinical severity. Screening, contact precautions and enhanced environmental cleaning can be rational infection-control components in selected settings, but the magnitude of benefit in a particular Sri Lankan unit should be evaluated prospectively. Laboratory signals of new resistance determinants can trigger a focused investigation even when they do not imply a national trend. This is one area where rare-mechanism detection and routine prevalence measurement legitimately serve different purposes: the former can identify a transmission threat before enough observations exist to calculate a stable rate (Pitagampola et al., 2024; Zhu et al., 2018).</w:t>
      </w:r>
    </w:p>
    <w:p w14:paraId="7AFEA447" w14:textId="77777777" w:rsidR="006B1619" w:rsidRDefault="00000000">
      <w:r>
        <w:t xml:space="preserve">The ability to implement such strategies depends on workforce, turnaround time, access to confirmatory tests and feedback loops between laboratories and clinicians. A delayed molecular result may be valuable for infection prevention and regional surveillance even if it arrives after initial empirical therapy decisions. Rapid </w:t>
      </w:r>
      <w:r>
        <w:lastRenderedPageBreak/>
        <w:t>assays are likely to have the greatest clinical effect when linked to clear escalation and de-escalation pathways, but these pathways require measurement of treatment timing and patient outcomes rather than assumptions based on diagnostic speed alone. In resource-constrained services, prioritisation of high-risk bloodstream or sterile-site isolates may be more feasible than immediate sequencing of every urinary isolate (Pierce et al., 2017; Tamma et al., 2026).</w:t>
      </w:r>
    </w:p>
    <w:p w14:paraId="15F142CA" w14:textId="77777777" w:rsidR="006B1619" w:rsidRDefault="00000000">
      <w:r>
        <w:t>Table 4 maps the principal clinical decisions onto the minimum evidence necessary to justify them. Its purpose is not to issue national prescribing recommendations but to distinguish decisions supported by local susceptibility data from those requiring clinical outcome studies or mechanism-specific testing. The separation is especially important where resistance surveillance and clinical efficacy studies are at different stages of development.</w:t>
      </w:r>
    </w:p>
    <w:p w14:paraId="639BF0C2" w14:textId="77777777" w:rsidR="006B1619" w:rsidRDefault="00000000">
      <w:pPr>
        <w:pStyle w:val="TableCaption"/>
      </w:pPr>
      <w:r>
        <w:t>Table 4. Clinical decisions supported by different levels of Sri Lankan evidence</w:t>
      </w:r>
    </w:p>
    <w:tbl>
      <w:tblPr>
        <w:tblW w:w="0" w:type="auto"/>
        <w:jc w:val="center"/>
        <w:tblLayout w:type="fixed"/>
        <w:tblLook w:val="04A0" w:firstRow="1" w:lastRow="0" w:firstColumn="1" w:lastColumn="0" w:noHBand="0" w:noVBand="1"/>
      </w:tblPr>
      <w:tblGrid>
        <w:gridCol w:w="1613"/>
        <w:gridCol w:w="1987"/>
        <w:gridCol w:w="2333"/>
        <w:gridCol w:w="2549"/>
        <w:gridCol w:w="1598"/>
      </w:tblGrid>
      <w:tr w:rsidR="006B1619" w14:paraId="24B3CB9C" w14:textId="77777777">
        <w:trPr>
          <w:cantSplit/>
          <w:tblHeader/>
          <w:jc w:val="center"/>
        </w:trPr>
        <w:tc>
          <w:tcPr>
            <w:tcW w:w="1613" w:type="dxa"/>
            <w:shd w:val="clear" w:color="auto" w:fill="E7EBEF"/>
            <w:tcMar>
              <w:top w:w="80" w:type="dxa"/>
              <w:left w:w="90" w:type="dxa"/>
              <w:bottom w:w="90" w:type="dxa"/>
              <w:right w:w="75" w:type="dxa"/>
            </w:tcMar>
            <w:vAlign w:val="center"/>
          </w:tcPr>
          <w:p w14:paraId="70703736" w14:textId="77777777" w:rsidR="006B1619" w:rsidRDefault="00000000">
            <w:pPr>
              <w:spacing w:after="0" w:line="250" w:lineRule="auto"/>
              <w:jc w:val="left"/>
            </w:pPr>
            <w:r>
              <w:rPr>
                <w:b/>
                <w:sz w:val="16"/>
              </w:rPr>
              <w:t>Decision context</w:t>
            </w:r>
          </w:p>
        </w:tc>
        <w:tc>
          <w:tcPr>
            <w:tcW w:w="1987" w:type="dxa"/>
            <w:shd w:val="clear" w:color="auto" w:fill="E7EBEF"/>
            <w:tcMar>
              <w:top w:w="80" w:type="dxa"/>
              <w:left w:w="90" w:type="dxa"/>
              <w:bottom w:w="90" w:type="dxa"/>
              <w:right w:w="75" w:type="dxa"/>
            </w:tcMar>
            <w:vAlign w:val="center"/>
          </w:tcPr>
          <w:p w14:paraId="1C0312AC" w14:textId="77777777" w:rsidR="006B1619" w:rsidRDefault="00000000">
            <w:pPr>
              <w:spacing w:after="0" w:line="250" w:lineRule="auto"/>
              <w:jc w:val="left"/>
            </w:pPr>
            <w:r>
              <w:rPr>
                <w:b/>
                <w:sz w:val="16"/>
              </w:rPr>
              <w:t>Existing relevant evidence</w:t>
            </w:r>
          </w:p>
        </w:tc>
        <w:tc>
          <w:tcPr>
            <w:tcW w:w="2333" w:type="dxa"/>
            <w:shd w:val="clear" w:color="auto" w:fill="E7EBEF"/>
            <w:tcMar>
              <w:top w:w="80" w:type="dxa"/>
              <w:left w:w="90" w:type="dxa"/>
              <w:bottom w:w="90" w:type="dxa"/>
              <w:right w:w="75" w:type="dxa"/>
            </w:tcMar>
            <w:vAlign w:val="center"/>
          </w:tcPr>
          <w:p w14:paraId="3CF0144C" w14:textId="77777777" w:rsidR="006B1619" w:rsidRDefault="00000000">
            <w:pPr>
              <w:spacing w:after="0" w:line="250" w:lineRule="auto"/>
              <w:jc w:val="left"/>
            </w:pPr>
            <w:r>
              <w:rPr>
                <w:b/>
                <w:sz w:val="16"/>
              </w:rPr>
              <w:t>What may be inferred</w:t>
            </w:r>
          </w:p>
        </w:tc>
        <w:tc>
          <w:tcPr>
            <w:tcW w:w="2549" w:type="dxa"/>
            <w:shd w:val="clear" w:color="auto" w:fill="E7EBEF"/>
            <w:tcMar>
              <w:top w:w="80" w:type="dxa"/>
              <w:left w:w="90" w:type="dxa"/>
              <w:bottom w:w="90" w:type="dxa"/>
              <w:right w:w="75" w:type="dxa"/>
            </w:tcMar>
            <w:vAlign w:val="center"/>
          </w:tcPr>
          <w:p w14:paraId="614769D8" w14:textId="77777777" w:rsidR="006B1619" w:rsidRDefault="00000000">
            <w:pPr>
              <w:spacing w:after="0" w:line="250" w:lineRule="auto"/>
              <w:jc w:val="left"/>
            </w:pPr>
            <w:r>
              <w:rPr>
                <w:b/>
                <w:sz w:val="16"/>
              </w:rPr>
              <w:t>What remains to establish</w:t>
            </w:r>
          </w:p>
        </w:tc>
        <w:tc>
          <w:tcPr>
            <w:tcW w:w="1598" w:type="dxa"/>
            <w:shd w:val="clear" w:color="auto" w:fill="E7EBEF"/>
            <w:tcMar>
              <w:top w:w="80" w:type="dxa"/>
              <w:left w:w="90" w:type="dxa"/>
              <w:bottom w:w="90" w:type="dxa"/>
              <w:right w:w="75" w:type="dxa"/>
            </w:tcMar>
            <w:vAlign w:val="center"/>
          </w:tcPr>
          <w:p w14:paraId="0BB47331" w14:textId="77777777" w:rsidR="006B1619" w:rsidRDefault="00000000">
            <w:pPr>
              <w:spacing w:after="0" w:line="250" w:lineRule="auto"/>
              <w:jc w:val="left"/>
            </w:pPr>
            <w:r>
              <w:rPr>
                <w:b/>
                <w:sz w:val="16"/>
              </w:rPr>
              <w:t>Supporting references</w:t>
            </w:r>
          </w:p>
        </w:tc>
      </w:tr>
      <w:tr w:rsidR="006B1619" w14:paraId="64E8736E" w14:textId="77777777">
        <w:trPr>
          <w:cantSplit/>
          <w:jc w:val="center"/>
        </w:trPr>
        <w:tc>
          <w:tcPr>
            <w:tcW w:w="1613" w:type="dxa"/>
            <w:tcMar>
              <w:top w:w="65" w:type="dxa"/>
              <w:left w:w="90" w:type="dxa"/>
              <w:bottom w:w="70" w:type="dxa"/>
              <w:right w:w="75" w:type="dxa"/>
            </w:tcMar>
            <w:vAlign w:val="center"/>
          </w:tcPr>
          <w:p w14:paraId="2096EAFA" w14:textId="77777777" w:rsidR="006B1619" w:rsidRDefault="00000000">
            <w:pPr>
              <w:spacing w:after="0" w:line="254" w:lineRule="auto"/>
              <w:jc w:val="left"/>
            </w:pPr>
            <w:r>
              <w:rPr>
                <w:sz w:val="16"/>
              </w:rPr>
              <w:t>Community-associated UTI empirical therapy</w:t>
            </w:r>
          </w:p>
        </w:tc>
        <w:tc>
          <w:tcPr>
            <w:tcW w:w="1987" w:type="dxa"/>
            <w:tcMar>
              <w:top w:w="65" w:type="dxa"/>
              <w:left w:w="90" w:type="dxa"/>
              <w:bottom w:w="70" w:type="dxa"/>
              <w:right w:w="75" w:type="dxa"/>
            </w:tcMar>
            <w:vAlign w:val="center"/>
          </w:tcPr>
          <w:p w14:paraId="58C1415A" w14:textId="77777777" w:rsidR="006B1619" w:rsidRDefault="00000000">
            <w:pPr>
              <w:spacing w:after="0" w:line="254" w:lineRule="auto"/>
              <w:jc w:val="left"/>
            </w:pPr>
            <w:r>
              <w:rPr>
                <w:sz w:val="16"/>
              </w:rPr>
              <w:t xml:space="preserve">Culture-confirmed local ESBL-positive </w:t>
            </w:r>
            <w:r>
              <w:rPr>
                <w:i/>
                <w:sz w:val="16"/>
              </w:rPr>
              <w:t>E. coli</w:t>
            </w:r>
            <w:r>
              <w:rPr>
                <w:sz w:val="16"/>
              </w:rPr>
              <w:t xml:space="preserve"> and Klebsiella urinary isolates</w:t>
            </w:r>
          </w:p>
        </w:tc>
        <w:tc>
          <w:tcPr>
            <w:tcW w:w="2333" w:type="dxa"/>
            <w:tcMar>
              <w:top w:w="65" w:type="dxa"/>
              <w:left w:w="90" w:type="dxa"/>
              <w:bottom w:w="70" w:type="dxa"/>
              <w:right w:w="75" w:type="dxa"/>
            </w:tcMar>
            <w:vAlign w:val="center"/>
          </w:tcPr>
          <w:p w14:paraId="08F4ECF2" w14:textId="77777777" w:rsidR="006B1619" w:rsidRDefault="00000000">
            <w:pPr>
              <w:spacing w:after="0" w:line="254" w:lineRule="auto"/>
              <w:jc w:val="left"/>
            </w:pPr>
            <w:r>
              <w:rPr>
                <w:sz w:val="16"/>
              </w:rPr>
              <w:t>Current site- and syndrome-specific susceptibility is relevant</w:t>
            </w:r>
          </w:p>
        </w:tc>
        <w:tc>
          <w:tcPr>
            <w:tcW w:w="2549" w:type="dxa"/>
            <w:tcMar>
              <w:top w:w="65" w:type="dxa"/>
              <w:left w:w="90" w:type="dxa"/>
              <w:bottom w:w="70" w:type="dxa"/>
              <w:right w:w="75" w:type="dxa"/>
            </w:tcMar>
            <w:vAlign w:val="center"/>
          </w:tcPr>
          <w:p w14:paraId="3732ABD3" w14:textId="77777777" w:rsidR="006B1619" w:rsidRDefault="00000000">
            <w:pPr>
              <w:spacing w:after="0" w:line="254" w:lineRule="auto"/>
              <w:jc w:val="left"/>
            </w:pPr>
            <w:r>
              <w:rPr>
                <w:sz w:val="16"/>
              </w:rPr>
              <w:t>Representative primary-care denominators and patient-level outcomes</w:t>
            </w:r>
          </w:p>
        </w:tc>
        <w:tc>
          <w:tcPr>
            <w:tcW w:w="1598" w:type="dxa"/>
            <w:tcMar>
              <w:top w:w="65" w:type="dxa"/>
              <w:left w:w="90" w:type="dxa"/>
              <w:bottom w:w="70" w:type="dxa"/>
              <w:right w:w="75" w:type="dxa"/>
            </w:tcMar>
            <w:vAlign w:val="center"/>
          </w:tcPr>
          <w:p w14:paraId="2DF68210" w14:textId="77777777" w:rsidR="006B1619" w:rsidRDefault="00000000">
            <w:pPr>
              <w:spacing w:after="0" w:line="254" w:lineRule="auto"/>
              <w:jc w:val="left"/>
            </w:pPr>
            <w:r>
              <w:rPr>
                <w:sz w:val="16"/>
              </w:rPr>
              <w:t>Tillekeratne et al. (2016); Priyadharshana et al. (2019)</w:t>
            </w:r>
          </w:p>
        </w:tc>
      </w:tr>
      <w:tr w:rsidR="006B1619" w14:paraId="37B0967F" w14:textId="77777777">
        <w:trPr>
          <w:cantSplit/>
          <w:jc w:val="center"/>
        </w:trPr>
        <w:tc>
          <w:tcPr>
            <w:tcW w:w="1613" w:type="dxa"/>
            <w:tcMar>
              <w:top w:w="65" w:type="dxa"/>
              <w:left w:w="90" w:type="dxa"/>
              <w:bottom w:w="70" w:type="dxa"/>
              <w:right w:w="75" w:type="dxa"/>
            </w:tcMar>
            <w:vAlign w:val="center"/>
          </w:tcPr>
          <w:p w14:paraId="44A13813" w14:textId="77777777" w:rsidR="006B1619" w:rsidRDefault="00000000">
            <w:pPr>
              <w:spacing w:after="0" w:line="254" w:lineRule="auto"/>
              <w:jc w:val="left"/>
            </w:pPr>
            <w:r>
              <w:rPr>
                <w:sz w:val="16"/>
              </w:rPr>
              <w:t>ESBL-associated invasive infection</w:t>
            </w:r>
          </w:p>
        </w:tc>
        <w:tc>
          <w:tcPr>
            <w:tcW w:w="1987" w:type="dxa"/>
            <w:tcMar>
              <w:top w:w="65" w:type="dxa"/>
              <w:left w:w="90" w:type="dxa"/>
              <w:bottom w:w="70" w:type="dxa"/>
              <w:right w:w="75" w:type="dxa"/>
            </w:tcMar>
            <w:vAlign w:val="center"/>
          </w:tcPr>
          <w:p w14:paraId="77F10711" w14:textId="77777777" w:rsidR="006B1619" w:rsidRDefault="00000000">
            <w:pPr>
              <w:spacing w:after="0" w:line="254" w:lineRule="auto"/>
              <w:jc w:val="left"/>
            </w:pPr>
            <w:r>
              <w:rPr>
                <w:sz w:val="16"/>
              </w:rPr>
              <w:t>Mechanistic and international guideline evidence; local urinary cohorts</w:t>
            </w:r>
          </w:p>
        </w:tc>
        <w:tc>
          <w:tcPr>
            <w:tcW w:w="2333" w:type="dxa"/>
            <w:tcMar>
              <w:top w:w="65" w:type="dxa"/>
              <w:left w:w="90" w:type="dxa"/>
              <w:bottom w:w="70" w:type="dxa"/>
              <w:right w:w="75" w:type="dxa"/>
            </w:tcMar>
            <w:vAlign w:val="center"/>
          </w:tcPr>
          <w:p w14:paraId="74A91308" w14:textId="77777777" w:rsidR="006B1619" w:rsidRDefault="00000000">
            <w:pPr>
              <w:spacing w:after="0" w:line="254" w:lineRule="auto"/>
              <w:jc w:val="left"/>
            </w:pPr>
            <w:r>
              <w:rPr>
                <w:sz w:val="16"/>
              </w:rPr>
              <w:t>Invasive infection must not be equated with uncomplicated UTI</w:t>
            </w:r>
          </w:p>
        </w:tc>
        <w:tc>
          <w:tcPr>
            <w:tcW w:w="2549" w:type="dxa"/>
            <w:tcMar>
              <w:top w:w="65" w:type="dxa"/>
              <w:left w:w="90" w:type="dxa"/>
              <w:bottom w:w="70" w:type="dxa"/>
              <w:right w:w="75" w:type="dxa"/>
            </w:tcMar>
            <w:vAlign w:val="center"/>
          </w:tcPr>
          <w:p w14:paraId="154BFD7D" w14:textId="77777777" w:rsidR="006B1619" w:rsidRDefault="00000000">
            <w:pPr>
              <w:spacing w:after="0" w:line="254" w:lineRule="auto"/>
              <w:jc w:val="left"/>
            </w:pPr>
            <w:r>
              <w:rPr>
                <w:sz w:val="16"/>
              </w:rPr>
              <w:t>Locally validated severe-infection outcomes and treatment availability</w:t>
            </w:r>
          </w:p>
        </w:tc>
        <w:tc>
          <w:tcPr>
            <w:tcW w:w="1598" w:type="dxa"/>
            <w:tcMar>
              <w:top w:w="65" w:type="dxa"/>
              <w:left w:w="90" w:type="dxa"/>
              <w:bottom w:w="70" w:type="dxa"/>
              <w:right w:w="75" w:type="dxa"/>
            </w:tcMar>
            <w:vAlign w:val="center"/>
          </w:tcPr>
          <w:p w14:paraId="1F486753" w14:textId="77777777" w:rsidR="006B1619" w:rsidRDefault="00000000">
            <w:pPr>
              <w:spacing w:after="0" w:line="254" w:lineRule="auto"/>
              <w:jc w:val="left"/>
            </w:pPr>
            <w:r>
              <w:rPr>
                <w:sz w:val="16"/>
              </w:rPr>
              <w:t>Bush &amp; Bradford (2020); Tamma et al. (2026)</w:t>
            </w:r>
          </w:p>
        </w:tc>
      </w:tr>
      <w:tr w:rsidR="006B1619" w14:paraId="711B962F" w14:textId="77777777">
        <w:trPr>
          <w:cantSplit/>
          <w:jc w:val="center"/>
        </w:trPr>
        <w:tc>
          <w:tcPr>
            <w:tcW w:w="1613" w:type="dxa"/>
            <w:tcMar>
              <w:top w:w="65" w:type="dxa"/>
              <w:left w:w="90" w:type="dxa"/>
              <w:bottom w:w="70" w:type="dxa"/>
              <w:right w:w="75" w:type="dxa"/>
            </w:tcMar>
            <w:vAlign w:val="center"/>
          </w:tcPr>
          <w:p w14:paraId="0C8A5A96" w14:textId="77777777" w:rsidR="006B1619" w:rsidRDefault="00000000">
            <w:pPr>
              <w:spacing w:after="0" w:line="254" w:lineRule="auto"/>
              <w:jc w:val="left"/>
            </w:pPr>
            <w:r>
              <w:rPr>
                <w:sz w:val="16"/>
              </w:rPr>
              <w:t>AmpC-risk organism choice</w:t>
            </w:r>
          </w:p>
        </w:tc>
        <w:tc>
          <w:tcPr>
            <w:tcW w:w="1987" w:type="dxa"/>
            <w:tcMar>
              <w:top w:w="65" w:type="dxa"/>
              <w:left w:w="90" w:type="dxa"/>
              <w:bottom w:w="70" w:type="dxa"/>
              <w:right w:w="75" w:type="dxa"/>
            </w:tcMar>
            <w:vAlign w:val="center"/>
          </w:tcPr>
          <w:p w14:paraId="32C1D4CE" w14:textId="77777777" w:rsidR="006B1619" w:rsidRDefault="00000000">
            <w:pPr>
              <w:spacing w:after="0" w:line="254" w:lineRule="auto"/>
              <w:jc w:val="left"/>
            </w:pPr>
            <w:r>
              <w:rPr>
                <w:sz w:val="16"/>
              </w:rPr>
              <w:t>Demonstrated acquired and chromosomal AmpC pathways</w:t>
            </w:r>
          </w:p>
        </w:tc>
        <w:tc>
          <w:tcPr>
            <w:tcW w:w="2333" w:type="dxa"/>
            <w:tcMar>
              <w:top w:w="65" w:type="dxa"/>
              <w:left w:w="90" w:type="dxa"/>
              <w:bottom w:w="70" w:type="dxa"/>
              <w:right w:w="75" w:type="dxa"/>
            </w:tcMar>
            <w:vAlign w:val="center"/>
          </w:tcPr>
          <w:p w14:paraId="510DB209" w14:textId="77777777" w:rsidR="006B1619" w:rsidRDefault="00000000">
            <w:pPr>
              <w:spacing w:after="0" w:line="254" w:lineRule="auto"/>
              <w:jc w:val="left"/>
            </w:pPr>
            <w:r>
              <w:rPr>
                <w:sz w:val="16"/>
              </w:rPr>
              <w:t>Species and inducibility matter for drug interpretation</w:t>
            </w:r>
          </w:p>
        </w:tc>
        <w:tc>
          <w:tcPr>
            <w:tcW w:w="2549" w:type="dxa"/>
            <w:tcMar>
              <w:top w:w="65" w:type="dxa"/>
              <w:left w:w="90" w:type="dxa"/>
              <w:bottom w:w="70" w:type="dxa"/>
              <w:right w:w="75" w:type="dxa"/>
            </w:tcMar>
            <w:vAlign w:val="center"/>
          </w:tcPr>
          <w:p w14:paraId="1573DCE3" w14:textId="77777777" w:rsidR="006B1619" w:rsidRDefault="00000000">
            <w:pPr>
              <w:spacing w:after="0" w:line="254" w:lineRule="auto"/>
              <w:jc w:val="left"/>
            </w:pPr>
            <w:r>
              <w:rPr>
                <w:sz w:val="16"/>
              </w:rPr>
              <w:t>Assay validation and prospective syndrome-specific outcomes</w:t>
            </w:r>
          </w:p>
        </w:tc>
        <w:tc>
          <w:tcPr>
            <w:tcW w:w="1598" w:type="dxa"/>
            <w:tcMar>
              <w:top w:w="65" w:type="dxa"/>
              <w:left w:w="90" w:type="dxa"/>
              <w:bottom w:w="70" w:type="dxa"/>
              <w:right w:w="75" w:type="dxa"/>
            </w:tcMar>
            <w:vAlign w:val="center"/>
          </w:tcPr>
          <w:p w14:paraId="18EDAD3C" w14:textId="77777777" w:rsidR="006B1619" w:rsidRDefault="00000000">
            <w:pPr>
              <w:spacing w:after="0" w:line="254" w:lineRule="auto"/>
              <w:jc w:val="left"/>
            </w:pPr>
            <w:r>
              <w:rPr>
                <w:sz w:val="16"/>
              </w:rPr>
              <w:t>Jacoby (2009); Tamma et al. (2019)</w:t>
            </w:r>
          </w:p>
        </w:tc>
      </w:tr>
      <w:tr w:rsidR="006B1619" w14:paraId="2EBE9903" w14:textId="77777777">
        <w:trPr>
          <w:cantSplit/>
          <w:jc w:val="center"/>
        </w:trPr>
        <w:tc>
          <w:tcPr>
            <w:tcW w:w="1613" w:type="dxa"/>
            <w:tcMar>
              <w:top w:w="65" w:type="dxa"/>
              <w:left w:w="90" w:type="dxa"/>
              <w:bottom w:w="70" w:type="dxa"/>
              <w:right w:w="75" w:type="dxa"/>
            </w:tcMar>
            <w:vAlign w:val="center"/>
          </w:tcPr>
          <w:p w14:paraId="4A5D7C8A" w14:textId="77777777" w:rsidR="006B1619" w:rsidRDefault="00000000">
            <w:pPr>
              <w:spacing w:after="0" w:line="254" w:lineRule="auto"/>
              <w:jc w:val="left"/>
            </w:pPr>
            <w:r>
              <w:rPr>
                <w:sz w:val="16"/>
              </w:rPr>
              <w:t>CRE definitive therapy</w:t>
            </w:r>
          </w:p>
        </w:tc>
        <w:tc>
          <w:tcPr>
            <w:tcW w:w="1987" w:type="dxa"/>
            <w:tcMar>
              <w:top w:w="65" w:type="dxa"/>
              <w:left w:w="90" w:type="dxa"/>
              <w:bottom w:w="70" w:type="dxa"/>
              <w:right w:w="75" w:type="dxa"/>
            </w:tcMar>
            <w:vAlign w:val="center"/>
          </w:tcPr>
          <w:p w14:paraId="7F7F9086" w14:textId="77777777" w:rsidR="006B1619" w:rsidRDefault="00000000">
            <w:pPr>
              <w:spacing w:after="0" w:line="254" w:lineRule="auto"/>
              <w:jc w:val="left"/>
            </w:pPr>
            <w:r>
              <w:rPr>
                <w:sz w:val="16"/>
              </w:rPr>
              <w:t>OXA-48-like, NDM and other targets documented in local isolates</w:t>
            </w:r>
          </w:p>
        </w:tc>
        <w:tc>
          <w:tcPr>
            <w:tcW w:w="2333" w:type="dxa"/>
            <w:tcMar>
              <w:top w:w="65" w:type="dxa"/>
              <w:left w:w="90" w:type="dxa"/>
              <w:bottom w:w="70" w:type="dxa"/>
              <w:right w:w="75" w:type="dxa"/>
            </w:tcMar>
            <w:vAlign w:val="center"/>
          </w:tcPr>
          <w:p w14:paraId="5BD84F14" w14:textId="77777777" w:rsidR="006B1619" w:rsidRDefault="00000000">
            <w:pPr>
              <w:spacing w:after="0" w:line="254" w:lineRule="auto"/>
              <w:jc w:val="left"/>
            </w:pPr>
            <w:r>
              <w:rPr>
                <w:sz w:val="16"/>
              </w:rPr>
              <w:t>Carbapenemase class may alter activity of advanced agents</w:t>
            </w:r>
          </w:p>
        </w:tc>
        <w:tc>
          <w:tcPr>
            <w:tcW w:w="2549" w:type="dxa"/>
            <w:tcMar>
              <w:top w:w="65" w:type="dxa"/>
              <w:left w:w="90" w:type="dxa"/>
              <w:bottom w:w="70" w:type="dxa"/>
              <w:right w:w="75" w:type="dxa"/>
            </w:tcMar>
            <w:vAlign w:val="center"/>
          </w:tcPr>
          <w:p w14:paraId="145E8969" w14:textId="77777777" w:rsidR="006B1619" w:rsidRDefault="00000000">
            <w:pPr>
              <w:spacing w:after="0" w:line="254" w:lineRule="auto"/>
              <w:jc w:val="left"/>
            </w:pPr>
            <w:r>
              <w:rPr>
                <w:sz w:val="16"/>
              </w:rPr>
              <w:t>Drug-specific susceptibility, local access and clinical outcome evidence</w:t>
            </w:r>
          </w:p>
        </w:tc>
        <w:tc>
          <w:tcPr>
            <w:tcW w:w="1598" w:type="dxa"/>
            <w:tcMar>
              <w:top w:w="65" w:type="dxa"/>
              <w:left w:w="90" w:type="dxa"/>
              <w:bottom w:w="70" w:type="dxa"/>
              <w:right w:w="75" w:type="dxa"/>
            </w:tcMar>
            <w:vAlign w:val="center"/>
          </w:tcPr>
          <w:p w14:paraId="09CA3E24" w14:textId="77777777" w:rsidR="006B1619" w:rsidRDefault="00000000">
            <w:pPr>
              <w:spacing w:after="0" w:line="254" w:lineRule="auto"/>
              <w:jc w:val="left"/>
            </w:pPr>
            <w:r>
              <w:rPr>
                <w:sz w:val="16"/>
              </w:rPr>
              <w:t>Kumudunie et al. (2020); Tamma et al. (2026)</w:t>
            </w:r>
          </w:p>
        </w:tc>
      </w:tr>
      <w:tr w:rsidR="006B1619" w14:paraId="6D972C9D" w14:textId="77777777">
        <w:trPr>
          <w:cantSplit/>
          <w:jc w:val="center"/>
        </w:trPr>
        <w:tc>
          <w:tcPr>
            <w:tcW w:w="1613" w:type="dxa"/>
            <w:tcMar>
              <w:top w:w="65" w:type="dxa"/>
              <w:left w:w="90" w:type="dxa"/>
              <w:bottom w:w="70" w:type="dxa"/>
              <w:right w:w="75" w:type="dxa"/>
            </w:tcMar>
            <w:vAlign w:val="center"/>
          </w:tcPr>
          <w:p w14:paraId="6100C8D4" w14:textId="77777777" w:rsidR="006B1619" w:rsidRDefault="00000000">
            <w:pPr>
              <w:spacing w:after="0" w:line="254" w:lineRule="auto"/>
              <w:jc w:val="left"/>
            </w:pPr>
            <w:r>
              <w:rPr>
                <w:sz w:val="16"/>
              </w:rPr>
              <w:t>Oncology/ICU transmission prevention</w:t>
            </w:r>
          </w:p>
        </w:tc>
        <w:tc>
          <w:tcPr>
            <w:tcW w:w="1987" w:type="dxa"/>
            <w:tcMar>
              <w:top w:w="65" w:type="dxa"/>
              <w:left w:w="90" w:type="dxa"/>
              <w:bottom w:w="70" w:type="dxa"/>
              <w:right w:w="75" w:type="dxa"/>
            </w:tcMar>
            <w:vAlign w:val="center"/>
          </w:tcPr>
          <w:p w14:paraId="76254474" w14:textId="77777777" w:rsidR="006B1619" w:rsidRDefault="00000000">
            <w:pPr>
              <w:spacing w:after="0" w:line="254" w:lineRule="auto"/>
              <w:jc w:val="left"/>
            </w:pPr>
            <w:r>
              <w:rPr>
                <w:sz w:val="16"/>
              </w:rPr>
              <w:t>High-risk clinical collections and genomic characterisation</w:t>
            </w:r>
          </w:p>
        </w:tc>
        <w:tc>
          <w:tcPr>
            <w:tcW w:w="2333" w:type="dxa"/>
            <w:tcMar>
              <w:top w:w="65" w:type="dxa"/>
              <w:left w:w="90" w:type="dxa"/>
              <w:bottom w:w="70" w:type="dxa"/>
              <w:right w:w="75" w:type="dxa"/>
            </w:tcMar>
            <w:vAlign w:val="center"/>
          </w:tcPr>
          <w:p w14:paraId="0EC0155F" w14:textId="77777777" w:rsidR="006B1619" w:rsidRDefault="00000000">
            <w:pPr>
              <w:spacing w:after="0" w:line="254" w:lineRule="auto"/>
              <w:jc w:val="left"/>
            </w:pPr>
            <w:r>
              <w:rPr>
                <w:sz w:val="16"/>
              </w:rPr>
              <w:t>Unusual determinants can justify targeted investigation</w:t>
            </w:r>
          </w:p>
        </w:tc>
        <w:tc>
          <w:tcPr>
            <w:tcW w:w="2549" w:type="dxa"/>
            <w:tcMar>
              <w:top w:w="65" w:type="dxa"/>
              <w:left w:w="90" w:type="dxa"/>
              <w:bottom w:w="70" w:type="dxa"/>
              <w:right w:w="75" w:type="dxa"/>
            </w:tcMar>
            <w:vAlign w:val="center"/>
          </w:tcPr>
          <w:p w14:paraId="7A00A178" w14:textId="77777777" w:rsidR="006B1619" w:rsidRDefault="00000000">
            <w:pPr>
              <w:spacing w:after="0" w:line="254" w:lineRule="auto"/>
              <w:jc w:val="left"/>
            </w:pPr>
            <w:r>
              <w:rPr>
                <w:sz w:val="16"/>
              </w:rPr>
              <w:t>Hospital-acquired incidence and intervention effectiveness</w:t>
            </w:r>
          </w:p>
        </w:tc>
        <w:tc>
          <w:tcPr>
            <w:tcW w:w="1598" w:type="dxa"/>
            <w:tcMar>
              <w:top w:w="65" w:type="dxa"/>
              <w:left w:w="90" w:type="dxa"/>
              <w:bottom w:w="70" w:type="dxa"/>
              <w:right w:w="75" w:type="dxa"/>
            </w:tcMar>
            <w:vAlign w:val="center"/>
          </w:tcPr>
          <w:p w14:paraId="053F6F22" w14:textId="77777777" w:rsidR="006B1619" w:rsidRDefault="00000000">
            <w:pPr>
              <w:spacing w:after="0" w:line="254" w:lineRule="auto"/>
              <w:jc w:val="left"/>
            </w:pPr>
            <w:r>
              <w:rPr>
                <w:sz w:val="16"/>
              </w:rPr>
              <w:t>Pitagampola et al. (2024); Zhu et al. (2018)</w:t>
            </w:r>
          </w:p>
        </w:tc>
      </w:tr>
      <w:tr w:rsidR="006B1619" w14:paraId="20F1161C" w14:textId="77777777">
        <w:trPr>
          <w:cantSplit/>
          <w:jc w:val="center"/>
        </w:trPr>
        <w:tc>
          <w:tcPr>
            <w:tcW w:w="1613" w:type="dxa"/>
            <w:tcMar>
              <w:top w:w="65" w:type="dxa"/>
              <w:left w:w="90" w:type="dxa"/>
              <w:bottom w:w="70" w:type="dxa"/>
              <w:right w:w="75" w:type="dxa"/>
            </w:tcMar>
            <w:vAlign w:val="center"/>
          </w:tcPr>
          <w:p w14:paraId="5B9764E4" w14:textId="77777777" w:rsidR="006B1619" w:rsidRDefault="00000000">
            <w:pPr>
              <w:spacing w:after="0" w:line="254" w:lineRule="auto"/>
              <w:jc w:val="left"/>
            </w:pPr>
            <w:r>
              <w:rPr>
                <w:sz w:val="16"/>
              </w:rPr>
              <w:t>Interpretation of discordant UTI therapy</w:t>
            </w:r>
          </w:p>
        </w:tc>
        <w:tc>
          <w:tcPr>
            <w:tcW w:w="1987" w:type="dxa"/>
            <w:tcMar>
              <w:top w:w="65" w:type="dxa"/>
              <w:left w:w="90" w:type="dxa"/>
              <w:bottom w:w="70" w:type="dxa"/>
              <w:right w:w="75" w:type="dxa"/>
            </w:tcMar>
            <w:vAlign w:val="center"/>
          </w:tcPr>
          <w:p w14:paraId="5A06615C" w14:textId="77777777" w:rsidR="006B1619" w:rsidRDefault="00000000">
            <w:pPr>
              <w:spacing w:after="0" w:line="254" w:lineRule="auto"/>
              <w:jc w:val="left"/>
            </w:pPr>
            <w:r>
              <w:rPr>
                <w:sz w:val="16"/>
              </w:rPr>
              <w:t>Observational improvement in selected patient records</w:t>
            </w:r>
          </w:p>
        </w:tc>
        <w:tc>
          <w:tcPr>
            <w:tcW w:w="2333" w:type="dxa"/>
            <w:tcMar>
              <w:top w:w="65" w:type="dxa"/>
              <w:left w:w="90" w:type="dxa"/>
              <w:bottom w:w="70" w:type="dxa"/>
              <w:right w:w="75" w:type="dxa"/>
            </w:tcMar>
            <w:vAlign w:val="center"/>
          </w:tcPr>
          <w:p w14:paraId="41D1DACB" w14:textId="77777777" w:rsidR="006B1619" w:rsidRDefault="00000000">
            <w:pPr>
              <w:spacing w:after="0" w:line="254" w:lineRule="auto"/>
              <w:jc w:val="left"/>
            </w:pPr>
            <w:r>
              <w:rPr>
                <w:sz w:val="16"/>
              </w:rPr>
              <w:t>In-vitro discordance is not identical to observed failure</w:t>
            </w:r>
          </w:p>
        </w:tc>
        <w:tc>
          <w:tcPr>
            <w:tcW w:w="2549" w:type="dxa"/>
            <w:tcMar>
              <w:top w:w="65" w:type="dxa"/>
              <w:left w:w="90" w:type="dxa"/>
              <w:bottom w:w="70" w:type="dxa"/>
              <w:right w:w="75" w:type="dxa"/>
            </w:tcMar>
            <w:vAlign w:val="center"/>
          </w:tcPr>
          <w:p w14:paraId="2AC36574" w14:textId="77777777" w:rsidR="006B1619" w:rsidRDefault="00000000">
            <w:pPr>
              <w:spacing w:after="0" w:line="254" w:lineRule="auto"/>
              <w:jc w:val="left"/>
            </w:pPr>
            <w:r>
              <w:rPr>
                <w:sz w:val="16"/>
              </w:rPr>
              <w:t>Controlled causal comparison, confounding and safety assessment</w:t>
            </w:r>
          </w:p>
        </w:tc>
        <w:tc>
          <w:tcPr>
            <w:tcW w:w="1598" w:type="dxa"/>
            <w:tcMar>
              <w:top w:w="65" w:type="dxa"/>
              <w:left w:w="90" w:type="dxa"/>
              <w:bottom w:w="70" w:type="dxa"/>
              <w:right w:w="75" w:type="dxa"/>
            </w:tcMar>
            <w:vAlign w:val="center"/>
          </w:tcPr>
          <w:p w14:paraId="2517E676" w14:textId="77777777" w:rsidR="006B1619" w:rsidRDefault="00000000">
            <w:pPr>
              <w:spacing w:after="0" w:line="254" w:lineRule="auto"/>
              <w:jc w:val="left"/>
            </w:pPr>
            <w:r>
              <w:rPr>
                <w:sz w:val="16"/>
              </w:rPr>
              <w:t>Y. K. Perera et al. (2023)</w:t>
            </w:r>
          </w:p>
        </w:tc>
      </w:tr>
    </w:tbl>
    <w:p w14:paraId="5BE9F075" w14:textId="77777777" w:rsidR="006B1619" w:rsidRDefault="00000000">
      <w:pPr>
        <w:pStyle w:val="TableNote"/>
        <w:keepLines/>
      </w:pPr>
      <w:r>
        <w:t>Note. UTI = urinary tract infection; ESBL = extended-spectrum β-lactamase; AmpC = class C β-lactamase; CRE = carbapenem-resistant Enterobacterales; ICU = intensive care unit. This table is an evidence-interpretation aid, not a prescribing protocol.</w:t>
      </w:r>
    </w:p>
    <w:p w14:paraId="38BAB2DD" w14:textId="77777777" w:rsidR="006B1619" w:rsidRDefault="006B1619">
      <w:pPr>
        <w:spacing w:after="20"/>
      </w:pPr>
    </w:p>
    <w:p w14:paraId="6D6C9383" w14:textId="77777777" w:rsidR="006B1619" w:rsidRDefault="00000000">
      <w:pPr>
        <w:pStyle w:val="Heading1"/>
      </w:pPr>
      <w:r>
        <w:t>8. One Health Interfaces: Animal, Food and Environmental Evidence</w:t>
      </w:r>
    </w:p>
    <w:p w14:paraId="7963F083" w14:textId="77777777" w:rsidR="006B1619" w:rsidRDefault="00000000">
      <w:pPr>
        <w:pStyle w:val="Heading2"/>
      </w:pPr>
      <w:r>
        <w:t>8.1 Wider Reservoirs Do Not Automatically Demonstrate Transmission</w:t>
      </w:r>
    </w:p>
    <w:p w14:paraId="0A0ECF66" w14:textId="77777777" w:rsidR="006B1619" w:rsidRDefault="00000000">
      <w:r>
        <w:t xml:space="preserve">Antimicrobial-resistant Enterobacterales may be encountered in human clinical services, animal production, food chains, sewage and receiving environments. These settings are connected biologically through movement of bacteria, mobile genetic elements, people and waste, but evidence that each contains resistant organisms is not equivalent to proof of transmission between them. A One Health account becomes analytically credible when it distinguishes co-occurrence from directional exchange and asks whether samples were linked in space and time at a resolution adequate for source attribution. This distinction is central to assessing the Sri Lankan </w:t>
      </w:r>
      <w:r>
        <w:lastRenderedPageBreak/>
        <w:t>environmental literature without either overlooking its relevance or overstating its implications (Ariyawansa et al., 2023; Nisansala et al., 2025).</w:t>
      </w:r>
    </w:p>
    <w:p w14:paraId="75372EA1" w14:textId="77777777" w:rsidR="006B1619" w:rsidRDefault="00000000">
      <w:r>
        <w:t>A nationally oriented review of One Health antimicrobial resistance documented research across human, animal and environmental domains, but its inclusion of many pathogens and resistance types also means that its overall frequencies cannot be treated as specific ESBL or CRE prevalence estimates for Enterobacterales. Broad synthesis identifies neglected compartments and variable research quality; it does not replace mechanism-focused surveillance. Notably, the difficulty of comparing different bacterial species, antibiotics and specimen types recurs when moving from the hospital setting to farms or wastewater (Nisansala et al., 2025).</w:t>
      </w:r>
    </w:p>
    <w:p w14:paraId="6104C7A1" w14:textId="77777777" w:rsidR="006B1619" w:rsidRDefault="00000000">
      <w:pPr>
        <w:pStyle w:val="Heading2"/>
      </w:pPr>
      <w:r>
        <w:t>8.2 Wastewater Findings Show Genetic Burden, Not Human Disease Rates</w:t>
      </w:r>
    </w:p>
    <w:p w14:paraId="0F6B501F" w14:textId="77777777" w:rsidR="006B1619" w:rsidRDefault="00000000">
      <w:r>
        <w:t>Metagenomic analysis of hospital and municipal wastewater in Sri Lanka found a greater overall abundance of antibiotic-resistance genes in hospital-derived wastewater than in municipal comparison samples. The study combined short- and long-read approaches to explore relevant β-lactamase families and their predicted genetic contexts. Its value is substantial: it demonstrates that healthcare-associated waste streams contain complex reservoirs of antimicrobial-resistance determinants and that treatment processes can change measured gene abundance. It should not, however, be interpreted as a count of patients infected with a particular Enterobacterales species (Guruge et al., 2025).</w:t>
      </w:r>
    </w:p>
    <w:p w14:paraId="22ED6691" w14:textId="77777777" w:rsidR="006B1619" w:rsidRDefault="00000000">
      <w:r>
        <w:t>The unit of measurement matters. An abundance expressed as gene copies per cell, or as a relative proportion of assembled reads, does not estimate the fraction of viable bacteria carrying that gene, the rate of human colonisation or the number of clinical infections. Metagenomic classification of a gene family may also contain alleles with different substrate specificity; not every blaOXA-family sequence is an OXA-48-like carbapenemase, and not every resistance gene can be assigned with high confidence to an Enterobacterales host. Assembled plasmid-context predictions strengthen biological plausibility but do not demonstrate transfer to a particular clinical lineage without linked isolates or experimental transmission evidence (Guruge et al., 2025; Poirel et al., 2012).</w:t>
      </w:r>
    </w:p>
    <w:p w14:paraId="08849016" w14:textId="77777777" w:rsidR="006B1619" w:rsidRDefault="00000000">
      <w:r>
        <w:t>These caveats do not diminish the public-health importance of wastewater treatment. Hospital effluent may provide an environmental interface where resistance determinants, antimicrobial residues and diverse organisms occur together. The study's observation of reductions in measured gene abundance following treatment provides a measurable environmental performance endpoint. Yet the relationship between that endpoint and downstream clinical infections remains unquantified in Sri Lanka. Intervention studies should therefore record both environmental effects and, where feasible, linked microbiological outcomes in downstream exposure populations before claiming that wastewater treatment has reduced clinical CPE transmission (Ariyawansa et al., 2023; Guruge et al., 2025).</w:t>
      </w:r>
    </w:p>
    <w:p w14:paraId="60985370" w14:textId="77777777" w:rsidR="006B1619" w:rsidRDefault="00000000">
      <w:pPr>
        <w:pStyle w:val="Heading2"/>
      </w:pPr>
      <w:r>
        <w:t>8.3 Environmental E. coli Studies Need Mechanism-Specific Confirmation</w:t>
      </w:r>
    </w:p>
    <w:p w14:paraId="4EC5D969" w14:textId="77777777" w:rsidR="006B1619" w:rsidRDefault="00000000">
      <w:r>
        <w:t xml:space="preserve">A 2026 investigation in Gampaha recovered </w:t>
      </w:r>
      <w:r>
        <w:rPr>
          <w:i/>
        </w:rPr>
        <w:t>E. coli</w:t>
      </w:r>
      <w:r>
        <w:t xml:space="preserve"> from environmental samples spanning hospital, livestock and nearby community settings. It reported nonsusceptibility to several antimicrobial agents, including a small number of cefotaxime-nonsusceptible isolates and a single meropenem-nonsusceptible isolate. The reported meropenem result is important as a possible sentinel signal, not as demonstration that one isolate carried a carbapenemase. The study did not supply the same detailed enzyme genotyping as the hospital studies. Consequently, its findings should remain within the category of environmental susceptibility phenotypes unless additional mechanisms are confirmed (Randeni et al., 2026).</w:t>
      </w:r>
    </w:p>
    <w:p w14:paraId="1732764D" w14:textId="77777777" w:rsidR="006B1619" w:rsidRDefault="00000000">
      <w:r>
        <w:lastRenderedPageBreak/>
        <w:t xml:space="preserve">There is also a denominator issue that is easy to overlook. The proportion of samples yielding </w:t>
      </w:r>
      <w:r>
        <w:rPr>
          <w:i/>
        </w:rPr>
        <w:t>E. coli</w:t>
      </w:r>
      <w:r>
        <w:t xml:space="preserve"> differs from the percentage of recovered </w:t>
      </w:r>
      <w:r>
        <w:rPr>
          <w:i/>
        </w:rPr>
        <w:t>E. coli</w:t>
      </w:r>
      <w:r>
        <w:t xml:space="preserve"> isolates resistant to a drug. Mixing the two may produce an apparent environmental resistance prevalence that is not actually measured. Soil, wastewater and groundwater have different culture efficiencies, organism loads and selection histories, making pooled percentages particularly difficult to interpret. Environmental monitoring becomes more informative when it supplies both sample-based recovery rates and isolate-based susceptibility data, with transparent rules for the number of colonies tested per sample (Randeni et al., 2026).</w:t>
      </w:r>
    </w:p>
    <w:p w14:paraId="05F123B2" w14:textId="77777777" w:rsidR="006B1619" w:rsidRDefault="00000000">
      <w:pPr>
        <w:pStyle w:val="Heading2"/>
      </w:pPr>
      <w:r>
        <w:t>8.4 Food-Producing Animals Extend Surveillance Scope</w:t>
      </w:r>
    </w:p>
    <w:p w14:paraId="0EF30E3A" w14:textId="77777777" w:rsidR="006B1619" w:rsidRDefault="00000000">
      <w:r>
        <w:t xml:space="preserve">Studies of Sri Lankan layer-chicken farms have reported antimicrobial resistance and biofilm-associated behaviour in </w:t>
      </w:r>
      <w:r>
        <w:rPr>
          <w:i/>
        </w:rPr>
        <w:t>E. coli</w:t>
      </w:r>
      <w:r>
        <w:t xml:space="preserve"> obtained from different farm sources. The observed variation between planktonic and biofilm-associated isolates helps explain how sampling location and growth state can affect resistance measurements. However, these investigations were not designed to estimate national prevalence of CTX-M, acquired AmpC or carbapenemase genes in all poultry-associated Enterobacterales. For this review, their contribution is chiefly to demonstrate the ecological complexity and methodological requirements of animal-sector surveillance (Subhasinghe et al., 2025).</w:t>
      </w:r>
    </w:p>
    <w:p w14:paraId="1D758124" w14:textId="77777777" w:rsidR="006B1619" w:rsidRDefault="00000000">
      <w:r>
        <w:t xml:space="preserve">An earlier Sri Lankan comparison of nontyphoidal </w:t>
      </w:r>
      <w:r>
        <w:rPr>
          <w:i/>
        </w:rPr>
        <w:t>Salmonella enterica</w:t>
      </w:r>
      <w:r>
        <w:t xml:space="preserve"> from human and chicken-meat sources used whole-genome sequencing and identified an ESBL determinant in a selected human isolate. Its strength was the combination of microbiological and genomic characterisation across potential interfaces. Yet the investigators' distinct sampling periods and restricted isolate numbers limited direct source attribution. The result should not be retold as evidence that the same ESBL-bearing lineage moved from poultry into humans. It instead indicates the kinds of paired designs and genomic resolution that would be needed to examine such a hypothesis credibly (Tay et al., 2019).</w:t>
      </w:r>
    </w:p>
    <w:p w14:paraId="3FE81327" w14:textId="77777777" w:rsidR="006B1619" w:rsidRDefault="00000000">
      <w:r>
        <w:t>One Health surveillance must also distinguish selection pressure from demonstrated transmission. Antibiotics used in livestock, community medicine and hospitals may produce related evolutionary incentives, but a shared antibiotic-resistance pattern does not establish a shared bacterial source. To infer exchange, studies need contemporaneous sampling, species and strain identification, complete resistance-gene contexts and information on plausible contact or waste pathways. Even with genomic matches, human and animal populations may share an unsampled environmental source. These alternative explanations should be assessed before asserting the direction of spread (Ariyawansa et al., 2023; Nisansala et al., 2025).</w:t>
      </w:r>
    </w:p>
    <w:p w14:paraId="4533872D" w14:textId="77777777" w:rsidR="006B1619" w:rsidRDefault="00000000">
      <w:pPr>
        <w:pStyle w:val="Heading2"/>
      </w:pPr>
      <w:r>
        <w:t>8.5 Cross-Sector Evidence Calls for Linked Rather Than Parallel Monitoring</w:t>
      </w:r>
    </w:p>
    <w:p w14:paraId="64D5922D" w14:textId="77777777" w:rsidR="006B1619" w:rsidRDefault="00000000">
      <w:r>
        <w:t>The principal methodological gap in Sri Lankan One Health work is not simply a shortage of samples; it is the scarcity of deliberately linked datasets that compare the same organism and mechanism under compatible methods across compartments. Parallel human, farm and wastewater surveys can reveal co-occurrence, but only matched designs can meaningfully investigate movement. A practical starting point would combine sentinel clinical isolates with wastewater upstream and downstream of participating hospitals, record collection dates, and apply a harmonised panel of phenotypic tests and targeted sequencing. Interpretation would need to account for environmental dilution, human mobility and repeated sampling of the same source (Ariyawansa et al., 2023; Guruge et al., 2025).</w:t>
      </w:r>
    </w:p>
    <w:p w14:paraId="7055B777" w14:textId="77777777" w:rsidR="006B1619" w:rsidRDefault="00000000">
      <w:r>
        <w:t xml:space="preserve">Long-read sequencing and plasmid analysis should be used to answer targeted questions rather than as a generic marker of research sophistication. Where two isolates share a resistance gene but differ in chromosomal ancestry, plasmid sequencing may clarify whether a common mobile element is plausible. Where isolates are </w:t>
      </w:r>
      <w:r>
        <w:lastRenderedPageBreak/>
        <w:t>highly related, patient contact and spatial–temporal exposure data remain necessary to assess a local outbreak. At the environmental level, evidence of viability and bacterial host identity is needed to connect metagenomic gene signals with plausible exposure. All of these relationships remain hypotheses until tested through appropriately linked designs (Guruge et al., 2025; V. Perera, de Silva, et al., 2022).</w:t>
      </w:r>
    </w:p>
    <w:p w14:paraId="236C3862" w14:textId="77777777" w:rsidR="006B1619" w:rsidRDefault="00000000">
      <w:r>
        <w:t>Table 5 situates the Sri Lankan One Health studies along a ladder of evidentiary claims. The strongest existing evidence is for the presence of resistant organisms or genes in the sampled compartment. Support for direct movement of particular ESBL, AmpC or carbapenemase mechanisms between patients, livestock and environmental reservoirs is materially weaker. This difference should guide future research investment and prevent genetic similarity alone from becoming an unsupported transmission narrative.</w:t>
      </w:r>
    </w:p>
    <w:p w14:paraId="09BBCDAA" w14:textId="77777777" w:rsidR="006B1619" w:rsidRDefault="00000000">
      <w:pPr>
        <w:pStyle w:val="TableCaption"/>
      </w:pPr>
      <w:r>
        <w:t>Table 5. One Health observations and the claims their designs can support</w:t>
      </w:r>
    </w:p>
    <w:tbl>
      <w:tblPr>
        <w:tblW w:w="0" w:type="auto"/>
        <w:jc w:val="center"/>
        <w:tblLayout w:type="fixed"/>
        <w:tblLook w:val="04A0" w:firstRow="1" w:lastRow="0" w:firstColumn="1" w:lastColumn="0" w:noHBand="0" w:noVBand="1"/>
      </w:tblPr>
      <w:tblGrid>
        <w:gridCol w:w="1613"/>
        <w:gridCol w:w="1987"/>
        <w:gridCol w:w="2333"/>
        <w:gridCol w:w="2549"/>
        <w:gridCol w:w="1598"/>
      </w:tblGrid>
      <w:tr w:rsidR="006B1619" w14:paraId="04A6B382" w14:textId="77777777">
        <w:trPr>
          <w:cantSplit/>
          <w:tblHeader/>
          <w:jc w:val="center"/>
        </w:trPr>
        <w:tc>
          <w:tcPr>
            <w:tcW w:w="1613" w:type="dxa"/>
            <w:shd w:val="clear" w:color="auto" w:fill="E7EBEF"/>
            <w:tcMar>
              <w:top w:w="80" w:type="dxa"/>
              <w:left w:w="90" w:type="dxa"/>
              <w:bottom w:w="90" w:type="dxa"/>
              <w:right w:w="75" w:type="dxa"/>
            </w:tcMar>
            <w:vAlign w:val="center"/>
          </w:tcPr>
          <w:p w14:paraId="04CD9FDE" w14:textId="77777777" w:rsidR="006B1619" w:rsidRDefault="00000000">
            <w:pPr>
              <w:spacing w:after="0" w:line="250" w:lineRule="auto"/>
              <w:jc w:val="left"/>
            </w:pPr>
            <w:r>
              <w:rPr>
                <w:b/>
                <w:sz w:val="16"/>
              </w:rPr>
              <w:t>Evidence domain</w:t>
            </w:r>
          </w:p>
        </w:tc>
        <w:tc>
          <w:tcPr>
            <w:tcW w:w="1987" w:type="dxa"/>
            <w:shd w:val="clear" w:color="auto" w:fill="E7EBEF"/>
            <w:tcMar>
              <w:top w:w="80" w:type="dxa"/>
              <w:left w:w="90" w:type="dxa"/>
              <w:bottom w:w="90" w:type="dxa"/>
              <w:right w:w="75" w:type="dxa"/>
            </w:tcMar>
            <w:vAlign w:val="center"/>
          </w:tcPr>
          <w:p w14:paraId="5F7AC876" w14:textId="77777777" w:rsidR="006B1619" w:rsidRDefault="00000000">
            <w:pPr>
              <w:spacing w:after="0" w:line="250" w:lineRule="auto"/>
              <w:jc w:val="left"/>
            </w:pPr>
            <w:r>
              <w:rPr>
                <w:b/>
                <w:sz w:val="16"/>
              </w:rPr>
              <w:t>Sampled system</w:t>
            </w:r>
          </w:p>
        </w:tc>
        <w:tc>
          <w:tcPr>
            <w:tcW w:w="2333" w:type="dxa"/>
            <w:shd w:val="clear" w:color="auto" w:fill="E7EBEF"/>
            <w:tcMar>
              <w:top w:w="80" w:type="dxa"/>
              <w:left w:w="90" w:type="dxa"/>
              <w:bottom w:w="90" w:type="dxa"/>
              <w:right w:w="75" w:type="dxa"/>
            </w:tcMar>
            <w:vAlign w:val="center"/>
          </w:tcPr>
          <w:p w14:paraId="04693548" w14:textId="77777777" w:rsidR="006B1619" w:rsidRDefault="00000000">
            <w:pPr>
              <w:spacing w:after="0" w:line="250" w:lineRule="auto"/>
              <w:jc w:val="left"/>
            </w:pPr>
            <w:r>
              <w:rPr>
                <w:b/>
                <w:sz w:val="16"/>
              </w:rPr>
              <w:t>Direct finding or contribution</w:t>
            </w:r>
          </w:p>
        </w:tc>
        <w:tc>
          <w:tcPr>
            <w:tcW w:w="2549" w:type="dxa"/>
            <w:shd w:val="clear" w:color="auto" w:fill="E7EBEF"/>
            <w:tcMar>
              <w:top w:w="80" w:type="dxa"/>
              <w:left w:w="90" w:type="dxa"/>
              <w:bottom w:w="90" w:type="dxa"/>
              <w:right w:w="75" w:type="dxa"/>
            </w:tcMar>
            <w:vAlign w:val="center"/>
          </w:tcPr>
          <w:p w14:paraId="532DB989" w14:textId="77777777" w:rsidR="006B1619" w:rsidRDefault="00000000">
            <w:pPr>
              <w:spacing w:after="0" w:line="250" w:lineRule="auto"/>
              <w:jc w:val="left"/>
            </w:pPr>
            <w:r>
              <w:rPr>
                <w:b/>
                <w:sz w:val="16"/>
              </w:rPr>
              <w:t>Inference not established</w:t>
            </w:r>
          </w:p>
        </w:tc>
        <w:tc>
          <w:tcPr>
            <w:tcW w:w="1598" w:type="dxa"/>
            <w:shd w:val="clear" w:color="auto" w:fill="E7EBEF"/>
            <w:tcMar>
              <w:top w:w="80" w:type="dxa"/>
              <w:left w:w="90" w:type="dxa"/>
              <w:bottom w:w="90" w:type="dxa"/>
              <w:right w:w="75" w:type="dxa"/>
            </w:tcMar>
            <w:vAlign w:val="center"/>
          </w:tcPr>
          <w:p w14:paraId="1C33A752" w14:textId="77777777" w:rsidR="006B1619" w:rsidRDefault="00000000">
            <w:pPr>
              <w:spacing w:after="0" w:line="250" w:lineRule="auto"/>
              <w:jc w:val="left"/>
            </w:pPr>
            <w:r>
              <w:rPr>
                <w:b/>
                <w:sz w:val="16"/>
              </w:rPr>
              <w:t>Supporting references</w:t>
            </w:r>
          </w:p>
        </w:tc>
      </w:tr>
      <w:tr w:rsidR="006B1619" w14:paraId="45BFC65A" w14:textId="77777777">
        <w:trPr>
          <w:cantSplit/>
          <w:jc w:val="center"/>
        </w:trPr>
        <w:tc>
          <w:tcPr>
            <w:tcW w:w="1613" w:type="dxa"/>
            <w:tcMar>
              <w:top w:w="65" w:type="dxa"/>
              <w:left w:w="90" w:type="dxa"/>
              <w:bottom w:w="70" w:type="dxa"/>
              <w:right w:w="75" w:type="dxa"/>
            </w:tcMar>
            <w:vAlign w:val="center"/>
          </w:tcPr>
          <w:p w14:paraId="0A4136FB" w14:textId="77777777" w:rsidR="006B1619" w:rsidRDefault="00000000">
            <w:pPr>
              <w:spacing w:after="0" w:line="254" w:lineRule="auto"/>
              <w:jc w:val="left"/>
            </w:pPr>
            <w:r>
              <w:rPr>
                <w:sz w:val="16"/>
              </w:rPr>
              <w:t>Multisector surveillance</w:t>
            </w:r>
          </w:p>
        </w:tc>
        <w:tc>
          <w:tcPr>
            <w:tcW w:w="1987" w:type="dxa"/>
            <w:tcMar>
              <w:top w:w="65" w:type="dxa"/>
              <w:left w:w="90" w:type="dxa"/>
              <w:bottom w:w="70" w:type="dxa"/>
              <w:right w:w="75" w:type="dxa"/>
            </w:tcMar>
            <w:vAlign w:val="center"/>
          </w:tcPr>
          <w:p w14:paraId="02E6E9DE" w14:textId="77777777" w:rsidR="006B1619" w:rsidRDefault="00000000">
            <w:pPr>
              <w:spacing w:after="0" w:line="254" w:lineRule="auto"/>
              <w:jc w:val="left"/>
            </w:pPr>
            <w:r>
              <w:rPr>
                <w:sz w:val="16"/>
              </w:rPr>
              <w:t>Human, food-animal and environmental programme components</w:t>
            </w:r>
          </w:p>
        </w:tc>
        <w:tc>
          <w:tcPr>
            <w:tcW w:w="2333" w:type="dxa"/>
            <w:tcMar>
              <w:top w:w="65" w:type="dxa"/>
              <w:left w:w="90" w:type="dxa"/>
              <w:bottom w:w="70" w:type="dxa"/>
              <w:right w:w="75" w:type="dxa"/>
            </w:tcMar>
            <w:vAlign w:val="center"/>
          </w:tcPr>
          <w:p w14:paraId="6FA6A357" w14:textId="77777777" w:rsidR="006B1619" w:rsidRDefault="00000000">
            <w:pPr>
              <w:spacing w:after="0" w:line="254" w:lineRule="auto"/>
              <w:jc w:val="left"/>
            </w:pPr>
            <w:r>
              <w:rPr>
                <w:sz w:val="16"/>
              </w:rPr>
              <w:t>Operational feasibility, barriers and sector-specific AMR observations</w:t>
            </w:r>
          </w:p>
        </w:tc>
        <w:tc>
          <w:tcPr>
            <w:tcW w:w="2549" w:type="dxa"/>
            <w:tcMar>
              <w:top w:w="65" w:type="dxa"/>
              <w:left w:w="90" w:type="dxa"/>
              <w:bottom w:w="70" w:type="dxa"/>
              <w:right w:w="75" w:type="dxa"/>
            </w:tcMar>
            <w:vAlign w:val="center"/>
          </w:tcPr>
          <w:p w14:paraId="66D53B90" w14:textId="77777777" w:rsidR="006B1619" w:rsidRDefault="00000000">
            <w:pPr>
              <w:spacing w:after="0" w:line="254" w:lineRule="auto"/>
              <w:jc w:val="left"/>
            </w:pPr>
            <w:r>
              <w:rPr>
                <w:sz w:val="16"/>
              </w:rPr>
              <w:t>Nationally representative rates for a single Enterobacterales enzyme</w:t>
            </w:r>
          </w:p>
        </w:tc>
        <w:tc>
          <w:tcPr>
            <w:tcW w:w="1598" w:type="dxa"/>
            <w:tcMar>
              <w:top w:w="65" w:type="dxa"/>
              <w:left w:w="90" w:type="dxa"/>
              <w:bottom w:w="70" w:type="dxa"/>
              <w:right w:w="75" w:type="dxa"/>
            </w:tcMar>
            <w:vAlign w:val="center"/>
          </w:tcPr>
          <w:p w14:paraId="1D5AF6EE" w14:textId="77777777" w:rsidR="006B1619" w:rsidRDefault="00000000">
            <w:pPr>
              <w:spacing w:after="0" w:line="254" w:lineRule="auto"/>
              <w:jc w:val="left"/>
            </w:pPr>
            <w:r>
              <w:rPr>
                <w:sz w:val="16"/>
              </w:rPr>
              <w:t>Ariyawansa et al. (2023)</w:t>
            </w:r>
          </w:p>
        </w:tc>
      </w:tr>
      <w:tr w:rsidR="006B1619" w14:paraId="6A7D01E9" w14:textId="77777777">
        <w:trPr>
          <w:cantSplit/>
          <w:jc w:val="center"/>
        </w:trPr>
        <w:tc>
          <w:tcPr>
            <w:tcW w:w="1613" w:type="dxa"/>
            <w:tcMar>
              <w:top w:w="65" w:type="dxa"/>
              <w:left w:w="90" w:type="dxa"/>
              <w:bottom w:w="70" w:type="dxa"/>
              <w:right w:w="75" w:type="dxa"/>
            </w:tcMar>
            <w:vAlign w:val="center"/>
          </w:tcPr>
          <w:p w14:paraId="692945E1" w14:textId="77777777" w:rsidR="006B1619" w:rsidRDefault="00000000">
            <w:pPr>
              <w:spacing w:after="0" w:line="254" w:lineRule="auto"/>
              <w:jc w:val="left"/>
            </w:pPr>
            <w:r>
              <w:rPr>
                <w:sz w:val="16"/>
              </w:rPr>
              <w:t>Sri Lankan systematic One Health synthesis</w:t>
            </w:r>
          </w:p>
        </w:tc>
        <w:tc>
          <w:tcPr>
            <w:tcW w:w="1987" w:type="dxa"/>
            <w:tcMar>
              <w:top w:w="65" w:type="dxa"/>
              <w:left w:w="90" w:type="dxa"/>
              <w:bottom w:w="70" w:type="dxa"/>
              <w:right w:w="75" w:type="dxa"/>
            </w:tcMar>
            <w:vAlign w:val="center"/>
          </w:tcPr>
          <w:p w14:paraId="6F6ACB1C" w14:textId="77777777" w:rsidR="006B1619" w:rsidRDefault="00000000">
            <w:pPr>
              <w:spacing w:after="0" w:line="254" w:lineRule="auto"/>
              <w:jc w:val="left"/>
            </w:pPr>
            <w:r>
              <w:rPr>
                <w:sz w:val="16"/>
              </w:rPr>
              <w:t>Diverse bacteria, drugs and settings</w:t>
            </w:r>
          </w:p>
        </w:tc>
        <w:tc>
          <w:tcPr>
            <w:tcW w:w="2333" w:type="dxa"/>
            <w:tcMar>
              <w:top w:w="65" w:type="dxa"/>
              <w:left w:w="90" w:type="dxa"/>
              <w:bottom w:w="70" w:type="dxa"/>
              <w:right w:w="75" w:type="dxa"/>
            </w:tcMar>
            <w:vAlign w:val="center"/>
          </w:tcPr>
          <w:p w14:paraId="6EFEF378" w14:textId="77777777" w:rsidR="006B1619" w:rsidRDefault="00000000">
            <w:pPr>
              <w:spacing w:after="0" w:line="254" w:lineRule="auto"/>
              <w:jc w:val="left"/>
            </w:pPr>
            <w:r>
              <w:rPr>
                <w:sz w:val="16"/>
              </w:rPr>
              <w:t>Documents breadth of country-specific AMR and evidence gaps</w:t>
            </w:r>
          </w:p>
        </w:tc>
        <w:tc>
          <w:tcPr>
            <w:tcW w:w="2549" w:type="dxa"/>
            <w:tcMar>
              <w:top w:w="65" w:type="dxa"/>
              <w:left w:w="90" w:type="dxa"/>
              <w:bottom w:w="70" w:type="dxa"/>
              <w:right w:w="75" w:type="dxa"/>
            </w:tcMar>
            <w:vAlign w:val="center"/>
          </w:tcPr>
          <w:p w14:paraId="45CF3E00" w14:textId="77777777" w:rsidR="006B1619" w:rsidRDefault="00000000">
            <w:pPr>
              <w:spacing w:after="0" w:line="254" w:lineRule="auto"/>
              <w:jc w:val="left"/>
            </w:pPr>
            <w:r>
              <w:rPr>
                <w:sz w:val="16"/>
              </w:rPr>
              <w:t>Pooled ESBL or CPE infection prevalence across all settings</w:t>
            </w:r>
          </w:p>
        </w:tc>
        <w:tc>
          <w:tcPr>
            <w:tcW w:w="1598" w:type="dxa"/>
            <w:tcMar>
              <w:top w:w="65" w:type="dxa"/>
              <w:left w:w="90" w:type="dxa"/>
              <w:bottom w:w="70" w:type="dxa"/>
              <w:right w:w="75" w:type="dxa"/>
            </w:tcMar>
            <w:vAlign w:val="center"/>
          </w:tcPr>
          <w:p w14:paraId="3A8A6622" w14:textId="77777777" w:rsidR="006B1619" w:rsidRDefault="00000000">
            <w:pPr>
              <w:spacing w:after="0" w:line="254" w:lineRule="auto"/>
              <w:jc w:val="left"/>
            </w:pPr>
            <w:r>
              <w:rPr>
                <w:sz w:val="16"/>
              </w:rPr>
              <w:t>Nisansala et al. (2025)</w:t>
            </w:r>
          </w:p>
        </w:tc>
      </w:tr>
      <w:tr w:rsidR="006B1619" w14:paraId="56822095" w14:textId="77777777">
        <w:trPr>
          <w:cantSplit/>
          <w:jc w:val="center"/>
        </w:trPr>
        <w:tc>
          <w:tcPr>
            <w:tcW w:w="1613" w:type="dxa"/>
            <w:tcMar>
              <w:top w:w="65" w:type="dxa"/>
              <w:left w:w="90" w:type="dxa"/>
              <w:bottom w:w="70" w:type="dxa"/>
              <w:right w:w="75" w:type="dxa"/>
            </w:tcMar>
            <w:vAlign w:val="center"/>
          </w:tcPr>
          <w:p w14:paraId="58BF467F" w14:textId="77777777" w:rsidR="006B1619" w:rsidRDefault="00000000">
            <w:pPr>
              <w:spacing w:after="0" w:line="254" w:lineRule="auto"/>
              <w:jc w:val="left"/>
            </w:pPr>
            <w:r>
              <w:rPr>
                <w:sz w:val="16"/>
              </w:rPr>
              <w:t>Hospital wastewater metagenomics</w:t>
            </w:r>
          </w:p>
        </w:tc>
        <w:tc>
          <w:tcPr>
            <w:tcW w:w="1987" w:type="dxa"/>
            <w:tcMar>
              <w:top w:w="65" w:type="dxa"/>
              <w:left w:w="90" w:type="dxa"/>
              <w:bottom w:w="70" w:type="dxa"/>
              <w:right w:w="75" w:type="dxa"/>
            </w:tcMar>
            <w:vAlign w:val="center"/>
          </w:tcPr>
          <w:p w14:paraId="3D0063D5" w14:textId="77777777" w:rsidR="006B1619" w:rsidRDefault="00000000">
            <w:pPr>
              <w:spacing w:after="0" w:line="254" w:lineRule="auto"/>
              <w:jc w:val="left"/>
            </w:pPr>
            <w:r>
              <w:rPr>
                <w:sz w:val="16"/>
              </w:rPr>
              <w:t>Hospital and municipal wastewater treatment systems</w:t>
            </w:r>
          </w:p>
        </w:tc>
        <w:tc>
          <w:tcPr>
            <w:tcW w:w="2333" w:type="dxa"/>
            <w:tcMar>
              <w:top w:w="65" w:type="dxa"/>
              <w:left w:w="90" w:type="dxa"/>
              <w:bottom w:w="70" w:type="dxa"/>
              <w:right w:w="75" w:type="dxa"/>
            </w:tcMar>
            <w:vAlign w:val="center"/>
          </w:tcPr>
          <w:p w14:paraId="5302B938" w14:textId="77777777" w:rsidR="006B1619" w:rsidRDefault="00000000">
            <w:pPr>
              <w:spacing w:after="0" w:line="254" w:lineRule="auto"/>
              <w:jc w:val="left"/>
            </w:pPr>
            <w:r>
              <w:rPr>
                <w:sz w:val="16"/>
              </w:rPr>
              <w:t>Gene abundance and candidate mobile genetic contexts</w:t>
            </w:r>
          </w:p>
        </w:tc>
        <w:tc>
          <w:tcPr>
            <w:tcW w:w="2549" w:type="dxa"/>
            <w:tcMar>
              <w:top w:w="65" w:type="dxa"/>
              <w:left w:w="90" w:type="dxa"/>
              <w:bottom w:w="70" w:type="dxa"/>
              <w:right w:w="75" w:type="dxa"/>
            </w:tcMar>
            <w:vAlign w:val="center"/>
          </w:tcPr>
          <w:p w14:paraId="2A888731" w14:textId="77777777" w:rsidR="006B1619" w:rsidRDefault="00000000">
            <w:pPr>
              <w:spacing w:after="0" w:line="254" w:lineRule="auto"/>
              <w:jc w:val="left"/>
            </w:pPr>
            <w:r>
              <w:rPr>
                <w:sz w:val="16"/>
              </w:rPr>
              <w:t>Viable Enterobacterales carriage, patient infection incidence or transfer</w:t>
            </w:r>
          </w:p>
        </w:tc>
        <w:tc>
          <w:tcPr>
            <w:tcW w:w="1598" w:type="dxa"/>
            <w:tcMar>
              <w:top w:w="65" w:type="dxa"/>
              <w:left w:w="90" w:type="dxa"/>
              <w:bottom w:w="70" w:type="dxa"/>
              <w:right w:w="75" w:type="dxa"/>
            </w:tcMar>
            <w:vAlign w:val="center"/>
          </w:tcPr>
          <w:p w14:paraId="52B72137" w14:textId="77777777" w:rsidR="006B1619" w:rsidRDefault="00000000">
            <w:pPr>
              <w:spacing w:after="0" w:line="254" w:lineRule="auto"/>
              <w:jc w:val="left"/>
            </w:pPr>
            <w:r>
              <w:rPr>
                <w:sz w:val="16"/>
              </w:rPr>
              <w:t>Guruge et al. (2025)</w:t>
            </w:r>
          </w:p>
        </w:tc>
      </w:tr>
      <w:tr w:rsidR="006B1619" w14:paraId="74458900" w14:textId="77777777">
        <w:trPr>
          <w:cantSplit/>
          <w:jc w:val="center"/>
        </w:trPr>
        <w:tc>
          <w:tcPr>
            <w:tcW w:w="1613" w:type="dxa"/>
            <w:tcMar>
              <w:top w:w="65" w:type="dxa"/>
              <w:left w:w="90" w:type="dxa"/>
              <w:bottom w:w="70" w:type="dxa"/>
              <w:right w:w="75" w:type="dxa"/>
            </w:tcMar>
            <w:vAlign w:val="center"/>
          </w:tcPr>
          <w:p w14:paraId="5928D9A8" w14:textId="77777777" w:rsidR="006B1619" w:rsidRDefault="00000000">
            <w:pPr>
              <w:spacing w:after="0" w:line="254" w:lineRule="auto"/>
              <w:jc w:val="left"/>
            </w:pPr>
            <w:r>
              <w:rPr>
                <w:sz w:val="16"/>
              </w:rPr>
              <w:t>Gampaha environmental isolate sampling</w:t>
            </w:r>
          </w:p>
        </w:tc>
        <w:tc>
          <w:tcPr>
            <w:tcW w:w="1987" w:type="dxa"/>
            <w:tcMar>
              <w:top w:w="65" w:type="dxa"/>
              <w:left w:w="90" w:type="dxa"/>
              <w:bottom w:w="70" w:type="dxa"/>
              <w:right w:w="75" w:type="dxa"/>
            </w:tcMar>
            <w:vAlign w:val="center"/>
          </w:tcPr>
          <w:p w14:paraId="0F32E098" w14:textId="77777777" w:rsidR="006B1619" w:rsidRDefault="00000000">
            <w:pPr>
              <w:spacing w:after="0" w:line="254" w:lineRule="auto"/>
              <w:jc w:val="left"/>
            </w:pPr>
            <w:r>
              <w:rPr>
                <w:sz w:val="16"/>
              </w:rPr>
              <w:t>Hospital, livestock and community environmental material</w:t>
            </w:r>
          </w:p>
        </w:tc>
        <w:tc>
          <w:tcPr>
            <w:tcW w:w="2333" w:type="dxa"/>
            <w:tcMar>
              <w:top w:w="65" w:type="dxa"/>
              <w:left w:w="90" w:type="dxa"/>
              <w:bottom w:w="70" w:type="dxa"/>
              <w:right w:w="75" w:type="dxa"/>
            </w:tcMar>
            <w:vAlign w:val="center"/>
          </w:tcPr>
          <w:p w14:paraId="2DDEE38A" w14:textId="77777777" w:rsidR="006B1619" w:rsidRDefault="00000000">
            <w:pPr>
              <w:spacing w:after="0" w:line="254" w:lineRule="auto"/>
              <w:jc w:val="left"/>
            </w:pPr>
            <w:r>
              <w:rPr>
                <w:sz w:val="16"/>
              </w:rPr>
              <w:t xml:space="preserve">Drug-specific </w:t>
            </w:r>
            <w:r>
              <w:rPr>
                <w:i/>
                <w:sz w:val="16"/>
              </w:rPr>
              <w:t>E. coli</w:t>
            </w:r>
            <w:r>
              <w:rPr>
                <w:sz w:val="16"/>
              </w:rPr>
              <w:t xml:space="preserve"> nonsusceptibility in recovered isolates</w:t>
            </w:r>
          </w:p>
        </w:tc>
        <w:tc>
          <w:tcPr>
            <w:tcW w:w="2549" w:type="dxa"/>
            <w:tcMar>
              <w:top w:w="65" w:type="dxa"/>
              <w:left w:w="90" w:type="dxa"/>
              <w:bottom w:w="70" w:type="dxa"/>
              <w:right w:w="75" w:type="dxa"/>
            </w:tcMar>
            <w:vAlign w:val="center"/>
          </w:tcPr>
          <w:p w14:paraId="5ACBE113" w14:textId="77777777" w:rsidR="006B1619" w:rsidRDefault="00000000">
            <w:pPr>
              <w:spacing w:after="0" w:line="254" w:lineRule="auto"/>
              <w:jc w:val="left"/>
            </w:pPr>
            <w:r>
              <w:rPr>
                <w:sz w:val="16"/>
              </w:rPr>
              <w:t>Carbapenemase genotype or direction of ecological spread</w:t>
            </w:r>
          </w:p>
        </w:tc>
        <w:tc>
          <w:tcPr>
            <w:tcW w:w="1598" w:type="dxa"/>
            <w:tcMar>
              <w:top w:w="65" w:type="dxa"/>
              <w:left w:w="90" w:type="dxa"/>
              <w:bottom w:w="70" w:type="dxa"/>
              <w:right w:w="75" w:type="dxa"/>
            </w:tcMar>
            <w:vAlign w:val="center"/>
          </w:tcPr>
          <w:p w14:paraId="5A867BBB" w14:textId="77777777" w:rsidR="006B1619" w:rsidRDefault="00000000">
            <w:pPr>
              <w:spacing w:after="0" w:line="254" w:lineRule="auto"/>
              <w:jc w:val="left"/>
            </w:pPr>
            <w:r>
              <w:rPr>
                <w:sz w:val="16"/>
              </w:rPr>
              <w:t>Randeni et al. (2026)</w:t>
            </w:r>
          </w:p>
        </w:tc>
      </w:tr>
      <w:tr w:rsidR="006B1619" w14:paraId="00DFE510" w14:textId="77777777">
        <w:trPr>
          <w:cantSplit/>
          <w:jc w:val="center"/>
        </w:trPr>
        <w:tc>
          <w:tcPr>
            <w:tcW w:w="1613" w:type="dxa"/>
            <w:tcMar>
              <w:top w:w="65" w:type="dxa"/>
              <w:left w:w="90" w:type="dxa"/>
              <w:bottom w:w="70" w:type="dxa"/>
              <w:right w:w="75" w:type="dxa"/>
            </w:tcMar>
            <w:vAlign w:val="center"/>
          </w:tcPr>
          <w:p w14:paraId="2AA5BD90" w14:textId="77777777" w:rsidR="006B1619" w:rsidRDefault="00000000">
            <w:pPr>
              <w:spacing w:after="0" w:line="254" w:lineRule="auto"/>
              <w:jc w:val="left"/>
            </w:pPr>
            <w:r>
              <w:rPr>
                <w:sz w:val="16"/>
              </w:rPr>
              <w:t>Commercial layer-chicken farms</w:t>
            </w:r>
          </w:p>
        </w:tc>
        <w:tc>
          <w:tcPr>
            <w:tcW w:w="1987" w:type="dxa"/>
            <w:tcMar>
              <w:top w:w="65" w:type="dxa"/>
              <w:left w:w="90" w:type="dxa"/>
              <w:bottom w:w="70" w:type="dxa"/>
              <w:right w:w="75" w:type="dxa"/>
            </w:tcMar>
            <w:vAlign w:val="center"/>
          </w:tcPr>
          <w:p w14:paraId="3365FAD4" w14:textId="77777777" w:rsidR="006B1619" w:rsidRDefault="00000000">
            <w:pPr>
              <w:spacing w:after="0" w:line="254" w:lineRule="auto"/>
              <w:jc w:val="left"/>
            </w:pPr>
            <w:r>
              <w:rPr>
                <w:sz w:val="16"/>
              </w:rPr>
              <w:t xml:space="preserve">Farm-associated </w:t>
            </w:r>
            <w:r>
              <w:rPr>
                <w:i/>
                <w:sz w:val="16"/>
              </w:rPr>
              <w:t>E. coli</w:t>
            </w:r>
            <w:r>
              <w:rPr>
                <w:sz w:val="16"/>
              </w:rPr>
              <w:t xml:space="preserve"> in different growth states</w:t>
            </w:r>
          </w:p>
        </w:tc>
        <w:tc>
          <w:tcPr>
            <w:tcW w:w="2333" w:type="dxa"/>
            <w:tcMar>
              <w:top w:w="65" w:type="dxa"/>
              <w:left w:w="90" w:type="dxa"/>
              <w:bottom w:w="70" w:type="dxa"/>
              <w:right w:w="75" w:type="dxa"/>
            </w:tcMar>
            <w:vAlign w:val="center"/>
          </w:tcPr>
          <w:p w14:paraId="6A5475B9" w14:textId="77777777" w:rsidR="006B1619" w:rsidRDefault="00000000">
            <w:pPr>
              <w:spacing w:after="0" w:line="254" w:lineRule="auto"/>
              <w:jc w:val="left"/>
            </w:pPr>
            <w:r>
              <w:rPr>
                <w:sz w:val="16"/>
              </w:rPr>
              <w:t>Antimicrobial susceptibility and biofilm-associated variation</w:t>
            </w:r>
          </w:p>
        </w:tc>
        <w:tc>
          <w:tcPr>
            <w:tcW w:w="2549" w:type="dxa"/>
            <w:tcMar>
              <w:top w:w="65" w:type="dxa"/>
              <w:left w:w="90" w:type="dxa"/>
              <w:bottom w:w="70" w:type="dxa"/>
              <w:right w:w="75" w:type="dxa"/>
            </w:tcMar>
            <w:vAlign w:val="center"/>
          </w:tcPr>
          <w:p w14:paraId="45352AD3" w14:textId="77777777" w:rsidR="006B1619" w:rsidRDefault="00000000">
            <w:pPr>
              <w:spacing w:after="0" w:line="254" w:lineRule="auto"/>
              <w:jc w:val="left"/>
            </w:pPr>
            <w:r>
              <w:rPr>
                <w:sz w:val="16"/>
              </w:rPr>
              <w:t>Nationwide ESBL/AmpC/CPE prevalence or human transmission</w:t>
            </w:r>
          </w:p>
        </w:tc>
        <w:tc>
          <w:tcPr>
            <w:tcW w:w="1598" w:type="dxa"/>
            <w:tcMar>
              <w:top w:w="65" w:type="dxa"/>
              <w:left w:w="90" w:type="dxa"/>
              <w:bottom w:w="70" w:type="dxa"/>
              <w:right w:w="75" w:type="dxa"/>
            </w:tcMar>
            <w:vAlign w:val="center"/>
          </w:tcPr>
          <w:p w14:paraId="23B8BAB8" w14:textId="77777777" w:rsidR="006B1619" w:rsidRDefault="00000000">
            <w:pPr>
              <w:spacing w:after="0" w:line="254" w:lineRule="auto"/>
              <w:jc w:val="left"/>
            </w:pPr>
            <w:r>
              <w:rPr>
                <w:sz w:val="16"/>
              </w:rPr>
              <w:t>Subhasinghe et al. (2025)</w:t>
            </w:r>
          </w:p>
        </w:tc>
      </w:tr>
      <w:tr w:rsidR="006B1619" w14:paraId="5587F1EF" w14:textId="77777777">
        <w:trPr>
          <w:cantSplit/>
          <w:jc w:val="center"/>
        </w:trPr>
        <w:tc>
          <w:tcPr>
            <w:tcW w:w="1613" w:type="dxa"/>
            <w:tcMar>
              <w:top w:w="65" w:type="dxa"/>
              <w:left w:w="90" w:type="dxa"/>
              <w:bottom w:w="70" w:type="dxa"/>
              <w:right w:w="75" w:type="dxa"/>
            </w:tcMar>
            <w:vAlign w:val="center"/>
          </w:tcPr>
          <w:p w14:paraId="28633D7A" w14:textId="77777777" w:rsidR="006B1619" w:rsidRDefault="00000000">
            <w:pPr>
              <w:spacing w:after="0" w:line="254" w:lineRule="auto"/>
              <w:jc w:val="left"/>
            </w:pPr>
            <w:r>
              <w:rPr>
                <w:sz w:val="16"/>
              </w:rPr>
              <w:t>Chicken meat and human Salmonella genomes</w:t>
            </w:r>
          </w:p>
        </w:tc>
        <w:tc>
          <w:tcPr>
            <w:tcW w:w="1987" w:type="dxa"/>
            <w:tcMar>
              <w:top w:w="65" w:type="dxa"/>
              <w:left w:w="90" w:type="dxa"/>
              <w:bottom w:w="70" w:type="dxa"/>
              <w:right w:w="75" w:type="dxa"/>
            </w:tcMar>
            <w:vAlign w:val="center"/>
          </w:tcPr>
          <w:p w14:paraId="023A40AD" w14:textId="77777777" w:rsidR="006B1619" w:rsidRDefault="00000000">
            <w:pPr>
              <w:spacing w:after="0" w:line="254" w:lineRule="auto"/>
              <w:jc w:val="left"/>
            </w:pPr>
            <w:r>
              <w:rPr>
                <w:sz w:val="16"/>
              </w:rPr>
              <w:t>Small, separately sampled Salmonella collections</w:t>
            </w:r>
          </w:p>
        </w:tc>
        <w:tc>
          <w:tcPr>
            <w:tcW w:w="2333" w:type="dxa"/>
            <w:tcMar>
              <w:top w:w="65" w:type="dxa"/>
              <w:left w:w="90" w:type="dxa"/>
              <w:bottom w:w="70" w:type="dxa"/>
              <w:right w:w="75" w:type="dxa"/>
            </w:tcMar>
            <w:vAlign w:val="center"/>
          </w:tcPr>
          <w:p w14:paraId="0FCFD32D" w14:textId="77777777" w:rsidR="006B1619" w:rsidRDefault="00000000">
            <w:pPr>
              <w:spacing w:after="0" w:line="254" w:lineRule="auto"/>
              <w:jc w:val="left"/>
            </w:pPr>
            <w:r>
              <w:rPr>
                <w:sz w:val="16"/>
              </w:rPr>
              <w:t>Genomic diversity and a selected ESBL determinant</w:t>
            </w:r>
          </w:p>
        </w:tc>
        <w:tc>
          <w:tcPr>
            <w:tcW w:w="2549" w:type="dxa"/>
            <w:tcMar>
              <w:top w:w="65" w:type="dxa"/>
              <w:left w:w="90" w:type="dxa"/>
              <w:bottom w:w="70" w:type="dxa"/>
              <w:right w:w="75" w:type="dxa"/>
            </w:tcMar>
            <w:vAlign w:val="center"/>
          </w:tcPr>
          <w:p w14:paraId="32E52886" w14:textId="77777777" w:rsidR="006B1619" w:rsidRDefault="00000000">
            <w:pPr>
              <w:spacing w:after="0" w:line="254" w:lineRule="auto"/>
              <w:jc w:val="left"/>
            </w:pPr>
            <w:r>
              <w:rPr>
                <w:sz w:val="16"/>
              </w:rPr>
              <w:t>Definitive poultry-to-human source attribution</w:t>
            </w:r>
          </w:p>
        </w:tc>
        <w:tc>
          <w:tcPr>
            <w:tcW w:w="1598" w:type="dxa"/>
            <w:tcMar>
              <w:top w:w="65" w:type="dxa"/>
              <w:left w:w="90" w:type="dxa"/>
              <w:bottom w:w="70" w:type="dxa"/>
              <w:right w:w="75" w:type="dxa"/>
            </w:tcMar>
            <w:vAlign w:val="center"/>
          </w:tcPr>
          <w:p w14:paraId="1C50743C" w14:textId="77777777" w:rsidR="006B1619" w:rsidRDefault="00000000">
            <w:pPr>
              <w:spacing w:after="0" w:line="254" w:lineRule="auto"/>
              <w:jc w:val="left"/>
            </w:pPr>
            <w:r>
              <w:rPr>
                <w:sz w:val="16"/>
              </w:rPr>
              <w:t>Tay et al. (2019)</w:t>
            </w:r>
          </w:p>
        </w:tc>
      </w:tr>
    </w:tbl>
    <w:p w14:paraId="5B592EA2" w14:textId="77777777" w:rsidR="006B1619" w:rsidRDefault="00000000">
      <w:pPr>
        <w:pStyle w:val="TableNote"/>
        <w:keepLines/>
      </w:pPr>
      <w:r>
        <w:t>Note. AMR = antimicrobial resistance; ESBL = extended-spectrum β-lactamase; CPE = carbapenemase-producing Enterobacterales. A shared resistant phenotype or gene does not, by itself, indicate directional transmission.</w:t>
      </w:r>
    </w:p>
    <w:p w14:paraId="075EE60E" w14:textId="77777777" w:rsidR="006B1619" w:rsidRDefault="006B1619">
      <w:pPr>
        <w:spacing w:after="20"/>
      </w:pPr>
    </w:p>
    <w:p w14:paraId="5EAC5B76" w14:textId="77777777" w:rsidR="006B1619" w:rsidRDefault="00000000">
      <w:pPr>
        <w:pStyle w:val="Heading1"/>
      </w:pPr>
      <w:r>
        <w:t>9. Implications for a Credible National Surveillance System</w:t>
      </w:r>
    </w:p>
    <w:p w14:paraId="153D966F" w14:textId="77777777" w:rsidR="006B1619" w:rsidRDefault="00000000">
      <w:pPr>
        <w:pStyle w:val="Heading2"/>
      </w:pPr>
      <w:r>
        <w:t>9.1 Standardise the Basic Observation Before Adding Complexity</w:t>
      </w:r>
    </w:p>
    <w:p w14:paraId="76C0EE9F" w14:textId="77777777" w:rsidR="006B1619" w:rsidRDefault="00000000">
      <w:r>
        <w:t>The most immediate technical requirement is a consistent unit of observation across participating laboratories. Every report of an ESBL, AmpC or CRE proportion should specify whether the numerator refers to isolates, first patient isolates, infection episodes or screening samples and should use a denominator at the same level. Standardisation also requires a consistent rule for removing repeat isolates, classification of urine versus blood versus respiratory specimens, basic information on community versus hospital acquisition, and organism identification at a level adequate for AmpC interpretation. Without these elements, enhanced molecular testing will increase descriptive detail but not resolve the uncertainty surrounding secular trends (Ministry of Health and Mass Media, Sri Lanka, 2024; Tamma et al., 2019).</w:t>
      </w:r>
    </w:p>
    <w:p w14:paraId="628F42D8" w14:textId="77777777" w:rsidR="006B1619" w:rsidRDefault="00000000">
      <w:r>
        <w:t xml:space="preserve">A minimum dataset could include collection date, facility, clinical unit, specimen type, admission status, species, unique anonymised patient identifier, infection or screening indication, antimicrobial panel, tested and non-tested results, susceptibility interpretive standard and confirmatory mechanism when available. Changes in standards or platforms should be recorded as metadata. Such recording is not merely administrative: if an antibiotic is tested only when an isolate is already resistant to another drug, the resulting percentage has a selected denominator and cannot be interpreted as unconditioned susceptibility. The same principle applies to </w:t>
      </w:r>
      <w:r>
        <w:lastRenderedPageBreak/>
        <w:t>referral testing of suspected carbapenemase producers (Ministry of Health and Mass Media, Sri Lanka, 2024; Pierce et al., 2017).</w:t>
      </w:r>
    </w:p>
    <w:p w14:paraId="2D0446B1" w14:textId="77777777" w:rsidR="006B1619" w:rsidRDefault="00000000">
      <w:pPr>
        <w:pStyle w:val="Heading2"/>
      </w:pPr>
      <w:r>
        <w:t>9.2 Resolve Mechanisms Through Sentinel Confirmation</w:t>
      </w:r>
    </w:p>
    <w:p w14:paraId="1818AF32" w14:textId="77777777" w:rsidR="006B1619" w:rsidRDefault="00000000">
      <w:r>
        <w:t>Not every clinical laboratory needs to sequence every Enterobacterales isolate to contribute reliable surveillance. A practical tiered model is to collect comparable susceptibility measurements routinely, submit predefined high-risk or discordant isolates for functional carbapenemase testing, and sequence a representative subset or outbreak-associated cluster under transparent sampling rules. Such a design can distinguish changes in phenotypic burden from changes in the distribution of mechanisms. To preserve inferential value, sampling for sequencing should not be restricted exclusively to the most resistant isolates when the objective is to estimate mechanism prevalence among all Enterobacterales (Nordmann et al., 2012; V. Perera et al., 2023).</w:t>
      </w:r>
    </w:p>
    <w:p w14:paraId="0605E22A" w14:textId="77777777" w:rsidR="006B1619" w:rsidRDefault="00000000">
      <w:r>
        <w:t>The choice of targets should reflect local evidence rather than importing a narrow external assay panel. OXA-48-like, NDM and KPC have been demonstrated in Sri Lankan clinical collections, and selected work has identified VIM and multiple variants. Routine identification and referral systems therefore need a pathway for detecting unexpected mechanisms and reconciling discrepant results. Simultaneously, surveillance reporting should resist treating a gene-negative but phenotypically carbapenem-resistant isolate as an error. Porin changes combined with other β-lactamases provide a plausible alternative mechanism that deserves separate classification (Chathuranga et al., 2024; Hall et al., 2014; Kumudunie et al., 2020).</w:t>
      </w:r>
    </w:p>
    <w:p w14:paraId="2AC2264C" w14:textId="77777777" w:rsidR="006B1619" w:rsidRDefault="00000000">
      <w:pPr>
        <w:pStyle w:val="Heading2"/>
      </w:pPr>
      <w:r>
        <w:t>9.3 Connect Laboratory Evidence to Outcomes and Use</w:t>
      </w:r>
    </w:p>
    <w:p w14:paraId="7543FE8F" w14:textId="77777777" w:rsidR="006B1619" w:rsidRDefault="00000000">
      <w:r>
        <w:t>An antibiogram becomes more actionable when linked to clinical syndromes and treatment pathways. For example, a hospital could compare time to effective therapy, mortality, length of stay or recurrence between carefully defined infection groups, while recording infection source, comorbidity and severity to reduce confounding. Such information is distinct from resistance surveillance and should not be inferred from culture positivity alone. Clinical outcome studies in Sri Lanka are needed to establish the applicability of international treatment algorithms, particularly for resistant invasive infections and the use of advanced β-lactam/β-lactamase-inhibitor combinations where available (Y. K. Perera et al., 2023; Tamma et al., 2026).</w:t>
      </w:r>
    </w:p>
    <w:p w14:paraId="4C89A2B1" w14:textId="77777777" w:rsidR="006B1619" w:rsidRDefault="00000000">
      <w:r>
        <w:t>Antimicrobial consumption data would permit a more informative interpretation of selection pressure, but a correlation between antibiotic use and resistance remains susceptible to reverse causation and shared changes in case mix. A hospital facing more resistant infection may appropriately prescribe more broad-spectrum agents, making simple contemporaneous associations difficult to interpret. Interrupted time-series or controlled implementation studies, together with microbiological denominators and infection outcomes, would help test whether stewardship interventions alter prescribing and resistance independently of changes in surveillance practice (Ariyawansa et al., 2023; Ministry of Health, Sri Lanka, 2024).</w:t>
      </w:r>
    </w:p>
    <w:p w14:paraId="57334C1F" w14:textId="77777777" w:rsidR="006B1619" w:rsidRDefault="00000000">
      <w:pPr>
        <w:pStyle w:val="Heading2"/>
      </w:pPr>
      <w:r>
        <w:t>9.4 Publish Uncertainty Rather Than Only a Headline Rate</w:t>
      </w:r>
    </w:p>
    <w:p w14:paraId="65FC29B6" w14:textId="77777777" w:rsidR="006B1619" w:rsidRDefault="00000000">
      <w:r>
        <w:t xml:space="preserve">A credible national report should display numerator, denominator, uncertainty intervals where interpretable, site contribution and the proportion of missing or untested data. When comparing annual percentages, it should indicate whether the same facilities were included each year. Separate curves are warranted for species, specimens and acquisition categories, with an explicit distinction between clinical diagnostic isolates and screening isolates. It should also state whether ESBL and carbapenemase confirmation was performed on all eligible isolates or a subset. Such transparency would enable readers to recognise genuine patterns without </w:t>
      </w:r>
      <w:r>
        <w:lastRenderedPageBreak/>
        <w:t>falsely equating laboratory expansion with microbiological change (Ministry of Health and Mass Media, Sri Lanka, 2024; Nisansala et al., 2025).</w:t>
      </w:r>
    </w:p>
    <w:p w14:paraId="15D90CE7" w14:textId="77777777" w:rsidR="006B1619" w:rsidRDefault="00000000">
      <w:r>
        <w:t>The key practical inference is that surveillance modernisation does not require choosing between locally useful antibiograms and sophisticated molecular research. Each answers a distinct question, and their integration can be designed deliberately. Stable routine data can reveal when a site-specific resistance proportion changes; mechanistic analysis can then identify whether the change reflects a clone, a mobile element, co-production or laboratory misclassification. The value of a national system lies in maintaining that linkage over time, not in collecting an ever larger but differently selected assortment of resistant isolates (Kumudunie et al., 2020; V. Perera et al., 2025).</w:t>
      </w:r>
    </w:p>
    <w:p w14:paraId="42D0AEF8" w14:textId="77777777" w:rsidR="006B1619" w:rsidRDefault="00000000">
      <w:pPr>
        <w:pStyle w:val="Heading1"/>
      </w:pPr>
      <w:r>
        <w:t>10. Future Directions</w:t>
      </w:r>
    </w:p>
    <w:p w14:paraId="5AD52AA5" w14:textId="77777777" w:rsidR="006B1619" w:rsidRDefault="00000000">
      <w:r>
        <w:t>The highest immediate priority is a prospective, multisite sentinel study that fixes the epidemiological denominator before collecting new molecular data. Hospitals representing different provinces, levels of care and patient populations should record first eligible clinical Enterobacterales isolates using common species identification, antimicrobial panels and interpretation standards. Rates should be reported separately by species, specimen, acquisition status and clinical service. The design should preserve unchanged sentinel facilities across years and document when new facilities enter the network. Primary outputs should include antibiotic-specific nonsusceptibility, confirmatory ESBL and carbapenemase proportions among defined tested sets, and the number of eligible infection episodes. Such a study would establish the first robust basis for estimating time-dependent changes rather than differences among publications (Ministry of Health and Mass Media, Sri Lanka, 2024; Senanayake et al., 2024).</w:t>
      </w:r>
    </w:p>
    <w:p w14:paraId="3ED1F1E1" w14:textId="77777777" w:rsidR="006B1619" w:rsidRDefault="00000000">
      <w:r>
        <w:t>Within that framework, AmpC requires a dedicated diagnostic and species-aware sub-study. The unresolved problem is that chromosomal inducibility, acquired AmpC genes and coexisting ESBLs can produce similar screening patterns. Representative isolates from relevant species should undergo a predefined combination of phenotypic assays and targeted genotyping, with sequencing of discordant subsets. Agreement, false classifications and untestable isolates should be reported with denominators. The primary value would be to quantify how much the inferred AmpC burden changes when different detection algorithms are used. This would advance both laboratory quality assurance and interpretation of historical figures, which currently combine differing mechanistic and phenotypic categories (Jacoby, 2009; V. Perera et al., 2023).</w:t>
      </w:r>
    </w:p>
    <w:p w14:paraId="17391AD5" w14:textId="77777777" w:rsidR="006B1619" w:rsidRDefault="00000000">
      <w:r>
        <w:t>Carbapenem-resistant isolates merit a parallel mechanism-surveillance pathway. Confirmatory testing should distinguish carbapenemase-producing from non-carbapenemase CRE and identify locally documented OXA-48-like, NDM, KPC and other clinically important targets. For selected sites, consecutive sampling and whole-genome sequencing should be linked to admission timing, ward movement and recent healthcare exposure. Analyses should distinguish clonal similarity from shared plasmid carriage and avoid a transmission claim without compatible epidemiology. Immediate outcomes would be assay coverage and recognition of emerging clusters; longer-term outcomes could include incidence of hospital-acquired CPE and time from positive culture to infection-control action (Chathuranga et al., 2024; Hall et al., 2014; Zhu et al., 2018).</w:t>
      </w:r>
    </w:p>
    <w:p w14:paraId="04C72BE8" w14:textId="77777777" w:rsidR="006B1619" w:rsidRDefault="00000000">
      <w:r>
        <w:t xml:space="preserve">The next priority is a mechanism-specific clinical outcomes programme. Current Sri Lankan evidence on clinical response to discordant UTI treatment is useful but insufficient for causal treatment comparisons. Prospective cohorts of confirmed complicated UTI and bloodstream infection should record organism, enzyme mechanism, treatment timing, source control, severity, renal function and outcomes using standard definitions. Analyses should adjust for confounding by indication and clearly separate empirical therapy from definitive therapy. Where a genuinely uncertain treatment comparison and appropriate safeguards permit, pragmatic trials could </w:t>
      </w:r>
      <w:r>
        <w:lastRenderedPageBreak/>
        <w:t>evaluate selected stewardship strategies. Such designs would show whether resistance-gene information improves outcomes in local settings rather than only improving laboratory description (Y. K. Perera et al., 2023; Tamma et al., 2026).</w:t>
      </w:r>
    </w:p>
    <w:p w14:paraId="67EC248B" w14:textId="77777777" w:rsidR="006B1619" w:rsidRDefault="00000000">
      <w:r>
        <w:t>A geographically broader community component is also necessary. Community-acquired UTI studies should include a transparent framework for which symptomatic patients receive cultures and should document previous hospitalisation, recent antibiotics, travel and recurrent infection. A subset of studies could include carriage sampling, but colonisation prevalence should be reported separately from clinical infection. Repeated community sampling would clarify whether apparent increases in hospital isolates reflect a wider community reservoir or changes within referral and inpatient pathways. This would address a major uncertainty left by the important early reports from southern Sri Lanka (Priyadharshana et al., 2019; Tillekeratne et al., 2016).</w:t>
      </w:r>
    </w:p>
    <w:p w14:paraId="6942CA5A" w14:textId="77777777" w:rsidR="006B1619" w:rsidRDefault="00000000">
      <w:r>
        <w:t>One Health questions require deliberately paired, rather than simply parallel, sampling. Prospective designs could link hospital wastewater, downstream aquatic settings, livestock farms and community exposures at known times, with compatible culture-based methods and sequence analysis of confirmed Enterobacterales. Metagenomic gene abundance should be interpreted alongside viable isolates and quantitative environmental sampling, and apparent genomic matches should be evaluated against plausible common sources. Wastewater treatment studies should measure changes in gene signals and viable resistant bacteria across treatment stages, then examine whether any linked exposure or clinical outcome changes. The causal link from environmental reduction to lower human infection remains an open research objective, not an established result (Guruge et al., 2025; Randeni et al., 2026).</w:t>
      </w:r>
    </w:p>
    <w:p w14:paraId="4259C114" w14:textId="77777777" w:rsidR="006B1619" w:rsidRDefault="00000000">
      <w:r>
        <w:t>An implementation-science programme should accompany the surveillance expansion. Laboratories can be compared on reproducibility of susceptibility categorisation, referral rates, turnaround time, completeness of isolate metadata and the proportion of discrepant cases successfully resolved. Clinical services can measure how frequently a mechanism result changes therapy or prompts infection-control assessment, and whether those changes occur soon enough to matter. Costs should be analysed relative to incremental diagnostic and patient-care benefits rather than assuming that the most comprehensive molecular method is always the preferred routine option. Such evaluation would permit the Sri Lankan surveillance strategy to allocate scarce resources to the stages with demonstrable added value (Ariyawansa et al., 2023; Ministry of Health, Sri Lanka, 2024).</w:t>
      </w:r>
    </w:p>
    <w:p w14:paraId="0850E2B4" w14:textId="77777777" w:rsidR="006B1619" w:rsidRDefault="00000000">
      <w:r>
        <w:t>Longer-term research should assess whether the burden is shifting among carbapenemase families, species and genomic lineages. The hypothesis is plausible given the established coexistence of NDM, OXA-48-like, KPC and less frequently reported determinants, but the current studies cannot reliably identify a national replacement process. A multiyear sentinel-genomic series with stable inclusion rules could quantify changes in allele distributions while tracking antimicrobial use and case mix. Public release of de-identified aggregate denominators and appropriate sequence metadata would enable reproducibility, regional comparison and external validation. The value of this work would lie in converting mechanistic anecdotes into credible population-level inference (Kumudunie et al., 2020; V. Perera, Gamage, et al., 2022; Pitout et al., 2019).</w:t>
      </w:r>
    </w:p>
    <w:p w14:paraId="2215BCFA" w14:textId="77777777" w:rsidR="006B1619" w:rsidRDefault="00000000">
      <w:r>
        <w:t>Research priority should be judged by the question answered rather than the number of genes detected. Stable denominators, clinical context and validated interpretation standards are immediate needs. More elaborate genomic source attribution and causal intervention studies become compelling once the sampling foundation is strong enough to support them. This staged programme offers a route from current cross-sectional evidence to national estimates of change, patient-relevant outcomes and tested intersectoral transmission hypotheses.</w:t>
      </w:r>
    </w:p>
    <w:p w14:paraId="36FF9564" w14:textId="77777777" w:rsidR="006B1619" w:rsidRDefault="00000000">
      <w:pPr>
        <w:pStyle w:val="Heading1"/>
      </w:pPr>
      <w:r>
        <w:lastRenderedPageBreak/>
        <w:t>11. Conclusions</w:t>
      </w:r>
    </w:p>
    <w:p w14:paraId="0612FD9D" w14:textId="77777777" w:rsidR="006B1619" w:rsidRDefault="00000000">
      <w:r>
        <w:t>The Sri Lankan literature establishes that ESBL-producing Enterobacterales are important in selected urinary and hospital populations, that clinically relevant AmpC determinants occur, and that carbapenem resistance encompasses several enzyme families and non-enzymatic mechanisms. Evidence for OXA-48-like and NDM carbapenemases is particularly well documented in certain molecularly investigated clinical collections, while detection of additional carbapenemase classes reinforces the need for open-ended diagnostic confirmation. These findings support mechanism-aware clinical microbiology and infection prevention, but do not define a uniform national prevalence.</w:t>
      </w:r>
    </w:p>
    <w:p w14:paraId="2198332C" w14:textId="77777777" w:rsidR="006B1619" w:rsidRDefault="00000000">
      <w:r>
        <w:t>The strongest limit on claims about trends is comparability. Studies differ in sampling population, specimen type, geography, ascertainment, isolate selection and laboratory method. A succession of published percentages is therefore not a validated time series. Molecular investigations reveal biological mechanisms with greater resolution than their epidemiological denominators allow, and environmental evidence demonstrates plausible reservoirs without proving transmission into human infection. The synthesis supports substantial concern, but the magnitude and direction of nationwide temporal change remain uncertain.</w:t>
      </w:r>
    </w:p>
    <w:p w14:paraId="66EFEF3B" w14:textId="77777777" w:rsidR="006B1619" w:rsidRDefault="00000000">
      <w:r>
        <w:t>A credible next step is not the mechanical pooling of existing proportions. It is a coordinated sentinel framework with stable denominators, species- and syndrome-specific reporting, a tiered strategy for molecular confirmation, and prospective links to treatment and infection-control outcomes. Such infrastructure would permit future Sri Lankan research to distinguish true changes in resistance from changes in the way resistant organisms are collected and classified, while preserving the clinical usefulness of local data.</w:t>
      </w:r>
    </w:p>
    <w:p w14:paraId="1DB998E1" w14:textId="77777777" w:rsidR="006B1619" w:rsidRDefault="00000000">
      <w:pPr>
        <w:pStyle w:val="Heading1"/>
      </w:pPr>
      <w:r>
        <w:t>12. Limitations</w:t>
      </w:r>
    </w:p>
    <w:p w14:paraId="742ABF89" w14:textId="77777777" w:rsidR="006B1619" w:rsidRDefault="00000000">
      <w:r>
        <w:t>As a critical narrative review, this article is subject to possible selection and interpretive bias despite a transparent, topic-specific approach to source identification and appraisal. The work was not a formally registered systematic review, did not use a fully logged screening protocol and did not undertake quantitative meta-analysis or calculate formal study-level risk-of-bias scores. It therefore cannot assert complete retrieval of all relevant Sri Lankan studies or a numerical pooled estimate. Records with incomplete accessible methodological or bibliographic information may have been underrepresented.</w:t>
      </w:r>
    </w:p>
    <w:p w14:paraId="2702D5C5" w14:textId="77777777" w:rsidR="006B1619" w:rsidRDefault="00000000">
      <w:r>
        <w:t>Many underlying studies were observational, single-centre, referral-based or enriched for resistant isolates. Heterogeneity in species distribution, specimen origin, clinical eligibility, acquisition definitions, susceptibility breakpoints and molecular testing limited their comparability. Some relevant source details were available only through abstracts or published summaries, constraining evaluation of patient deduplication, missingness and confounding. The evidence is geographically uneven and contains relatively few repeatedly sampled populations, community carriage datasets, multicentre clinical outcome studies or genuinely linked human–animal–environment investigations.</w:t>
      </w:r>
    </w:p>
    <w:p w14:paraId="32CFA8BB" w14:textId="77777777" w:rsidR="006B1619" w:rsidRDefault="00000000">
      <w:r>
        <w:t>The analysis distinguishes phenotype from genotype but cannot resolve unreported laboratory uncertainties or independently reanalyse underlying isolate-level data. Environmental gene surveys and genomic descriptions were interpreted conservatively because their direct relationship to the incidence of human infection has not been established. Clinical guidance from outside Sri Lanka was used for mechanistic and decision-making context, not as proof of local efficacy or availability. Rapid change in molecular epidemiology and antimicrobial options means that the conclusions are bounded by the stated literature cut-off and should be updated when sufficiently comparable surveillance evidence becomes available.</w:t>
      </w:r>
    </w:p>
    <w:p w14:paraId="58E37475" w14:textId="77777777" w:rsidR="00BD7065" w:rsidRPr="00BD7065" w:rsidRDefault="00BD7065" w:rsidP="00BD7065">
      <w:pPr>
        <w:spacing w:after="0" w:line="240" w:lineRule="auto"/>
        <w:jc w:val="left"/>
        <w:rPr>
          <w:rFonts w:ascii="Times New Roman" w:eastAsia="Calibri" w:hAnsi="Times New Roman" w:cs="Times New Roman"/>
          <w:b/>
          <w:color w:val="auto"/>
          <w:sz w:val="22"/>
        </w:rPr>
      </w:pPr>
      <w:r w:rsidRPr="00BD7065">
        <w:rPr>
          <w:rFonts w:ascii="Times New Roman" w:eastAsia="Calibri" w:hAnsi="Times New Roman" w:cs="Times New Roman"/>
          <w:b/>
          <w:color w:val="auto"/>
          <w:sz w:val="22"/>
        </w:rPr>
        <w:t>Declaration of AI Use</w:t>
      </w:r>
    </w:p>
    <w:p w14:paraId="28F7A271" w14:textId="77777777" w:rsidR="00BD7065" w:rsidRPr="00BD7065" w:rsidRDefault="00BD7065" w:rsidP="00BD7065">
      <w:pPr>
        <w:spacing w:after="0" w:line="240" w:lineRule="auto"/>
        <w:jc w:val="left"/>
        <w:rPr>
          <w:rFonts w:ascii="Times New Roman" w:eastAsia="Calibri" w:hAnsi="Times New Roman" w:cs="Times New Roman"/>
          <w:b/>
          <w:color w:val="auto"/>
          <w:sz w:val="22"/>
        </w:rPr>
      </w:pPr>
    </w:p>
    <w:p w14:paraId="3F1F9F25" w14:textId="77777777" w:rsidR="00BD7065" w:rsidRPr="00BD7065" w:rsidRDefault="00BD7065" w:rsidP="00BD7065">
      <w:pPr>
        <w:spacing w:after="0" w:line="240" w:lineRule="auto"/>
        <w:jc w:val="left"/>
        <w:rPr>
          <w:rFonts w:ascii="Times New Roman" w:eastAsia="Calibri" w:hAnsi="Times New Roman" w:cs="Times New Roman"/>
          <w:b/>
          <w:color w:val="auto"/>
          <w:sz w:val="22"/>
        </w:rPr>
      </w:pPr>
    </w:p>
    <w:p w14:paraId="3B291CF8" w14:textId="77777777" w:rsidR="00BD7065" w:rsidRPr="00BD7065" w:rsidRDefault="00BD7065" w:rsidP="00BD7065">
      <w:pPr>
        <w:spacing w:after="0" w:line="240" w:lineRule="auto"/>
        <w:jc w:val="left"/>
        <w:rPr>
          <w:rFonts w:ascii="Times New Roman" w:eastAsia="Calibri" w:hAnsi="Times New Roman" w:cs="Times New Roman"/>
          <w:b/>
          <w:color w:val="auto"/>
          <w:sz w:val="22"/>
        </w:rPr>
      </w:pPr>
    </w:p>
    <w:p w14:paraId="3349175B" w14:textId="77777777" w:rsidR="00BD7065" w:rsidRPr="00BD7065" w:rsidRDefault="00BD7065" w:rsidP="00BD7065">
      <w:pPr>
        <w:spacing w:after="0" w:line="240" w:lineRule="auto"/>
        <w:jc w:val="left"/>
        <w:rPr>
          <w:rFonts w:ascii="Arial" w:eastAsia="Calibri" w:hAnsi="Arial" w:cs="Arial"/>
          <w:color w:val="auto"/>
          <w:sz w:val="20"/>
          <w:szCs w:val="20"/>
        </w:rPr>
      </w:pPr>
      <w:r w:rsidRPr="00BD7065">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E7C3603" w14:textId="77777777" w:rsidR="00BD7065" w:rsidRDefault="00BD7065"/>
    <w:p w14:paraId="6388D051" w14:textId="77777777" w:rsidR="006B1619" w:rsidRDefault="00000000">
      <w:pPr>
        <w:pStyle w:val="Heading1"/>
      </w:pPr>
      <w:r>
        <w:t>References</w:t>
      </w:r>
    </w:p>
    <w:p w14:paraId="12ACB115" w14:textId="7F90E0CB" w:rsidR="006B1619" w:rsidRDefault="00000000">
      <w:pPr>
        <w:pStyle w:val="APAReference"/>
      </w:pPr>
      <w:r>
        <w:t xml:space="preserve">Ariyawansa, S., Gunawardana, K. N., Hapudeniya, M. M., Manelgamage, N. J., Karunarathne, C. R., Madalagama, R. P., Ubeyratne, K. H., Wickramasinghe, D., Tun, H. M., Wu, P., Lam, T. T. Y., &amp; Chan, O. S. K. (2023). One Health surveillance of antimicrobial use and resistance: Challenges and successes of implementing surveillance programs in Sri Lanka. </w:t>
      </w:r>
      <w:r>
        <w:rPr>
          <w:i/>
        </w:rPr>
        <w:t>Antibiotics, 12</w:t>
      </w:r>
      <w:r>
        <w:t xml:space="preserve">(3), Article 446. </w:t>
      </w:r>
      <w:r>
        <w:rPr>
          <w:sz w:val="20"/>
        </w:rPr>
        <w:t>https://doi.org/10.3390/antibiotics12030446</w:t>
      </w:r>
    </w:p>
    <w:p w14:paraId="06123D90" w14:textId="1A0412D6" w:rsidR="006B1619" w:rsidRDefault="00000000">
      <w:pPr>
        <w:pStyle w:val="APAReference"/>
      </w:pPr>
      <w:r>
        <w:t xml:space="preserve">Baethge, C., Goldbeck-Wood, S., &amp; Mertens, S. (2019). SANRA—a scale for the quality assessment of narrative review articles. </w:t>
      </w:r>
      <w:r>
        <w:rPr>
          <w:i/>
        </w:rPr>
        <w:t>Research Integrity and Peer Review, 4</w:t>
      </w:r>
      <w:r>
        <w:t xml:space="preserve">, Article 5. </w:t>
      </w:r>
      <w:r>
        <w:rPr>
          <w:sz w:val="20"/>
        </w:rPr>
        <w:t>https://doi.org/10.1186/s41073-019-0064-8</w:t>
      </w:r>
    </w:p>
    <w:p w14:paraId="04D06301" w14:textId="7D0DAE06" w:rsidR="006B1619" w:rsidRDefault="00000000">
      <w:pPr>
        <w:pStyle w:val="APAReference"/>
      </w:pPr>
      <w:r>
        <w:t xml:space="preserve">Bonomo, R. A., Burd, E. M., Conly, J., Limbago, B. M., Poirel, L., Segre, J. A., &amp; Westblade, L. F. (2018). Carbapenemase-producing organisms: A global scourge. </w:t>
      </w:r>
      <w:r>
        <w:rPr>
          <w:i/>
        </w:rPr>
        <w:t>Clinical Infectious Diseases, 66</w:t>
      </w:r>
      <w:r>
        <w:t xml:space="preserve">(8), 1290–1297. </w:t>
      </w:r>
      <w:r>
        <w:rPr>
          <w:sz w:val="20"/>
        </w:rPr>
        <w:t>https://doi.org/10.1093/cid/cix893</w:t>
      </w:r>
    </w:p>
    <w:p w14:paraId="4972DEDA" w14:textId="0F14832A" w:rsidR="006B1619" w:rsidRDefault="00000000">
      <w:pPr>
        <w:pStyle w:val="APAReference"/>
      </w:pPr>
      <w:r>
        <w:t xml:space="preserve">Bush, K., &amp; Bradford, P. A. (2020). Epidemiology of β-lactamase-producing pathogens. </w:t>
      </w:r>
      <w:r>
        <w:rPr>
          <w:i/>
        </w:rPr>
        <w:t>Clinical Microbiology Reviews, 33</w:t>
      </w:r>
      <w:r>
        <w:t xml:space="preserve">(2), Article e00047-19. </w:t>
      </w:r>
      <w:r>
        <w:rPr>
          <w:sz w:val="20"/>
        </w:rPr>
        <w:t>https://doi.org/10.1128/CMR.00047-19</w:t>
      </w:r>
    </w:p>
    <w:p w14:paraId="56DC2198" w14:textId="07E8BE99" w:rsidR="006B1619" w:rsidRDefault="00000000">
      <w:pPr>
        <w:pStyle w:val="APAReference"/>
      </w:pPr>
      <w:r>
        <w:t xml:space="preserve">Chathuranga, G., Dissanayake, T., Fernando, N., &amp; Wanigatunge, C. A. (2024). Detection and characterization of carbapenemase-producing Enterobacteriaceae in cancer patients: First Sri Lankan report of blaVIM in Enterobacteriaceae. </w:t>
      </w:r>
      <w:r>
        <w:rPr>
          <w:i/>
        </w:rPr>
        <w:t>Journal of Infection in Developing Countries, 18</w:t>
      </w:r>
      <w:r>
        <w:t xml:space="preserve">(11), 1715–1720. </w:t>
      </w:r>
      <w:r>
        <w:rPr>
          <w:sz w:val="20"/>
        </w:rPr>
        <w:t>https://doi.org/10.3855/jidc.19499</w:t>
      </w:r>
    </w:p>
    <w:p w14:paraId="56019A3C" w14:textId="05656CB3" w:rsidR="006B1619" w:rsidRDefault="00000000">
      <w:pPr>
        <w:pStyle w:val="APAReference"/>
      </w:pPr>
      <w:r>
        <w:t xml:space="preserve">Fernando, M. M. P. S. C., Luke, W. A. N. V., Miththinda, J. K. N. D., Wickramasinghe, R. D. S. S., Sebastiampillai, B. S., Gunathilake, M. P. M. L., Silva, F. H. D., &amp; Premaratna, R. (2017). Extended spectrum beta lactamase producing organisms causing urinary tract infections in Sri Lanka and their antibiotic susceptibility pattern—A hospital based cross sectional study. </w:t>
      </w:r>
      <w:r>
        <w:rPr>
          <w:i/>
        </w:rPr>
        <w:t>BMC Infectious Diseases, 17</w:t>
      </w:r>
      <w:r>
        <w:t xml:space="preserve">, Article 138. </w:t>
      </w:r>
      <w:r>
        <w:rPr>
          <w:sz w:val="20"/>
        </w:rPr>
        <w:t>https://doi.org/10.1186/s12879-017-2250-y</w:t>
      </w:r>
    </w:p>
    <w:p w14:paraId="1686DDB8" w14:textId="353F52C6" w:rsidR="006B1619" w:rsidRDefault="00000000">
      <w:pPr>
        <w:pStyle w:val="APAReference"/>
      </w:pPr>
      <w:r>
        <w:t xml:space="preserve">Guruge, S. K., Han, Z., Karunaratne, S. H. P. P., Chandrajith, R., Cooray, T., Hu, C., Zhang, Y., &amp; Yang, M. (2025). Short- and long-read metagenomics uncover the mobile extended spectrum β-lactamase (ESBL) and carbapenemase genes in hospital wastewater in Sri Lanka. </w:t>
      </w:r>
      <w:r>
        <w:rPr>
          <w:i/>
        </w:rPr>
        <w:t>Water Research, 283</w:t>
      </w:r>
      <w:r>
        <w:t xml:space="preserve">, Article 123831. </w:t>
      </w:r>
      <w:r>
        <w:rPr>
          <w:sz w:val="20"/>
        </w:rPr>
        <w:t>https://doi.org/10.1016/j.watres.2025.123831</w:t>
      </w:r>
    </w:p>
    <w:p w14:paraId="4EF4A13A" w14:textId="6026B886" w:rsidR="006B1619" w:rsidRDefault="00000000">
      <w:pPr>
        <w:pStyle w:val="APAReference"/>
      </w:pPr>
      <w:r>
        <w:t xml:space="preserve">Hall, J. M., Corea, E., Sanjeewani, H. D. A., &amp; Inglis, T. J. J. (2014). Molecular mechanisms of β-lactam resistance in carbapenemase-producing </w:t>
      </w:r>
      <w:r>
        <w:rPr>
          <w:i/>
        </w:rPr>
        <w:t>Klebsiella pneumoniae</w:t>
      </w:r>
      <w:r>
        <w:t xml:space="preserve"> from Sri Lanka. </w:t>
      </w:r>
      <w:r>
        <w:rPr>
          <w:i/>
        </w:rPr>
        <w:t>Journal of Medical Microbiology, 63</w:t>
      </w:r>
      <w:r>
        <w:t xml:space="preserve">(8), 1087–1092. </w:t>
      </w:r>
      <w:r>
        <w:rPr>
          <w:sz w:val="20"/>
        </w:rPr>
        <w:t>https://doi.org/10.1099/jmm.0.076760-0</w:t>
      </w:r>
    </w:p>
    <w:p w14:paraId="19DA0F8E" w14:textId="57D2DDF5" w:rsidR="006B1619" w:rsidRDefault="00000000">
      <w:pPr>
        <w:pStyle w:val="APAReference"/>
      </w:pPr>
      <w:r>
        <w:t xml:space="preserve">Jacoby, G. A. (2009). AmpC β-lactamases. </w:t>
      </w:r>
      <w:r>
        <w:rPr>
          <w:i/>
        </w:rPr>
        <w:t>Clinical Microbiology Reviews, 22</w:t>
      </w:r>
      <w:r>
        <w:t xml:space="preserve">(1), 161–182. </w:t>
      </w:r>
      <w:r>
        <w:rPr>
          <w:sz w:val="20"/>
        </w:rPr>
        <w:t>https://doi.org/10.1128/CMR.00036-08</w:t>
      </w:r>
    </w:p>
    <w:p w14:paraId="5D937A20" w14:textId="1585F9DC" w:rsidR="006B1619" w:rsidRDefault="00000000">
      <w:pPr>
        <w:pStyle w:val="APAReference"/>
      </w:pPr>
      <w:r>
        <w:t xml:space="preserve">Kumudunie, W. G. M., Wijesooriya, L. I., Namalie, K. D., Sunil-Chandra, N. P., &amp; Wijayasinghe, Y. S. (2020). Epidemiology of multidrug-resistant Enterobacteriaceae in Sri Lanka: First evidence of blaKPC harboring </w:t>
      </w:r>
      <w:r>
        <w:rPr>
          <w:i/>
        </w:rPr>
        <w:t>Klebsiella pneumoniae</w:t>
      </w:r>
      <w:r>
        <w:t xml:space="preserve">. </w:t>
      </w:r>
      <w:r>
        <w:rPr>
          <w:i/>
        </w:rPr>
        <w:t>Journal of Infection and Public Health, 13</w:t>
      </w:r>
      <w:r>
        <w:t xml:space="preserve">(9), 1330–1335. </w:t>
      </w:r>
      <w:r>
        <w:rPr>
          <w:sz w:val="20"/>
        </w:rPr>
        <w:t>https://doi.org/10.1016/j.jiph.2020.04.010</w:t>
      </w:r>
    </w:p>
    <w:p w14:paraId="7DC0F8A9" w14:textId="77777777" w:rsidR="006B1619" w:rsidRDefault="00000000">
      <w:pPr>
        <w:pStyle w:val="APAReference"/>
      </w:pPr>
      <w:r>
        <w:t xml:space="preserve">Ministry of Health and Mass Media, Sri Lanka. (2024). </w:t>
      </w:r>
      <w:r>
        <w:rPr>
          <w:i/>
        </w:rPr>
        <w:t>National antimicrobial resistance surveillance system for human health sector</w:t>
      </w:r>
      <w:r>
        <w:t xml:space="preserve"> (2nd ed.). https://www.health.gov.lk/wp-content/uploads/2022/08/Word-Document-of-National-AMR-Surveillance-System-04.17-compressed.pdf</w:t>
      </w:r>
    </w:p>
    <w:p w14:paraId="6F105FD5" w14:textId="77777777" w:rsidR="006B1619" w:rsidRDefault="00000000">
      <w:pPr>
        <w:pStyle w:val="APAReference"/>
      </w:pPr>
      <w:r>
        <w:t xml:space="preserve">Ministry of Health, Sri Lanka. (2024). </w:t>
      </w:r>
      <w:r>
        <w:rPr>
          <w:i/>
        </w:rPr>
        <w:t>National strategic plan for combating antimicrobial resistance in Sri Lanka 2023–2028</w:t>
      </w:r>
      <w:r>
        <w:t>. https://www.health.gov.lk/wp-content/uploads/2022/10/National-Strategic-Plan-Book-2024.04.01-compressed.pdf</w:t>
      </w:r>
    </w:p>
    <w:p w14:paraId="623952B5" w14:textId="760BDACF" w:rsidR="006B1619" w:rsidRDefault="00000000">
      <w:pPr>
        <w:pStyle w:val="APAReference"/>
      </w:pPr>
      <w:r>
        <w:t xml:space="preserve">Nisansala, T., Gunasekara, Y. D., &amp; Piyarathne, N. S. (2025). Phenotypic and genotypic landscape of antibiotic resistance through One Health approach in Sri Lanka: A systematic review. </w:t>
      </w:r>
      <w:r>
        <w:rPr>
          <w:i/>
        </w:rPr>
        <w:t>Tropical Medicine &amp; International Health, 30</w:t>
      </w:r>
      <w:r>
        <w:t xml:space="preserve">(3), 143–158. </w:t>
      </w:r>
      <w:r>
        <w:rPr>
          <w:sz w:val="20"/>
        </w:rPr>
        <w:t>https://doi.org/10.1111/tmi.14084</w:t>
      </w:r>
    </w:p>
    <w:p w14:paraId="4C26CBFC" w14:textId="23963243" w:rsidR="006B1619" w:rsidRDefault="00000000">
      <w:pPr>
        <w:pStyle w:val="APAReference"/>
      </w:pPr>
      <w:r>
        <w:t xml:space="preserve">Nordmann, P., Gniadkowski, M., Giske, C. G., Poirel, L., Woodford, N., &amp; Miriagou, V. (2012). Identification and screening of carbapenemase-producing Enterobacteriaceae. </w:t>
      </w:r>
      <w:r>
        <w:rPr>
          <w:i/>
        </w:rPr>
        <w:t>Clinical Microbiology and Infection, 18</w:t>
      </w:r>
      <w:r>
        <w:t xml:space="preserve">(5), 432–438. </w:t>
      </w:r>
      <w:r>
        <w:rPr>
          <w:sz w:val="20"/>
        </w:rPr>
        <w:t>https://doi.org/10.1111/j.1469-0691.2012.03815.x</w:t>
      </w:r>
    </w:p>
    <w:p w14:paraId="076C6169" w14:textId="16B7B593" w:rsidR="006B1619" w:rsidRDefault="00000000">
      <w:pPr>
        <w:pStyle w:val="APAReference"/>
      </w:pPr>
      <w:r>
        <w:lastRenderedPageBreak/>
        <w:t xml:space="preserve">Perera, V., de Silva, N., &amp; Corea, E. (2025). Extended-spectrum β-lactamases (ESBL), AmpC β-lactamases and carbapenemases in Enterobacterales of human origin: A comparative analysis in the Sri Lankan and global context. </w:t>
      </w:r>
      <w:r>
        <w:rPr>
          <w:i/>
        </w:rPr>
        <w:t>Sri Lankan Journal of Infectious Diseases, 15</w:t>
      </w:r>
      <w:r>
        <w:t xml:space="preserve">(2), Article E85. </w:t>
      </w:r>
      <w:r>
        <w:rPr>
          <w:sz w:val="20"/>
        </w:rPr>
        <w:t>https://doi.org/10.4038/sljid.v15i2.8744</w:t>
      </w:r>
    </w:p>
    <w:p w14:paraId="63E1AAF8" w14:textId="73F4FDF7" w:rsidR="006B1619" w:rsidRDefault="00000000">
      <w:pPr>
        <w:pStyle w:val="APAReference"/>
      </w:pPr>
      <w:r>
        <w:t xml:space="preserve">Perera, V., de Silva, N., Jayatilleke, K., de Silva, S., &amp; Corea, E. (2023). Performance of phenotypic tests to detect β-lactamases in a population of β-lactamase coproducing Enterobacteriaceae isolates. </w:t>
      </w:r>
      <w:r>
        <w:rPr>
          <w:i/>
        </w:rPr>
        <w:t>Journal of Laboratory Physicians, 15</w:t>
      </w:r>
      <w:r>
        <w:t xml:space="preserve">(1), 117–125. </w:t>
      </w:r>
      <w:r>
        <w:rPr>
          <w:sz w:val="20"/>
        </w:rPr>
        <w:t>https://doi.org/10.1055/s-0042-1760399</w:t>
      </w:r>
    </w:p>
    <w:p w14:paraId="6368E447" w14:textId="21235BCD" w:rsidR="006B1619" w:rsidRDefault="00000000">
      <w:pPr>
        <w:pStyle w:val="APAReference"/>
      </w:pPr>
      <w:r>
        <w:t xml:space="preserve">Perera, V., de Silva, S., Jayatilleke, K., de Silva, N., Aydin, A., Enne, V. I., &amp; Corea, E. (2022). Antimicrobial resistance genes, virulence genes, and associated mobile genetic elements of eight multidrug-resistant Enterobacterales isolated from hospital-acquired urinary tract infections in Sri Lanka. </w:t>
      </w:r>
      <w:r>
        <w:rPr>
          <w:i/>
        </w:rPr>
        <w:t>Microbial Drug Resistance, 28</w:t>
      </w:r>
      <w:r>
        <w:t xml:space="preserve">(8), 882–892. </w:t>
      </w:r>
      <w:r>
        <w:rPr>
          <w:sz w:val="20"/>
        </w:rPr>
        <w:t>https://doi.org/10.1089/mdr.2022.0003</w:t>
      </w:r>
    </w:p>
    <w:p w14:paraId="4A0A5F1E" w14:textId="5386067C" w:rsidR="006B1619" w:rsidRDefault="00000000">
      <w:pPr>
        <w:pStyle w:val="APAReference"/>
      </w:pPr>
      <w:r>
        <w:t xml:space="preserve">Perera, V., Gamage, S., de Silva, H. S. M., Jayatilleke, S. K., de Silva, N., Aydin, A., Enne, V. I., &amp; Corea, E. M. (2022). Phenotypic and genotypic distribution of ESBL, AmpC β-lactamase and carbapenemase-producing Enterobacteriaceae in community-acquired and hospital-acquired urinary tract infections in Sri Lanka. </w:t>
      </w:r>
      <w:r>
        <w:rPr>
          <w:i/>
        </w:rPr>
        <w:t>Journal of Global Antimicrobial Resistance, 30</w:t>
      </w:r>
      <w:r>
        <w:t xml:space="preserve">, 115–122. </w:t>
      </w:r>
      <w:r>
        <w:rPr>
          <w:sz w:val="20"/>
        </w:rPr>
        <w:t>https://doi.org/10.1016/j.jgar.2022.05.024</w:t>
      </w:r>
    </w:p>
    <w:p w14:paraId="0AEFEE40" w14:textId="122B04F5" w:rsidR="006B1619" w:rsidRDefault="00000000">
      <w:pPr>
        <w:pStyle w:val="APAReference"/>
      </w:pPr>
      <w:r>
        <w:t xml:space="preserve">Perera, V., Samarasekara, H., Herath, U., Elvitigala, J., Chandrasiri, S., &amp; Corea, E. (2024). Phenotypic antimicrobial resistance associated with different bla genotypes and their combinations in Enterobacterales. </w:t>
      </w:r>
      <w:r>
        <w:rPr>
          <w:i/>
        </w:rPr>
        <w:t>Ceylon Medical Journal, 69</w:t>
      </w:r>
      <w:r>
        <w:t xml:space="preserve">(SI3), 23–36. </w:t>
      </w:r>
      <w:r>
        <w:rPr>
          <w:sz w:val="20"/>
        </w:rPr>
        <w:t>https://doi.org/10.4038/cmj.v69iSI3.9953</w:t>
      </w:r>
    </w:p>
    <w:p w14:paraId="3193B364" w14:textId="257C4A95" w:rsidR="006B1619" w:rsidRDefault="00000000">
      <w:pPr>
        <w:pStyle w:val="APAReference"/>
      </w:pPr>
      <w:r>
        <w:t xml:space="preserve">Perera, Y. K., Chulasiri, P. U., &amp; Jayatilleke, S. K. (2023). Clinical response to discordant empirical therapy of urinary tract infections caused by third generation cephalosporin resistant Enterobacteriaceae in a tertiary care hospital in Sri Lanka. </w:t>
      </w:r>
      <w:r>
        <w:rPr>
          <w:i/>
        </w:rPr>
        <w:t>Ceylon Medical Journal, 68</w:t>
      </w:r>
      <w:r>
        <w:t xml:space="preserve">(4), 165–173. </w:t>
      </w:r>
      <w:r>
        <w:rPr>
          <w:sz w:val="20"/>
        </w:rPr>
        <w:t>https://doi.org/10.4038/cmj.v68i4.9979</w:t>
      </w:r>
    </w:p>
    <w:p w14:paraId="0A55C844" w14:textId="76B9B3AF" w:rsidR="006B1619" w:rsidRDefault="00000000">
      <w:pPr>
        <w:pStyle w:val="APAReference"/>
      </w:pPr>
      <w:r>
        <w:t xml:space="preserve">Pierce, V. M., Simner, P. J., Lonsway, D. R., Roe-Carpenter, D. E., Johnson, J. K., Brasso, W. B., Bobenchik, A. M., Lockett, Z. C., Charnot-Katsikas, A., Ferraro, M. J., Thomson, R. B., Jr., Jenkins, S. G., Limbago, B. M., &amp; Das, S. (2017). Modified carbapenem inactivation method for phenotypic detection of carbapenemase production among Enterobacteriaceae. </w:t>
      </w:r>
      <w:r>
        <w:rPr>
          <w:i/>
        </w:rPr>
        <w:t>Journal of Clinical Microbiology, 55</w:t>
      </w:r>
      <w:r>
        <w:t xml:space="preserve">(8), 2321–2333. </w:t>
      </w:r>
      <w:r>
        <w:rPr>
          <w:sz w:val="20"/>
        </w:rPr>
        <w:t>https://doi.org/10.1128/JCM.00193-17</w:t>
      </w:r>
    </w:p>
    <w:p w14:paraId="17F09061" w14:textId="4D9B1344" w:rsidR="006B1619" w:rsidRDefault="00000000">
      <w:pPr>
        <w:pStyle w:val="APAReference"/>
      </w:pPr>
      <w:r>
        <w:t xml:space="preserve">Pitagampola, M. N., Gunasekara, S. P., Kapuwella, K. G. A., &amp; Kottahachchi, J. (2024). Phenotypic and genotypic detection of carbapenem resistance and carbapenemase production in Enterobacterales isolates from cancer patients at the National Cancer Institute, Sri Lanka. </w:t>
      </w:r>
      <w:r>
        <w:rPr>
          <w:i/>
        </w:rPr>
        <w:t>Ceylon Medical Journal, 69</w:t>
      </w:r>
      <w:r>
        <w:t xml:space="preserve">(SI3), 16–22. </w:t>
      </w:r>
      <w:r>
        <w:rPr>
          <w:sz w:val="20"/>
        </w:rPr>
        <w:t>https://doi.org/10.4038/cmj.v69iSI3.9951</w:t>
      </w:r>
    </w:p>
    <w:p w14:paraId="02DF8B25" w14:textId="659A2601" w:rsidR="006B1619" w:rsidRDefault="00000000">
      <w:pPr>
        <w:pStyle w:val="APAReference"/>
      </w:pPr>
      <w:r>
        <w:t xml:space="preserve">Pitout, J. D. D., Peirano, G., Kock, M. M., Strydom, K.-A., &amp; Matsumura, Y. (2019). The global ascendency of OXA-48-type carbapenemases. </w:t>
      </w:r>
      <w:r>
        <w:rPr>
          <w:i/>
        </w:rPr>
        <w:t>Clinical Microbiology Reviews, 33</w:t>
      </w:r>
      <w:r>
        <w:t xml:space="preserve">(1), Article e00102-19. </w:t>
      </w:r>
      <w:r>
        <w:rPr>
          <w:sz w:val="20"/>
        </w:rPr>
        <w:t>https://doi.org/10.1128/CMR.00102-19</w:t>
      </w:r>
    </w:p>
    <w:p w14:paraId="54E9BCDE" w14:textId="244C2CF5" w:rsidR="006B1619" w:rsidRDefault="00000000">
      <w:pPr>
        <w:pStyle w:val="APAReference"/>
      </w:pPr>
      <w:r>
        <w:t xml:space="preserve">Poirel, L., Potron, A., &amp; Nordmann, P. (2012). OXA-48-like carbapenemases: The phantom menace. </w:t>
      </w:r>
      <w:r>
        <w:rPr>
          <w:i/>
        </w:rPr>
        <w:t>Journal of Antimicrobial Chemotherapy, 67</w:t>
      </w:r>
      <w:r>
        <w:t xml:space="preserve">(7), 1597–1606. </w:t>
      </w:r>
      <w:r>
        <w:rPr>
          <w:sz w:val="20"/>
        </w:rPr>
        <w:t>https://doi.org/10.1093/jac/dks121</w:t>
      </w:r>
    </w:p>
    <w:p w14:paraId="25FF73DC" w14:textId="29C02825" w:rsidR="006B1619" w:rsidRDefault="00000000">
      <w:pPr>
        <w:pStyle w:val="APAReference"/>
      </w:pPr>
      <w:r>
        <w:t xml:space="preserve">Priyadharshana, U., Piyasiri, L. B., &amp; Wijesinghe, C. (2019). Prevalence, antibiotic sensitivity pattern and genetic analysis of extended spectrum beta lactamase producing </w:t>
      </w:r>
      <w:r>
        <w:rPr>
          <w:i/>
        </w:rPr>
        <w:t>Escherichia coli</w:t>
      </w:r>
      <w:r>
        <w:t xml:space="preserve"> and Klebsiella spp among patients with community acquired urinary tract infection in Galle district, Sri Lanka. </w:t>
      </w:r>
      <w:r>
        <w:rPr>
          <w:i/>
        </w:rPr>
        <w:t>Ceylon Medical Journal, 64</w:t>
      </w:r>
      <w:r>
        <w:t xml:space="preserve">(4), 140–145. </w:t>
      </w:r>
      <w:r>
        <w:rPr>
          <w:sz w:val="20"/>
        </w:rPr>
        <w:t>https://doi.org/10.4038/cmj.v64i4.8990</w:t>
      </w:r>
    </w:p>
    <w:p w14:paraId="540C75EB" w14:textId="3102D3C1" w:rsidR="006B1619" w:rsidRDefault="00000000">
      <w:pPr>
        <w:pStyle w:val="APAReference"/>
      </w:pPr>
      <w:r>
        <w:t xml:space="preserve">Randeni, R. A. S. B., Badanasinghe, C. N., &amp; Pathirannahalage, S.-C. N. (2026). Tracking environmental antimicrobial resistance: Isolation and antimicrobial susceptibility patterns of </w:t>
      </w:r>
      <w:r>
        <w:rPr>
          <w:i/>
        </w:rPr>
        <w:t>E. coli</w:t>
      </w:r>
      <w:r>
        <w:t xml:space="preserve"> across hospital, livestock, and community settings in Gampaha, Sri Lanka. </w:t>
      </w:r>
      <w:r>
        <w:rPr>
          <w:i/>
        </w:rPr>
        <w:t>BMC Microbiology, 26</w:t>
      </w:r>
      <w:r>
        <w:t xml:space="preserve">, Article 850. </w:t>
      </w:r>
      <w:r>
        <w:rPr>
          <w:sz w:val="20"/>
        </w:rPr>
        <w:t>https://doi.org/10.1186/s12866-026-05392-y</w:t>
      </w:r>
    </w:p>
    <w:p w14:paraId="7D149EA5" w14:textId="62C993D5" w:rsidR="006B1619" w:rsidRDefault="00000000">
      <w:pPr>
        <w:pStyle w:val="APAReference"/>
      </w:pPr>
      <w:r>
        <w:t xml:space="preserve">Senanayake, N., Sathsarani, G., Assella, P., Abeygoonawardena, H., &amp; de Silva, N. (2024). Antimicrobial resistance in Staphylococcus aureus, Enterobacterales, and Pseudomonas spp. clinical isolates at a teaching hospital in Sri Lanka. </w:t>
      </w:r>
      <w:r>
        <w:rPr>
          <w:i/>
        </w:rPr>
        <w:t>Ceylon Medical Journal, 69</w:t>
      </w:r>
      <w:r>
        <w:t xml:space="preserve">(SI3), 37–46. </w:t>
      </w:r>
      <w:r>
        <w:rPr>
          <w:sz w:val="20"/>
        </w:rPr>
        <w:t>https://doi.org/10.4038/cmj.v69iSI3.9963</w:t>
      </w:r>
    </w:p>
    <w:p w14:paraId="1B171DD3" w14:textId="39621A77" w:rsidR="006B1619" w:rsidRDefault="00000000">
      <w:pPr>
        <w:pStyle w:val="APAReference"/>
      </w:pPr>
      <w:r>
        <w:t xml:space="preserve">Subhasinghe, I., Bandara, H. M. H. N., Karunarathna, H. M. T. K., Kodithuwakku, S. P., Gallage, H. C., Kalupahana, R. S., &amp; Kottawatta, K. S. A. K. (2025). Antimicrobial resistance patterns and biofilms resurgence ability of </w:t>
      </w:r>
      <w:r>
        <w:rPr>
          <w:i/>
        </w:rPr>
        <w:t>Escherichia coli</w:t>
      </w:r>
      <w:r>
        <w:t xml:space="preserve"> associated with commercial layer chicken farms in Sri Lanka. </w:t>
      </w:r>
      <w:r>
        <w:rPr>
          <w:i/>
        </w:rPr>
        <w:t>Veterinary Microbiology, 302</w:t>
      </w:r>
      <w:r>
        <w:t xml:space="preserve">, Article 110422. </w:t>
      </w:r>
      <w:r>
        <w:rPr>
          <w:sz w:val="20"/>
        </w:rPr>
        <w:t>https://doi.org/10.1016/j.vetmic.2025.110422</w:t>
      </w:r>
    </w:p>
    <w:p w14:paraId="60DFE11F" w14:textId="5B0C3473" w:rsidR="006B1619" w:rsidRDefault="00000000">
      <w:pPr>
        <w:pStyle w:val="APAReference"/>
      </w:pPr>
      <w:r>
        <w:t xml:space="preserve">Tamma, P. D., Bonomo, R. A., Heil, E. L., Justo, J. A., Satlin, M. J., &amp; Mathers, A. J. (2026). Infectious Diseases Society of America 2026 guidance on the treatment of antimicrobial-resistant Gram-negative infections. </w:t>
      </w:r>
      <w:r>
        <w:rPr>
          <w:i/>
        </w:rPr>
        <w:t>Clinical Infectious Diseases</w:t>
      </w:r>
      <w:r>
        <w:t xml:space="preserve">. Advance online publication. </w:t>
      </w:r>
      <w:r>
        <w:rPr>
          <w:sz w:val="20"/>
        </w:rPr>
        <w:t>https://doi.org/10.1093/cid/ciag481</w:t>
      </w:r>
    </w:p>
    <w:p w14:paraId="07CC4851" w14:textId="30FDC885" w:rsidR="006B1619" w:rsidRDefault="00000000">
      <w:pPr>
        <w:pStyle w:val="APAReference"/>
      </w:pPr>
      <w:r>
        <w:t xml:space="preserve">Tamma, P. D., Doi, Y., Bonomo, R. A., Johnson, J. K., &amp; Simner, P. J. (2019). A primer on AmpC β-lactamases: Necessary knowledge for an increasingly multidrug-resistant world. </w:t>
      </w:r>
      <w:r>
        <w:rPr>
          <w:i/>
        </w:rPr>
        <w:t>Clinical Infectious Diseases, 69</w:t>
      </w:r>
      <w:r>
        <w:t xml:space="preserve">(8), 1446–1455. </w:t>
      </w:r>
      <w:r>
        <w:rPr>
          <w:sz w:val="20"/>
        </w:rPr>
        <w:t>https://doi.org/10.1093/cid/ciz173</w:t>
      </w:r>
    </w:p>
    <w:p w14:paraId="42FF0E0A" w14:textId="3266B4FC" w:rsidR="006B1619" w:rsidRDefault="00000000">
      <w:pPr>
        <w:pStyle w:val="APAReference"/>
      </w:pPr>
      <w:r>
        <w:lastRenderedPageBreak/>
        <w:t xml:space="preserve">Tay, M. Y. F., Pathirage, S., Chandrasekaran, L., Wickramasuriya, U., Sadeepanie, N., Waidyarathna, K. D. K., Liyanage, L. D. C., Seow, K. L. G., Hendriksen, R. S., Takeuchi, M. T., &amp; Schlundt, J. (2019). Whole-genome sequencing analysis of nontyphoidal </w:t>
      </w:r>
      <w:r>
        <w:rPr>
          <w:i/>
        </w:rPr>
        <w:t>Salmonella enterica</w:t>
      </w:r>
      <w:r>
        <w:t xml:space="preserve"> of chicken meat and human origin under surveillance in Sri Lanka. </w:t>
      </w:r>
      <w:r>
        <w:rPr>
          <w:i/>
        </w:rPr>
        <w:t>Foodborne Pathogens and Disease, 16</w:t>
      </w:r>
      <w:r>
        <w:t xml:space="preserve">(7), 531–537. </w:t>
      </w:r>
      <w:r>
        <w:rPr>
          <w:sz w:val="20"/>
        </w:rPr>
        <w:t>https://doi.org/10.1089/fpd.2018.2604</w:t>
      </w:r>
    </w:p>
    <w:p w14:paraId="4DCA5B77" w14:textId="3D82D7F7" w:rsidR="006B1619" w:rsidRDefault="00000000">
      <w:pPr>
        <w:pStyle w:val="APAReference"/>
      </w:pPr>
      <w:r>
        <w:t xml:space="preserve">Tillekeratne, L. G., Vidanagama, D., Tippalagama, R., Lewkebandara, R., Joyce, M., Nicholson, B. P., Nagahawatte, A., Bodinayake, C. K., De Silva, A. D., &amp; Woods, C. W. (2016). Extended-spectrum β-lactamase-producing Enterobacteriaceae as a common cause of urinary tract infections in Sri Lanka. </w:t>
      </w:r>
      <w:r>
        <w:rPr>
          <w:i/>
        </w:rPr>
        <w:t>Infection &amp; Chemotherapy, 48</w:t>
      </w:r>
      <w:r>
        <w:t xml:space="preserve">(3), 160–165. </w:t>
      </w:r>
      <w:r>
        <w:rPr>
          <w:sz w:val="20"/>
        </w:rPr>
        <w:t>https://doi.org/10.3947/ic.2016.48.3.160</w:t>
      </w:r>
    </w:p>
    <w:p w14:paraId="6723C928" w14:textId="5D28A097" w:rsidR="006B1619" w:rsidRDefault="00000000">
      <w:pPr>
        <w:pStyle w:val="APAReference"/>
      </w:pPr>
      <w:r>
        <w:t xml:space="preserve">Wijesooriya, W. R. P. L. I., Herath, Y. B., Sugandhi, R. A. I., Weerawardhana, A., &amp; Ediriweera, D. S. (2017). Antibiotic sensitivity pattern for non-beta lactam antibiotics and carbapenems in extended-spectrum beta-lactamase (ESBL) producing uropathogens versus non-ESBL producing uropathogens. </w:t>
      </w:r>
      <w:r>
        <w:rPr>
          <w:i/>
        </w:rPr>
        <w:t>Sri Lankan Journal of Infectious Diseases, 7</w:t>
      </w:r>
      <w:r>
        <w:t xml:space="preserve">(2), 92–99. </w:t>
      </w:r>
      <w:r>
        <w:rPr>
          <w:sz w:val="20"/>
        </w:rPr>
        <w:t>https://doi.org/10.4038/sljid.v7i2.8154</w:t>
      </w:r>
    </w:p>
    <w:p w14:paraId="62E8F712" w14:textId="5FD511D5" w:rsidR="006B1619" w:rsidRDefault="00000000">
      <w:pPr>
        <w:pStyle w:val="APAReference"/>
      </w:pPr>
      <w:r>
        <w:t xml:space="preserve">Zhu, C., Liyanapathirana, V., Li, C., Pinto, V., Hui, M., Lo, N., Wong, K. T., Dissanayake, N., &amp; Ip, M. (2018). Characterizing mobilized virulence factors and multidrug resistance genes in carbapenemase-producing </w:t>
      </w:r>
      <w:r>
        <w:rPr>
          <w:i/>
        </w:rPr>
        <w:t>Klebsiella pneumoniae</w:t>
      </w:r>
      <w:r>
        <w:t xml:space="preserve"> in a Sri Lankan hospital. </w:t>
      </w:r>
      <w:r>
        <w:rPr>
          <w:i/>
        </w:rPr>
        <w:t>Frontiers in Microbiology, 9</w:t>
      </w:r>
      <w:r>
        <w:t xml:space="preserve">, Article 2044. </w:t>
      </w:r>
      <w:r>
        <w:rPr>
          <w:sz w:val="20"/>
        </w:rPr>
        <w:t>https://doi.org/10.3389/fmicb.2018.02044</w:t>
      </w:r>
    </w:p>
    <w:sectPr w:rsidR="006B1619" w:rsidSect="00034616">
      <w:footerReference w:type="default" r:id="rId8"/>
      <w:pgSz w:w="12240" w:h="15840"/>
      <w:pgMar w:top="1080" w:right="1094" w:bottom="1080" w:left="1094" w:header="50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531DA" w14:textId="77777777" w:rsidR="002B761D" w:rsidRDefault="002B761D">
      <w:pPr>
        <w:spacing w:after="0" w:line="240" w:lineRule="auto"/>
      </w:pPr>
      <w:r>
        <w:separator/>
      </w:r>
    </w:p>
  </w:endnote>
  <w:endnote w:type="continuationSeparator" w:id="0">
    <w:p w14:paraId="5314905C" w14:textId="77777777" w:rsidR="002B761D" w:rsidRDefault="002B7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B84E8" w14:textId="77777777" w:rsidR="006B1619" w:rsidRDefault="00000000">
    <w:pPr>
      <w:jc w:val="right"/>
    </w:pPr>
    <w:r>
      <w:fldChar w:fldCharType="begin"/>
    </w:r>
    <w:r>
      <w:instrText>PAGE</w:instrText>
    </w:r>
    <w:r>
      <w:fldChar w:fldCharType="separate"/>
    </w:r>
    <w:r w:rsidR="006955B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97AE3" w14:textId="77777777" w:rsidR="002B761D" w:rsidRDefault="002B761D">
      <w:pPr>
        <w:spacing w:after="0" w:line="240" w:lineRule="auto"/>
      </w:pPr>
      <w:r>
        <w:separator/>
      </w:r>
    </w:p>
  </w:footnote>
  <w:footnote w:type="continuationSeparator" w:id="0">
    <w:p w14:paraId="4DB93F9A" w14:textId="77777777" w:rsidR="002B761D" w:rsidRDefault="002B76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4735496">
    <w:abstractNumId w:val="8"/>
  </w:num>
  <w:num w:numId="2" w16cid:durableId="992758487">
    <w:abstractNumId w:val="6"/>
  </w:num>
  <w:num w:numId="3" w16cid:durableId="908811766">
    <w:abstractNumId w:val="5"/>
  </w:num>
  <w:num w:numId="4" w16cid:durableId="669410739">
    <w:abstractNumId w:val="4"/>
  </w:num>
  <w:num w:numId="5" w16cid:durableId="1563911173">
    <w:abstractNumId w:val="7"/>
  </w:num>
  <w:num w:numId="6" w16cid:durableId="2060738189">
    <w:abstractNumId w:val="3"/>
  </w:num>
  <w:num w:numId="7" w16cid:durableId="944649555">
    <w:abstractNumId w:val="2"/>
  </w:num>
  <w:num w:numId="8" w16cid:durableId="1175728050">
    <w:abstractNumId w:val="1"/>
  </w:num>
  <w:num w:numId="9" w16cid:durableId="1623223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5C05"/>
    <w:rsid w:val="0015074B"/>
    <w:rsid w:val="0029639D"/>
    <w:rsid w:val="002B761D"/>
    <w:rsid w:val="00326F90"/>
    <w:rsid w:val="00383A49"/>
    <w:rsid w:val="006955B0"/>
    <w:rsid w:val="006B1619"/>
    <w:rsid w:val="00852E0D"/>
    <w:rsid w:val="008E62FC"/>
    <w:rsid w:val="00AA1D8D"/>
    <w:rsid w:val="00B47730"/>
    <w:rsid w:val="00BD7065"/>
    <w:rsid w:val="00BD7AAF"/>
    <w:rsid w:val="00CB0664"/>
    <w:rsid w:val="00DE1EB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E97BB3"/>
  <w14:defaultImageDpi w14:val="300"/>
  <w15:docId w15:val="{54AB03F3-CA9B-468D-85D5-82E8387B9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98" w:lineRule="auto"/>
      <w:jc w:val="both"/>
    </w:pPr>
    <w:rPr>
      <w:rFonts w:ascii="Cambria" w:hAnsi="Cambria"/>
      <w:color w:val="1E2228"/>
      <w:sz w:val="21"/>
    </w:rPr>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b/>
      <w:bCs/>
      <w:color w:val="1F2934"/>
      <w:sz w:val="2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1F2934"/>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Manuscript">
    <w:name w:val="Title Manuscript"/>
    <w:pPr>
      <w:spacing w:after="320"/>
      <w:jc w:val="center"/>
    </w:pPr>
    <w:rPr>
      <w:rFonts w:ascii="Cambria" w:hAnsi="Cambria"/>
      <w:b/>
      <w:color w:val="0F1C2A"/>
      <w:sz w:val="30"/>
    </w:rPr>
  </w:style>
  <w:style w:type="paragraph" w:customStyle="1" w:styleId="TableCaption">
    <w:name w:val="Table Caption"/>
    <w:pPr>
      <w:keepNext/>
      <w:spacing w:before="200" w:after="80"/>
    </w:pPr>
    <w:rPr>
      <w:rFonts w:ascii="Cambria" w:hAnsi="Cambria"/>
      <w:b/>
      <w:color w:val="1E2228"/>
      <w:sz w:val="19"/>
    </w:rPr>
  </w:style>
  <w:style w:type="paragraph" w:customStyle="1" w:styleId="TableNote">
    <w:name w:val="Table Note"/>
    <w:pPr>
      <w:spacing w:before="80" w:after="160"/>
    </w:pPr>
    <w:rPr>
      <w:rFonts w:ascii="Cambria" w:hAnsi="Cambria"/>
      <w:color w:val="3C3C3C"/>
      <w:sz w:val="16"/>
    </w:rPr>
  </w:style>
  <w:style w:type="paragraph" w:customStyle="1" w:styleId="APAReference">
    <w:name w:val="APA Reference"/>
    <w:pPr>
      <w:spacing w:after="80" w:line="266" w:lineRule="auto"/>
      <w:ind w:left="432" w:hanging="432"/>
    </w:pPr>
    <w:rPr>
      <w:rFonts w:ascii="Cambria" w:hAnsi="Cambri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29</Pages>
  <Words>17065</Words>
  <Characters>97273</Characters>
  <Application>Microsoft Office Word</Application>
  <DocSecurity>0</DocSecurity>
  <Lines>810</Lines>
  <Paragraphs>228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114110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Trends in ESBL, AmpC and Carbapenem Resistance among Enterobacterales in Sri Lanka</dc:title>
  <dc:subject>Critical narrative review of antimicrobial resistance in Sri Lanka</dc:subject>
  <dc:creator/>
  <cp:keywords>Enterobacterales; ESBL; AmpC; CRE; carbapenemase; Sri Lanka</cp:keywords>
  <dc:description/>
  <cp:lastModifiedBy>SDI 1084</cp:lastModifiedBy>
  <cp:revision>4</cp:revision>
  <dcterms:created xsi:type="dcterms:W3CDTF">2013-12-23T23:15:00Z</dcterms:created>
  <dcterms:modified xsi:type="dcterms:W3CDTF">2026-10-23T12:42:00Z</dcterms:modified>
  <cp:category/>
</cp:coreProperties>
</file>