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69327" w14:textId="77777777" w:rsidR="00387382" w:rsidRPr="00387382" w:rsidRDefault="00387382" w:rsidP="00387382">
      <w:pPr>
        <w:pStyle w:val="Title"/>
        <w:jc w:val="both"/>
        <w:rPr>
          <w:rFonts w:ascii="Arial" w:hAnsi="Arial" w:cs="Arial"/>
          <w:bCs/>
          <w:i/>
          <w:iCs/>
          <w:u w:val="single"/>
        </w:rPr>
      </w:pPr>
      <w:r w:rsidRPr="00387382">
        <w:rPr>
          <w:rFonts w:ascii="Arial" w:hAnsi="Arial" w:cs="Arial"/>
          <w:bCs/>
          <w:i/>
          <w:iCs/>
          <w:u w:val="single"/>
        </w:rPr>
        <w:t>Original Research Article</w:t>
      </w:r>
    </w:p>
    <w:p w14:paraId="3AFCFC31" w14:textId="77777777" w:rsidR="00754C9A" w:rsidRDefault="00754C9A" w:rsidP="00441B6F">
      <w:pPr>
        <w:pStyle w:val="Title"/>
        <w:spacing w:after="0"/>
        <w:jc w:val="both"/>
        <w:rPr>
          <w:rFonts w:ascii="Arial" w:hAnsi="Arial" w:cs="Arial"/>
        </w:rPr>
      </w:pPr>
    </w:p>
    <w:p w14:paraId="1663C31D" w14:textId="4CAEBF6A" w:rsidR="00163BC4" w:rsidRPr="00163BC4" w:rsidRDefault="004600D5" w:rsidP="00441B6F">
      <w:pPr>
        <w:pStyle w:val="Author"/>
        <w:spacing w:line="240" w:lineRule="auto"/>
        <w:rPr>
          <w:rFonts w:ascii="Arial" w:hAnsi="Arial" w:cs="Arial"/>
          <w:bCs/>
          <w:iCs/>
          <w:kern w:val="28"/>
          <w:sz w:val="36"/>
        </w:rPr>
      </w:pPr>
      <w:r w:rsidRPr="001153D2">
        <w:rPr>
          <w:rFonts w:ascii="Arial" w:hAnsi="Arial" w:cs="Arial"/>
          <w:bCs/>
          <w:sz w:val="36"/>
          <w:szCs w:val="36"/>
        </w:rPr>
        <w:t>Prevalence and Antibiotic Resistance Profiles of Hospital-Acquired and Community-Acquired Methicillin-Resistant </w:t>
      </w:r>
      <w:r w:rsidRPr="004600D5">
        <w:rPr>
          <w:rFonts w:ascii="Arial" w:hAnsi="Arial" w:cs="Arial"/>
          <w:i/>
          <w:iCs/>
          <w:sz w:val="36"/>
          <w:szCs w:val="36"/>
        </w:rPr>
        <w:t>Staphylococcus aureus</w:t>
      </w:r>
      <w:r w:rsidRPr="001153D2">
        <w:rPr>
          <w:rFonts w:ascii="Arial" w:hAnsi="Arial" w:cs="Arial"/>
          <w:bCs/>
          <w:sz w:val="36"/>
          <w:szCs w:val="36"/>
        </w:rPr>
        <w:t> Isolates in Edo State, Nigeria</w:t>
      </w:r>
    </w:p>
    <w:p w14:paraId="0C40E4D0" w14:textId="77777777" w:rsidR="00A258C3" w:rsidRPr="00790ADA" w:rsidRDefault="00A258C3" w:rsidP="00441B6F">
      <w:pPr>
        <w:pStyle w:val="Author"/>
        <w:spacing w:line="240" w:lineRule="auto"/>
        <w:jc w:val="both"/>
        <w:rPr>
          <w:rFonts w:ascii="Arial" w:hAnsi="Arial" w:cs="Arial"/>
          <w:sz w:val="36"/>
        </w:rPr>
      </w:pPr>
    </w:p>
    <w:p w14:paraId="212D1B06" w14:textId="77777777" w:rsidR="00EB447C" w:rsidRDefault="00EB447C" w:rsidP="00EB447C">
      <w:pPr>
        <w:pStyle w:val="Affiliation"/>
        <w:jc w:val="both"/>
        <w:rPr>
          <w:rFonts w:ascii="Arial" w:hAnsi="Arial" w:cs="Arial"/>
        </w:rPr>
      </w:pPr>
    </w:p>
    <w:p w14:paraId="4861CC94" w14:textId="77777777" w:rsidR="00261F36" w:rsidRPr="00EB447C" w:rsidRDefault="00261F36" w:rsidP="00EB447C">
      <w:pPr>
        <w:pStyle w:val="Affiliation"/>
        <w:jc w:val="both"/>
        <w:rPr>
          <w:rFonts w:ascii="Arial" w:hAnsi="Arial" w:cs="Arial"/>
        </w:rPr>
      </w:pPr>
    </w:p>
    <w:p w14:paraId="024903DF" w14:textId="77777777" w:rsidR="00EB447C" w:rsidRPr="00FB3A86" w:rsidRDefault="00EB447C" w:rsidP="00441B6F">
      <w:pPr>
        <w:pStyle w:val="Affiliation"/>
        <w:spacing w:after="0" w:line="240" w:lineRule="auto"/>
        <w:jc w:val="both"/>
        <w:rPr>
          <w:rFonts w:ascii="Arial" w:hAnsi="Arial" w:cs="Arial"/>
        </w:rPr>
      </w:pPr>
    </w:p>
    <w:p w14:paraId="74249C75" w14:textId="36D236B5" w:rsidR="00B01FCD" w:rsidRPr="00FB3A86" w:rsidRDefault="00F9211D" w:rsidP="00441B6F">
      <w:pPr>
        <w:pStyle w:val="Copyright"/>
        <w:spacing w:after="0" w:line="240" w:lineRule="auto"/>
        <w:jc w:val="both"/>
        <w:rPr>
          <w:rFonts w:ascii="Arial" w:hAnsi="Arial" w:cs="Arial"/>
        </w:rPr>
        <w:sectPr w:rsidR="00B01FCD" w:rsidRPr="00FB3A86" w:rsidSect="00EB447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79D0086E" wp14:editId="5A1A1CDD">
                <wp:extent cx="5303520" cy="635"/>
                <wp:effectExtent l="11430" t="11430" r="9525" b="17145"/>
                <wp:docPr id="2464460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AD23B71"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7B602691" w14:textId="77777777" w:rsidR="004600D5" w:rsidRPr="001153D2" w:rsidRDefault="004600D5" w:rsidP="004600D5">
      <w:pPr>
        <w:spacing w:after="160"/>
        <w:jc w:val="both"/>
        <w:rPr>
          <w:rFonts w:ascii="Arial" w:hAnsi="Arial" w:cs="Arial"/>
          <w:b/>
          <w:bCs/>
          <w:sz w:val="22"/>
          <w:szCs w:val="22"/>
        </w:rPr>
      </w:pPr>
      <w:r w:rsidRPr="001153D2">
        <w:rPr>
          <w:rFonts w:ascii="Arial" w:hAnsi="Arial" w:cs="Arial"/>
          <w:b/>
          <w:bCs/>
          <w:sz w:val="22"/>
          <w:szCs w:val="22"/>
        </w:rPr>
        <w:t>ABSTRACT</w:t>
      </w:r>
    </w:p>
    <w:p w14:paraId="32B4879B" w14:textId="77777777" w:rsidR="004600D5" w:rsidRPr="001153D2" w:rsidRDefault="004600D5" w:rsidP="004600D5">
      <w:pPr>
        <w:jc w:val="both"/>
        <w:rPr>
          <w:rFonts w:ascii="Arial" w:hAnsi="Arial" w:cs="Arial"/>
        </w:rPr>
      </w:pPr>
      <w:r w:rsidRPr="001153D2">
        <w:rPr>
          <w:rFonts w:ascii="Arial" w:hAnsi="Arial" w:cs="Arial"/>
          <w:b/>
          <w:bCs/>
        </w:rPr>
        <w:t>Aims:</w:t>
      </w:r>
      <w:r w:rsidRPr="001153D2">
        <w:rPr>
          <w:rFonts w:ascii="Arial" w:hAnsi="Arial" w:cs="Arial"/>
        </w:rPr>
        <w:t> To determine the prevalence of hospital-acquired MRSA (HA-MRSA) and community-acquired MRSA (CA-MRSA), compare their antibiotic susceptibility patterns, and determine their multiple antibiotic resistance (MAR) indices.</w:t>
      </w:r>
    </w:p>
    <w:p w14:paraId="52C313C2" w14:textId="77777777" w:rsidR="004600D5" w:rsidRPr="001153D2" w:rsidRDefault="004600D5" w:rsidP="004600D5">
      <w:pPr>
        <w:jc w:val="both"/>
        <w:rPr>
          <w:rFonts w:ascii="Arial" w:hAnsi="Arial" w:cs="Arial"/>
        </w:rPr>
      </w:pPr>
      <w:r w:rsidRPr="001153D2">
        <w:rPr>
          <w:rFonts w:ascii="Arial" w:hAnsi="Arial" w:cs="Arial"/>
          <w:b/>
          <w:bCs/>
        </w:rPr>
        <w:t>Study Design:</w:t>
      </w:r>
      <w:r w:rsidRPr="001153D2">
        <w:rPr>
          <w:rFonts w:ascii="Arial" w:hAnsi="Arial" w:cs="Arial"/>
        </w:rPr>
        <w:t> A cross-sectional comparative study.</w:t>
      </w:r>
    </w:p>
    <w:p w14:paraId="20D9DA23" w14:textId="77777777" w:rsidR="004600D5" w:rsidRPr="001153D2" w:rsidRDefault="004600D5" w:rsidP="004600D5">
      <w:pPr>
        <w:jc w:val="both"/>
        <w:rPr>
          <w:rFonts w:ascii="Arial" w:hAnsi="Arial" w:cs="Arial"/>
        </w:rPr>
      </w:pPr>
      <w:r w:rsidRPr="001153D2">
        <w:rPr>
          <w:rFonts w:ascii="Arial" w:hAnsi="Arial" w:cs="Arial"/>
          <w:b/>
          <w:bCs/>
        </w:rPr>
        <w:t>Place and Duration of Study:</w:t>
      </w:r>
      <w:r w:rsidRPr="001153D2">
        <w:rPr>
          <w:rFonts w:ascii="Arial" w:hAnsi="Arial" w:cs="Arial"/>
        </w:rPr>
        <w:t xml:space="preserve"> Irrua Specialist Teaching Hospital (ISTH), Irrua, and </w:t>
      </w:r>
      <w:proofErr w:type="spellStart"/>
      <w:r w:rsidRPr="001153D2">
        <w:rPr>
          <w:rFonts w:ascii="Arial" w:hAnsi="Arial" w:cs="Arial"/>
        </w:rPr>
        <w:t>Ekpoma</w:t>
      </w:r>
      <w:proofErr w:type="spellEnd"/>
      <w:r w:rsidRPr="001153D2">
        <w:rPr>
          <w:rFonts w:ascii="Arial" w:hAnsi="Arial" w:cs="Arial"/>
        </w:rPr>
        <w:t xml:space="preserve"> community, Edo State, Nigeria, between January and July 2023.</w:t>
      </w:r>
    </w:p>
    <w:p w14:paraId="60923054" w14:textId="77777777" w:rsidR="004600D5" w:rsidRPr="001153D2" w:rsidRDefault="004600D5" w:rsidP="004600D5">
      <w:pPr>
        <w:jc w:val="both"/>
        <w:rPr>
          <w:rFonts w:ascii="Arial" w:hAnsi="Arial" w:cs="Arial"/>
        </w:rPr>
      </w:pPr>
      <w:r w:rsidRPr="001153D2">
        <w:rPr>
          <w:rFonts w:ascii="Arial" w:hAnsi="Arial" w:cs="Arial"/>
          <w:b/>
          <w:bCs/>
        </w:rPr>
        <w:t>Methodology:</w:t>
      </w:r>
      <w:r w:rsidRPr="001153D2">
        <w:rPr>
          <w:rFonts w:ascii="Arial" w:hAnsi="Arial" w:cs="Arial"/>
        </w:rPr>
        <w:t xml:space="preserve"> The total number of samples collected was 620, including 310 samples of nasal swab, wound swab, and fomite from doctors, nurses, patients, cleaners, and fomites in 14 different departments of ISTH, as well as 310 nasal swabs from apparently healthy people in </w:t>
      </w:r>
      <w:proofErr w:type="spellStart"/>
      <w:r w:rsidRPr="001153D2">
        <w:rPr>
          <w:rFonts w:ascii="Arial" w:hAnsi="Arial" w:cs="Arial"/>
        </w:rPr>
        <w:t>Ekpoma</w:t>
      </w:r>
      <w:proofErr w:type="spellEnd"/>
      <w:r w:rsidRPr="001153D2">
        <w:rPr>
          <w:rFonts w:ascii="Arial" w:hAnsi="Arial" w:cs="Arial"/>
        </w:rPr>
        <w:t xml:space="preserve"> community. The samples were cultured on Mannitol Salt Agar and isolates that grew presumptively Staphylococcus aureus were tested on Oxacillin Resistant Screening Agar Base using 1 </w:t>
      </w:r>
      <w:proofErr w:type="spellStart"/>
      <w:r w:rsidRPr="001153D2">
        <w:rPr>
          <w:rFonts w:ascii="Arial" w:hAnsi="Arial" w:cs="Arial"/>
        </w:rPr>
        <w:t>μg</w:t>
      </w:r>
      <w:proofErr w:type="spellEnd"/>
      <w:r w:rsidRPr="001153D2">
        <w:rPr>
          <w:rFonts w:ascii="Arial" w:hAnsi="Arial" w:cs="Arial"/>
        </w:rPr>
        <w:t xml:space="preserve"> oxacillin disks for confirmation. Susceptibility test was conducted using Kirby-Bauer disk diffusion test on antibiotics such as vancomycin, linezolid, cloxacillin, ciprofloxacin, gentamicin, tetracycline, and erythromycin.</w:t>
      </w:r>
    </w:p>
    <w:p w14:paraId="6354E885" w14:textId="77777777" w:rsidR="004600D5" w:rsidRPr="001153D2" w:rsidRDefault="004600D5" w:rsidP="004600D5">
      <w:pPr>
        <w:jc w:val="both"/>
        <w:rPr>
          <w:rFonts w:ascii="Arial" w:hAnsi="Arial" w:cs="Arial"/>
        </w:rPr>
      </w:pPr>
      <w:r w:rsidRPr="001153D2">
        <w:rPr>
          <w:rFonts w:ascii="Arial" w:hAnsi="Arial" w:cs="Arial"/>
          <w:b/>
          <w:bCs/>
        </w:rPr>
        <w:t>Results:</w:t>
      </w:r>
      <w:r w:rsidRPr="001153D2">
        <w:rPr>
          <w:rFonts w:ascii="Arial" w:hAnsi="Arial" w:cs="Arial"/>
        </w:rPr>
        <w:t> Overall MRSA prevalence was 22% (133/620), with HA-MRSA at 27% (82/310) and CA-MRSA at 17% (51/310). Fomites yielded the highest HA-MRSA proportion (32%), followed by cleaners (24%), nurses (19%), patients (13%), and doctors (12%). Markets (30%) and motor parks (27%) had the highest CA-MRSA prevalence. All isolates (100%) were sensitive to vancomycin and linezolid, while 96% of both groups were resistant to cloxacillin. HA-MRSA showed higher resistance to ciprofloxacin (41% vs 20%), gentamicin (45% vs 35%), and erythromycin (26% vs 6%) compared to CA-MRSA. MAR index ranged from 0.2–0.4 for HA-MRSA and 0.1–0.2 for CA-MRSA.</w:t>
      </w:r>
    </w:p>
    <w:p w14:paraId="6B5773D6" w14:textId="4B6926A2" w:rsidR="00636EB2" w:rsidRDefault="004600D5" w:rsidP="004600D5">
      <w:pPr>
        <w:pStyle w:val="Body"/>
        <w:spacing w:after="0"/>
        <w:rPr>
          <w:rFonts w:ascii="Arial" w:hAnsi="Arial" w:cs="Arial"/>
        </w:rPr>
      </w:pPr>
      <w:r w:rsidRPr="001153D2">
        <w:rPr>
          <w:rFonts w:ascii="Arial" w:hAnsi="Arial" w:cs="Arial"/>
          <w:b/>
          <w:bCs/>
        </w:rPr>
        <w:t>Conclusion:</w:t>
      </w:r>
      <w:r w:rsidRPr="001153D2">
        <w:rPr>
          <w:rFonts w:ascii="Arial" w:hAnsi="Arial" w:cs="Arial"/>
        </w:rPr>
        <w:t> HA-MRSA isolates exhibited higher antibiotic resistance and MAR indices than CA-MRSA, indicating antibiotic overuse in hospital settings. Strict antibiotic stewardship and infection control measures are advocated.</w:t>
      </w:r>
    </w:p>
    <w:p w14:paraId="7E6F43EA" w14:textId="77777777" w:rsidR="004600D5" w:rsidRDefault="004600D5" w:rsidP="004600D5">
      <w:pPr>
        <w:pStyle w:val="Body"/>
        <w:spacing w:after="0"/>
        <w:rPr>
          <w:rFonts w:ascii="Arial" w:hAnsi="Arial" w:cs="Arial"/>
          <w:i/>
        </w:rPr>
      </w:pPr>
    </w:p>
    <w:p w14:paraId="1503B92E" w14:textId="2C3EBF5B" w:rsidR="00A24E7E" w:rsidRDefault="008E5F54" w:rsidP="00441B6F">
      <w:pPr>
        <w:pStyle w:val="Body"/>
        <w:spacing w:after="0"/>
        <w:rPr>
          <w:rFonts w:ascii="Arial" w:hAnsi="Arial" w:cs="Arial"/>
          <w:i/>
        </w:rPr>
      </w:pPr>
      <w:r w:rsidRPr="008E5F54">
        <w:rPr>
          <w:rFonts w:ascii="Arial" w:hAnsi="Arial" w:cs="Arial"/>
          <w:b/>
          <w:bCs/>
          <w:i/>
        </w:rPr>
        <w:t>Keywords:</w:t>
      </w:r>
      <w:r w:rsidRPr="008E5F54">
        <w:rPr>
          <w:rFonts w:ascii="Arial" w:hAnsi="Arial" w:cs="Arial"/>
          <w:i/>
        </w:rPr>
        <w:t xml:space="preserve"> Methicillin-resistant Staphylococcus aureus, hospital-acquired, community-acquired, antibiogram, MAR index, Edo State, Nigeria</w:t>
      </w:r>
    </w:p>
    <w:p w14:paraId="4AE3C47F" w14:textId="77777777" w:rsidR="00790ADA" w:rsidRDefault="00790ADA" w:rsidP="00441B6F">
      <w:pPr>
        <w:pStyle w:val="Body"/>
        <w:spacing w:after="0"/>
        <w:rPr>
          <w:rFonts w:ascii="Arial" w:hAnsi="Arial" w:cs="Arial"/>
          <w:i/>
        </w:rPr>
      </w:pPr>
    </w:p>
    <w:p w14:paraId="28FB8C15" w14:textId="77777777" w:rsidR="0024282C" w:rsidRDefault="0024282C" w:rsidP="00441B6F">
      <w:pPr>
        <w:pStyle w:val="Body"/>
        <w:spacing w:after="0"/>
        <w:rPr>
          <w:rFonts w:ascii="Arial" w:hAnsi="Arial" w:cs="Arial"/>
          <w:i/>
          <w:sz w:val="18"/>
        </w:rPr>
      </w:pPr>
    </w:p>
    <w:p w14:paraId="5539D94B" w14:textId="77777777" w:rsidR="00505F06" w:rsidRPr="00A24E7E" w:rsidRDefault="00505F06" w:rsidP="00441B6F">
      <w:pPr>
        <w:pStyle w:val="Body"/>
        <w:spacing w:after="0"/>
        <w:rPr>
          <w:rFonts w:ascii="Arial" w:hAnsi="Arial" w:cs="Arial"/>
          <w:i/>
        </w:rPr>
      </w:pPr>
    </w:p>
    <w:p w14:paraId="27520005" w14:textId="7D817208" w:rsidR="007F7B32" w:rsidRDefault="00902823" w:rsidP="00441B6F">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r w:rsidR="007F7B32">
        <w:rPr>
          <w:rFonts w:ascii="Arial" w:hAnsi="Arial" w:cs="Arial"/>
        </w:rPr>
        <w:t xml:space="preserve"> </w:t>
      </w:r>
    </w:p>
    <w:p w14:paraId="0FD77744" w14:textId="77777777" w:rsidR="00790ADA" w:rsidRPr="00FB3A86" w:rsidRDefault="00790ADA" w:rsidP="00441B6F">
      <w:pPr>
        <w:pStyle w:val="AbstHead"/>
        <w:spacing w:after="0"/>
        <w:jc w:val="both"/>
        <w:rPr>
          <w:rFonts w:ascii="Arial" w:hAnsi="Arial" w:cs="Arial"/>
        </w:rPr>
      </w:pPr>
    </w:p>
    <w:p w14:paraId="3DCF3D1E" w14:textId="77777777" w:rsidR="004600D5" w:rsidRPr="001153D2" w:rsidRDefault="004600D5" w:rsidP="004600D5">
      <w:pPr>
        <w:spacing w:after="240"/>
        <w:jc w:val="both"/>
        <w:rPr>
          <w:rFonts w:ascii="Arial" w:hAnsi="Arial" w:cs="Arial"/>
        </w:rPr>
      </w:pPr>
      <w:r w:rsidRPr="001153D2">
        <w:rPr>
          <w:rFonts w:ascii="Arial" w:hAnsi="Arial" w:cs="Arial"/>
        </w:rPr>
        <w:t xml:space="preserve">Methicillin-resistant </w:t>
      </w:r>
      <w:r w:rsidRPr="004600D5">
        <w:rPr>
          <w:rFonts w:ascii="Arial" w:hAnsi="Arial" w:cs="Arial"/>
          <w:i/>
          <w:iCs/>
        </w:rPr>
        <w:t>Staphylococcus aureus</w:t>
      </w:r>
      <w:r w:rsidRPr="001153D2">
        <w:rPr>
          <w:rFonts w:ascii="Arial" w:hAnsi="Arial" w:cs="Arial"/>
        </w:rPr>
        <w:t xml:space="preserve"> (MRSA) is a group of </w:t>
      </w:r>
      <w:r>
        <w:rPr>
          <w:rFonts w:ascii="Arial" w:hAnsi="Arial" w:cs="Arial"/>
        </w:rPr>
        <w:t>S. aureus</w:t>
      </w:r>
      <w:r w:rsidRPr="001153D2">
        <w:rPr>
          <w:rFonts w:ascii="Arial" w:hAnsi="Arial" w:cs="Arial"/>
        </w:rPr>
        <w:t xml:space="preserve"> bacteria that have become resistant to methicillin and other beta-lactam antibiotics due to the presence of the </w:t>
      </w:r>
      <w:proofErr w:type="spellStart"/>
      <w:r w:rsidRPr="001153D2">
        <w:rPr>
          <w:rFonts w:ascii="Arial" w:hAnsi="Arial" w:cs="Arial"/>
          <w:i/>
          <w:iCs/>
        </w:rPr>
        <w:t>mec</w:t>
      </w:r>
      <w:r w:rsidRPr="001153D2">
        <w:rPr>
          <w:rFonts w:ascii="Arial" w:hAnsi="Arial" w:cs="Arial"/>
        </w:rPr>
        <w:t>A</w:t>
      </w:r>
      <w:proofErr w:type="spellEnd"/>
      <w:r w:rsidRPr="001153D2">
        <w:rPr>
          <w:rFonts w:ascii="Arial" w:hAnsi="Arial" w:cs="Arial"/>
        </w:rPr>
        <w:t xml:space="preserve"> gene encoding penicillin-binding protein 2a (PBP2a) (Shittu </w:t>
      </w:r>
      <w:r w:rsidRPr="001153D2">
        <w:rPr>
          <w:rFonts w:ascii="Arial" w:hAnsi="Arial" w:cs="Arial"/>
          <w:i/>
          <w:iCs/>
        </w:rPr>
        <w:t>et al</w:t>
      </w:r>
      <w:r w:rsidRPr="001153D2">
        <w:rPr>
          <w:rFonts w:ascii="Arial" w:hAnsi="Arial" w:cs="Arial"/>
        </w:rPr>
        <w:t xml:space="preserve">., 2011). Since the emergence of the first case in 1961, MRSA has become one of the major sources of healthcare-associated infections across the world, causing hard-to-treat infections such as bacteremia, pneumonia, endocarditis, and surgical site infections (Tacconelli </w:t>
      </w:r>
      <w:r w:rsidRPr="001153D2">
        <w:rPr>
          <w:rFonts w:ascii="Arial" w:hAnsi="Arial" w:cs="Arial"/>
          <w:i/>
          <w:iCs/>
        </w:rPr>
        <w:t>et al</w:t>
      </w:r>
      <w:r w:rsidRPr="001153D2">
        <w:rPr>
          <w:rFonts w:ascii="Arial" w:hAnsi="Arial" w:cs="Arial"/>
        </w:rPr>
        <w:t xml:space="preserve">., 2008; Sganga </w:t>
      </w:r>
      <w:r w:rsidRPr="001153D2">
        <w:rPr>
          <w:rFonts w:ascii="Arial" w:hAnsi="Arial" w:cs="Arial"/>
          <w:i/>
          <w:iCs/>
        </w:rPr>
        <w:t>et al</w:t>
      </w:r>
      <w:r w:rsidRPr="001153D2">
        <w:rPr>
          <w:rFonts w:ascii="Arial" w:hAnsi="Arial" w:cs="Arial"/>
        </w:rPr>
        <w:t xml:space="preserve">., 2016). The worldwide burden of MRSA is significant, as there were about 80,461 invasive MRSA infections and 11,285 deaths per year in the USA only (Bratu </w:t>
      </w:r>
      <w:r w:rsidRPr="001153D2">
        <w:rPr>
          <w:rFonts w:ascii="Arial" w:hAnsi="Arial" w:cs="Arial"/>
          <w:i/>
          <w:iCs/>
        </w:rPr>
        <w:t>et al</w:t>
      </w:r>
      <w:r w:rsidRPr="001153D2">
        <w:rPr>
          <w:rFonts w:ascii="Arial" w:hAnsi="Arial" w:cs="Arial"/>
        </w:rPr>
        <w:t>., 2005).</w:t>
      </w:r>
    </w:p>
    <w:p w14:paraId="5268718D" w14:textId="77777777" w:rsidR="004600D5" w:rsidRPr="001153D2" w:rsidRDefault="004600D5" w:rsidP="004600D5">
      <w:pPr>
        <w:spacing w:after="240"/>
        <w:jc w:val="both"/>
        <w:rPr>
          <w:rFonts w:ascii="Arial" w:hAnsi="Arial" w:cs="Arial"/>
        </w:rPr>
      </w:pPr>
      <w:r w:rsidRPr="001153D2">
        <w:rPr>
          <w:rFonts w:ascii="Arial" w:hAnsi="Arial" w:cs="Arial"/>
        </w:rPr>
        <w:t xml:space="preserve">The epidemiology of MRSA has been evolving considerably during the past decades. Initially considered to be a pathogen acquired in hospitals (HA-MRSA), MRSA is now a recognized problem in community-acquired MRSA infections (CA-MRSA), which occur in healthy people without risk factors related to their stay in healthcare facilities (Okon </w:t>
      </w:r>
      <w:r w:rsidRPr="001153D2">
        <w:rPr>
          <w:rFonts w:ascii="Arial" w:hAnsi="Arial" w:cs="Arial"/>
          <w:i/>
          <w:iCs/>
        </w:rPr>
        <w:t>et al</w:t>
      </w:r>
      <w:r w:rsidRPr="001153D2">
        <w:rPr>
          <w:rFonts w:ascii="Arial" w:hAnsi="Arial" w:cs="Arial"/>
        </w:rPr>
        <w:t xml:space="preserve">., 2011). In addition to differences in epidemiology, HA-MRSA strains and CA-MRSA strains are characterized by the distinct genetic structure and patterns of resistance. For example, HA-MRSA strains possess large </w:t>
      </w:r>
      <w:proofErr w:type="spellStart"/>
      <w:r w:rsidRPr="001153D2">
        <w:rPr>
          <w:rFonts w:ascii="Arial" w:hAnsi="Arial" w:cs="Arial"/>
        </w:rPr>
        <w:t>SC</w:t>
      </w:r>
      <w:r w:rsidRPr="001153D2">
        <w:rPr>
          <w:rFonts w:ascii="Arial" w:hAnsi="Arial" w:cs="Arial"/>
          <w:i/>
          <w:iCs/>
        </w:rPr>
        <w:t>mec</w:t>
      </w:r>
      <w:proofErr w:type="spellEnd"/>
      <w:r w:rsidRPr="001153D2">
        <w:rPr>
          <w:rFonts w:ascii="Arial" w:hAnsi="Arial" w:cs="Arial"/>
        </w:rPr>
        <w:t xml:space="preserve"> elements (</w:t>
      </w:r>
      <w:proofErr w:type="spellStart"/>
      <w:r w:rsidRPr="001153D2">
        <w:rPr>
          <w:rFonts w:ascii="Arial" w:hAnsi="Arial" w:cs="Arial"/>
        </w:rPr>
        <w:t>SCC</w:t>
      </w:r>
      <w:r w:rsidRPr="001153D2">
        <w:rPr>
          <w:rFonts w:ascii="Arial" w:hAnsi="Arial" w:cs="Arial"/>
          <w:i/>
          <w:iCs/>
        </w:rPr>
        <w:t>mec</w:t>
      </w:r>
      <w:proofErr w:type="spellEnd"/>
      <w:r w:rsidRPr="001153D2">
        <w:rPr>
          <w:rFonts w:ascii="Arial" w:hAnsi="Arial" w:cs="Arial"/>
        </w:rPr>
        <w:t xml:space="preserve"> types I, II, and III), while CA-MRSA stains possess small </w:t>
      </w:r>
      <w:proofErr w:type="spellStart"/>
      <w:r w:rsidRPr="001153D2">
        <w:rPr>
          <w:rFonts w:ascii="Arial" w:hAnsi="Arial" w:cs="Arial"/>
        </w:rPr>
        <w:t>SC</w:t>
      </w:r>
      <w:r w:rsidRPr="001153D2">
        <w:rPr>
          <w:rFonts w:ascii="Arial" w:hAnsi="Arial" w:cs="Arial"/>
          <w:i/>
          <w:iCs/>
        </w:rPr>
        <w:t>mec</w:t>
      </w:r>
      <w:proofErr w:type="spellEnd"/>
      <w:r w:rsidRPr="001153D2">
        <w:rPr>
          <w:rFonts w:ascii="Arial" w:hAnsi="Arial" w:cs="Arial"/>
        </w:rPr>
        <w:t xml:space="preserve"> elements (</w:t>
      </w:r>
      <w:proofErr w:type="spellStart"/>
      <w:r w:rsidRPr="001153D2">
        <w:rPr>
          <w:rFonts w:ascii="Arial" w:hAnsi="Arial" w:cs="Arial"/>
        </w:rPr>
        <w:t>SCCmec</w:t>
      </w:r>
      <w:proofErr w:type="spellEnd"/>
      <w:r w:rsidRPr="001153D2">
        <w:rPr>
          <w:rFonts w:ascii="Arial" w:hAnsi="Arial" w:cs="Arial"/>
        </w:rPr>
        <w:t xml:space="preserve"> types IV and V) (Collins &amp; Rudkin, 2010).</w:t>
      </w:r>
    </w:p>
    <w:p w14:paraId="0BD91D45" w14:textId="77777777" w:rsidR="004600D5" w:rsidRPr="001153D2" w:rsidRDefault="004600D5" w:rsidP="004600D5">
      <w:pPr>
        <w:spacing w:after="240"/>
        <w:jc w:val="both"/>
        <w:rPr>
          <w:rFonts w:ascii="Arial" w:hAnsi="Arial" w:cs="Arial"/>
        </w:rPr>
      </w:pPr>
      <w:r w:rsidRPr="001153D2">
        <w:rPr>
          <w:rFonts w:ascii="Arial" w:hAnsi="Arial" w:cs="Arial"/>
        </w:rPr>
        <w:t xml:space="preserve">In Nigeria and Africa as a whole, the exact prevalence of MRSA is difficult to determine as a result of poor surveillance system in place. The World Health Organization has stated that there are considerable weaknesses in the area of monitoring and tracking of antibiotic resistance in the region, with information from only few countries in the region available (Naik &amp; </w:t>
      </w:r>
      <w:proofErr w:type="spellStart"/>
      <w:r w:rsidRPr="001153D2">
        <w:rPr>
          <w:rFonts w:ascii="Arial" w:hAnsi="Arial" w:cs="Arial"/>
        </w:rPr>
        <w:t>Teclu</w:t>
      </w:r>
      <w:proofErr w:type="spellEnd"/>
      <w:r w:rsidRPr="001153D2">
        <w:rPr>
          <w:rFonts w:ascii="Arial" w:hAnsi="Arial" w:cs="Arial"/>
        </w:rPr>
        <w:t xml:space="preserve">, 2009). Various studies done in several regions in Africa have reported the prevalence of MRSA to be between 3.7% in Kenya to 47% in Ethiopia, with some areas reporting as high as 80% of staphylococcal infections to be resistant to methicillin (Alli </w:t>
      </w:r>
      <w:r w:rsidRPr="001153D2">
        <w:rPr>
          <w:rFonts w:ascii="Arial" w:hAnsi="Arial" w:cs="Arial"/>
          <w:i/>
          <w:iCs/>
        </w:rPr>
        <w:t>et al</w:t>
      </w:r>
      <w:r w:rsidRPr="001153D2">
        <w:rPr>
          <w:rFonts w:ascii="Arial" w:hAnsi="Arial" w:cs="Arial"/>
        </w:rPr>
        <w:t>., 2015). In Nigeria, the prevalence rate of MRSA is quite variable from one region to another and from various healthcare settings, with very little information from Edo State in particular (</w:t>
      </w:r>
      <w:proofErr w:type="spellStart"/>
      <w:r w:rsidRPr="001153D2">
        <w:rPr>
          <w:rFonts w:ascii="Arial" w:hAnsi="Arial" w:cs="Arial"/>
        </w:rPr>
        <w:t>Igbinosa</w:t>
      </w:r>
      <w:proofErr w:type="spellEnd"/>
      <w:r w:rsidRPr="001153D2">
        <w:rPr>
          <w:rFonts w:ascii="Arial" w:hAnsi="Arial" w:cs="Arial"/>
        </w:rPr>
        <w:t xml:space="preserve"> </w:t>
      </w:r>
      <w:r w:rsidRPr="001153D2">
        <w:rPr>
          <w:rFonts w:ascii="Arial" w:hAnsi="Arial" w:cs="Arial"/>
          <w:i/>
          <w:iCs/>
        </w:rPr>
        <w:t>et al</w:t>
      </w:r>
      <w:r w:rsidRPr="001153D2">
        <w:rPr>
          <w:rFonts w:ascii="Arial" w:hAnsi="Arial" w:cs="Arial"/>
        </w:rPr>
        <w:t xml:space="preserve">., 2016; Okwu </w:t>
      </w:r>
      <w:r w:rsidRPr="001153D2">
        <w:rPr>
          <w:rFonts w:ascii="Arial" w:hAnsi="Arial" w:cs="Arial"/>
          <w:i/>
          <w:iCs/>
        </w:rPr>
        <w:t>et al</w:t>
      </w:r>
      <w:r w:rsidRPr="001153D2">
        <w:rPr>
          <w:rFonts w:ascii="Arial" w:hAnsi="Arial" w:cs="Arial"/>
        </w:rPr>
        <w:t>., 2014).</w:t>
      </w:r>
    </w:p>
    <w:p w14:paraId="23449AE3" w14:textId="77777777" w:rsidR="004600D5" w:rsidRPr="001153D2" w:rsidRDefault="004600D5" w:rsidP="004600D5">
      <w:pPr>
        <w:jc w:val="both"/>
        <w:rPr>
          <w:rFonts w:ascii="Arial" w:hAnsi="Arial" w:cs="Arial"/>
        </w:rPr>
      </w:pPr>
      <w:r w:rsidRPr="001153D2">
        <w:rPr>
          <w:rFonts w:ascii="Arial" w:hAnsi="Arial" w:cs="Arial"/>
        </w:rPr>
        <w:t xml:space="preserve">Clinical implications of MRSA infections are immense. MRSA infections carry a high mortality rate of 15-50% compared to the mortality rate of 10% in the case of MSSA infections (Cosgrove </w:t>
      </w:r>
      <w:r w:rsidRPr="001153D2">
        <w:rPr>
          <w:rFonts w:ascii="Arial" w:hAnsi="Arial" w:cs="Arial"/>
          <w:i/>
          <w:iCs/>
        </w:rPr>
        <w:t>et al</w:t>
      </w:r>
      <w:r w:rsidRPr="001153D2">
        <w:rPr>
          <w:rFonts w:ascii="Arial" w:hAnsi="Arial" w:cs="Arial"/>
        </w:rPr>
        <w:t xml:space="preserve">., 2005). In addition, MRSA infections have been linked with increased hospitalization period, increased healthcare cost, and limited treatment options. Another challenge in the treatment of MRSA infections is the emergence of vancomycin-intermediate and vancomycin-resistant strains of </w:t>
      </w:r>
      <w:r w:rsidRPr="001153D2">
        <w:rPr>
          <w:rFonts w:ascii="Arial" w:hAnsi="Arial" w:cs="Arial"/>
          <w:i/>
          <w:iCs/>
        </w:rPr>
        <w:t>S. aureus</w:t>
      </w:r>
      <w:r w:rsidRPr="001153D2">
        <w:rPr>
          <w:rFonts w:ascii="Arial" w:hAnsi="Arial" w:cs="Arial"/>
        </w:rPr>
        <w:t xml:space="preserve"> (Shittu </w:t>
      </w:r>
      <w:r w:rsidRPr="001153D2">
        <w:rPr>
          <w:rFonts w:ascii="Arial" w:hAnsi="Arial" w:cs="Arial"/>
          <w:i/>
          <w:iCs/>
        </w:rPr>
        <w:t>et al</w:t>
      </w:r>
      <w:r w:rsidRPr="001153D2">
        <w:rPr>
          <w:rFonts w:ascii="Arial" w:hAnsi="Arial" w:cs="Arial"/>
        </w:rPr>
        <w:t>., 2011). Multiple antibiotic resistance (MAR) index provides an important tool for determining the level of antibiotic resistance and high-risk sources of antibiotic consumption. An MAR index above 0.2 implies a high-risk situation of frequent misuse of antibiotics (</w:t>
      </w:r>
      <w:proofErr w:type="spellStart"/>
      <w:r w:rsidRPr="001153D2">
        <w:rPr>
          <w:rFonts w:ascii="Arial" w:hAnsi="Arial" w:cs="Arial"/>
        </w:rPr>
        <w:t>Krumperman</w:t>
      </w:r>
      <w:proofErr w:type="spellEnd"/>
      <w:r w:rsidRPr="001153D2">
        <w:rPr>
          <w:rFonts w:ascii="Arial" w:hAnsi="Arial" w:cs="Arial"/>
        </w:rPr>
        <w:t>, 1983). Knowledge on the MAR index of MRSA from various sources can be useful in antibiotic stewardship programs.</w:t>
      </w:r>
    </w:p>
    <w:p w14:paraId="3112AED0" w14:textId="19F6C07F" w:rsidR="00B01FCD" w:rsidRDefault="004600D5" w:rsidP="004600D5">
      <w:pPr>
        <w:pStyle w:val="Body"/>
        <w:spacing w:after="0"/>
        <w:rPr>
          <w:rFonts w:ascii="Arial" w:hAnsi="Arial" w:cs="Arial"/>
        </w:rPr>
      </w:pPr>
      <w:r w:rsidRPr="001153D2">
        <w:rPr>
          <w:rFonts w:ascii="Arial" w:hAnsi="Arial" w:cs="Arial"/>
        </w:rPr>
        <w:t xml:space="preserve">Although the clinical importance of MRSA is well recognized, there is insufficient literature comparing HA-MRSA and CA-MRSA in Edo State, Nigeria. The present study was carried out to fill the gap in knowledge by determining the prevalence, antibiotic resistance profile and MAR index of HA-MRSA and CA-MRSA from ISTH and </w:t>
      </w:r>
      <w:proofErr w:type="spellStart"/>
      <w:r w:rsidRPr="001153D2">
        <w:rPr>
          <w:rFonts w:ascii="Arial" w:hAnsi="Arial" w:cs="Arial"/>
        </w:rPr>
        <w:t>Ekpoma</w:t>
      </w:r>
      <w:proofErr w:type="spellEnd"/>
      <w:r w:rsidRPr="001153D2">
        <w:rPr>
          <w:rFonts w:ascii="Arial" w:hAnsi="Arial" w:cs="Arial"/>
        </w:rPr>
        <w:t xml:space="preserve"> community. The aims of the study were to determine the prevalence of HA-MRSA amongst isolates from ISTH, to determine the prevalence of CA-MRSA amongst apparently healthy individuals in </w:t>
      </w:r>
      <w:proofErr w:type="spellStart"/>
      <w:r w:rsidRPr="001153D2">
        <w:rPr>
          <w:rFonts w:ascii="Arial" w:hAnsi="Arial" w:cs="Arial"/>
        </w:rPr>
        <w:t>Ekpoma</w:t>
      </w:r>
      <w:proofErr w:type="spellEnd"/>
      <w:r w:rsidRPr="001153D2">
        <w:rPr>
          <w:rFonts w:ascii="Arial" w:hAnsi="Arial" w:cs="Arial"/>
        </w:rPr>
        <w:t xml:space="preserve"> community, to compare the antibiotic susceptibility profile of HA-MRSA and CA-MRSA isolates and to determine the MAR index of these isolates.</w:t>
      </w:r>
    </w:p>
    <w:p w14:paraId="34C9327C" w14:textId="77777777" w:rsidR="00790ADA" w:rsidRPr="00FB3A86" w:rsidRDefault="00790ADA" w:rsidP="00441B6F">
      <w:pPr>
        <w:pStyle w:val="Body"/>
        <w:spacing w:after="0"/>
        <w:rPr>
          <w:rFonts w:ascii="Arial" w:hAnsi="Arial" w:cs="Arial"/>
        </w:rPr>
      </w:pPr>
    </w:p>
    <w:p w14:paraId="25A29F7B" w14:textId="6E7A3CCE" w:rsidR="007F7B32" w:rsidRDefault="00902823" w:rsidP="00441B6F">
      <w:pPr>
        <w:pStyle w:val="AbstHead"/>
        <w:spacing w:after="0"/>
        <w:jc w:val="both"/>
        <w:rPr>
          <w:rFonts w:ascii="Arial" w:hAnsi="Arial" w:cs="Arial"/>
        </w:rPr>
      </w:pPr>
      <w:r>
        <w:rPr>
          <w:rFonts w:ascii="Arial" w:hAnsi="Arial" w:cs="Arial"/>
        </w:rPr>
        <w:lastRenderedPageBreak/>
        <w:t>2. material and method</w:t>
      </w:r>
      <w:r w:rsidR="00000F8F">
        <w:rPr>
          <w:rFonts w:ascii="Arial" w:hAnsi="Arial" w:cs="Arial"/>
        </w:rPr>
        <w:t xml:space="preserve">s </w:t>
      </w:r>
    </w:p>
    <w:p w14:paraId="6ACD02C1" w14:textId="77777777" w:rsidR="00790ADA" w:rsidRPr="00FB3A86" w:rsidRDefault="00790ADA" w:rsidP="00441B6F">
      <w:pPr>
        <w:pStyle w:val="AbstHead"/>
        <w:spacing w:after="0"/>
        <w:jc w:val="both"/>
        <w:rPr>
          <w:rFonts w:ascii="Arial" w:hAnsi="Arial" w:cs="Arial"/>
        </w:rPr>
      </w:pPr>
    </w:p>
    <w:p w14:paraId="26709319" w14:textId="77777777" w:rsidR="004600D5" w:rsidRPr="001153D2" w:rsidRDefault="004600D5" w:rsidP="004600D5">
      <w:pPr>
        <w:jc w:val="both"/>
        <w:rPr>
          <w:rFonts w:ascii="Arial" w:hAnsi="Arial" w:cs="Arial"/>
          <w:b/>
          <w:bCs/>
        </w:rPr>
      </w:pPr>
      <w:r w:rsidRPr="001153D2">
        <w:rPr>
          <w:rFonts w:ascii="Arial" w:hAnsi="Arial" w:cs="Arial"/>
          <w:b/>
          <w:bCs/>
        </w:rPr>
        <w:t>2.1 Study Area and Population</w:t>
      </w:r>
    </w:p>
    <w:p w14:paraId="47C7E386" w14:textId="77777777" w:rsidR="004600D5" w:rsidRPr="001153D2" w:rsidRDefault="004600D5" w:rsidP="004600D5">
      <w:pPr>
        <w:spacing w:after="240"/>
        <w:jc w:val="both"/>
        <w:rPr>
          <w:rFonts w:ascii="Arial" w:hAnsi="Arial" w:cs="Arial"/>
        </w:rPr>
      </w:pPr>
      <w:r w:rsidRPr="001153D2">
        <w:rPr>
          <w:rFonts w:ascii="Arial" w:hAnsi="Arial" w:cs="Arial"/>
        </w:rPr>
        <w:t xml:space="preserve">The study was carried out in </w:t>
      </w:r>
      <w:proofErr w:type="spellStart"/>
      <w:r w:rsidRPr="001153D2">
        <w:rPr>
          <w:rFonts w:ascii="Arial" w:hAnsi="Arial" w:cs="Arial"/>
        </w:rPr>
        <w:t>Ekpoma</w:t>
      </w:r>
      <w:proofErr w:type="spellEnd"/>
      <w:r w:rsidRPr="001153D2">
        <w:rPr>
          <w:rFonts w:ascii="Arial" w:hAnsi="Arial" w:cs="Arial"/>
        </w:rPr>
        <w:t xml:space="preserve"> community and Irrua Specialist Teaching Hospital (ISTH), Irrua, Edo State, Nigeria. </w:t>
      </w:r>
      <w:proofErr w:type="spellStart"/>
      <w:r w:rsidRPr="001153D2">
        <w:rPr>
          <w:rFonts w:ascii="Arial" w:hAnsi="Arial" w:cs="Arial"/>
        </w:rPr>
        <w:t>Ekpoma</w:t>
      </w:r>
      <w:proofErr w:type="spellEnd"/>
      <w:r w:rsidRPr="001153D2">
        <w:rPr>
          <w:rFonts w:ascii="Arial" w:hAnsi="Arial" w:cs="Arial"/>
        </w:rPr>
        <w:t xml:space="preserve"> is the administrative capital of Esan West Local Government Area, located at latitude 6°45'N, longitude 6°08'E, with a population of more than 80,000. Irrua is the administrative capital of Esan Central Local Government Area, located at latitude 5°15'48"E, with a population of about 40,000. ISTH is a Federal Government teaching hospital and the teaching hospital for Ambrose Alli University's medical program.</w:t>
      </w:r>
    </w:p>
    <w:p w14:paraId="5A70636B" w14:textId="77777777" w:rsidR="004600D5" w:rsidRPr="001153D2" w:rsidRDefault="004600D5" w:rsidP="004600D5">
      <w:pPr>
        <w:spacing w:after="240"/>
        <w:jc w:val="both"/>
        <w:rPr>
          <w:rFonts w:ascii="Arial" w:hAnsi="Arial" w:cs="Arial"/>
        </w:rPr>
      </w:pPr>
      <w:r w:rsidRPr="001153D2">
        <w:rPr>
          <w:rFonts w:ascii="Arial" w:hAnsi="Arial" w:cs="Arial"/>
        </w:rPr>
        <w:t xml:space="preserve">The study population consisted of two different groups: HA-MRSA isolations involved doctors, nurses, patients, cleaners, and fomites from ISTH, Irrua; while CA-MRSA isolations were carried out on apparently healthy residents of </w:t>
      </w:r>
      <w:proofErr w:type="spellStart"/>
      <w:r w:rsidRPr="001153D2">
        <w:rPr>
          <w:rFonts w:ascii="Arial" w:hAnsi="Arial" w:cs="Arial"/>
        </w:rPr>
        <w:t>Ekpoma</w:t>
      </w:r>
      <w:proofErr w:type="spellEnd"/>
      <w:r w:rsidRPr="001153D2">
        <w:rPr>
          <w:rFonts w:ascii="Arial" w:hAnsi="Arial" w:cs="Arial"/>
        </w:rPr>
        <w:t xml:space="preserve"> community who have not visited any hospital within the year prior to the study.</w:t>
      </w:r>
    </w:p>
    <w:p w14:paraId="24A2F49D" w14:textId="77777777" w:rsidR="004600D5" w:rsidRPr="001153D2" w:rsidRDefault="004600D5" w:rsidP="004600D5">
      <w:pPr>
        <w:jc w:val="both"/>
        <w:rPr>
          <w:rFonts w:ascii="Arial" w:hAnsi="Arial" w:cs="Arial"/>
          <w:b/>
          <w:bCs/>
        </w:rPr>
      </w:pPr>
      <w:r w:rsidRPr="001153D2">
        <w:rPr>
          <w:rFonts w:ascii="Arial" w:hAnsi="Arial" w:cs="Arial"/>
          <w:b/>
          <w:bCs/>
        </w:rPr>
        <w:t>2.2 Sample Size Determination</w:t>
      </w:r>
    </w:p>
    <w:p w14:paraId="1A8EDE5D" w14:textId="77777777" w:rsidR="004600D5" w:rsidRPr="001153D2" w:rsidRDefault="004600D5" w:rsidP="004600D5">
      <w:pPr>
        <w:spacing w:after="160"/>
        <w:jc w:val="both"/>
        <w:rPr>
          <w:rFonts w:ascii="Arial" w:hAnsi="Arial" w:cs="Arial"/>
        </w:rPr>
      </w:pPr>
      <w:r w:rsidRPr="001153D2">
        <w:rPr>
          <w:rFonts w:ascii="Arial" w:hAnsi="Arial" w:cs="Arial"/>
        </w:rPr>
        <w:t xml:space="preserve">Sample size was determined using Bartlett's formula (Bartlett </w:t>
      </w:r>
      <w:r w:rsidRPr="001153D2">
        <w:rPr>
          <w:rFonts w:ascii="Arial" w:hAnsi="Arial" w:cs="Arial"/>
          <w:i/>
          <w:iCs/>
        </w:rPr>
        <w:t>et al</w:t>
      </w:r>
      <w:r w:rsidRPr="001153D2">
        <w:rPr>
          <w:rFonts w:ascii="Arial" w:hAnsi="Arial" w:cs="Arial"/>
        </w:rPr>
        <w:t>., 2001):</w:t>
      </w:r>
    </w:p>
    <w:p w14:paraId="75F55984" w14:textId="77777777" w:rsidR="004600D5" w:rsidRPr="001153D2" w:rsidRDefault="004600D5" w:rsidP="004600D5">
      <w:pPr>
        <w:spacing w:after="160"/>
        <w:jc w:val="both"/>
        <w:rPr>
          <w:rFonts w:ascii="Arial" w:hAnsi="Arial" w:cs="Arial"/>
        </w:rPr>
      </w:pPr>
      <m:oMathPara>
        <m:oMath>
          <m:r>
            <w:rPr>
              <w:rFonts w:ascii="Cambria Math" w:hAnsi="Cambria Math" w:cs="Arial"/>
            </w:rPr>
            <m:t>N=</m:t>
          </m:r>
          <m:f>
            <m:fPr>
              <m:ctrlPr>
                <w:rPr>
                  <w:rFonts w:ascii="Cambria Math" w:hAnsi="Cambria Math" w:cs="Arial"/>
                </w:rPr>
              </m:ctrlPr>
            </m:fPr>
            <m:num>
              <m:r>
                <w:rPr>
                  <w:rFonts w:ascii="Cambria Math" w:hAnsi="Cambria Math" w:cs="Arial"/>
                </w:rPr>
                <m:t>P</m:t>
              </m:r>
              <m:d>
                <m:dPr>
                  <m:ctrlPr>
                    <w:rPr>
                      <w:rFonts w:ascii="Cambria Math" w:hAnsi="Cambria Math" w:cs="Arial"/>
                    </w:rPr>
                  </m:ctrlPr>
                </m:dPr>
                <m:e>
                  <m:r>
                    <w:rPr>
                      <w:rFonts w:ascii="Cambria Math" w:hAnsi="Cambria Math" w:cs="Arial"/>
                    </w:rPr>
                    <m:t>100-P</m:t>
                  </m:r>
                </m:e>
              </m:d>
              <m:sSup>
                <m:sSupPr>
                  <m:ctrlPr>
                    <w:rPr>
                      <w:rFonts w:ascii="Cambria Math" w:hAnsi="Cambria Math" w:cs="Arial"/>
                    </w:rPr>
                  </m:ctrlPr>
                </m:sSupPr>
                <m:e>
                  <m:r>
                    <w:rPr>
                      <w:rFonts w:ascii="Cambria Math" w:hAnsi="Cambria Math" w:cs="Arial"/>
                    </w:rPr>
                    <m:t>Z</m:t>
                  </m:r>
                </m:e>
                <m:sup>
                  <m:r>
                    <w:rPr>
                      <w:rFonts w:ascii="Cambria Math" w:hAnsi="Cambria Math" w:cs="Arial"/>
                    </w:rPr>
                    <m:t>2</m:t>
                  </m:r>
                </m:sup>
              </m:sSup>
            </m:num>
            <m:den>
              <m:sSup>
                <m:sSupPr>
                  <m:ctrlPr>
                    <w:rPr>
                      <w:rFonts w:ascii="Cambria Math" w:hAnsi="Cambria Math" w:cs="Arial"/>
                    </w:rPr>
                  </m:ctrlPr>
                </m:sSupPr>
                <m:e>
                  <m:r>
                    <w:rPr>
                      <w:rFonts w:ascii="Cambria Math" w:hAnsi="Cambria Math" w:cs="Arial"/>
                    </w:rPr>
                    <m:t>E</m:t>
                  </m:r>
                </m:e>
                <m:sup>
                  <m:r>
                    <w:rPr>
                      <w:rFonts w:ascii="Cambria Math" w:hAnsi="Cambria Math" w:cs="Arial"/>
                    </w:rPr>
                    <m:t>2</m:t>
                  </m:r>
                </m:sup>
              </m:sSup>
            </m:den>
          </m:f>
        </m:oMath>
      </m:oMathPara>
    </w:p>
    <w:p w14:paraId="607824F2" w14:textId="77777777" w:rsidR="004600D5" w:rsidRPr="001153D2" w:rsidRDefault="004600D5" w:rsidP="004600D5">
      <w:pPr>
        <w:tabs>
          <w:tab w:val="num" w:pos="720"/>
        </w:tabs>
        <w:spacing w:after="160"/>
        <w:jc w:val="both"/>
        <w:rPr>
          <w:rFonts w:ascii="Arial" w:hAnsi="Arial" w:cs="Arial"/>
        </w:rPr>
      </w:pPr>
      <w:r w:rsidRPr="001153D2">
        <w:rPr>
          <w:rFonts w:ascii="Arial" w:hAnsi="Arial" w:cs="Arial"/>
        </w:rPr>
        <w:t xml:space="preserve">Where: </w:t>
      </w:r>
      <m:oMath>
        <m:r>
          <w:rPr>
            <w:rFonts w:ascii="Cambria Math" w:hAnsi="Cambria Math" w:cs="Arial"/>
          </w:rPr>
          <m:t>N</m:t>
        </m:r>
      </m:oMath>
      <w:r w:rsidRPr="001153D2">
        <w:rPr>
          <w:rFonts w:ascii="Arial" w:hAnsi="Arial" w:cs="Arial"/>
        </w:rPr>
        <w:t xml:space="preserve"> = required sample size, </w:t>
      </w:r>
      <m:oMath>
        <m:r>
          <w:rPr>
            <w:rFonts w:ascii="Cambria Math" w:hAnsi="Cambria Math" w:cs="Arial"/>
          </w:rPr>
          <m:t>P</m:t>
        </m:r>
      </m:oMath>
      <w:r w:rsidRPr="001153D2">
        <w:rPr>
          <w:rFonts w:ascii="Arial" w:hAnsi="Arial" w:cs="Arial"/>
        </w:rPr>
        <w:t xml:space="preserve"> = percentage occurrence of the event (30%; Ogefere and Lawrence, 2019), </w:t>
      </w:r>
      <m:oMath>
        <m:r>
          <w:rPr>
            <w:rFonts w:ascii="Cambria Math" w:hAnsi="Cambria Math" w:cs="Arial"/>
          </w:rPr>
          <m:t>E</m:t>
        </m:r>
      </m:oMath>
      <w:r w:rsidRPr="001153D2">
        <w:rPr>
          <w:rFonts w:ascii="Arial" w:hAnsi="Arial" w:cs="Arial"/>
        </w:rPr>
        <w:t xml:space="preserve"> = percentage error required (5%), </w:t>
      </w:r>
      <m:oMath>
        <m:r>
          <w:rPr>
            <w:rFonts w:ascii="Cambria Math" w:hAnsi="Cambria Math" w:cs="Arial"/>
          </w:rPr>
          <m:t>Z</m:t>
        </m:r>
      </m:oMath>
      <w:r w:rsidRPr="001153D2">
        <w:rPr>
          <w:rFonts w:ascii="Arial" w:hAnsi="Arial" w:cs="Arial"/>
        </w:rPr>
        <w:t> = statistical value corresponding to confidence level (95%) which is 1.96</w:t>
      </w:r>
    </w:p>
    <w:p w14:paraId="7C2E4BD3" w14:textId="77777777" w:rsidR="004600D5" w:rsidRPr="001153D2" w:rsidRDefault="004600D5" w:rsidP="004600D5">
      <w:pPr>
        <w:spacing w:after="160"/>
        <w:jc w:val="both"/>
        <w:rPr>
          <w:rFonts w:ascii="Arial" w:hAnsi="Arial" w:cs="Arial"/>
        </w:rPr>
      </w:pPr>
      <w:r w:rsidRPr="001153D2">
        <w:rPr>
          <w:rFonts w:ascii="Arial" w:hAnsi="Arial" w:cs="Arial"/>
        </w:rPr>
        <w:t>Inputting these figures into Bartlett's formula:</w:t>
      </w:r>
    </w:p>
    <w:p w14:paraId="171FDDC8" w14:textId="77777777" w:rsidR="004600D5" w:rsidRPr="001153D2" w:rsidRDefault="004600D5" w:rsidP="004600D5">
      <w:pPr>
        <w:spacing w:after="160"/>
        <w:jc w:val="both"/>
        <w:rPr>
          <w:rFonts w:ascii="Arial" w:hAnsi="Arial" w:cs="Arial"/>
        </w:rPr>
      </w:pPr>
      <m:oMathPara>
        <m:oMath>
          <m:r>
            <w:rPr>
              <w:rFonts w:ascii="Cambria Math" w:hAnsi="Cambria Math" w:cs="Arial"/>
            </w:rPr>
            <m:t>N=</m:t>
          </m:r>
          <m:f>
            <m:fPr>
              <m:ctrlPr>
                <w:rPr>
                  <w:rFonts w:ascii="Cambria Math" w:hAnsi="Cambria Math" w:cs="Arial"/>
                </w:rPr>
              </m:ctrlPr>
            </m:fPr>
            <m:num>
              <m:r>
                <w:rPr>
                  <w:rFonts w:ascii="Cambria Math" w:hAnsi="Cambria Math" w:cs="Arial"/>
                </w:rPr>
                <m:t>30</m:t>
              </m:r>
              <m:d>
                <m:dPr>
                  <m:ctrlPr>
                    <w:rPr>
                      <w:rFonts w:ascii="Cambria Math" w:hAnsi="Cambria Math" w:cs="Arial"/>
                    </w:rPr>
                  </m:ctrlPr>
                </m:dPr>
                <m:e>
                  <m:r>
                    <w:rPr>
                      <w:rFonts w:ascii="Cambria Math" w:hAnsi="Cambria Math" w:cs="Arial"/>
                    </w:rPr>
                    <m:t>100-30</m:t>
                  </m:r>
                </m:e>
              </m:d>
              <m:sSup>
                <m:sSupPr>
                  <m:ctrlPr>
                    <w:rPr>
                      <w:rFonts w:ascii="Cambria Math" w:hAnsi="Cambria Math" w:cs="Arial"/>
                    </w:rPr>
                  </m:ctrlPr>
                </m:sSupPr>
                <m:e>
                  <m:d>
                    <m:dPr>
                      <m:ctrlPr>
                        <w:rPr>
                          <w:rFonts w:ascii="Cambria Math" w:hAnsi="Cambria Math" w:cs="Arial"/>
                        </w:rPr>
                      </m:ctrlPr>
                    </m:dPr>
                    <m:e>
                      <m:r>
                        <w:rPr>
                          <w:rFonts w:ascii="Cambria Math" w:hAnsi="Cambria Math" w:cs="Arial"/>
                        </w:rPr>
                        <m:t>1.96</m:t>
                      </m:r>
                    </m:e>
                  </m:d>
                </m:e>
                <m:sup>
                  <m:r>
                    <w:rPr>
                      <w:rFonts w:ascii="Cambria Math" w:hAnsi="Cambria Math" w:cs="Arial"/>
                    </w:rPr>
                    <m:t>2</m:t>
                  </m:r>
                </m:sup>
              </m:sSup>
            </m:num>
            <m:den>
              <m:sSup>
                <m:sSupPr>
                  <m:ctrlPr>
                    <w:rPr>
                      <w:rFonts w:ascii="Cambria Math" w:hAnsi="Cambria Math" w:cs="Arial"/>
                    </w:rPr>
                  </m:ctrlPr>
                </m:sSupPr>
                <m:e>
                  <m:r>
                    <w:rPr>
                      <w:rFonts w:ascii="Cambria Math" w:hAnsi="Cambria Math" w:cs="Arial"/>
                    </w:rPr>
                    <m:t>5</m:t>
                  </m:r>
                </m:e>
                <m:sup>
                  <m:r>
                    <w:rPr>
                      <w:rFonts w:ascii="Cambria Math" w:hAnsi="Cambria Math" w:cs="Arial"/>
                    </w:rPr>
                    <m:t>2</m:t>
                  </m:r>
                </m:sup>
              </m:sSup>
            </m:den>
          </m:f>
        </m:oMath>
      </m:oMathPara>
    </w:p>
    <w:p w14:paraId="3C8C0C83" w14:textId="77777777" w:rsidR="004600D5" w:rsidRPr="001153D2" w:rsidRDefault="004600D5" w:rsidP="004600D5">
      <w:pPr>
        <w:spacing w:after="160"/>
        <w:jc w:val="both"/>
        <w:rPr>
          <w:rFonts w:ascii="Arial" w:hAnsi="Arial" w:cs="Arial"/>
        </w:rPr>
      </w:pPr>
      <m:oMathPara>
        <m:oMath>
          <m:r>
            <w:rPr>
              <w:rFonts w:ascii="Cambria Math" w:hAnsi="Cambria Math" w:cs="Arial"/>
            </w:rPr>
            <m:t>N=</m:t>
          </m:r>
          <m:f>
            <m:fPr>
              <m:ctrlPr>
                <w:rPr>
                  <w:rFonts w:ascii="Cambria Math" w:hAnsi="Cambria Math" w:cs="Arial"/>
                </w:rPr>
              </m:ctrlPr>
            </m:fPr>
            <m:num>
              <m:r>
                <w:rPr>
                  <w:rFonts w:ascii="Cambria Math" w:hAnsi="Cambria Math" w:cs="Arial"/>
                </w:rPr>
                <m:t>30×70×3.8416</m:t>
              </m:r>
            </m:num>
            <m:den>
              <m:r>
                <w:rPr>
                  <w:rFonts w:ascii="Cambria Math" w:hAnsi="Cambria Math" w:cs="Arial"/>
                </w:rPr>
                <m:t>25</m:t>
              </m:r>
            </m:den>
          </m:f>
        </m:oMath>
      </m:oMathPara>
    </w:p>
    <w:p w14:paraId="63C8C2AC" w14:textId="77777777" w:rsidR="004600D5" w:rsidRPr="001153D2" w:rsidRDefault="004600D5" w:rsidP="004600D5">
      <w:pPr>
        <w:spacing w:after="160"/>
        <w:jc w:val="both"/>
        <w:rPr>
          <w:rFonts w:ascii="Arial" w:hAnsi="Arial" w:cs="Arial"/>
        </w:rPr>
      </w:pPr>
      <m:oMathPara>
        <m:oMath>
          <m:r>
            <w:rPr>
              <w:rFonts w:ascii="Cambria Math" w:hAnsi="Cambria Math" w:cs="Arial"/>
            </w:rPr>
            <m:t>N=</m:t>
          </m:r>
          <m:f>
            <m:fPr>
              <m:ctrlPr>
                <w:rPr>
                  <w:rFonts w:ascii="Cambria Math" w:hAnsi="Cambria Math" w:cs="Arial"/>
                </w:rPr>
              </m:ctrlPr>
            </m:fPr>
            <m:num>
              <m:r>
                <w:rPr>
                  <w:rFonts w:ascii="Cambria Math" w:hAnsi="Cambria Math" w:cs="Arial"/>
                </w:rPr>
                <m:t>8067.36</m:t>
              </m:r>
            </m:num>
            <m:den>
              <m:r>
                <w:rPr>
                  <w:rFonts w:ascii="Cambria Math" w:hAnsi="Cambria Math" w:cs="Arial"/>
                </w:rPr>
                <m:t>25</m:t>
              </m:r>
            </m:den>
          </m:f>
        </m:oMath>
      </m:oMathPara>
    </w:p>
    <w:p w14:paraId="27E12C75" w14:textId="77777777" w:rsidR="004600D5" w:rsidRPr="001153D2" w:rsidRDefault="004600D5" w:rsidP="004600D5">
      <w:pPr>
        <w:spacing w:after="160"/>
        <w:jc w:val="both"/>
        <w:rPr>
          <w:rFonts w:ascii="Arial" w:hAnsi="Arial" w:cs="Arial"/>
        </w:rPr>
      </w:pPr>
      <m:oMathPara>
        <m:oMath>
          <m:r>
            <w:rPr>
              <w:rFonts w:ascii="Cambria Math" w:hAnsi="Cambria Math" w:cs="Arial"/>
            </w:rPr>
            <m:t>N=322.7≈310</m:t>
          </m:r>
        </m:oMath>
      </m:oMathPara>
    </w:p>
    <w:p w14:paraId="04735488" w14:textId="77777777" w:rsidR="004600D5" w:rsidRPr="001153D2" w:rsidRDefault="004600D5" w:rsidP="004600D5">
      <w:pPr>
        <w:spacing w:after="160"/>
        <w:jc w:val="both"/>
        <w:rPr>
          <w:rFonts w:ascii="Arial" w:hAnsi="Arial" w:cs="Arial"/>
        </w:rPr>
      </w:pPr>
      <w:r w:rsidRPr="001153D2">
        <w:rPr>
          <w:rFonts w:ascii="Arial" w:hAnsi="Arial" w:cs="Arial"/>
        </w:rPr>
        <w:t>Hence, a total of 310 samples were required from each study population, giving a total of 620 samples for this study (both CA-MRSA and HA-MRSA).</w:t>
      </w:r>
    </w:p>
    <w:p w14:paraId="577E9895" w14:textId="77777777" w:rsidR="004600D5" w:rsidRPr="001153D2" w:rsidRDefault="004600D5" w:rsidP="004600D5">
      <w:pPr>
        <w:jc w:val="both"/>
        <w:rPr>
          <w:rFonts w:ascii="Arial" w:hAnsi="Arial" w:cs="Arial"/>
          <w:b/>
          <w:bCs/>
        </w:rPr>
      </w:pPr>
      <w:r w:rsidRPr="001153D2">
        <w:rPr>
          <w:rFonts w:ascii="Arial" w:hAnsi="Arial" w:cs="Arial"/>
          <w:b/>
          <w:bCs/>
        </w:rPr>
        <w:t>2.3 Ethical Approval</w:t>
      </w:r>
    </w:p>
    <w:p w14:paraId="2EB0684B" w14:textId="77777777" w:rsidR="004600D5" w:rsidRPr="001153D2" w:rsidRDefault="004600D5" w:rsidP="004600D5">
      <w:pPr>
        <w:spacing w:after="160"/>
        <w:jc w:val="both"/>
        <w:rPr>
          <w:rFonts w:ascii="Arial" w:hAnsi="Arial" w:cs="Arial"/>
        </w:rPr>
      </w:pPr>
      <w:r w:rsidRPr="001153D2">
        <w:rPr>
          <w:rFonts w:ascii="Arial" w:hAnsi="Arial" w:cs="Arial"/>
        </w:rPr>
        <w:t>Ethical approval was obtained from the Ethical Committee of ISTH, Irrua, before commencement of the study.</w:t>
      </w:r>
    </w:p>
    <w:p w14:paraId="409DC8C2" w14:textId="77777777" w:rsidR="004600D5" w:rsidRPr="001153D2" w:rsidRDefault="004600D5" w:rsidP="004600D5">
      <w:pPr>
        <w:jc w:val="both"/>
        <w:rPr>
          <w:rFonts w:ascii="Arial" w:hAnsi="Arial" w:cs="Arial"/>
          <w:b/>
          <w:bCs/>
        </w:rPr>
      </w:pPr>
      <w:r w:rsidRPr="001153D2">
        <w:rPr>
          <w:rFonts w:ascii="Arial" w:hAnsi="Arial" w:cs="Arial"/>
          <w:b/>
          <w:bCs/>
        </w:rPr>
        <w:t>2.4 Sample Collection</w:t>
      </w:r>
    </w:p>
    <w:p w14:paraId="002B8735" w14:textId="77777777" w:rsidR="004600D5" w:rsidRPr="001153D2" w:rsidRDefault="004600D5" w:rsidP="004600D5">
      <w:pPr>
        <w:spacing w:after="160"/>
        <w:jc w:val="both"/>
        <w:rPr>
          <w:rFonts w:ascii="Arial" w:hAnsi="Arial" w:cs="Arial"/>
        </w:rPr>
      </w:pPr>
      <w:r w:rsidRPr="001153D2">
        <w:rPr>
          <w:rFonts w:ascii="Arial" w:hAnsi="Arial" w:cs="Arial"/>
        </w:rPr>
        <w:t xml:space="preserve">The sample size for HA-MRSA consisted of 310 nasal, wound, and fomite samples collected from 14 clinic departments of ISTH. For each department, 20-25 samples were collected based on the number of shifts. Nasal and wound samples were obtained by using sterile swab sticks (Oxoid) from doctors, nurses, cleaners, and patients; similarly, fomites were also sampled by swabbing. For CA-MRSA, 310 nasal swabs were obtained from healthy individuals from the </w:t>
      </w:r>
      <w:proofErr w:type="spellStart"/>
      <w:r w:rsidRPr="001153D2">
        <w:rPr>
          <w:rFonts w:ascii="Arial" w:hAnsi="Arial" w:cs="Arial"/>
        </w:rPr>
        <w:t>Ekpoma</w:t>
      </w:r>
      <w:proofErr w:type="spellEnd"/>
      <w:r w:rsidRPr="001153D2">
        <w:rPr>
          <w:rFonts w:ascii="Arial" w:hAnsi="Arial" w:cs="Arial"/>
        </w:rPr>
        <w:t xml:space="preserve"> community including schools, churches, markets, and motor parks.</w:t>
      </w:r>
    </w:p>
    <w:p w14:paraId="20EEAFBB" w14:textId="77777777" w:rsidR="004600D5" w:rsidRPr="001153D2" w:rsidRDefault="004600D5" w:rsidP="004600D5">
      <w:pPr>
        <w:jc w:val="both"/>
        <w:rPr>
          <w:rFonts w:ascii="Arial" w:hAnsi="Arial" w:cs="Arial"/>
          <w:b/>
          <w:bCs/>
        </w:rPr>
      </w:pPr>
      <w:r w:rsidRPr="001153D2">
        <w:rPr>
          <w:rFonts w:ascii="Arial" w:hAnsi="Arial" w:cs="Arial"/>
          <w:b/>
          <w:bCs/>
        </w:rPr>
        <w:t>2.5 Isolation and Identification of Staphylococcus aureus</w:t>
      </w:r>
    </w:p>
    <w:p w14:paraId="7FD86A9A" w14:textId="77777777" w:rsidR="004600D5" w:rsidRPr="001153D2" w:rsidRDefault="004600D5" w:rsidP="004600D5">
      <w:pPr>
        <w:spacing w:after="160"/>
        <w:jc w:val="both"/>
        <w:rPr>
          <w:rFonts w:ascii="Arial" w:hAnsi="Arial" w:cs="Arial"/>
        </w:rPr>
      </w:pPr>
      <w:r w:rsidRPr="001153D2">
        <w:rPr>
          <w:rFonts w:ascii="Arial" w:hAnsi="Arial" w:cs="Arial"/>
        </w:rPr>
        <w:t xml:space="preserve">Swab samples were streaked on Mannitol Salt Agar (MSA) and incubated for 24 hours at 37°C. The presumptive </w:t>
      </w:r>
      <w:r w:rsidRPr="001153D2">
        <w:rPr>
          <w:rFonts w:ascii="Arial" w:hAnsi="Arial" w:cs="Arial"/>
          <w:i/>
          <w:iCs/>
        </w:rPr>
        <w:t xml:space="preserve">S. aureus </w:t>
      </w:r>
      <w:r w:rsidRPr="001153D2">
        <w:rPr>
          <w:rFonts w:ascii="Arial" w:hAnsi="Arial" w:cs="Arial"/>
        </w:rPr>
        <w:t xml:space="preserve">strains (yellow colonies resulting from the fermentation of </w:t>
      </w:r>
      <w:r w:rsidRPr="001153D2">
        <w:rPr>
          <w:rFonts w:ascii="Arial" w:hAnsi="Arial" w:cs="Arial"/>
        </w:rPr>
        <w:lastRenderedPageBreak/>
        <w:t>mannitol) and coagulase-negative staphylococci (</w:t>
      </w:r>
      <w:proofErr w:type="spellStart"/>
      <w:r w:rsidRPr="001153D2">
        <w:rPr>
          <w:rFonts w:ascii="Arial" w:hAnsi="Arial" w:cs="Arial"/>
        </w:rPr>
        <w:t>CoNS</w:t>
      </w:r>
      <w:proofErr w:type="spellEnd"/>
      <w:r w:rsidRPr="001153D2">
        <w:rPr>
          <w:rFonts w:ascii="Arial" w:hAnsi="Arial" w:cs="Arial"/>
        </w:rPr>
        <w:t>) underwent Gram staining and various biochemical tests such as catalase, coagulase, oxidase, citrate, indole, urease, and sugars metabolism tests using standard protocols (Cheesbrough, 2000).</w:t>
      </w:r>
    </w:p>
    <w:p w14:paraId="2C7EA416" w14:textId="77777777" w:rsidR="004600D5" w:rsidRPr="001153D2" w:rsidRDefault="004600D5" w:rsidP="004600D5">
      <w:pPr>
        <w:jc w:val="both"/>
        <w:rPr>
          <w:rFonts w:ascii="Arial" w:hAnsi="Arial" w:cs="Arial"/>
          <w:b/>
          <w:bCs/>
        </w:rPr>
      </w:pPr>
      <w:r w:rsidRPr="001153D2">
        <w:rPr>
          <w:rFonts w:ascii="Arial" w:hAnsi="Arial" w:cs="Arial"/>
          <w:b/>
          <w:bCs/>
        </w:rPr>
        <w:t>2.6 Isolation of MRSA</w:t>
      </w:r>
    </w:p>
    <w:p w14:paraId="1169A980" w14:textId="77777777" w:rsidR="004600D5" w:rsidRPr="001153D2" w:rsidRDefault="004600D5" w:rsidP="004600D5">
      <w:pPr>
        <w:spacing w:after="240"/>
        <w:jc w:val="both"/>
        <w:rPr>
          <w:rFonts w:ascii="Arial" w:hAnsi="Arial" w:cs="Arial"/>
        </w:rPr>
      </w:pPr>
      <w:r w:rsidRPr="001153D2">
        <w:rPr>
          <w:rFonts w:ascii="Arial" w:hAnsi="Arial" w:cs="Arial"/>
        </w:rPr>
        <w:t xml:space="preserve">MRSA was detected among presumptive </w:t>
      </w:r>
      <w:r>
        <w:rPr>
          <w:rFonts w:ascii="Arial" w:hAnsi="Arial" w:cs="Arial"/>
        </w:rPr>
        <w:t>S. aureus</w:t>
      </w:r>
      <w:r w:rsidRPr="001153D2">
        <w:rPr>
          <w:rFonts w:ascii="Arial" w:hAnsi="Arial" w:cs="Arial"/>
        </w:rPr>
        <w:t xml:space="preserve"> isolates on Oxacillin Resistant Screening Agar Base (ORSAB) through a change in color from pale blue to deep blue. The isolated strains were subjected to confirmation through the disk diffusion method using 1 </w:t>
      </w:r>
      <w:proofErr w:type="spellStart"/>
      <w:r w:rsidRPr="001153D2">
        <w:rPr>
          <w:rFonts w:ascii="Arial" w:hAnsi="Arial" w:cs="Arial"/>
        </w:rPr>
        <w:t>μg</w:t>
      </w:r>
      <w:proofErr w:type="spellEnd"/>
      <w:r w:rsidRPr="001153D2">
        <w:rPr>
          <w:rFonts w:ascii="Arial" w:hAnsi="Arial" w:cs="Arial"/>
        </w:rPr>
        <w:t xml:space="preserve"> oxacillin disks on 5% NaCl Mueller Hinton agar. Zones of clearance were determined after 24 hours of incubation at 37°C following CLSI (2017) guidelines.</w:t>
      </w:r>
    </w:p>
    <w:p w14:paraId="1D984E3F" w14:textId="77777777" w:rsidR="004600D5" w:rsidRPr="001153D2" w:rsidRDefault="004600D5" w:rsidP="004600D5">
      <w:pPr>
        <w:jc w:val="both"/>
        <w:rPr>
          <w:rFonts w:ascii="Arial" w:hAnsi="Arial" w:cs="Arial"/>
          <w:b/>
          <w:bCs/>
        </w:rPr>
      </w:pPr>
      <w:r w:rsidRPr="001153D2">
        <w:rPr>
          <w:rFonts w:ascii="Arial" w:hAnsi="Arial" w:cs="Arial"/>
          <w:b/>
          <w:bCs/>
        </w:rPr>
        <w:t>2.7 Antibiotic Susceptibility Testing</w:t>
      </w:r>
    </w:p>
    <w:p w14:paraId="76FE89F2" w14:textId="77777777" w:rsidR="004600D5" w:rsidRPr="001153D2" w:rsidRDefault="004600D5" w:rsidP="004600D5">
      <w:pPr>
        <w:spacing w:after="240"/>
        <w:jc w:val="both"/>
        <w:rPr>
          <w:rFonts w:ascii="Arial" w:hAnsi="Arial" w:cs="Arial"/>
        </w:rPr>
      </w:pPr>
      <w:r w:rsidRPr="001153D2">
        <w:rPr>
          <w:rFonts w:ascii="Arial" w:hAnsi="Arial" w:cs="Arial"/>
        </w:rPr>
        <w:t xml:space="preserve">Susceptibility testing of all confirmed MRSA isolates was carried out using a range of antibiotics including vancomycin (1 </w:t>
      </w:r>
      <w:proofErr w:type="spellStart"/>
      <w:r w:rsidRPr="001153D2">
        <w:rPr>
          <w:rFonts w:ascii="Arial" w:hAnsi="Arial" w:cs="Arial"/>
        </w:rPr>
        <w:t>μg</w:t>
      </w:r>
      <w:proofErr w:type="spellEnd"/>
      <w:r w:rsidRPr="001153D2">
        <w:rPr>
          <w:rFonts w:ascii="Arial" w:hAnsi="Arial" w:cs="Arial"/>
        </w:rPr>
        <w:t xml:space="preserve">), linezolid (1 </w:t>
      </w:r>
      <w:proofErr w:type="spellStart"/>
      <w:r w:rsidRPr="001153D2">
        <w:rPr>
          <w:rFonts w:ascii="Arial" w:hAnsi="Arial" w:cs="Arial"/>
        </w:rPr>
        <w:t>μg</w:t>
      </w:r>
      <w:proofErr w:type="spellEnd"/>
      <w:r w:rsidRPr="001153D2">
        <w:rPr>
          <w:rFonts w:ascii="Arial" w:hAnsi="Arial" w:cs="Arial"/>
        </w:rPr>
        <w:t xml:space="preserve">), cloxacillin (5 </w:t>
      </w:r>
      <w:proofErr w:type="spellStart"/>
      <w:r w:rsidRPr="001153D2">
        <w:rPr>
          <w:rFonts w:ascii="Arial" w:hAnsi="Arial" w:cs="Arial"/>
        </w:rPr>
        <w:t>μg</w:t>
      </w:r>
      <w:proofErr w:type="spellEnd"/>
      <w:r w:rsidRPr="001153D2">
        <w:rPr>
          <w:rFonts w:ascii="Arial" w:hAnsi="Arial" w:cs="Arial"/>
        </w:rPr>
        <w:t xml:space="preserve">), ciprofloxacin (5 </w:t>
      </w:r>
      <w:proofErr w:type="spellStart"/>
      <w:r w:rsidRPr="001153D2">
        <w:rPr>
          <w:rFonts w:ascii="Arial" w:hAnsi="Arial" w:cs="Arial"/>
        </w:rPr>
        <w:t>μg</w:t>
      </w:r>
      <w:proofErr w:type="spellEnd"/>
      <w:r w:rsidRPr="001153D2">
        <w:rPr>
          <w:rFonts w:ascii="Arial" w:hAnsi="Arial" w:cs="Arial"/>
        </w:rPr>
        <w:t xml:space="preserve">), gentamicin (5 </w:t>
      </w:r>
      <w:proofErr w:type="spellStart"/>
      <w:r w:rsidRPr="001153D2">
        <w:rPr>
          <w:rFonts w:ascii="Arial" w:hAnsi="Arial" w:cs="Arial"/>
        </w:rPr>
        <w:t>μg</w:t>
      </w:r>
      <w:proofErr w:type="spellEnd"/>
      <w:r w:rsidRPr="001153D2">
        <w:rPr>
          <w:rFonts w:ascii="Arial" w:hAnsi="Arial" w:cs="Arial"/>
        </w:rPr>
        <w:t xml:space="preserve">), tetracycline (10 </w:t>
      </w:r>
      <w:proofErr w:type="spellStart"/>
      <w:r w:rsidRPr="001153D2">
        <w:rPr>
          <w:rFonts w:ascii="Arial" w:hAnsi="Arial" w:cs="Arial"/>
        </w:rPr>
        <w:t>μg</w:t>
      </w:r>
      <w:proofErr w:type="spellEnd"/>
      <w:r w:rsidRPr="001153D2">
        <w:rPr>
          <w:rFonts w:ascii="Arial" w:hAnsi="Arial" w:cs="Arial"/>
        </w:rPr>
        <w:t xml:space="preserve">) and erythromycin (5 </w:t>
      </w:r>
      <w:proofErr w:type="spellStart"/>
      <w:r w:rsidRPr="001153D2">
        <w:rPr>
          <w:rFonts w:ascii="Arial" w:hAnsi="Arial" w:cs="Arial"/>
        </w:rPr>
        <w:t>μg</w:t>
      </w:r>
      <w:proofErr w:type="spellEnd"/>
      <w:r w:rsidRPr="001153D2">
        <w:rPr>
          <w:rFonts w:ascii="Arial" w:hAnsi="Arial" w:cs="Arial"/>
        </w:rPr>
        <w:t>). 0.5 McFarland standard of each isolated organism was suspended and used to flood 5% NaCl Mueller Hinton agar plates. Antibiotic disks were then applied on the plate and incubated for 24 hours at 37°C. The results obtained were interpreted based on the CLSI (2017).</w:t>
      </w:r>
    </w:p>
    <w:p w14:paraId="1DFEF88F" w14:textId="77777777" w:rsidR="004600D5" w:rsidRPr="001153D2" w:rsidRDefault="004600D5" w:rsidP="004600D5">
      <w:pPr>
        <w:jc w:val="both"/>
        <w:rPr>
          <w:rFonts w:ascii="Arial" w:hAnsi="Arial" w:cs="Arial"/>
          <w:b/>
          <w:bCs/>
        </w:rPr>
      </w:pPr>
      <w:r w:rsidRPr="001153D2">
        <w:rPr>
          <w:rFonts w:ascii="Arial" w:hAnsi="Arial" w:cs="Arial"/>
          <w:b/>
          <w:bCs/>
        </w:rPr>
        <w:t>2.8 Determination of Multiple Antibiotic Resistance (MAR) Index</w:t>
      </w:r>
    </w:p>
    <w:p w14:paraId="5992524D" w14:textId="77777777" w:rsidR="004600D5" w:rsidRPr="001153D2" w:rsidRDefault="004600D5" w:rsidP="004600D5">
      <w:pPr>
        <w:spacing w:after="160"/>
        <w:jc w:val="both"/>
        <w:rPr>
          <w:rFonts w:ascii="Arial" w:hAnsi="Arial" w:cs="Arial"/>
        </w:rPr>
      </w:pPr>
      <w:r w:rsidRPr="001153D2">
        <w:rPr>
          <w:rFonts w:ascii="Arial" w:hAnsi="Arial" w:cs="Arial"/>
        </w:rPr>
        <w:t>The MAR index was calculated as the ratio of the number of antibiotics to which an isolate was resistant (</w:t>
      </w:r>
      <m:oMath>
        <m:r>
          <w:rPr>
            <w:rFonts w:ascii="Cambria Math" w:hAnsi="Cambria Math" w:cs="Arial"/>
          </w:rPr>
          <m:t>a</m:t>
        </m:r>
      </m:oMath>
      <w:r w:rsidRPr="001153D2">
        <w:rPr>
          <w:rFonts w:ascii="Arial" w:hAnsi="Arial" w:cs="Arial"/>
        </w:rPr>
        <w:t>) to the total number of antibiotics tested (</w:t>
      </w:r>
      <m:oMath>
        <m:r>
          <w:rPr>
            <w:rFonts w:ascii="Cambria Math" w:hAnsi="Cambria Math" w:cs="Arial"/>
          </w:rPr>
          <m:t>b</m:t>
        </m:r>
      </m:oMath>
      <w:r w:rsidRPr="001153D2">
        <w:rPr>
          <w:rFonts w:ascii="Arial" w:hAnsi="Arial" w:cs="Arial"/>
        </w:rPr>
        <w:t>) (Krumperman, 1983):</w:t>
      </w:r>
    </w:p>
    <w:p w14:paraId="5D6C3155" w14:textId="77777777" w:rsidR="004600D5" w:rsidRPr="001153D2" w:rsidRDefault="004600D5" w:rsidP="004600D5">
      <w:pPr>
        <w:spacing w:after="160"/>
        <w:jc w:val="both"/>
        <w:rPr>
          <w:rFonts w:ascii="Arial" w:hAnsi="Arial" w:cs="Arial"/>
        </w:rPr>
      </w:pPr>
      <m:oMathPara>
        <m:oMath>
          <m:r>
            <m:rPr>
              <m:nor/>
            </m:rPr>
            <w:rPr>
              <w:rFonts w:ascii="Arial" w:hAnsi="Arial" w:cs="Arial"/>
            </w:rPr>
            <m:t>MAR Index</m:t>
          </m:r>
          <m:r>
            <w:rPr>
              <w:rFonts w:ascii="Cambria Math" w:hAnsi="Cambria Math" w:cs="Arial"/>
            </w:rPr>
            <m:t>=</m:t>
          </m:r>
          <m:f>
            <m:fPr>
              <m:ctrlPr>
                <w:rPr>
                  <w:rFonts w:ascii="Cambria Math" w:hAnsi="Cambria Math" w:cs="Arial"/>
                </w:rPr>
              </m:ctrlPr>
            </m:fPr>
            <m:num>
              <m:r>
                <w:rPr>
                  <w:rFonts w:ascii="Cambria Math" w:hAnsi="Cambria Math" w:cs="Arial"/>
                </w:rPr>
                <m:t>a</m:t>
              </m:r>
            </m:num>
            <m:den>
              <m:r>
                <w:rPr>
                  <w:rFonts w:ascii="Cambria Math" w:hAnsi="Cambria Math" w:cs="Arial"/>
                </w:rPr>
                <m:t>b</m:t>
              </m:r>
            </m:den>
          </m:f>
        </m:oMath>
      </m:oMathPara>
    </w:p>
    <w:p w14:paraId="1AAD7029" w14:textId="77777777" w:rsidR="004600D5" w:rsidRPr="001153D2" w:rsidRDefault="004600D5" w:rsidP="004600D5">
      <w:pPr>
        <w:tabs>
          <w:tab w:val="num" w:pos="720"/>
        </w:tabs>
        <w:spacing w:after="160"/>
        <w:jc w:val="both"/>
        <w:rPr>
          <w:rFonts w:ascii="Arial" w:hAnsi="Arial" w:cs="Arial"/>
        </w:rPr>
      </w:pPr>
      <w:r w:rsidRPr="001153D2">
        <w:rPr>
          <w:rFonts w:ascii="Arial" w:hAnsi="Arial" w:cs="Arial"/>
        </w:rPr>
        <w:t xml:space="preserve">Where: </w:t>
      </w:r>
      <m:oMath>
        <m:r>
          <w:rPr>
            <w:rFonts w:ascii="Cambria Math" w:hAnsi="Cambria Math" w:cs="Arial"/>
          </w:rPr>
          <m:t>a</m:t>
        </m:r>
      </m:oMath>
      <w:r w:rsidRPr="001153D2">
        <w:rPr>
          <w:rFonts w:ascii="Arial" w:hAnsi="Arial" w:cs="Arial"/>
        </w:rPr>
        <w:t xml:space="preserve"> = number of antibiotics to which the isolate was resistant, </w:t>
      </w:r>
      <m:oMath>
        <m:r>
          <w:rPr>
            <w:rFonts w:ascii="Cambria Math" w:hAnsi="Cambria Math" w:cs="Arial"/>
          </w:rPr>
          <m:t>b</m:t>
        </m:r>
      </m:oMath>
      <w:r w:rsidRPr="001153D2">
        <w:rPr>
          <w:rFonts w:ascii="Arial" w:hAnsi="Arial" w:cs="Arial"/>
        </w:rPr>
        <w:t> = total number of antibiotics tested</w:t>
      </w:r>
    </w:p>
    <w:p w14:paraId="0AB4860D" w14:textId="77777777" w:rsidR="004600D5" w:rsidRPr="001153D2" w:rsidRDefault="004600D5" w:rsidP="004600D5">
      <w:pPr>
        <w:spacing w:after="160"/>
        <w:jc w:val="both"/>
        <w:rPr>
          <w:rFonts w:ascii="Arial" w:hAnsi="Arial" w:cs="Arial"/>
        </w:rPr>
      </w:pPr>
      <w:r w:rsidRPr="001153D2">
        <w:rPr>
          <w:rFonts w:ascii="Arial" w:hAnsi="Arial" w:cs="Arial"/>
        </w:rPr>
        <w:t>A MAR index greater than 0.2 indicates a high-risk source of antibiotic usage.</w:t>
      </w:r>
    </w:p>
    <w:p w14:paraId="4A875A31" w14:textId="77777777" w:rsidR="004600D5" w:rsidRPr="001153D2" w:rsidRDefault="004600D5" w:rsidP="004600D5">
      <w:pPr>
        <w:jc w:val="both"/>
        <w:rPr>
          <w:rFonts w:ascii="Arial" w:hAnsi="Arial" w:cs="Arial"/>
          <w:b/>
          <w:bCs/>
        </w:rPr>
      </w:pPr>
      <w:r w:rsidRPr="001153D2">
        <w:rPr>
          <w:rFonts w:ascii="Arial" w:hAnsi="Arial" w:cs="Arial"/>
          <w:b/>
          <w:bCs/>
        </w:rPr>
        <w:t>2.9 Statistical Analysis</w:t>
      </w:r>
    </w:p>
    <w:p w14:paraId="3985E7F3" w14:textId="459BEFDA" w:rsidR="00AA74E0" w:rsidRDefault="004600D5" w:rsidP="004600D5">
      <w:pPr>
        <w:pStyle w:val="Body"/>
        <w:spacing w:after="0"/>
        <w:rPr>
          <w:rFonts w:ascii="Arial" w:hAnsi="Arial" w:cs="Arial"/>
        </w:rPr>
      </w:pPr>
      <w:r w:rsidRPr="001153D2">
        <w:rPr>
          <w:rFonts w:ascii="Arial" w:hAnsi="Arial" w:cs="Arial"/>
        </w:rPr>
        <w:t>Data were analyzed using descriptive statistics. Prevalence rates, resistance percentages, and MAR indices were calculated and presented as frequencies and percentages.</w:t>
      </w:r>
    </w:p>
    <w:p w14:paraId="61201B09" w14:textId="77777777" w:rsidR="00790ADA" w:rsidRPr="00FB3A86" w:rsidRDefault="00790ADA" w:rsidP="00441B6F">
      <w:pPr>
        <w:pStyle w:val="Body"/>
        <w:spacing w:after="0"/>
        <w:rPr>
          <w:rFonts w:ascii="Arial" w:hAnsi="Arial" w:cs="Arial"/>
        </w:rPr>
      </w:pPr>
    </w:p>
    <w:p w14:paraId="27BA063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268DD6BC" w14:textId="77777777" w:rsidR="00790ADA" w:rsidRPr="00FB3A86" w:rsidRDefault="00790ADA" w:rsidP="00441B6F">
      <w:pPr>
        <w:pStyle w:val="Head1"/>
        <w:spacing w:after="0"/>
        <w:jc w:val="both"/>
        <w:rPr>
          <w:rFonts w:ascii="Arial" w:hAnsi="Arial" w:cs="Arial"/>
        </w:rPr>
      </w:pPr>
    </w:p>
    <w:p w14:paraId="3D7BF6C2" w14:textId="77777777" w:rsidR="004600D5" w:rsidRPr="001153D2" w:rsidRDefault="004600D5" w:rsidP="004600D5">
      <w:pPr>
        <w:jc w:val="both"/>
        <w:rPr>
          <w:rFonts w:ascii="Arial" w:hAnsi="Arial" w:cs="Arial"/>
          <w:b/>
          <w:bCs/>
        </w:rPr>
      </w:pPr>
      <w:r w:rsidRPr="001153D2">
        <w:rPr>
          <w:rFonts w:ascii="Arial" w:hAnsi="Arial" w:cs="Arial"/>
          <w:b/>
          <w:bCs/>
        </w:rPr>
        <w:t>3.1 Prevalence of MRSA in the Studied Populations</w:t>
      </w:r>
    </w:p>
    <w:p w14:paraId="57B64392" w14:textId="77777777" w:rsidR="004600D5" w:rsidRPr="001153D2" w:rsidRDefault="004600D5" w:rsidP="004600D5">
      <w:pPr>
        <w:jc w:val="both"/>
        <w:rPr>
          <w:rFonts w:ascii="Arial" w:hAnsi="Arial" w:cs="Arial"/>
        </w:rPr>
      </w:pPr>
      <w:r w:rsidRPr="001153D2">
        <w:rPr>
          <w:rFonts w:ascii="Arial" w:hAnsi="Arial" w:cs="Arial"/>
        </w:rPr>
        <w:t xml:space="preserve">A total prevalence rate of 22% (133/620) was noted for MRSA in this study. From the total of 310 samples taken from the ISTH, there were 82 (27%) HA-MRSA whereas, from the total of 310 samples collected from the community, there were 51 (17%) CA-MRSA (Table 1). The prevalence rate of 22% is in line with the other Nigerian studies but variations do exist in other locations within the country. For instance, in Southwest Nigeria, Shittu </w:t>
      </w:r>
      <w:r w:rsidRPr="001153D2">
        <w:rPr>
          <w:rFonts w:ascii="Arial" w:hAnsi="Arial" w:cs="Arial"/>
          <w:i/>
          <w:iCs/>
        </w:rPr>
        <w:t>et al</w:t>
      </w:r>
      <w:r w:rsidRPr="001153D2">
        <w:rPr>
          <w:rFonts w:ascii="Arial" w:hAnsi="Arial" w:cs="Arial"/>
        </w:rPr>
        <w:t xml:space="preserve">. (2011) noted 33% prevalence while </w:t>
      </w:r>
      <w:proofErr w:type="spellStart"/>
      <w:r w:rsidRPr="001153D2">
        <w:rPr>
          <w:rFonts w:ascii="Arial" w:hAnsi="Arial" w:cs="Arial"/>
        </w:rPr>
        <w:t>Igbinosa</w:t>
      </w:r>
      <w:proofErr w:type="spellEnd"/>
      <w:r w:rsidRPr="001153D2">
        <w:rPr>
          <w:rFonts w:ascii="Arial" w:hAnsi="Arial" w:cs="Arial"/>
        </w:rPr>
        <w:t xml:space="preserve"> </w:t>
      </w:r>
      <w:r w:rsidRPr="001153D2">
        <w:rPr>
          <w:rFonts w:ascii="Arial" w:hAnsi="Arial" w:cs="Arial"/>
          <w:i/>
          <w:iCs/>
        </w:rPr>
        <w:t>et al</w:t>
      </w:r>
      <w:r w:rsidRPr="001153D2">
        <w:rPr>
          <w:rFonts w:ascii="Arial" w:hAnsi="Arial" w:cs="Arial"/>
        </w:rPr>
        <w:t>. (2016) observed a prevalence of 31% at the University of Benin Teaching Hospital. The lower prevalence in this study could be due to the fact that apparently healthy members of the community were sampled. It is common knowledge that apparently healthy individuals in the community generally have a lower prevalence rate than hospitalized individuals. The variations in prevalence rates could also be a result of different sample sizes, sampling techniques, location and demographic factors. The prevalence rate of 22% noted in this study is significant because it is above the 10% cut-off value often used for defining high-prevalence settings.</w:t>
      </w:r>
    </w:p>
    <w:p w14:paraId="064B22BE" w14:textId="77777777" w:rsidR="004600D5" w:rsidRPr="001153D2" w:rsidRDefault="004600D5" w:rsidP="004600D5">
      <w:pPr>
        <w:spacing w:after="160"/>
        <w:jc w:val="both"/>
        <w:rPr>
          <w:rFonts w:ascii="Arial" w:hAnsi="Arial" w:cs="Arial"/>
        </w:rPr>
      </w:pPr>
      <w:r w:rsidRPr="001153D2">
        <w:rPr>
          <w:rFonts w:ascii="Arial" w:hAnsi="Arial" w:cs="Arial"/>
        </w:rPr>
        <w:t xml:space="preserve">HA-MRSA prevalence recorded in this study, at 27%, is similar to 29% reported by </w:t>
      </w:r>
      <w:proofErr w:type="spellStart"/>
      <w:r w:rsidRPr="001153D2">
        <w:rPr>
          <w:rFonts w:ascii="Arial" w:hAnsi="Arial" w:cs="Arial"/>
        </w:rPr>
        <w:t>Otabor</w:t>
      </w:r>
      <w:proofErr w:type="spellEnd"/>
      <w:r w:rsidRPr="001153D2">
        <w:rPr>
          <w:rFonts w:ascii="Arial" w:hAnsi="Arial" w:cs="Arial"/>
        </w:rPr>
        <w:t xml:space="preserve"> and Isibor (2014) among hospitalized patients in </w:t>
      </w:r>
      <w:proofErr w:type="spellStart"/>
      <w:r w:rsidRPr="001153D2">
        <w:rPr>
          <w:rFonts w:ascii="Arial" w:hAnsi="Arial" w:cs="Arial"/>
        </w:rPr>
        <w:t>Ekpoma</w:t>
      </w:r>
      <w:proofErr w:type="spellEnd"/>
      <w:r w:rsidRPr="001153D2">
        <w:rPr>
          <w:rFonts w:ascii="Arial" w:hAnsi="Arial" w:cs="Arial"/>
        </w:rPr>
        <w:t xml:space="preserve"> hospitals, but higher than 31% reported by </w:t>
      </w:r>
      <w:proofErr w:type="spellStart"/>
      <w:r w:rsidRPr="001153D2">
        <w:rPr>
          <w:rFonts w:ascii="Arial" w:hAnsi="Arial" w:cs="Arial"/>
        </w:rPr>
        <w:t>Igbinosa</w:t>
      </w:r>
      <w:proofErr w:type="spellEnd"/>
      <w:r w:rsidRPr="001153D2">
        <w:rPr>
          <w:rFonts w:ascii="Arial" w:hAnsi="Arial" w:cs="Arial"/>
        </w:rPr>
        <w:t xml:space="preserve"> </w:t>
      </w:r>
      <w:r w:rsidRPr="001153D2">
        <w:rPr>
          <w:rFonts w:ascii="Arial" w:hAnsi="Arial" w:cs="Arial"/>
          <w:i/>
          <w:iCs/>
        </w:rPr>
        <w:t>et al</w:t>
      </w:r>
      <w:r w:rsidRPr="001153D2">
        <w:rPr>
          <w:rFonts w:ascii="Arial" w:hAnsi="Arial" w:cs="Arial"/>
        </w:rPr>
        <w:t xml:space="preserve">. (2016). CA-MRSA prevalence in this study (17%) is a little bit lower compared to 19% reported by Okwu </w:t>
      </w:r>
      <w:r w:rsidRPr="001153D2">
        <w:rPr>
          <w:rFonts w:ascii="Arial" w:hAnsi="Arial" w:cs="Arial"/>
          <w:i/>
          <w:iCs/>
        </w:rPr>
        <w:t>et al</w:t>
      </w:r>
      <w:r w:rsidRPr="001153D2">
        <w:rPr>
          <w:rFonts w:ascii="Arial" w:hAnsi="Arial" w:cs="Arial"/>
        </w:rPr>
        <w:t xml:space="preserve">. (2014) among Okada community, Edo State </w:t>
      </w:r>
      <w:r w:rsidRPr="001153D2">
        <w:rPr>
          <w:rFonts w:ascii="Arial" w:hAnsi="Arial" w:cs="Arial"/>
        </w:rPr>
        <w:lastRenderedPageBreak/>
        <w:t>population. Such differences could be due to variation of samples used or location of research studies. High prevalence of CA-MRSA (17%) in apparently healthy population is an alarming result since it means silent spreading of MRSA among the population and may become a source of new infections. It is in line with the recent global trends, as prevalence of CA-MRSA has been growing recently. That can be explained by emergence of new clones of MRSA that are highly transmissible and virulent (David &amp; Daum, 2010).</w:t>
      </w:r>
    </w:p>
    <w:p w14:paraId="0B807951" w14:textId="77777777" w:rsidR="004600D5" w:rsidRPr="001153D2" w:rsidRDefault="004600D5" w:rsidP="004600D5">
      <w:pPr>
        <w:jc w:val="both"/>
        <w:rPr>
          <w:rFonts w:ascii="Arial" w:hAnsi="Arial" w:cs="Arial"/>
        </w:rPr>
      </w:pPr>
      <w:r w:rsidRPr="001153D2">
        <w:rPr>
          <w:rFonts w:ascii="Arial" w:hAnsi="Arial" w:cs="Arial"/>
          <w:b/>
          <w:bCs/>
        </w:rPr>
        <w:t>Table 1: Prevalence of MRSA among the Studied Population</w:t>
      </w:r>
    </w:p>
    <w:tbl>
      <w:tblPr>
        <w:tblStyle w:val="ListTable6Colorful"/>
        <w:tblW w:w="7038" w:type="dxa"/>
        <w:jc w:val="center"/>
        <w:tblLook w:val="0420" w:firstRow="1" w:lastRow="0" w:firstColumn="0" w:lastColumn="0" w:noHBand="0" w:noVBand="1"/>
      </w:tblPr>
      <w:tblGrid>
        <w:gridCol w:w="2538"/>
        <w:gridCol w:w="1710"/>
        <w:gridCol w:w="2790"/>
      </w:tblGrid>
      <w:tr w:rsidR="004600D5" w:rsidRPr="001153D2" w14:paraId="3BCB8C41"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2538" w:type="dxa"/>
            <w:hideMark/>
          </w:tcPr>
          <w:p w14:paraId="5ABAC4E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Sample Source</w:t>
            </w:r>
          </w:p>
        </w:tc>
        <w:tc>
          <w:tcPr>
            <w:tcW w:w="1710" w:type="dxa"/>
            <w:hideMark/>
          </w:tcPr>
          <w:p w14:paraId="4A21DA9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of Samples</w:t>
            </w:r>
          </w:p>
        </w:tc>
        <w:tc>
          <w:tcPr>
            <w:tcW w:w="2790" w:type="dxa"/>
            <w:hideMark/>
          </w:tcPr>
          <w:p w14:paraId="0FCCB86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 Positive for MRSA</w:t>
            </w:r>
          </w:p>
        </w:tc>
      </w:tr>
      <w:tr w:rsidR="004600D5" w:rsidRPr="001153D2" w14:paraId="1DFD5E82"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538" w:type="dxa"/>
            <w:shd w:val="clear" w:color="auto" w:fill="auto"/>
            <w:hideMark/>
          </w:tcPr>
          <w:p w14:paraId="0AD079F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Hospital (HA-MRSA)</w:t>
            </w:r>
          </w:p>
        </w:tc>
        <w:tc>
          <w:tcPr>
            <w:tcW w:w="1710" w:type="dxa"/>
            <w:shd w:val="clear" w:color="auto" w:fill="auto"/>
            <w:hideMark/>
          </w:tcPr>
          <w:p w14:paraId="7AE40F8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310</w:t>
            </w:r>
          </w:p>
        </w:tc>
        <w:tc>
          <w:tcPr>
            <w:tcW w:w="2790" w:type="dxa"/>
            <w:shd w:val="clear" w:color="auto" w:fill="auto"/>
            <w:hideMark/>
          </w:tcPr>
          <w:p w14:paraId="1A35D37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82 (27)</w:t>
            </w:r>
          </w:p>
        </w:tc>
      </w:tr>
      <w:tr w:rsidR="004600D5" w:rsidRPr="001153D2" w14:paraId="60FE363B" w14:textId="77777777" w:rsidTr="004600D5">
        <w:trPr>
          <w:jc w:val="center"/>
        </w:trPr>
        <w:tc>
          <w:tcPr>
            <w:tcW w:w="2538" w:type="dxa"/>
            <w:hideMark/>
          </w:tcPr>
          <w:p w14:paraId="1C1F6D8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Community (CA-MRSA)</w:t>
            </w:r>
          </w:p>
        </w:tc>
        <w:tc>
          <w:tcPr>
            <w:tcW w:w="1710" w:type="dxa"/>
            <w:hideMark/>
          </w:tcPr>
          <w:p w14:paraId="7CB8C44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310</w:t>
            </w:r>
          </w:p>
        </w:tc>
        <w:tc>
          <w:tcPr>
            <w:tcW w:w="2790" w:type="dxa"/>
            <w:hideMark/>
          </w:tcPr>
          <w:p w14:paraId="574DDC0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51 (17)</w:t>
            </w:r>
          </w:p>
        </w:tc>
      </w:tr>
      <w:tr w:rsidR="004600D5" w:rsidRPr="001153D2" w14:paraId="0EEA41B9"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538" w:type="dxa"/>
            <w:shd w:val="clear" w:color="auto" w:fill="auto"/>
            <w:hideMark/>
          </w:tcPr>
          <w:p w14:paraId="137358CB"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Total</w:t>
            </w:r>
          </w:p>
        </w:tc>
        <w:tc>
          <w:tcPr>
            <w:tcW w:w="1710" w:type="dxa"/>
            <w:shd w:val="clear" w:color="auto" w:fill="auto"/>
            <w:hideMark/>
          </w:tcPr>
          <w:p w14:paraId="4B2211AD"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620</w:t>
            </w:r>
          </w:p>
        </w:tc>
        <w:tc>
          <w:tcPr>
            <w:tcW w:w="2790" w:type="dxa"/>
            <w:shd w:val="clear" w:color="auto" w:fill="auto"/>
            <w:hideMark/>
          </w:tcPr>
          <w:p w14:paraId="750D00F2"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133 (22)</w:t>
            </w:r>
          </w:p>
        </w:tc>
      </w:tr>
    </w:tbl>
    <w:p w14:paraId="4BE808C9" w14:textId="77777777" w:rsidR="004600D5" w:rsidRPr="001153D2" w:rsidRDefault="004600D5" w:rsidP="004600D5">
      <w:pPr>
        <w:jc w:val="both"/>
        <w:rPr>
          <w:rFonts w:ascii="Arial" w:hAnsi="Arial" w:cs="Arial"/>
          <w:b/>
          <w:bCs/>
        </w:rPr>
      </w:pPr>
    </w:p>
    <w:p w14:paraId="1FA5D1CD" w14:textId="77777777" w:rsidR="004600D5" w:rsidRPr="001153D2" w:rsidRDefault="004600D5" w:rsidP="004600D5">
      <w:pPr>
        <w:jc w:val="both"/>
        <w:rPr>
          <w:rFonts w:ascii="Arial" w:hAnsi="Arial" w:cs="Arial"/>
          <w:b/>
          <w:bCs/>
        </w:rPr>
      </w:pPr>
      <w:r w:rsidRPr="001153D2">
        <w:rPr>
          <w:rFonts w:ascii="Arial" w:hAnsi="Arial" w:cs="Arial"/>
          <w:b/>
          <w:bCs/>
        </w:rPr>
        <w:t>3.2 Distribution of HA-MRSA According to Subjects and Hospital Departments</w:t>
      </w:r>
    </w:p>
    <w:p w14:paraId="376E6397" w14:textId="77777777" w:rsidR="004600D5" w:rsidRPr="001153D2" w:rsidRDefault="004600D5" w:rsidP="004600D5">
      <w:pPr>
        <w:spacing w:after="160"/>
        <w:jc w:val="both"/>
        <w:rPr>
          <w:rFonts w:ascii="Arial" w:hAnsi="Arial" w:cs="Arial"/>
        </w:rPr>
      </w:pPr>
      <w:r w:rsidRPr="001153D2">
        <w:rPr>
          <w:rFonts w:ascii="Arial" w:hAnsi="Arial" w:cs="Arial"/>
        </w:rPr>
        <w:t xml:space="preserve">In the case of the 82 HA-MRSA isolates collected, the majority were isolated from fomites (32%) while the remaining isolates were in the order: cleaners (24%), nurses (19%), patients (13%), and doctors (12%) (Table 2). Such distribution gives insight into the dynamics of MRSA transmission in the hospital environment. The fact that most of the HA-MRSA isolates came from fomites (32%) is significant. Fomites are any objects that can carry infectious agents and may include bed rails, tables, chairs, door handles, medical equipment, and linens. The presence of such a large proportion of isolates among fomites indicates that such surfaces act as major sources of HA-MRSA in the hospital environment. Such observation is consistent with the observation made by Cooper </w:t>
      </w:r>
      <w:r w:rsidRPr="001153D2">
        <w:rPr>
          <w:rFonts w:ascii="Arial" w:hAnsi="Arial" w:cs="Arial"/>
          <w:i/>
          <w:iCs/>
        </w:rPr>
        <w:t>et al</w:t>
      </w:r>
      <w:r w:rsidRPr="001153D2">
        <w:rPr>
          <w:rFonts w:ascii="Arial" w:hAnsi="Arial" w:cs="Arial"/>
        </w:rPr>
        <w:t>. (2008) where it was observed that fomites carry the largest numbers of HA-MRSA in the hospital environment. The persistence of HA-MRSA in fomites is due to their capacity to form biofilms and resist desiccation.</w:t>
      </w:r>
    </w:p>
    <w:p w14:paraId="20EF6196" w14:textId="77777777" w:rsidR="004600D5" w:rsidRPr="001153D2" w:rsidRDefault="004600D5" w:rsidP="004600D5">
      <w:pPr>
        <w:spacing w:after="240"/>
        <w:jc w:val="both"/>
        <w:rPr>
          <w:rFonts w:ascii="Arial" w:hAnsi="Arial" w:cs="Arial"/>
        </w:rPr>
      </w:pPr>
      <w:r w:rsidRPr="001153D2">
        <w:rPr>
          <w:rFonts w:ascii="Arial" w:hAnsi="Arial" w:cs="Arial"/>
        </w:rPr>
        <w:t>The gradient flow of HA-MRSA isolation (fomites &gt; cleaners &gt; nurses &gt; patients &gt; doctors) implies the following pattern of transmission, which starts from the infected fomites and continues through the hospital staff and patients. The highest isolation rate was found for the cleaners, who interacted with contaminated fomites most often. It is not surprising since cleaners have direct contact with infected surfaces and can transmit the bacteria further, when hand hygiene is poor. The third-highest isolation rate was observed for nurses, which is associated with their frequent contacts with patients and their participation in invasive activities, including wound care. The lowest isolation rates were observed for patients (13%) and doctors (12%), which may be attributed either to the lesser number of exposures to infection or better hand hygiene habits.</w:t>
      </w:r>
    </w:p>
    <w:p w14:paraId="1A7F8725" w14:textId="77777777" w:rsidR="004600D5" w:rsidRPr="001153D2" w:rsidRDefault="004600D5" w:rsidP="004600D5">
      <w:pPr>
        <w:spacing w:after="160"/>
        <w:jc w:val="both"/>
        <w:rPr>
          <w:rFonts w:ascii="Arial" w:hAnsi="Arial" w:cs="Arial"/>
        </w:rPr>
      </w:pPr>
      <w:r w:rsidRPr="001153D2">
        <w:rPr>
          <w:rFonts w:ascii="Arial" w:hAnsi="Arial" w:cs="Arial"/>
        </w:rPr>
        <w:t xml:space="preserve">The distribution of MRSA within the different hospital departments revealed that the male surgical ward (13%), female surgical ward (11%) and the laundry (11%) had the highest isolation rate, whereas MCH and ICU had the lowest isolation rate (4%) each (Table 2). Surgical wards have a high risk for MRSA because there are people with open wounds, surgical wounds, and invasive instruments like catheters and drains. These people are very susceptible to MRSA and hence the MRSA can easily thrive in this environment. The laundry has contaminated beddings, scrubs and linens, which act as reservoirs for MRSA. This result is similar to the findings of Abubakar </w:t>
      </w:r>
      <w:r w:rsidRPr="001153D2">
        <w:rPr>
          <w:rFonts w:ascii="Arial" w:hAnsi="Arial" w:cs="Arial"/>
          <w:i/>
          <w:iCs/>
        </w:rPr>
        <w:t>et al</w:t>
      </w:r>
      <w:r w:rsidRPr="001153D2">
        <w:rPr>
          <w:rFonts w:ascii="Arial" w:hAnsi="Arial" w:cs="Arial"/>
        </w:rPr>
        <w:t>. (2012) on prevalence of MRSA in the surgical wards and laundry department of Ahmadu Bello University Teaching Hospital, Zaria. The low isolation rates of MRSA in MCH and ICU departments may be due to more infection control practices, lower number of patients and lower sampling effort in these departments. However, the presence of MRSA in these departments, even at low rates, warrants continued vigilance.</w:t>
      </w:r>
    </w:p>
    <w:p w14:paraId="29704D24" w14:textId="77777777" w:rsidR="004600D5" w:rsidRPr="001153D2" w:rsidRDefault="004600D5" w:rsidP="004600D5">
      <w:pPr>
        <w:jc w:val="both"/>
        <w:rPr>
          <w:rFonts w:ascii="Arial" w:hAnsi="Arial" w:cs="Arial"/>
        </w:rPr>
      </w:pPr>
      <w:r w:rsidRPr="001153D2">
        <w:rPr>
          <w:rFonts w:ascii="Arial" w:hAnsi="Arial" w:cs="Arial"/>
          <w:b/>
          <w:bCs/>
        </w:rPr>
        <w:t>Table 2: Distribution of HA-MRSA Isolates in ISTH</w:t>
      </w:r>
    </w:p>
    <w:tbl>
      <w:tblPr>
        <w:tblStyle w:val="ListTable6Colorful"/>
        <w:tblW w:w="6768" w:type="dxa"/>
        <w:jc w:val="center"/>
        <w:tblLook w:val="0420" w:firstRow="1" w:lastRow="0" w:firstColumn="0" w:lastColumn="0" w:noHBand="0" w:noVBand="1"/>
      </w:tblPr>
      <w:tblGrid>
        <w:gridCol w:w="2178"/>
        <w:gridCol w:w="2430"/>
        <w:gridCol w:w="2160"/>
      </w:tblGrid>
      <w:tr w:rsidR="004600D5" w:rsidRPr="001153D2" w14:paraId="7AA2616B"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2178" w:type="dxa"/>
            <w:hideMark/>
          </w:tcPr>
          <w:p w14:paraId="544C287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Department/Ward</w:t>
            </w:r>
          </w:p>
        </w:tc>
        <w:tc>
          <w:tcPr>
            <w:tcW w:w="2430" w:type="dxa"/>
            <w:hideMark/>
          </w:tcPr>
          <w:p w14:paraId="08B9DEB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of MRSA Isolates</w:t>
            </w:r>
          </w:p>
        </w:tc>
        <w:tc>
          <w:tcPr>
            <w:tcW w:w="2160" w:type="dxa"/>
            <w:hideMark/>
          </w:tcPr>
          <w:p w14:paraId="5DA0BDE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Percentage (%)</w:t>
            </w:r>
          </w:p>
        </w:tc>
      </w:tr>
      <w:tr w:rsidR="004600D5" w:rsidRPr="001153D2" w14:paraId="699B8C6A"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4280348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Male Surgical</w:t>
            </w:r>
          </w:p>
        </w:tc>
        <w:tc>
          <w:tcPr>
            <w:tcW w:w="2430" w:type="dxa"/>
            <w:shd w:val="clear" w:color="auto" w:fill="auto"/>
            <w:hideMark/>
          </w:tcPr>
          <w:p w14:paraId="4B6C76E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11</w:t>
            </w:r>
          </w:p>
        </w:tc>
        <w:tc>
          <w:tcPr>
            <w:tcW w:w="2160" w:type="dxa"/>
            <w:shd w:val="clear" w:color="auto" w:fill="auto"/>
            <w:hideMark/>
          </w:tcPr>
          <w:p w14:paraId="1B1AAE4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13</w:t>
            </w:r>
          </w:p>
        </w:tc>
      </w:tr>
      <w:tr w:rsidR="004600D5" w:rsidRPr="001153D2" w14:paraId="57567A1D" w14:textId="77777777" w:rsidTr="004600D5">
        <w:trPr>
          <w:jc w:val="center"/>
        </w:trPr>
        <w:tc>
          <w:tcPr>
            <w:tcW w:w="2178" w:type="dxa"/>
            <w:hideMark/>
          </w:tcPr>
          <w:p w14:paraId="0F669D1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Female Surgical</w:t>
            </w:r>
          </w:p>
        </w:tc>
        <w:tc>
          <w:tcPr>
            <w:tcW w:w="2430" w:type="dxa"/>
            <w:hideMark/>
          </w:tcPr>
          <w:p w14:paraId="6EA477D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w:t>
            </w:r>
          </w:p>
        </w:tc>
        <w:tc>
          <w:tcPr>
            <w:tcW w:w="2160" w:type="dxa"/>
            <w:hideMark/>
          </w:tcPr>
          <w:p w14:paraId="3696EED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11</w:t>
            </w:r>
          </w:p>
        </w:tc>
      </w:tr>
      <w:tr w:rsidR="004600D5" w:rsidRPr="001153D2" w14:paraId="2CB9B1DD"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2B977E9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lastRenderedPageBreak/>
              <w:t>Laundry</w:t>
            </w:r>
          </w:p>
        </w:tc>
        <w:tc>
          <w:tcPr>
            <w:tcW w:w="2430" w:type="dxa"/>
            <w:shd w:val="clear" w:color="auto" w:fill="auto"/>
            <w:hideMark/>
          </w:tcPr>
          <w:p w14:paraId="6DE0D28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w:t>
            </w:r>
          </w:p>
        </w:tc>
        <w:tc>
          <w:tcPr>
            <w:tcW w:w="2160" w:type="dxa"/>
            <w:shd w:val="clear" w:color="auto" w:fill="auto"/>
            <w:hideMark/>
          </w:tcPr>
          <w:p w14:paraId="64F882A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11</w:t>
            </w:r>
          </w:p>
        </w:tc>
      </w:tr>
      <w:tr w:rsidR="004600D5" w:rsidRPr="001153D2" w14:paraId="2B838613" w14:textId="77777777" w:rsidTr="004600D5">
        <w:trPr>
          <w:jc w:val="center"/>
        </w:trPr>
        <w:tc>
          <w:tcPr>
            <w:tcW w:w="2178" w:type="dxa"/>
            <w:hideMark/>
          </w:tcPr>
          <w:p w14:paraId="6AE939A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A&amp;E</w:t>
            </w:r>
          </w:p>
        </w:tc>
        <w:tc>
          <w:tcPr>
            <w:tcW w:w="2430" w:type="dxa"/>
            <w:hideMark/>
          </w:tcPr>
          <w:p w14:paraId="1055E21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w:t>
            </w:r>
          </w:p>
        </w:tc>
        <w:tc>
          <w:tcPr>
            <w:tcW w:w="2160" w:type="dxa"/>
            <w:hideMark/>
          </w:tcPr>
          <w:p w14:paraId="49CF29C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w:t>
            </w:r>
          </w:p>
        </w:tc>
      </w:tr>
      <w:tr w:rsidR="004600D5" w:rsidRPr="001153D2" w14:paraId="37756272"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6FBB504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Lassa Ward</w:t>
            </w:r>
          </w:p>
        </w:tc>
        <w:tc>
          <w:tcPr>
            <w:tcW w:w="2430" w:type="dxa"/>
            <w:shd w:val="clear" w:color="auto" w:fill="auto"/>
            <w:hideMark/>
          </w:tcPr>
          <w:p w14:paraId="0002C72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c>
          <w:tcPr>
            <w:tcW w:w="2160" w:type="dxa"/>
            <w:shd w:val="clear" w:color="auto" w:fill="auto"/>
            <w:hideMark/>
          </w:tcPr>
          <w:p w14:paraId="059EC84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w:t>
            </w:r>
          </w:p>
        </w:tc>
      </w:tr>
      <w:tr w:rsidR="004600D5" w:rsidRPr="001153D2" w14:paraId="169E33ED" w14:textId="77777777" w:rsidTr="004600D5">
        <w:trPr>
          <w:jc w:val="center"/>
        </w:trPr>
        <w:tc>
          <w:tcPr>
            <w:tcW w:w="2178" w:type="dxa"/>
            <w:hideMark/>
          </w:tcPr>
          <w:p w14:paraId="2D4E884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Ophthalmology</w:t>
            </w:r>
          </w:p>
        </w:tc>
        <w:tc>
          <w:tcPr>
            <w:tcW w:w="2430" w:type="dxa"/>
            <w:hideMark/>
          </w:tcPr>
          <w:p w14:paraId="38CDE20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c>
          <w:tcPr>
            <w:tcW w:w="2160" w:type="dxa"/>
            <w:hideMark/>
          </w:tcPr>
          <w:p w14:paraId="4D6429A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w:t>
            </w:r>
          </w:p>
        </w:tc>
      </w:tr>
      <w:tr w:rsidR="004600D5" w:rsidRPr="001153D2" w14:paraId="4BE83DDF"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4E3AB92E" w14:textId="77777777" w:rsidR="004600D5" w:rsidRPr="001153D2" w:rsidRDefault="004600D5" w:rsidP="00AE0B90">
            <w:pPr>
              <w:jc w:val="both"/>
              <w:rPr>
                <w:rFonts w:ascii="Arial" w:hAnsi="Arial" w:cs="Arial"/>
                <w:sz w:val="20"/>
                <w:szCs w:val="20"/>
              </w:rPr>
            </w:pPr>
            <w:proofErr w:type="spellStart"/>
            <w:r w:rsidRPr="001153D2">
              <w:rPr>
                <w:rFonts w:ascii="Arial" w:hAnsi="Arial" w:cs="Arial"/>
                <w:sz w:val="20"/>
                <w:szCs w:val="20"/>
              </w:rPr>
              <w:t>Labour</w:t>
            </w:r>
            <w:proofErr w:type="spellEnd"/>
            <w:r w:rsidRPr="001153D2">
              <w:rPr>
                <w:rFonts w:ascii="Arial" w:hAnsi="Arial" w:cs="Arial"/>
                <w:sz w:val="20"/>
                <w:szCs w:val="20"/>
              </w:rPr>
              <w:t xml:space="preserve"> Ward</w:t>
            </w:r>
          </w:p>
        </w:tc>
        <w:tc>
          <w:tcPr>
            <w:tcW w:w="2430" w:type="dxa"/>
            <w:shd w:val="clear" w:color="auto" w:fill="auto"/>
            <w:hideMark/>
          </w:tcPr>
          <w:p w14:paraId="3DDEE86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c>
          <w:tcPr>
            <w:tcW w:w="2160" w:type="dxa"/>
            <w:shd w:val="clear" w:color="auto" w:fill="auto"/>
            <w:hideMark/>
          </w:tcPr>
          <w:p w14:paraId="2B85ED2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w:t>
            </w:r>
          </w:p>
        </w:tc>
      </w:tr>
      <w:tr w:rsidR="004600D5" w:rsidRPr="001153D2" w14:paraId="1DA88A14" w14:textId="77777777" w:rsidTr="004600D5">
        <w:trPr>
          <w:jc w:val="center"/>
        </w:trPr>
        <w:tc>
          <w:tcPr>
            <w:tcW w:w="2178" w:type="dxa"/>
            <w:hideMark/>
          </w:tcPr>
          <w:p w14:paraId="279A772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Gynecology</w:t>
            </w:r>
          </w:p>
        </w:tc>
        <w:tc>
          <w:tcPr>
            <w:tcW w:w="2430" w:type="dxa"/>
            <w:hideMark/>
          </w:tcPr>
          <w:p w14:paraId="6BD985D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c>
          <w:tcPr>
            <w:tcW w:w="2160" w:type="dxa"/>
            <w:hideMark/>
          </w:tcPr>
          <w:p w14:paraId="12F0097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r>
      <w:tr w:rsidR="004600D5" w:rsidRPr="001153D2" w14:paraId="7ABA1045"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65C5E54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Radiology</w:t>
            </w:r>
          </w:p>
        </w:tc>
        <w:tc>
          <w:tcPr>
            <w:tcW w:w="2430" w:type="dxa"/>
            <w:shd w:val="clear" w:color="auto" w:fill="auto"/>
            <w:hideMark/>
          </w:tcPr>
          <w:p w14:paraId="73FA921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c>
          <w:tcPr>
            <w:tcW w:w="2160" w:type="dxa"/>
            <w:shd w:val="clear" w:color="auto" w:fill="auto"/>
            <w:hideMark/>
          </w:tcPr>
          <w:p w14:paraId="6EC445E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r>
      <w:tr w:rsidR="004600D5" w:rsidRPr="001153D2" w14:paraId="582DF3D4" w14:textId="77777777" w:rsidTr="004600D5">
        <w:trPr>
          <w:jc w:val="center"/>
        </w:trPr>
        <w:tc>
          <w:tcPr>
            <w:tcW w:w="2178" w:type="dxa"/>
            <w:hideMark/>
          </w:tcPr>
          <w:p w14:paraId="4F0F1C2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Pediatrics</w:t>
            </w:r>
          </w:p>
        </w:tc>
        <w:tc>
          <w:tcPr>
            <w:tcW w:w="2430" w:type="dxa"/>
            <w:hideMark/>
          </w:tcPr>
          <w:p w14:paraId="11B8E6F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c>
          <w:tcPr>
            <w:tcW w:w="2160" w:type="dxa"/>
            <w:hideMark/>
          </w:tcPr>
          <w:p w14:paraId="7D80FB1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r>
      <w:tr w:rsidR="004600D5" w:rsidRPr="001153D2" w14:paraId="4C1DC8CE"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75EFEEB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Post-natal</w:t>
            </w:r>
          </w:p>
        </w:tc>
        <w:tc>
          <w:tcPr>
            <w:tcW w:w="2430" w:type="dxa"/>
            <w:shd w:val="clear" w:color="auto" w:fill="auto"/>
            <w:hideMark/>
          </w:tcPr>
          <w:p w14:paraId="10A504F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c>
          <w:tcPr>
            <w:tcW w:w="2160" w:type="dxa"/>
            <w:shd w:val="clear" w:color="auto" w:fill="auto"/>
            <w:hideMark/>
          </w:tcPr>
          <w:p w14:paraId="25BC83E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r>
      <w:tr w:rsidR="004600D5" w:rsidRPr="001153D2" w14:paraId="28465260" w14:textId="77777777" w:rsidTr="004600D5">
        <w:trPr>
          <w:jc w:val="center"/>
        </w:trPr>
        <w:tc>
          <w:tcPr>
            <w:tcW w:w="2178" w:type="dxa"/>
            <w:hideMark/>
          </w:tcPr>
          <w:p w14:paraId="2DAD590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SCBU</w:t>
            </w:r>
          </w:p>
        </w:tc>
        <w:tc>
          <w:tcPr>
            <w:tcW w:w="2430" w:type="dxa"/>
            <w:hideMark/>
          </w:tcPr>
          <w:p w14:paraId="6E3D6BB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c>
          <w:tcPr>
            <w:tcW w:w="2160" w:type="dxa"/>
            <w:hideMark/>
          </w:tcPr>
          <w:p w14:paraId="4559FCD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r>
      <w:tr w:rsidR="004600D5" w:rsidRPr="001153D2" w14:paraId="43E06FCF"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2CD2E72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MCH</w:t>
            </w:r>
          </w:p>
        </w:tc>
        <w:tc>
          <w:tcPr>
            <w:tcW w:w="2430" w:type="dxa"/>
            <w:shd w:val="clear" w:color="auto" w:fill="auto"/>
            <w:hideMark/>
          </w:tcPr>
          <w:p w14:paraId="31FB429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w:t>
            </w:r>
          </w:p>
        </w:tc>
        <w:tc>
          <w:tcPr>
            <w:tcW w:w="2160" w:type="dxa"/>
            <w:shd w:val="clear" w:color="auto" w:fill="auto"/>
            <w:hideMark/>
          </w:tcPr>
          <w:p w14:paraId="0F36C99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r>
      <w:tr w:rsidR="004600D5" w:rsidRPr="001153D2" w14:paraId="600AD2CA" w14:textId="77777777" w:rsidTr="004600D5">
        <w:trPr>
          <w:jc w:val="center"/>
        </w:trPr>
        <w:tc>
          <w:tcPr>
            <w:tcW w:w="2178" w:type="dxa"/>
            <w:hideMark/>
          </w:tcPr>
          <w:p w14:paraId="142E3CC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ICU</w:t>
            </w:r>
          </w:p>
        </w:tc>
        <w:tc>
          <w:tcPr>
            <w:tcW w:w="2430" w:type="dxa"/>
            <w:hideMark/>
          </w:tcPr>
          <w:p w14:paraId="4CDD88D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w:t>
            </w:r>
          </w:p>
        </w:tc>
        <w:tc>
          <w:tcPr>
            <w:tcW w:w="2160" w:type="dxa"/>
            <w:hideMark/>
          </w:tcPr>
          <w:p w14:paraId="69D65F1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r>
      <w:tr w:rsidR="004600D5" w:rsidRPr="001153D2" w14:paraId="4FECF63B"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1A457CA2"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Total</w:t>
            </w:r>
          </w:p>
        </w:tc>
        <w:tc>
          <w:tcPr>
            <w:tcW w:w="2430" w:type="dxa"/>
            <w:shd w:val="clear" w:color="auto" w:fill="auto"/>
            <w:hideMark/>
          </w:tcPr>
          <w:p w14:paraId="76CAFFE1"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82</w:t>
            </w:r>
          </w:p>
        </w:tc>
        <w:tc>
          <w:tcPr>
            <w:tcW w:w="2160" w:type="dxa"/>
            <w:shd w:val="clear" w:color="auto" w:fill="auto"/>
            <w:hideMark/>
          </w:tcPr>
          <w:p w14:paraId="64C7614F"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100</w:t>
            </w:r>
          </w:p>
        </w:tc>
      </w:tr>
    </w:tbl>
    <w:p w14:paraId="50AF09CD" w14:textId="77777777" w:rsidR="004600D5" w:rsidRPr="001153D2" w:rsidRDefault="004600D5" w:rsidP="004600D5">
      <w:pPr>
        <w:jc w:val="both"/>
        <w:rPr>
          <w:rFonts w:ascii="Arial" w:hAnsi="Arial" w:cs="Arial"/>
          <w:b/>
          <w:bCs/>
        </w:rPr>
      </w:pPr>
    </w:p>
    <w:p w14:paraId="6617EB8A" w14:textId="77777777" w:rsidR="004600D5" w:rsidRPr="001153D2" w:rsidRDefault="004600D5" w:rsidP="004600D5">
      <w:pPr>
        <w:jc w:val="both"/>
        <w:rPr>
          <w:rFonts w:ascii="Arial" w:hAnsi="Arial" w:cs="Arial"/>
          <w:b/>
          <w:bCs/>
        </w:rPr>
      </w:pPr>
      <w:r w:rsidRPr="001153D2">
        <w:rPr>
          <w:rFonts w:ascii="Arial" w:hAnsi="Arial" w:cs="Arial"/>
          <w:b/>
          <w:bCs/>
        </w:rPr>
        <w:t xml:space="preserve">3.3 Distribution of CA-MRSA from Different Sites in </w:t>
      </w:r>
      <w:proofErr w:type="spellStart"/>
      <w:r w:rsidRPr="001153D2">
        <w:rPr>
          <w:rFonts w:ascii="Arial" w:hAnsi="Arial" w:cs="Arial"/>
          <w:b/>
          <w:bCs/>
        </w:rPr>
        <w:t>Ekpoma</w:t>
      </w:r>
      <w:proofErr w:type="spellEnd"/>
      <w:r w:rsidRPr="001153D2">
        <w:rPr>
          <w:rFonts w:ascii="Arial" w:hAnsi="Arial" w:cs="Arial"/>
          <w:b/>
          <w:bCs/>
        </w:rPr>
        <w:t xml:space="preserve"> Community</w:t>
      </w:r>
    </w:p>
    <w:p w14:paraId="3EB406D1" w14:textId="77777777" w:rsidR="004600D5" w:rsidRPr="001153D2" w:rsidRDefault="004600D5" w:rsidP="004600D5">
      <w:pPr>
        <w:spacing w:after="160"/>
        <w:jc w:val="both"/>
        <w:rPr>
          <w:rFonts w:ascii="Arial" w:hAnsi="Arial" w:cs="Arial"/>
        </w:rPr>
      </w:pPr>
      <w:r w:rsidRPr="001153D2">
        <w:rPr>
          <w:rFonts w:ascii="Arial" w:hAnsi="Arial" w:cs="Arial"/>
        </w:rPr>
        <w:t xml:space="preserve">Out of 310 samples collected from the community, markets were found to have the highest percentage of CA-MRSA prevalence at 30%, while motor parks had 27%, schools had 19%, and churches had 8% (see Table 3). From the prevalence of CA-MRSA in markets and motor parks, it can be deduced that crowded places enhance MRSA transmission. In markets and motor parks, there is a high density of people; frequent physical contact; and sharing of things such as walls, floors, and vehicles. This observation aligns with that made by Shittu </w:t>
      </w:r>
      <w:r w:rsidRPr="001153D2">
        <w:rPr>
          <w:rFonts w:ascii="Arial" w:hAnsi="Arial" w:cs="Arial"/>
          <w:i/>
          <w:iCs/>
        </w:rPr>
        <w:t>et al</w:t>
      </w:r>
      <w:r w:rsidRPr="001153D2">
        <w:rPr>
          <w:rFonts w:ascii="Arial" w:hAnsi="Arial" w:cs="Arial"/>
        </w:rPr>
        <w:t>. (2011), where they noted high amounts of CA-MRSA from market places compared to other community places in Ondo State, Nigeria. The lower prevalence in schools (19%) and churches (8%) may reflect smaller population densities or shorter durations of contact in these settings.</w:t>
      </w:r>
    </w:p>
    <w:p w14:paraId="1B76592B" w14:textId="77777777" w:rsidR="004600D5" w:rsidRPr="001153D2" w:rsidRDefault="004600D5" w:rsidP="004600D5">
      <w:pPr>
        <w:spacing w:after="160"/>
        <w:jc w:val="both"/>
        <w:rPr>
          <w:rFonts w:ascii="Arial" w:hAnsi="Arial" w:cs="Arial"/>
        </w:rPr>
      </w:pPr>
      <w:r w:rsidRPr="001153D2">
        <w:rPr>
          <w:rFonts w:ascii="Arial" w:hAnsi="Arial" w:cs="Arial"/>
        </w:rPr>
        <w:t xml:space="preserve">The isolation of CA-MRSA in healthy people in the community raises alarm due to the fact that these people act as a source of infection for MRSA that can spread from the community to hospitals. In community settings, people carrying MRSA have no symptoms of disease and hence can infect their families, co-workers, and healthcare workers without knowing. The fact that there is CA-MRSA in the community means that healthcare professionals should be aware of MRSA in treating community infections with antibiotics empirically. It has been found that 17% of the apparently healthy people harbored CA-MRSA in the study, which is greater than 2.4% reported by Stephani </w:t>
      </w:r>
      <w:r w:rsidRPr="001153D2">
        <w:rPr>
          <w:rFonts w:ascii="Arial" w:hAnsi="Arial" w:cs="Arial"/>
          <w:i/>
          <w:iCs/>
        </w:rPr>
        <w:t>et al</w:t>
      </w:r>
      <w:r w:rsidRPr="001153D2">
        <w:rPr>
          <w:rFonts w:ascii="Arial" w:hAnsi="Arial" w:cs="Arial"/>
        </w:rPr>
        <w:t>. (2012) in the US in their cohort study.</w:t>
      </w:r>
    </w:p>
    <w:p w14:paraId="264786E9" w14:textId="77777777" w:rsidR="004600D5" w:rsidRPr="001153D2" w:rsidRDefault="004600D5" w:rsidP="004600D5">
      <w:pPr>
        <w:jc w:val="both"/>
        <w:rPr>
          <w:rFonts w:ascii="Arial" w:hAnsi="Arial" w:cs="Arial"/>
        </w:rPr>
      </w:pPr>
      <w:r w:rsidRPr="001153D2">
        <w:rPr>
          <w:rFonts w:ascii="Arial" w:hAnsi="Arial" w:cs="Arial"/>
          <w:b/>
          <w:bCs/>
        </w:rPr>
        <w:t xml:space="preserve">Table 3: Distribution of CA-MRSA in </w:t>
      </w:r>
      <w:proofErr w:type="spellStart"/>
      <w:r w:rsidRPr="001153D2">
        <w:rPr>
          <w:rFonts w:ascii="Arial" w:hAnsi="Arial" w:cs="Arial"/>
          <w:b/>
          <w:bCs/>
        </w:rPr>
        <w:t>Ekpoma</w:t>
      </w:r>
      <w:proofErr w:type="spellEnd"/>
      <w:r w:rsidRPr="001153D2">
        <w:rPr>
          <w:rFonts w:ascii="Arial" w:hAnsi="Arial" w:cs="Arial"/>
          <w:b/>
          <w:bCs/>
        </w:rPr>
        <w:t xml:space="preserve"> Community</w:t>
      </w:r>
    </w:p>
    <w:tbl>
      <w:tblPr>
        <w:tblStyle w:val="ListTable6Colorful"/>
        <w:tblW w:w="6048" w:type="dxa"/>
        <w:jc w:val="center"/>
        <w:tblLook w:val="0420" w:firstRow="1" w:lastRow="0" w:firstColumn="0" w:lastColumn="0" w:noHBand="0" w:noVBand="1"/>
      </w:tblPr>
      <w:tblGrid>
        <w:gridCol w:w="2178"/>
        <w:gridCol w:w="1890"/>
        <w:gridCol w:w="1980"/>
      </w:tblGrid>
      <w:tr w:rsidR="004600D5" w:rsidRPr="001153D2" w14:paraId="37DEE835"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2178" w:type="dxa"/>
            <w:hideMark/>
          </w:tcPr>
          <w:p w14:paraId="210F6CA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Sample Source</w:t>
            </w:r>
          </w:p>
        </w:tc>
        <w:tc>
          <w:tcPr>
            <w:tcW w:w="1890" w:type="dxa"/>
            <w:hideMark/>
          </w:tcPr>
          <w:p w14:paraId="67C79AC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of Samples</w:t>
            </w:r>
          </w:p>
        </w:tc>
        <w:tc>
          <w:tcPr>
            <w:tcW w:w="1980" w:type="dxa"/>
            <w:hideMark/>
          </w:tcPr>
          <w:p w14:paraId="6F8AB8C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 Positive</w:t>
            </w:r>
          </w:p>
        </w:tc>
      </w:tr>
      <w:tr w:rsidR="004600D5" w:rsidRPr="001153D2" w14:paraId="166085BA"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7D7F0B4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Schools</w:t>
            </w:r>
          </w:p>
        </w:tc>
        <w:tc>
          <w:tcPr>
            <w:tcW w:w="1890" w:type="dxa"/>
            <w:shd w:val="clear" w:color="auto" w:fill="auto"/>
            <w:hideMark/>
          </w:tcPr>
          <w:p w14:paraId="0DE15ED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130</w:t>
            </w:r>
          </w:p>
        </w:tc>
        <w:tc>
          <w:tcPr>
            <w:tcW w:w="1980" w:type="dxa"/>
            <w:shd w:val="clear" w:color="auto" w:fill="auto"/>
            <w:hideMark/>
          </w:tcPr>
          <w:p w14:paraId="1A003E3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25 (19)</w:t>
            </w:r>
          </w:p>
        </w:tc>
      </w:tr>
      <w:tr w:rsidR="004600D5" w:rsidRPr="001153D2" w14:paraId="52AF6C2F" w14:textId="77777777" w:rsidTr="004600D5">
        <w:trPr>
          <w:jc w:val="center"/>
        </w:trPr>
        <w:tc>
          <w:tcPr>
            <w:tcW w:w="2178" w:type="dxa"/>
            <w:hideMark/>
          </w:tcPr>
          <w:p w14:paraId="0FF6E2B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Churches</w:t>
            </w:r>
          </w:p>
        </w:tc>
        <w:tc>
          <w:tcPr>
            <w:tcW w:w="1890" w:type="dxa"/>
            <w:hideMark/>
          </w:tcPr>
          <w:p w14:paraId="0D63B45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120</w:t>
            </w:r>
          </w:p>
        </w:tc>
        <w:tc>
          <w:tcPr>
            <w:tcW w:w="1980" w:type="dxa"/>
            <w:hideMark/>
          </w:tcPr>
          <w:p w14:paraId="450B044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 (8)</w:t>
            </w:r>
          </w:p>
        </w:tc>
      </w:tr>
      <w:tr w:rsidR="004600D5" w:rsidRPr="001153D2" w14:paraId="04766DC7"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2ED62BD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Markets</w:t>
            </w:r>
          </w:p>
        </w:tc>
        <w:tc>
          <w:tcPr>
            <w:tcW w:w="1890" w:type="dxa"/>
            <w:shd w:val="clear" w:color="auto" w:fill="auto"/>
            <w:hideMark/>
          </w:tcPr>
          <w:p w14:paraId="695D2FC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30</w:t>
            </w:r>
          </w:p>
        </w:tc>
        <w:tc>
          <w:tcPr>
            <w:tcW w:w="1980" w:type="dxa"/>
            <w:shd w:val="clear" w:color="auto" w:fill="auto"/>
            <w:hideMark/>
          </w:tcPr>
          <w:p w14:paraId="36FF8AA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 (30)</w:t>
            </w:r>
          </w:p>
        </w:tc>
      </w:tr>
      <w:tr w:rsidR="004600D5" w:rsidRPr="001153D2" w14:paraId="0399B561" w14:textId="77777777" w:rsidTr="004600D5">
        <w:trPr>
          <w:jc w:val="center"/>
        </w:trPr>
        <w:tc>
          <w:tcPr>
            <w:tcW w:w="2178" w:type="dxa"/>
            <w:hideMark/>
          </w:tcPr>
          <w:p w14:paraId="4E5E279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Motor Parks</w:t>
            </w:r>
          </w:p>
        </w:tc>
        <w:tc>
          <w:tcPr>
            <w:tcW w:w="1890" w:type="dxa"/>
            <w:hideMark/>
          </w:tcPr>
          <w:p w14:paraId="0D226DF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30</w:t>
            </w:r>
          </w:p>
        </w:tc>
        <w:tc>
          <w:tcPr>
            <w:tcW w:w="1980" w:type="dxa"/>
            <w:hideMark/>
          </w:tcPr>
          <w:p w14:paraId="7CE1F5A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8 (27)</w:t>
            </w:r>
          </w:p>
        </w:tc>
      </w:tr>
      <w:tr w:rsidR="004600D5" w:rsidRPr="001153D2" w14:paraId="6279D3E5"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3ACFF639"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Total</w:t>
            </w:r>
          </w:p>
        </w:tc>
        <w:tc>
          <w:tcPr>
            <w:tcW w:w="1890" w:type="dxa"/>
            <w:shd w:val="clear" w:color="auto" w:fill="auto"/>
            <w:hideMark/>
          </w:tcPr>
          <w:p w14:paraId="5725B415"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310</w:t>
            </w:r>
          </w:p>
        </w:tc>
        <w:tc>
          <w:tcPr>
            <w:tcW w:w="1980" w:type="dxa"/>
            <w:shd w:val="clear" w:color="auto" w:fill="auto"/>
            <w:hideMark/>
          </w:tcPr>
          <w:p w14:paraId="5C7A7F7D"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51 (17)</w:t>
            </w:r>
          </w:p>
        </w:tc>
      </w:tr>
    </w:tbl>
    <w:p w14:paraId="76C2F133" w14:textId="77777777" w:rsidR="004600D5" w:rsidRPr="001153D2" w:rsidRDefault="004600D5" w:rsidP="004600D5">
      <w:pPr>
        <w:jc w:val="both"/>
        <w:rPr>
          <w:rFonts w:ascii="Arial" w:hAnsi="Arial" w:cs="Arial"/>
          <w:b/>
          <w:bCs/>
        </w:rPr>
      </w:pPr>
    </w:p>
    <w:p w14:paraId="2FAC18C8" w14:textId="77777777" w:rsidR="004600D5" w:rsidRPr="001153D2" w:rsidRDefault="004600D5" w:rsidP="004600D5">
      <w:pPr>
        <w:jc w:val="both"/>
        <w:rPr>
          <w:rFonts w:ascii="Arial" w:hAnsi="Arial" w:cs="Arial"/>
          <w:b/>
          <w:bCs/>
        </w:rPr>
      </w:pPr>
      <w:r w:rsidRPr="001153D2">
        <w:rPr>
          <w:rFonts w:ascii="Arial" w:hAnsi="Arial" w:cs="Arial"/>
          <w:b/>
          <w:bCs/>
        </w:rPr>
        <w:t>3.4 Antibiogram of HA-MRSA Isolates</w:t>
      </w:r>
    </w:p>
    <w:p w14:paraId="783F6FD1" w14:textId="77777777" w:rsidR="004600D5" w:rsidRPr="001153D2" w:rsidRDefault="004600D5" w:rsidP="004600D5">
      <w:pPr>
        <w:spacing w:after="160"/>
        <w:jc w:val="both"/>
        <w:rPr>
          <w:rFonts w:ascii="Arial" w:hAnsi="Arial" w:cs="Arial"/>
        </w:rPr>
      </w:pPr>
      <w:r w:rsidRPr="001153D2">
        <w:rPr>
          <w:rFonts w:ascii="Arial" w:hAnsi="Arial" w:cs="Arial"/>
        </w:rPr>
        <w:t xml:space="preserve">Vancomycin and linezolid showed high susceptibility (100%) to all the 82 HA-MRSA isolates tested. Resistance rates to other antibiotics tested were 96% to cloxacillin, 41% to ciprofloxacin, 45% to gentamicin, 26% to erythromycin, and 9% to tetracycline (Table 4). These antibiogram results support vancomycin and linezolid as the choice antibiotics in treating MRSA infections in this study area. This finding is in agreement with that of Shittu </w:t>
      </w:r>
      <w:r w:rsidRPr="001153D2">
        <w:rPr>
          <w:rFonts w:ascii="Arial" w:hAnsi="Arial" w:cs="Arial"/>
          <w:i/>
          <w:iCs/>
        </w:rPr>
        <w:t>et al</w:t>
      </w:r>
      <w:r w:rsidRPr="001153D2">
        <w:rPr>
          <w:rFonts w:ascii="Arial" w:hAnsi="Arial" w:cs="Arial"/>
        </w:rPr>
        <w:t xml:space="preserve">. (2011), who found vancomycin and linezolid to be the most efficacious antibiotics in the treatment of MRSA in Nigeria. Nevertheless, the recent emergence of vancomycin-intermediate and vancomycin-resistant strains of </w:t>
      </w:r>
      <w:r>
        <w:rPr>
          <w:rFonts w:ascii="Arial" w:hAnsi="Arial" w:cs="Arial"/>
        </w:rPr>
        <w:t>S. aureus</w:t>
      </w:r>
      <w:r w:rsidRPr="001153D2">
        <w:rPr>
          <w:rFonts w:ascii="Arial" w:hAnsi="Arial" w:cs="Arial"/>
        </w:rPr>
        <w:t xml:space="preserve"> worldwide (Shittu </w:t>
      </w:r>
      <w:r w:rsidRPr="001153D2">
        <w:rPr>
          <w:rFonts w:ascii="Arial" w:hAnsi="Arial" w:cs="Arial"/>
          <w:i/>
          <w:iCs/>
        </w:rPr>
        <w:t>et al</w:t>
      </w:r>
      <w:r w:rsidRPr="001153D2">
        <w:rPr>
          <w:rFonts w:ascii="Arial" w:hAnsi="Arial" w:cs="Arial"/>
        </w:rPr>
        <w:t>., 2011) calls for monitoring and prudent use of these last-resort antibiotics. Dependence on these two antibiotics to treat MRSA infections is a matter of serious concern.</w:t>
      </w:r>
    </w:p>
    <w:p w14:paraId="34B1A9D9" w14:textId="77777777" w:rsidR="004600D5" w:rsidRPr="001153D2" w:rsidRDefault="004600D5" w:rsidP="004600D5">
      <w:pPr>
        <w:spacing w:after="160"/>
        <w:jc w:val="both"/>
        <w:rPr>
          <w:rFonts w:ascii="Arial" w:hAnsi="Arial" w:cs="Arial"/>
        </w:rPr>
      </w:pPr>
      <w:r w:rsidRPr="001153D2">
        <w:rPr>
          <w:rFonts w:ascii="Arial" w:hAnsi="Arial" w:cs="Arial"/>
        </w:rPr>
        <w:lastRenderedPageBreak/>
        <w:t xml:space="preserve">High resistance to cloxacillin (96%) is not surprising since cloxacillin belongs to the group of beta-lactams while MRSA isolates are defined by their resistance to beta-lactams (Choo </w:t>
      </w:r>
      <w:r w:rsidRPr="001153D2">
        <w:rPr>
          <w:rFonts w:ascii="Arial" w:hAnsi="Arial" w:cs="Arial"/>
          <w:i/>
          <w:iCs/>
        </w:rPr>
        <w:t>et al</w:t>
      </w:r>
      <w:r w:rsidRPr="001153D2">
        <w:rPr>
          <w:rFonts w:ascii="Arial" w:hAnsi="Arial" w:cs="Arial"/>
        </w:rPr>
        <w:t>., 2016). Four percent of isolates that showed intermediate sensitivity to cloxacillin might be a case of heterogeneous resistance when only some of the cells of the isolate are resistant. Higher levels of resistance to ciprofloxacin (41%), gentamicin (45%), and erythromycin (26%) among HA-MRSA isolates are a result of increased antibiotic pressure in hospitals where different antibiotics are often administered to patients. HA-MRSA isolates are often exposed to various drugs, resulting in their resistance development via horizontal gene transfer and antibiotic pressure. The resistance to ciprofloxacin should cause special concerns because fluoroquinolones are one of the empirical therapy drugs often used to treat different infections, and thus resistance to this group of antibiotics reduces the range of treatment opportunities. Resistance to tetracycline is comparatively low (9%), so this drug can be considered for the treatment of HA-MRSA infections, but only after susceptibility test.</w:t>
      </w:r>
    </w:p>
    <w:p w14:paraId="1ECDCCAA" w14:textId="77777777" w:rsidR="004600D5" w:rsidRPr="001153D2" w:rsidRDefault="004600D5" w:rsidP="004600D5">
      <w:pPr>
        <w:jc w:val="both"/>
        <w:rPr>
          <w:rFonts w:ascii="Arial" w:hAnsi="Arial" w:cs="Arial"/>
        </w:rPr>
      </w:pPr>
      <w:r w:rsidRPr="001153D2">
        <w:rPr>
          <w:rFonts w:ascii="Arial" w:hAnsi="Arial" w:cs="Arial"/>
          <w:b/>
          <w:bCs/>
        </w:rPr>
        <w:t>Table 4: Antibiogram of HA-MRSA Isolates (n=82)</w:t>
      </w:r>
    </w:p>
    <w:tbl>
      <w:tblPr>
        <w:tblStyle w:val="ListTable6Colorful"/>
        <w:tblW w:w="0" w:type="auto"/>
        <w:jc w:val="center"/>
        <w:tblLook w:val="0420" w:firstRow="1" w:lastRow="0" w:firstColumn="0" w:lastColumn="0" w:noHBand="0" w:noVBand="1"/>
      </w:tblPr>
      <w:tblGrid>
        <w:gridCol w:w="1383"/>
        <w:gridCol w:w="1461"/>
        <w:gridCol w:w="1772"/>
        <w:gridCol w:w="1483"/>
      </w:tblGrid>
      <w:tr w:rsidR="004600D5" w:rsidRPr="001153D2" w14:paraId="1863C804"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0" w:type="auto"/>
            <w:hideMark/>
          </w:tcPr>
          <w:p w14:paraId="58315FA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Antibiotic</w:t>
            </w:r>
          </w:p>
        </w:tc>
        <w:tc>
          <w:tcPr>
            <w:tcW w:w="0" w:type="auto"/>
            <w:hideMark/>
          </w:tcPr>
          <w:p w14:paraId="792ECDC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Sensitive (%)</w:t>
            </w:r>
          </w:p>
        </w:tc>
        <w:tc>
          <w:tcPr>
            <w:tcW w:w="0" w:type="auto"/>
            <w:hideMark/>
          </w:tcPr>
          <w:p w14:paraId="139A064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Intermediate (%)</w:t>
            </w:r>
          </w:p>
        </w:tc>
        <w:tc>
          <w:tcPr>
            <w:tcW w:w="0" w:type="auto"/>
            <w:hideMark/>
          </w:tcPr>
          <w:p w14:paraId="16F0366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Resistant (%)</w:t>
            </w:r>
          </w:p>
        </w:tc>
      </w:tr>
      <w:tr w:rsidR="004600D5" w:rsidRPr="001153D2" w14:paraId="51F968FE"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46FCF69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Vancomycin</w:t>
            </w:r>
          </w:p>
        </w:tc>
        <w:tc>
          <w:tcPr>
            <w:tcW w:w="0" w:type="auto"/>
            <w:shd w:val="clear" w:color="auto" w:fill="auto"/>
            <w:hideMark/>
          </w:tcPr>
          <w:p w14:paraId="718C5D4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82 (100)</w:t>
            </w:r>
          </w:p>
        </w:tc>
        <w:tc>
          <w:tcPr>
            <w:tcW w:w="0" w:type="auto"/>
            <w:shd w:val="clear" w:color="auto" w:fill="auto"/>
            <w:hideMark/>
          </w:tcPr>
          <w:p w14:paraId="30E3AB5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2930D8C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r>
      <w:tr w:rsidR="004600D5" w:rsidRPr="001153D2" w14:paraId="4FC18F80" w14:textId="77777777" w:rsidTr="004600D5">
        <w:trPr>
          <w:jc w:val="center"/>
        </w:trPr>
        <w:tc>
          <w:tcPr>
            <w:tcW w:w="0" w:type="auto"/>
            <w:hideMark/>
          </w:tcPr>
          <w:p w14:paraId="683DA72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Linezolid</w:t>
            </w:r>
          </w:p>
        </w:tc>
        <w:tc>
          <w:tcPr>
            <w:tcW w:w="0" w:type="auto"/>
            <w:hideMark/>
          </w:tcPr>
          <w:p w14:paraId="2043271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82 (100)</w:t>
            </w:r>
          </w:p>
        </w:tc>
        <w:tc>
          <w:tcPr>
            <w:tcW w:w="0" w:type="auto"/>
            <w:hideMark/>
          </w:tcPr>
          <w:p w14:paraId="4B3F6A9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hideMark/>
          </w:tcPr>
          <w:p w14:paraId="5AE9A09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r>
      <w:tr w:rsidR="004600D5" w:rsidRPr="001153D2" w14:paraId="74A9A72A"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4FAAFD8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Cloxacillin</w:t>
            </w:r>
          </w:p>
        </w:tc>
        <w:tc>
          <w:tcPr>
            <w:tcW w:w="0" w:type="auto"/>
            <w:shd w:val="clear" w:color="auto" w:fill="auto"/>
            <w:hideMark/>
          </w:tcPr>
          <w:p w14:paraId="6DCC668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55861E0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 (4)</w:t>
            </w:r>
          </w:p>
        </w:tc>
        <w:tc>
          <w:tcPr>
            <w:tcW w:w="0" w:type="auto"/>
            <w:shd w:val="clear" w:color="auto" w:fill="auto"/>
            <w:hideMark/>
          </w:tcPr>
          <w:p w14:paraId="153A325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79 (96)</w:t>
            </w:r>
          </w:p>
        </w:tc>
      </w:tr>
      <w:tr w:rsidR="004600D5" w:rsidRPr="001153D2" w14:paraId="502FB074" w14:textId="77777777" w:rsidTr="004600D5">
        <w:trPr>
          <w:jc w:val="center"/>
        </w:trPr>
        <w:tc>
          <w:tcPr>
            <w:tcW w:w="0" w:type="auto"/>
            <w:hideMark/>
          </w:tcPr>
          <w:p w14:paraId="2B7EF09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Ciprofloxacin</w:t>
            </w:r>
          </w:p>
        </w:tc>
        <w:tc>
          <w:tcPr>
            <w:tcW w:w="0" w:type="auto"/>
            <w:hideMark/>
          </w:tcPr>
          <w:p w14:paraId="3FE1A8B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48 (59)</w:t>
            </w:r>
          </w:p>
        </w:tc>
        <w:tc>
          <w:tcPr>
            <w:tcW w:w="0" w:type="auto"/>
            <w:hideMark/>
          </w:tcPr>
          <w:p w14:paraId="4F11C9E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hideMark/>
          </w:tcPr>
          <w:p w14:paraId="787C35F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34 (41)</w:t>
            </w:r>
          </w:p>
        </w:tc>
      </w:tr>
      <w:tr w:rsidR="004600D5" w:rsidRPr="001153D2" w14:paraId="3BADE39E"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50913D1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Tetracycline</w:t>
            </w:r>
          </w:p>
        </w:tc>
        <w:tc>
          <w:tcPr>
            <w:tcW w:w="0" w:type="auto"/>
            <w:shd w:val="clear" w:color="auto" w:fill="auto"/>
            <w:hideMark/>
          </w:tcPr>
          <w:p w14:paraId="6EE0705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74 (90)</w:t>
            </w:r>
          </w:p>
        </w:tc>
        <w:tc>
          <w:tcPr>
            <w:tcW w:w="0" w:type="auto"/>
            <w:shd w:val="clear" w:color="auto" w:fill="auto"/>
            <w:hideMark/>
          </w:tcPr>
          <w:p w14:paraId="3343B30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 (1)</w:t>
            </w:r>
          </w:p>
        </w:tc>
        <w:tc>
          <w:tcPr>
            <w:tcW w:w="0" w:type="auto"/>
            <w:shd w:val="clear" w:color="auto" w:fill="auto"/>
            <w:hideMark/>
          </w:tcPr>
          <w:p w14:paraId="47379DC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 (9)</w:t>
            </w:r>
          </w:p>
        </w:tc>
      </w:tr>
      <w:tr w:rsidR="004600D5" w:rsidRPr="001153D2" w14:paraId="650092A7" w14:textId="77777777" w:rsidTr="004600D5">
        <w:trPr>
          <w:jc w:val="center"/>
        </w:trPr>
        <w:tc>
          <w:tcPr>
            <w:tcW w:w="0" w:type="auto"/>
            <w:hideMark/>
          </w:tcPr>
          <w:p w14:paraId="190200F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Gentamicin</w:t>
            </w:r>
          </w:p>
        </w:tc>
        <w:tc>
          <w:tcPr>
            <w:tcW w:w="0" w:type="auto"/>
            <w:hideMark/>
          </w:tcPr>
          <w:p w14:paraId="7CEAB72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43 (52)</w:t>
            </w:r>
          </w:p>
        </w:tc>
        <w:tc>
          <w:tcPr>
            <w:tcW w:w="0" w:type="auto"/>
            <w:hideMark/>
          </w:tcPr>
          <w:p w14:paraId="538217D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 (2)</w:t>
            </w:r>
          </w:p>
        </w:tc>
        <w:tc>
          <w:tcPr>
            <w:tcW w:w="0" w:type="auto"/>
            <w:hideMark/>
          </w:tcPr>
          <w:p w14:paraId="40D9222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37 (45)</w:t>
            </w:r>
          </w:p>
        </w:tc>
      </w:tr>
      <w:tr w:rsidR="004600D5" w:rsidRPr="001153D2" w14:paraId="486831BB"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6206F20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Erythromycin</w:t>
            </w:r>
          </w:p>
        </w:tc>
        <w:tc>
          <w:tcPr>
            <w:tcW w:w="0" w:type="auto"/>
            <w:shd w:val="clear" w:color="auto" w:fill="auto"/>
            <w:hideMark/>
          </w:tcPr>
          <w:p w14:paraId="3F7EC1F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61 (74)</w:t>
            </w:r>
          </w:p>
        </w:tc>
        <w:tc>
          <w:tcPr>
            <w:tcW w:w="0" w:type="auto"/>
            <w:shd w:val="clear" w:color="auto" w:fill="auto"/>
            <w:hideMark/>
          </w:tcPr>
          <w:p w14:paraId="7CE4040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527AB46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21 (26)</w:t>
            </w:r>
          </w:p>
        </w:tc>
      </w:tr>
    </w:tbl>
    <w:p w14:paraId="6048AA00" w14:textId="77777777" w:rsidR="004600D5" w:rsidRPr="001153D2" w:rsidRDefault="004600D5" w:rsidP="004600D5">
      <w:pPr>
        <w:jc w:val="both"/>
        <w:rPr>
          <w:rFonts w:ascii="Arial" w:hAnsi="Arial" w:cs="Arial"/>
          <w:b/>
          <w:bCs/>
        </w:rPr>
      </w:pPr>
    </w:p>
    <w:p w14:paraId="5EAE9E63" w14:textId="77777777" w:rsidR="004600D5" w:rsidRPr="001153D2" w:rsidRDefault="004600D5" w:rsidP="004600D5">
      <w:pPr>
        <w:jc w:val="both"/>
        <w:rPr>
          <w:rFonts w:ascii="Arial" w:hAnsi="Arial" w:cs="Arial"/>
          <w:b/>
          <w:bCs/>
        </w:rPr>
      </w:pPr>
      <w:r w:rsidRPr="001153D2">
        <w:rPr>
          <w:rFonts w:ascii="Arial" w:hAnsi="Arial" w:cs="Arial"/>
          <w:b/>
          <w:bCs/>
        </w:rPr>
        <w:t>3.5 Antibiogram of CA-MRSA Isolates</w:t>
      </w:r>
    </w:p>
    <w:p w14:paraId="6BFF1461" w14:textId="77777777" w:rsidR="004600D5" w:rsidRPr="001153D2" w:rsidRDefault="004600D5" w:rsidP="004600D5">
      <w:pPr>
        <w:spacing w:after="160"/>
        <w:jc w:val="both"/>
        <w:rPr>
          <w:rFonts w:ascii="Arial" w:hAnsi="Arial" w:cs="Arial"/>
        </w:rPr>
      </w:pPr>
      <w:r w:rsidRPr="001153D2">
        <w:rPr>
          <w:rFonts w:ascii="Arial" w:hAnsi="Arial" w:cs="Arial"/>
        </w:rPr>
        <w:t xml:space="preserve">All CA-MRSA isolates (n = 51; 100%) were susceptible to vancomycin and linezolid. Resistance rates for cloxacillin, ciprofloxacin, gentamicin, erythromycin, and tetracycline were 96%, 20%, 35%, 6%, and 8%, respectively (see Table 5). It is clear from the low resistance rates exhibited by CA-MRSA isolates as opposed to HA-MRSA isolates due to low selection pressure of antibiotics in community settings. CA-MRSA isolates are exposed to fewer antibiotics than HA-MRSA isolates and are less likely to acquire multiple resistance genes. This finding is consistent with findings by Okwu </w:t>
      </w:r>
      <w:r w:rsidRPr="001153D2">
        <w:rPr>
          <w:rFonts w:ascii="Arial" w:hAnsi="Arial" w:cs="Arial"/>
          <w:i/>
          <w:iCs/>
        </w:rPr>
        <w:t>et al</w:t>
      </w:r>
      <w:r w:rsidRPr="001153D2">
        <w:rPr>
          <w:rFonts w:ascii="Arial" w:hAnsi="Arial" w:cs="Arial"/>
        </w:rPr>
        <w:t xml:space="preserve">. (2014), who indicated vancomycin, linezolid, and tetracycline as drugs of choice for CA-MRSA infections. However, 35% of CA-MRSA isolates being resistant to gentamicin and 20% to ciprofloxacin suggest misuse of antibiotics in communities, although at lower frequency than in hospitals. Overuse of antibiotics in the community through self-medication and use of partial antibiotic regimens can contribute to the development and spread of resistant strains. It can be observed that erythromycin and tetracycline, with 6% and 8% levels of resistance, respectively, are likely to remain effective against CA-MRSA infections, but the importance of susceptibility testing cannot be overlooked. Resistance levels of 96% of the isolates to cloxacillin confirm the classification of MRSA and the presence of </w:t>
      </w:r>
      <w:proofErr w:type="spellStart"/>
      <w:r w:rsidRPr="001153D2">
        <w:rPr>
          <w:rFonts w:ascii="Arial" w:hAnsi="Arial" w:cs="Arial"/>
        </w:rPr>
        <w:t>mecA</w:t>
      </w:r>
      <w:proofErr w:type="spellEnd"/>
      <w:r w:rsidRPr="001153D2">
        <w:rPr>
          <w:rFonts w:ascii="Arial" w:hAnsi="Arial" w:cs="Arial"/>
        </w:rPr>
        <w:t xml:space="preserve"> gene.</w:t>
      </w:r>
    </w:p>
    <w:p w14:paraId="33BDB3F7" w14:textId="77777777" w:rsidR="004600D5" w:rsidRPr="001153D2" w:rsidRDefault="004600D5" w:rsidP="004600D5">
      <w:pPr>
        <w:jc w:val="both"/>
        <w:rPr>
          <w:rFonts w:ascii="Arial" w:hAnsi="Arial" w:cs="Arial"/>
        </w:rPr>
      </w:pPr>
      <w:r w:rsidRPr="001153D2">
        <w:rPr>
          <w:rFonts w:ascii="Arial" w:hAnsi="Arial" w:cs="Arial"/>
          <w:b/>
          <w:bCs/>
        </w:rPr>
        <w:t>Table 5: Antibiogram of CA-MRSA Isolates (n=51)</w:t>
      </w:r>
    </w:p>
    <w:tbl>
      <w:tblPr>
        <w:tblStyle w:val="ListTable6Colorful"/>
        <w:tblW w:w="0" w:type="auto"/>
        <w:jc w:val="center"/>
        <w:tblLook w:val="0420" w:firstRow="1" w:lastRow="0" w:firstColumn="0" w:lastColumn="0" w:noHBand="0" w:noVBand="1"/>
      </w:tblPr>
      <w:tblGrid>
        <w:gridCol w:w="1383"/>
        <w:gridCol w:w="1461"/>
        <w:gridCol w:w="1772"/>
        <w:gridCol w:w="1483"/>
      </w:tblGrid>
      <w:tr w:rsidR="004600D5" w:rsidRPr="001153D2" w14:paraId="59901DCC"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0" w:type="auto"/>
            <w:hideMark/>
          </w:tcPr>
          <w:p w14:paraId="0FADE5C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Antibiotic</w:t>
            </w:r>
          </w:p>
        </w:tc>
        <w:tc>
          <w:tcPr>
            <w:tcW w:w="0" w:type="auto"/>
            <w:hideMark/>
          </w:tcPr>
          <w:p w14:paraId="1D5484A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Sensitive (%)</w:t>
            </w:r>
          </w:p>
        </w:tc>
        <w:tc>
          <w:tcPr>
            <w:tcW w:w="0" w:type="auto"/>
            <w:hideMark/>
          </w:tcPr>
          <w:p w14:paraId="4E716BC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Intermediate (%)</w:t>
            </w:r>
          </w:p>
        </w:tc>
        <w:tc>
          <w:tcPr>
            <w:tcW w:w="0" w:type="auto"/>
            <w:hideMark/>
          </w:tcPr>
          <w:p w14:paraId="703FC5B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Resistant (%)</w:t>
            </w:r>
          </w:p>
        </w:tc>
      </w:tr>
      <w:tr w:rsidR="004600D5" w:rsidRPr="001153D2" w14:paraId="1BE13EF1"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08D3F6C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Vancomycin</w:t>
            </w:r>
          </w:p>
        </w:tc>
        <w:tc>
          <w:tcPr>
            <w:tcW w:w="0" w:type="auto"/>
            <w:shd w:val="clear" w:color="auto" w:fill="auto"/>
            <w:hideMark/>
          </w:tcPr>
          <w:p w14:paraId="46ADDCD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51 (100)</w:t>
            </w:r>
          </w:p>
        </w:tc>
        <w:tc>
          <w:tcPr>
            <w:tcW w:w="0" w:type="auto"/>
            <w:shd w:val="clear" w:color="auto" w:fill="auto"/>
            <w:hideMark/>
          </w:tcPr>
          <w:p w14:paraId="16FE340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311F613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r>
      <w:tr w:rsidR="004600D5" w:rsidRPr="001153D2" w14:paraId="0B5962BE" w14:textId="77777777" w:rsidTr="004600D5">
        <w:trPr>
          <w:jc w:val="center"/>
        </w:trPr>
        <w:tc>
          <w:tcPr>
            <w:tcW w:w="0" w:type="auto"/>
            <w:hideMark/>
          </w:tcPr>
          <w:p w14:paraId="2B3873B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Linezolid</w:t>
            </w:r>
          </w:p>
        </w:tc>
        <w:tc>
          <w:tcPr>
            <w:tcW w:w="0" w:type="auto"/>
            <w:hideMark/>
          </w:tcPr>
          <w:p w14:paraId="2FBC67A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51 (100)</w:t>
            </w:r>
          </w:p>
        </w:tc>
        <w:tc>
          <w:tcPr>
            <w:tcW w:w="0" w:type="auto"/>
            <w:hideMark/>
          </w:tcPr>
          <w:p w14:paraId="69E2787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hideMark/>
          </w:tcPr>
          <w:p w14:paraId="3035646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r>
      <w:tr w:rsidR="004600D5" w:rsidRPr="001153D2" w14:paraId="73B0E52C"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7F2DC3A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Cloxacillin</w:t>
            </w:r>
          </w:p>
        </w:tc>
        <w:tc>
          <w:tcPr>
            <w:tcW w:w="0" w:type="auto"/>
            <w:shd w:val="clear" w:color="auto" w:fill="auto"/>
            <w:hideMark/>
          </w:tcPr>
          <w:p w14:paraId="19B7B31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375E2F8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 (4)</w:t>
            </w:r>
          </w:p>
        </w:tc>
        <w:tc>
          <w:tcPr>
            <w:tcW w:w="0" w:type="auto"/>
            <w:shd w:val="clear" w:color="auto" w:fill="auto"/>
            <w:hideMark/>
          </w:tcPr>
          <w:p w14:paraId="3352346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49 (96)</w:t>
            </w:r>
          </w:p>
        </w:tc>
      </w:tr>
      <w:tr w:rsidR="004600D5" w:rsidRPr="001153D2" w14:paraId="0A33E71D" w14:textId="77777777" w:rsidTr="004600D5">
        <w:trPr>
          <w:jc w:val="center"/>
        </w:trPr>
        <w:tc>
          <w:tcPr>
            <w:tcW w:w="0" w:type="auto"/>
            <w:hideMark/>
          </w:tcPr>
          <w:p w14:paraId="6454CB0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Ciprofloxacin</w:t>
            </w:r>
          </w:p>
        </w:tc>
        <w:tc>
          <w:tcPr>
            <w:tcW w:w="0" w:type="auto"/>
            <w:hideMark/>
          </w:tcPr>
          <w:p w14:paraId="23FEE4E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39 (76)</w:t>
            </w:r>
          </w:p>
        </w:tc>
        <w:tc>
          <w:tcPr>
            <w:tcW w:w="0" w:type="auto"/>
            <w:hideMark/>
          </w:tcPr>
          <w:p w14:paraId="049F4AD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 (4)</w:t>
            </w:r>
          </w:p>
        </w:tc>
        <w:tc>
          <w:tcPr>
            <w:tcW w:w="0" w:type="auto"/>
            <w:hideMark/>
          </w:tcPr>
          <w:p w14:paraId="6E067E9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10 (20)</w:t>
            </w:r>
          </w:p>
        </w:tc>
      </w:tr>
      <w:tr w:rsidR="004600D5" w:rsidRPr="001153D2" w14:paraId="3C800900"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0435FF1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Tetracycline</w:t>
            </w:r>
          </w:p>
        </w:tc>
        <w:tc>
          <w:tcPr>
            <w:tcW w:w="0" w:type="auto"/>
            <w:shd w:val="clear" w:color="auto" w:fill="auto"/>
            <w:hideMark/>
          </w:tcPr>
          <w:p w14:paraId="268871C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47 (92)</w:t>
            </w:r>
          </w:p>
        </w:tc>
        <w:tc>
          <w:tcPr>
            <w:tcW w:w="0" w:type="auto"/>
            <w:shd w:val="clear" w:color="auto" w:fill="auto"/>
            <w:hideMark/>
          </w:tcPr>
          <w:p w14:paraId="5B82616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33E03C8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 (8)</w:t>
            </w:r>
          </w:p>
        </w:tc>
      </w:tr>
      <w:tr w:rsidR="004600D5" w:rsidRPr="001153D2" w14:paraId="723CFC7C" w14:textId="77777777" w:rsidTr="004600D5">
        <w:trPr>
          <w:jc w:val="center"/>
        </w:trPr>
        <w:tc>
          <w:tcPr>
            <w:tcW w:w="0" w:type="auto"/>
            <w:hideMark/>
          </w:tcPr>
          <w:p w14:paraId="16E610A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Gentamicin</w:t>
            </w:r>
          </w:p>
        </w:tc>
        <w:tc>
          <w:tcPr>
            <w:tcW w:w="0" w:type="auto"/>
            <w:hideMark/>
          </w:tcPr>
          <w:p w14:paraId="131AA83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32 (63)</w:t>
            </w:r>
          </w:p>
        </w:tc>
        <w:tc>
          <w:tcPr>
            <w:tcW w:w="0" w:type="auto"/>
            <w:hideMark/>
          </w:tcPr>
          <w:p w14:paraId="00B4515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 (2)</w:t>
            </w:r>
          </w:p>
        </w:tc>
        <w:tc>
          <w:tcPr>
            <w:tcW w:w="0" w:type="auto"/>
            <w:hideMark/>
          </w:tcPr>
          <w:p w14:paraId="20A1977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18 (35)</w:t>
            </w:r>
          </w:p>
        </w:tc>
      </w:tr>
      <w:tr w:rsidR="004600D5" w:rsidRPr="001153D2" w14:paraId="1765B140"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28AF0C3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Erythromycin</w:t>
            </w:r>
          </w:p>
        </w:tc>
        <w:tc>
          <w:tcPr>
            <w:tcW w:w="0" w:type="auto"/>
            <w:shd w:val="clear" w:color="auto" w:fill="auto"/>
            <w:hideMark/>
          </w:tcPr>
          <w:p w14:paraId="5E751A4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47 (92)</w:t>
            </w:r>
          </w:p>
        </w:tc>
        <w:tc>
          <w:tcPr>
            <w:tcW w:w="0" w:type="auto"/>
            <w:shd w:val="clear" w:color="auto" w:fill="auto"/>
            <w:hideMark/>
          </w:tcPr>
          <w:p w14:paraId="4D7F319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 (2)</w:t>
            </w:r>
          </w:p>
        </w:tc>
        <w:tc>
          <w:tcPr>
            <w:tcW w:w="0" w:type="auto"/>
            <w:shd w:val="clear" w:color="auto" w:fill="auto"/>
            <w:hideMark/>
          </w:tcPr>
          <w:p w14:paraId="239E9FD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 (6)</w:t>
            </w:r>
          </w:p>
        </w:tc>
      </w:tr>
    </w:tbl>
    <w:p w14:paraId="334DB10D" w14:textId="77777777" w:rsidR="004600D5" w:rsidRPr="001153D2" w:rsidRDefault="004600D5" w:rsidP="004600D5">
      <w:pPr>
        <w:jc w:val="both"/>
        <w:rPr>
          <w:rFonts w:ascii="Arial" w:hAnsi="Arial" w:cs="Arial"/>
          <w:b/>
          <w:bCs/>
        </w:rPr>
      </w:pPr>
    </w:p>
    <w:p w14:paraId="468E2088" w14:textId="77777777" w:rsidR="004600D5" w:rsidRPr="001153D2" w:rsidRDefault="004600D5" w:rsidP="004600D5">
      <w:pPr>
        <w:jc w:val="both"/>
        <w:rPr>
          <w:rFonts w:ascii="Arial" w:hAnsi="Arial" w:cs="Arial"/>
          <w:b/>
          <w:bCs/>
        </w:rPr>
      </w:pPr>
      <w:r w:rsidRPr="001153D2">
        <w:rPr>
          <w:rFonts w:ascii="Arial" w:hAnsi="Arial" w:cs="Arial"/>
          <w:b/>
          <w:bCs/>
        </w:rPr>
        <w:t>3.6 Minimum Inhibitory Concentration (MIC) and MAR Index</w:t>
      </w:r>
    </w:p>
    <w:p w14:paraId="5582CEF5" w14:textId="77777777" w:rsidR="004600D5" w:rsidRPr="001153D2" w:rsidRDefault="004600D5" w:rsidP="004600D5">
      <w:pPr>
        <w:spacing w:after="160"/>
        <w:jc w:val="both"/>
        <w:rPr>
          <w:rFonts w:ascii="Arial" w:hAnsi="Arial" w:cs="Arial"/>
        </w:rPr>
      </w:pPr>
      <w:r w:rsidRPr="001153D2">
        <w:rPr>
          <w:rFonts w:ascii="Arial" w:hAnsi="Arial" w:cs="Arial"/>
        </w:rPr>
        <w:lastRenderedPageBreak/>
        <w:t>MIC of oxacillin for HA-MRSA was found to be 0.5-8 µg/ml, with HA-MRSA strains isolated from male surgical ward having the highest MIC (2-8 µg/ml). For CA-MRSA strains, MIC was found to be 0.5-2 µg/ml. The relatively high values of MIC of HA-MRSA strains compared to those of CA-MRSA strains are because of the increased heterogeneity of resistance mechanisms of these bacteria strains. MIC is a quantitative measurement of antibiotic susceptibility and thus gives more information than the qualitative test of disk diffusion method. The relatively high MIC of HA-MRSA strains isolated from surgical wards could be due to heterogeneity of resistance.</w:t>
      </w:r>
    </w:p>
    <w:p w14:paraId="164A66C5" w14:textId="77777777" w:rsidR="004600D5" w:rsidRPr="001153D2" w:rsidRDefault="004600D5" w:rsidP="004600D5">
      <w:pPr>
        <w:spacing w:after="160"/>
        <w:jc w:val="both"/>
        <w:rPr>
          <w:rFonts w:ascii="Arial" w:hAnsi="Arial" w:cs="Arial"/>
        </w:rPr>
      </w:pPr>
      <w:r w:rsidRPr="001153D2">
        <w:rPr>
          <w:rFonts w:ascii="Arial" w:hAnsi="Arial" w:cs="Arial"/>
        </w:rPr>
        <w:t xml:space="preserve">The MAR index for HA-MRSA was recorded to be between 0.2-0.4, where the highest MAR index was recorded among the isolates in the female surgical ward and laundry (0.4). MAR index for Lassa ward, A&amp;E, and male surgical ward was recorded as 0.3, while that for the rest of the departments was 0.2. On the other hand, the MAR index for CA-MRSA was 0.1-0.2 (Tables 6 and 7). As suggested by </w:t>
      </w:r>
      <w:proofErr w:type="spellStart"/>
      <w:r w:rsidRPr="001153D2">
        <w:rPr>
          <w:rFonts w:ascii="Arial" w:hAnsi="Arial" w:cs="Arial"/>
        </w:rPr>
        <w:t>Krumperman</w:t>
      </w:r>
      <w:proofErr w:type="spellEnd"/>
      <w:r w:rsidRPr="001153D2">
        <w:rPr>
          <w:rFonts w:ascii="Arial" w:hAnsi="Arial" w:cs="Arial"/>
        </w:rPr>
        <w:t xml:space="preserve"> (1983), MAR index above 0.2 is considered high risk for antibiotic use. Consequently, the female surgical ward, laundry, A&amp;E, male surgical ward, and Lassa ward are considered high risk for MRSA transmission and antibiotic resistance in ISTH. This is in agreement with </w:t>
      </w:r>
      <w:proofErr w:type="spellStart"/>
      <w:r w:rsidRPr="001153D2">
        <w:rPr>
          <w:rFonts w:ascii="Arial" w:hAnsi="Arial" w:cs="Arial"/>
        </w:rPr>
        <w:t>Igbinosa</w:t>
      </w:r>
      <w:proofErr w:type="spellEnd"/>
      <w:r w:rsidRPr="001153D2">
        <w:rPr>
          <w:rFonts w:ascii="Arial" w:hAnsi="Arial" w:cs="Arial"/>
        </w:rPr>
        <w:t xml:space="preserve"> </w:t>
      </w:r>
      <w:r w:rsidRPr="001153D2">
        <w:rPr>
          <w:rFonts w:ascii="Arial" w:hAnsi="Arial" w:cs="Arial"/>
          <w:i/>
          <w:iCs/>
        </w:rPr>
        <w:t>et al</w:t>
      </w:r>
      <w:r w:rsidRPr="001153D2">
        <w:rPr>
          <w:rFonts w:ascii="Arial" w:hAnsi="Arial" w:cs="Arial"/>
        </w:rPr>
        <w:t>. (2016), who reported A&amp;E and surgical wards as high-risk sources of HA-MRSA in University of Benin Teaching Hospital. The high MAR index in these areas suggests that antibiotics are frequently used and misused, creating selective pressure for the emergence and spread of resistant strains.</w:t>
      </w:r>
    </w:p>
    <w:p w14:paraId="3F555E45" w14:textId="77777777" w:rsidR="004600D5" w:rsidRPr="001153D2" w:rsidRDefault="004600D5" w:rsidP="004600D5">
      <w:pPr>
        <w:spacing w:after="160"/>
        <w:jc w:val="both"/>
        <w:rPr>
          <w:rFonts w:ascii="Arial" w:hAnsi="Arial" w:cs="Arial"/>
        </w:rPr>
      </w:pPr>
      <w:r w:rsidRPr="001153D2">
        <w:rPr>
          <w:rFonts w:ascii="Arial" w:hAnsi="Arial" w:cs="Arial"/>
        </w:rPr>
        <w:t xml:space="preserve">On the other hand, the CA-MRSA isolates had a low MAR index (0.1-0.2), showing that the antibiotic selection pressure is relatively low in the community setting. This corroborates with the results by Osmon </w:t>
      </w:r>
      <w:r w:rsidRPr="001153D2">
        <w:rPr>
          <w:rFonts w:ascii="Arial" w:hAnsi="Arial" w:cs="Arial"/>
          <w:i/>
          <w:iCs/>
        </w:rPr>
        <w:t>et al</w:t>
      </w:r>
      <w:r w:rsidRPr="001153D2">
        <w:rPr>
          <w:rFonts w:ascii="Arial" w:hAnsi="Arial" w:cs="Arial"/>
        </w:rPr>
        <w:t>. (2013) where the MAR index was found to be relatively low for CA-MRSA compared to HA-MRSA. Nonetheless, the fact that the isolates from the market and motor parks had a MAR index of 0.2 shows that the misuse of antibiotics is still present in the community setting but at a relatively lower level compared to hospitals. The MAR index is a useful tool for identifying high-risk sources of antibiotic resistance and can guide targeted interventions to reduce antibiotic misuse.</w:t>
      </w:r>
    </w:p>
    <w:p w14:paraId="490E5A94" w14:textId="77777777" w:rsidR="004600D5" w:rsidRPr="001153D2" w:rsidRDefault="004600D5" w:rsidP="004600D5">
      <w:pPr>
        <w:jc w:val="both"/>
        <w:rPr>
          <w:rFonts w:ascii="Arial" w:hAnsi="Arial" w:cs="Arial"/>
        </w:rPr>
      </w:pPr>
      <w:r w:rsidRPr="001153D2">
        <w:rPr>
          <w:rFonts w:ascii="Arial" w:hAnsi="Arial" w:cs="Arial"/>
          <w:b/>
          <w:bCs/>
        </w:rPr>
        <w:t>Table 6: MIC Values and MAR Index of HA-MRSA Isolates</w:t>
      </w:r>
    </w:p>
    <w:tbl>
      <w:tblPr>
        <w:tblStyle w:val="ListTable6Colorful"/>
        <w:tblW w:w="0" w:type="auto"/>
        <w:jc w:val="center"/>
        <w:tblLook w:val="0420" w:firstRow="1" w:lastRow="0" w:firstColumn="0" w:lastColumn="0" w:noHBand="0" w:noVBand="1"/>
      </w:tblPr>
      <w:tblGrid>
        <w:gridCol w:w="1662"/>
        <w:gridCol w:w="1427"/>
        <w:gridCol w:w="1305"/>
        <w:gridCol w:w="1250"/>
      </w:tblGrid>
      <w:tr w:rsidR="004600D5" w:rsidRPr="001153D2" w14:paraId="5CB79833"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0" w:type="auto"/>
            <w:hideMark/>
          </w:tcPr>
          <w:p w14:paraId="46B5AD9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Department</w:t>
            </w:r>
          </w:p>
        </w:tc>
        <w:tc>
          <w:tcPr>
            <w:tcW w:w="0" w:type="auto"/>
            <w:hideMark/>
          </w:tcPr>
          <w:p w14:paraId="42D255A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of MRSA</w:t>
            </w:r>
          </w:p>
        </w:tc>
        <w:tc>
          <w:tcPr>
            <w:tcW w:w="0" w:type="auto"/>
            <w:hideMark/>
          </w:tcPr>
          <w:p w14:paraId="1A2D881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MIC (</w:t>
            </w:r>
            <w:proofErr w:type="spellStart"/>
            <w:r w:rsidRPr="001153D2">
              <w:rPr>
                <w:rFonts w:ascii="Arial" w:hAnsi="Arial" w:cs="Arial"/>
                <w:sz w:val="20"/>
                <w:szCs w:val="20"/>
              </w:rPr>
              <w:t>μg</w:t>
            </w:r>
            <w:proofErr w:type="spellEnd"/>
            <w:r w:rsidRPr="001153D2">
              <w:rPr>
                <w:rFonts w:ascii="Arial" w:hAnsi="Arial" w:cs="Arial"/>
                <w:sz w:val="20"/>
                <w:szCs w:val="20"/>
              </w:rPr>
              <w:t>/ml)</w:t>
            </w:r>
          </w:p>
        </w:tc>
        <w:tc>
          <w:tcPr>
            <w:tcW w:w="0" w:type="auto"/>
            <w:hideMark/>
          </w:tcPr>
          <w:p w14:paraId="5FC9D32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MAR Index</w:t>
            </w:r>
          </w:p>
        </w:tc>
      </w:tr>
      <w:tr w:rsidR="004600D5" w:rsidRPr="001153D2" w14:paraId="6297315E"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0A56CC7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SCBU</w:t>
            </w:r>
          </w:p>
        </w:tc>
        <w:tc>
          <w:tcPr>
            <w:tcW w:w="0" w:type="auto"/>
            <w:shd w:val="clear" w:color="auto" w:fill="auto"/>
            <w:hideMark/>
          </w:tcPr>
          <w:p w14:paraId="3EEEFFA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c>
          <w:tcPr>
            <w:tcW w:w="0" w:type="auto"/>
            <w:shd w:val="clear" w:color="auto" w:fill="auto"/>
            <w:hideMark/>
          </w:tcPr>
          <w:p w14:paraId="71D3286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1-2</w:t>
            </w:r>
          </w:p>
        </w:tc>
        <w:tc>
          <w:tcPr>
            <w:tcW w:w="0" w:type="auto"/>
            <w:shd w:val="clear" w:color="auto" w:fill="auto"/>
            <w:hideMark/>
          </w:tcPr>
          <w:p w14:paraId="4CC2A74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w:t>
            </w:r>
          </w:p>
        </w:tc>
      </w:tr>
      <w:tr w:rsidR="004600D5" w:rsidRPr="001153D2" w14:paraId="5BF613BA" w14:textId="77777777" w:rsidTr="004600D5">
        <w:trPr>
          <w:jc w:val="center"/>
        </w:trPr>
        <w:tc>
          <w:tcPr>
            <w:tcW w:w="0" w:type="auto"/>
            <w:hideMark/>
          </w:tcPr>
          <w:p w14:paraId="5D4DCB4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Gynecology</w:t>
            </w:r>
          </w:p>
        </w:tc>
        <w:tc>
          <w:tcPr>
            <w:tcW w:w="0" w:type="auto"/>
            <w:hideMark/>
          </w:tcPr>
          <w:p w14:paraId="0C7D0EE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c>
          <w:tcPr>
            <w:tcW w:w="0" w:type="auto"/>
            <w:hideMark/>
          </w:tcPr>
          <w:p w14:paraId="34B0B9A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1-4</w:t>
            </w:r>
          </w:p>
        </w:tc>
        <w:tc>
          <w:tcPr>
            <w:tcW w:w="0" w:type="auto"/>
            <w:hideMark/>
          </w:tcPr>
          <w:p w14:paraId="7ACE6B4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w:t>
            </w:r>
          </w:p>
        </w:tc>
      </w:tr>
      <w:tr w:rsidR="004600D5" w:rsidRPr="001153D2" w14:paraId="652811C0"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0A5FA28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Lassa</w:t>
            </w:r>
          </w:p>
        </w:tc>
        <w:tc>
          <w:tcPr>
            <w:tcW w:w="0" w:type="auto"/>
            <w:shd w:val="clear" w:color="auto" w:fill="auto"/>
            <w:hideMark/>
          </w:tcPr>
          <w:p w14:paraId="11EA2A3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c>
          <w:tcPr>
            <w:tcW w:w="0" w:type="auto"/>
            <w:shd w:val="clear" w:color="auto" w:fill="auto"/>
            <w:hideMark/>
          </w:tcPr>
          <w:p w14:paraId="5F61994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0.5-2</w:t>
            </w:r>
          </w:p>
        </w:tc>
        <w:tc>
          <w:tcPr>
            <w:tcW w:w="0" w:type="auto"/>
            <w:shd w:val="clear" w:color="auto" w:fill="auto"/>
            <w:hideMark/>
          </w:tcPr>
          <w:p w14:paraId="3E412B5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0.3</w:t>
            </w:r>
          </w:p>
        </w:tc>
      </w:tr>
      <w:tr w:rsidR="004600D5" w:rsidRPr="001153D2" w14:paraId="065B5D56" w14:textId="77777777" w:rsidTr="004600D5">
        <w:trPr>
          <w:jc w:val="center"/>
        </w:trPr>
        <w:tc>
          <w:tcPr>
            <w:tcW w:w="0" w:type="auto"/>
            <w:hideMark/>
          </w:tcPr>
          <w:p w14:paraId="4D3DE39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MCH</w:t>
            </w:r>
          </w:p>
        </w:tc>
        <w:tc>
          <w:tcPr>
            <w:tcW w:w="0" w:type="auto"/>
            <w:hideMark/>
          </w:tcPr>
          <w:p w14:paraId="5A5106D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w:t>
            </w:r>
          </w:p>
        </w:tc>
        <w:tc>
          <w:tcPr>
            <w:tcW w:w="0" w:type="auto"/>
            <w:hideMark/>
          </w:tcPr>
          <w:p w14:paraId="717FA6D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2-4</w:t>
            </w:r>
          </w:p>
        </w:tc>
        <w:tc>
          <w:tcPr>
            <w:tcW w:w="0" w:type="auto"/>
            <w:hideMark/>
          </w:tcPr>
          <w:p w14:paraId="493160C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w:t>
            </w:r>
          </w:p>
        </w:tc>
      </w:tr>
      <w:tr w:rsidR="004600D5" w:rsidRPr="001153D2" w14:paraId="28C4C528"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7A185CF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Ophthalmology</w:t>
            </w:r>
          </w:p>
        </w:tc>
        <w:tc>
          <w:tcPr>
            <w:tcW w:w="0" w:type="auto"/>
            <w:shd w:val="clear" w:color="auto" w:fill="auto"/>
            <w:hideMark/>
          </w:tcPr>
          <w:p w14:paraId="13B28C4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c>
          <w:tcPr>
            <w:tcW w:w="0" w:type="auto"/>
            <w:shd w:val="clear" w:color="auto" w:fill="auto"/>
            <w:hideMark/>
          </w:tcPr>
          <w:p w14:paraId="43BD3E7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0.5-4</w:t>
            </w:r>
          </w:p>
        </w:tc>
        <w:tc>
          <w:tcPr>
            <w:tcW w:w="0" w:type="auto"/>
            <w:shd w:val="clear" w:color="auto" w:fill="auto"/>
            <w:hideMark/>
          </w:tcPr>
          <w:p w14:paraId="4E12229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w:t>
            </w:r>
          </w:p>
        </w:tc>
      </w:tr>
      <w:tr w:rsidR="004600D5" w:rsidRPr="001153D2" w14:paraId="400D70DA" w14:textId="77777777" w:rsidTr="004600D5">
        <w:trPr>
          <w:jc w:val="center"/>
        </w:trPr>
        <w:tc>
          <w:tcPr>
            <w:tcW w:w="0" w:type="auto"/>
            <w:hideMark/>
          </w:tcPr>
          <w:p w14:paraId="1FCC570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Female Surgical</w:t>
            </w:r>
          </w:p>
        </w:tc>
        <w:tc>
          <w:tcPr>
            <w:tcW w:w="0" w:type="auto"/>
            <w:hideMark/>
          </w:tcPr>
          <w:p w14:paraId="7D32F2D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w:t>
            </w:r>
          </w:p>
        </w:tc>
        <w:tc>
          <w:tcPr>
            <w:tcW w:w="0" w:type="auto"/>
            <w:hideMark/>
          </w:tcPr>
          <w:p w14:paraId="269C144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2-8</w:t>
            </w:r>
          </w:p>
        </w:tc>
        <w:tc>
          <w:tcPr>
            <w:tcW w:w="0" w:type="auto"/>
            <w:hideMark/>
          </w:tcPr>
          <w:p w14:paraId="4CC1C0C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0.4</w:t>
            </w:r>
          </w:p>
        </w:tc>
      </w:tr>
      <w:tr w:rsidR="004600D5" w:rsidRPr="001153D2" w14:paraId="77787F95"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5EAF3DE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ICU</w:t>
            </w:r>
          </w:p>
        </w:tc>
        <w:tc>
          <w:tcPr>
            <w:tcW w:w="0" w:type="auto"/>
            <w:shd w:val="clear" w:color="auto" w:fill="auto"/>
            <w:hideMark/>
          </w:tcPr>
          <w:p w14:paraId="03E59CA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w:t>
            </w:r>
          </w:p>
        </w:tc>
        <w:tc>
          <w:tcPr>
            <w:tcW w:w="0" w:type="auto"/>
            <w:shd w:val="clear" w:color="auto" w:fill="auto"/>
            <w:hideMark/>
          </w:tcPr>
          <w:p w14:paraId="1AB8A50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2-4</w:t>
            </w:r>
          </w:p>
        </w:tc>
        <w:tc>
          <w:tcPr>
            <w:tcW w:w="0" w:type="auto"/>
            <w:shd w:val="clear" w:color="auto" w:fill="auto"/>
            <w:hideMark/>
          </w:tcPr>
          <w:p w14:paraId="38A044B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0.1</w:t>
            </w:r>
          </w:p>
        </w:tc>
      </w:tr>
      <w:tr w:rsidR="004600D5" w:rsidRPr="001153D2" w14:paraId="079BD22C" w14:textId="77777777" w:rsidTr="004600D5">
        <w:trPr>
          <w:jc w:val="center"/>
        </w:trPr>
        <w:tc>
          <w:tcPr>
            <w:tcW w:w="0" w:type="auto"/>
            <w:hideMark/>
          </w:tcPr>
          <w:p w14:paraId="64C3814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Pediatrics</w:t>
            </w:r>
          </w:p>
        </w:tc>
        <w:tc>
          <w:tcPr>
            <w:tcW w:w="0" w:type="auto"/>
            <w:hideMark/>
          </w:tcPr>
          <w:p w14:paraId="3B44185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c>
          <w:tcPr>
            <w:tcW w:w="0" w:type="auto"/>
            <w:hideMark/>
          </w:tcPr>
          <w:p w14:paraId="3E67031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0.5-2</w:t>
            </w:r>
          </w:p>
        </w:tc>
        <w:tc>
          <w:tcPr>
            <w:tcW w:w="0" w:type="auto"/>
            <w:hideMark/>
          </w:tcPr>
          <w:p w14:paraId="10EDA33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w:t>
            </w:r>
          </w:p>
        </w:tc>
      </w:tr>
      <w:tr w:rsidR="004600D5" w:rsidRPr="001153D2" w14:paraId="7B8F2BA7"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7FDA9D40" w14:textId="77777777" w:rsidR="004600D5" w:rsidRPr="001153D2" w:rsidRDefault="004600D5" w:rsidP="00AE0B90">
            <w:pPr>
              <w:jc w:val="both"/>
              <w:rPr>
                <w:rFonts w:ascii="Arial" w:hAnsi="Arial" w:cs="Arial"/>
                <w:sz w:val="20"/>
                <w:szCs w:val="20"/>
              </w:rPr>
            </w:pPr>
            <w:proofErr w:type="spellStart"/>
            <w:r w:rsidRPr="001153D2">
              <w:rPr>
                <w:rFonts w:ascii="Arial" w:hAnsi="Arial" w:cs="Arial"/>
                <w:sz w:val="20"/>
                <w:szCs w:val="20"/>
              </w:rPr>
              <w:t>Labour</w:t>
            </w:r>
            <w:proofErr w:type="spellEnd"/>
            <w:r w:rsidRPr="001153D2">
              <w:rPr>
                <w:rFonts w:ascii="Arial" w:hAnsi="Arial" w:cs="Arial"/>
                <w:sz w:val="20"/>
                <w:szCs w:val="20"/>
              </w:rPr>
              <w:t xml:space="preserve"> Ward</w:t>
            </w:r>
          </w:p>
        </w:tc>
        <w:tc>
          <w:tcPr>
            <w:tcW w:w="0" w:type="auto"/>
            <w:shd w:val="clear" w:color="auto" w:fill="auto"/>
            <w:hideMark/>
          </w:tcPr>
          <w:p w14:paraId="00CF941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c>
          <w:tcPr>
            <w:tcW w:w="0" w:type="auto"/>
            <w:shd w:val="clear" w:color="auto" w:fill="auto"/>
            <w:hideMark/>
          </w:tcPr>
          <w:p w14:paraId="3671094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1-4</w:t>
            </w:r>
          </w:p>
        </w:tc>
        <w:tc>
          <w:tcPr>
            <w:tcW w:w="0" w:type="auto"/>
            <w:shd w:val="clear" w:color="auto" w:fill="auto"/>
            <w:hideMark/>
          </w:tcPr>
          <w:p w14:paraId="297EABB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w:t>
            </w:r>
          </w:p>
        </w:tc>
      </w:tr>
      <w:tr w:rsidR="004600D5" w:rsidRPr="001153D2" w14:paraId="1EFE178C" w14:textId="77777777" w:rsidTr="004600D5">
        <w:trPr>
          <w:jc w:val="center"/>
        </w:trPr>
        <w:tc>
          <w:tcPr>
            <w:tcW w:w="0" w:type="auto"/>
            <w:hideMark/>
          </w:tcPr>
          <w:p w14:paraId="3E8A962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Post-natal</w:t>
            </w:r>
          </w:p>
        </w:tc>
        <w:tc>
          <w:tcPr>
            <w:tcW w:w="0" w:type="auto"/>
            <w:hideMark/>
          </w:tcPr>
          <w:p w14:paraId="65AE88E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c>
          <w:tcPr>
            <w:tcW w:w="0" w:type="auto"/>
            <w:hideMark/>
          </w:tcPr>
          <w:p w14:paraId="73C76EC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2-4</w:t>
            </w:r>
          </w:p>
        </w:tc>
        <w:tc>
          <w:tcPr>
            <w:tcW w:w="0" w:type="auto"/>
            <w:hideMark/>
          </w:tcPr>
          <w:p w14:paraId="44F2504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w:t>
            </w:r>
          </w:p>
        </w:tc>
      </w:tr>
      <w:tr w:rsidR="004600D5" w:rsidRPr="001153D2" w14:paraId="2F98276F"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14DA1D5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A&amp;E</w:t>
            </w:r>
          </w:p>
        </w:tc>
        <w:tc>
          <w:tcPr>
            <w:tcW w:w="0" w:type="auto"/>
            <w:shd w:val="clear" w:color="auto" w:fill="auto"/>
            <w:hideMark/>
          </w:tcPr>
          <w:p w14:paraId="0EA4776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w:t>
            </w:r>
          </w:p>
        </w:tc>
        <w:tc>
          <w:tcPr>
            <w:tcW w:w="0" w:type="auto"/>
            <w:shd w:val="clear" w:color="auto" w:fill="auto"/>
            <w:hideMark/>
          </w:tcPr>
          <w:p w14:paraId="5684D03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0.5-4</w:t>
            </w:r>
          </w:p>
        </w:tc>
        <w:tc>
          <w:tcPr>
            <w:tcW w:w="0" w:type="auto"/>
            <w:shd w:val="clear" w:color="auto" w:fill="auto"/>
            <w:hideMark/>
          </w:tcPr>
          <w:p w14:paraId="4034406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0.3</w:t>
            </w:r>
          </w:p>
        </w:tc>
      </w:tr>
      <w:tr w:rsidR="004600D5" w:rsidRPr="001153D2" w14:paraId="4590369A" w14:textId="77777777" w:rsidTr="004600D5">
        <w:trPr>
          <w:jc w:val="center"/>
        </w:trPr>
        <w:tc>
          <w:tcPr>
            <w:tcW w:w="0" w:type="auto"/>
            <w:hideMark/>
          </w:tcPr>
          <w:p w14:paraId="7B2D89A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Male Surgical</w:t>
            </w:r>
          </w:p>
        </w:tc>
        <w:tc>
          <w:tcPr>
            <w:tcW w:w="0" w:type="auto"/>
            <w:hideMark/>
          </w:tcPr>
          <w:p w14:paraId="1D063AE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11</w:t>
            </w:r>
          </w:p>
        </w:tc>
        <w:tc>
          <w:tcPr>
            <w:tcW w:w="0" w:type="auto"/>
            <w:hideMark/>
          </w:tcPr>
          <w:p w14:paraId="130DD5E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2-4</w:t>
            </w:r>
          </w:p>
        </w:tc>
        <w:tc>
          <w:tcPr>
            <w:tcW w:w="0" w:type="auto"/>
            <w:hideMark/>
          </w:tcPr>
          <w:p w14:paraId="14D4DF8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0.3</w:t>
            </w:r>
          </w:p>
        </w:tc>
      </w:tr>
      <w:tr w:rsidR="004600D5" w:rsidRPr="001153D2" w14:paraId="26AF30E0"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488B95C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Laundry</w:t>
            </w:r>
          </w:p>
        </w:tc>
        <w:tc>
          <w:tcPr>
            <w:tcW w:w="0" w:type="auto"/>
            <w:shd w:val="clear" w:color="auto" w:fill="auto"/>
            <w:hideMark/>
          </w:tcPr>
          <w:p w14:paraId="2DFCBE7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w:t>
            </w:r>
          </w:p>
        </w:tc>
        <w:tc>
          <w:tcPr>
            <w:tcW w:w="0" w:type="auto"/>
            <w:shd w:val="clear" w:color="auto" w:fill="auto"/>
            <w:hideMark/>
          </w:tcPr>
          <w:p w14:paraId="5424B62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0.5-4</w:t>
            </w:r>
          </w:p>
        </w:tc>
        <w:tc>
          <w:tcPr>
            <w:tcW w:w="0" w:type="auto"/>
            <w:shd w:val="clear" w:color="auto" w:fill="auto"/>
            <w:hideMark/>
          </w:tcPr>
          <w:p w14:paraId="1F6CA97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0.4</w:t>
            </w:r>
          </w:p>
        </w:tc>
      </w:tr>
      <w:tr w:rsidR="004600D5" w:rsidRPr="001153D2" w14:paraId="2FD5290D" w14:textId="77777777" w:rsidTr="004600D5">
        <w:trPr>
          <w:jc w:val="center"/>
        </w:trPr>
        <w:tc>
          <w:tcPr>
            <w:tcW w:w="0" w:type="auto"/>
            <w:hideMark/>
          </w:tcPr>
          <w:p w14:paraId="29F2BCA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Radiology</w:t>
            </w:r>
          </w:p>
        </w:tc>
        <w:tc>
          <w:tcPr>
            <w:tcW w:w="0" w:type="auto"/>
            <w:hideMark/>
          </w:tcPr>
          <w:p w14:paraId="603BD36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c>
          <w:tcPr>
            <w:tcW w:w="0" w:type="auto"/>
            <w:hideMark/>
          </w:tcPr>
          <w:p w14:paraId="722A82A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2-4</w:t>
            </w:r>
          </w:p>
        </w:tc>
        <w:tc>
          <w:tcPr>
            <w:tcW w:w="0" w:type="auto"/>
            <w:hideMark/>
          </w:tcPr>
          <w:p w14:paraId="63E3A8F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w:t>
            </w:r>
          </w:p>
        </w:tc>
      </w:tr>
    </w:tbl>
    <w:p w14:paraId="1F94A919" w14:textId="77777777" w:rsidR="004600D5" w:rsidRPr="001153D2" w:rsidRDefault="004600D5" w:rsidP="004600D5">
      <w:pPr>
        <w:jc w:val="both"/>
        <w:rPr>
          <w:rFonts w:ascii="Arial" w:hAnsi="Arial" w:cs="Arial"/>
          <w:b/>
          <w:bCs/>
        </w:rPr>
      </w:pPr>
    </w:p>
    <w:p w14:paraId="2527E19A" w14:textId="77777777" w:rsidR="004600D5" w:rsidRPr="001153D2" w:rsidRDefault="004600D5" w:rsidP="004600D5">
      <w:pPr>
        <w:jc w:val="both"/>
        <w:rPr>
          <w:rFonts w:ascii="Arial" w:hAnsi="Arial" w:cs="Arial"/>
        </w:rPr>
      </w:pPr>
      <w:r w:rsidRPr="001153D2">
        <w:rPr>
          <w:rFonts w:ascii="Arial" w:hAnsi="Arial" w:cs="Arial"/>
          <w:b/>
          <w:bCs/>
        </w:rPr>
        <w:t>Table 7: MIC Values and MAR Index of CA-MRSA Isolates</w:t>
      </w:r>
    </w:p>
    <w:tbl>
      <w:tblPr>
        <w:tblStyle w:val="ListTable6Colorful"/>
        <w:tblW w:w="0" w:type="auto"/>
        <w:jc w:val="center"/>
        <w:tblLook w:val="0420" w:firstRow="1" w:lastRow="0" w:firstColumn="0" w:lastColumn="0" w:noHBand="0" w:noVBand="1"/>
      </w:tblPr>
      <w:tblGrid>
        <w:gridCol w:w="1295"/>
        <w:gridCol w:w="1427"/>
        <w:gridCol w:w="1305"/>
        <w:gridCol w:w="1250"/>
      </w:tblGrid>
      <w:tr w:rsidR="004600D5" w:rsidRPr="001153D2" w14:paraId="3D448DDB"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0" w:type="auto"/>
            <w:hideMark/>
          </w:tcPr>
          <w:p w14:paraId="0606894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Source</w:t>
            </w:r>
          </w:p>
        </w:tc>
        <w:tc>
          <w:tcPr>
            <w:tcW w:w="0" w:type="auto"/>
            <w:hideMark/>
          </w:tcPr>
          <w:p w14:paraId="43CDCC8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of MRSA</w:t>
            </w:r>
          </w:p>
        </w:tc>
        <w:tc>
          <w:tcPr>
            <w:tcW w:w="0" w:type="auto"/>
            <w:hideMark/>
          </w:tcPr>
          <w:p w14:paraId="492B249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MIC (</w:t>
            </w:r>
            <w:proofErr w:type="spellStart"/>
            <w:r w:rsidRPr="001153D2">
              <w:rPr>
                <w:rFonts w:ascii="Arial" w:hAnsi="Arial" w:cs="Arial"/>
                <w:sz w:val="20"/>
                <w:szCs w:val="20"/>
              </w:rPr>
              <w:t>μg</w:t>
            </w:r>
            <w:proofErr w:type="spellEnd"/>
            <w:r w:rsidRPr="001153D2">
              <w:rPr>
                <w:rFonts w:ascii="Arial" w:hAnsi="Arial" w:cs="Arial"/>
                <w:sz w:val="20"/>
                <w:szCs w:val="20"/>
              </w:rPr>
              <w:t>/ml)</w:t>
            </w:r>
          </w:p>
        </w:tc>
        <w:tc>
          <w:tcPr>
            <w:tcW w:w="0" w:type="auto"/>
            <w:hideMark/>
          </w:tcPr>
          <w:p w14:paraId="17268EE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MAR Index</w:t>
            </w:r>
          </w:p>
        </w:tc>
      </w:tr>
      <w:tr w:rsidR="004600D5" w:rsidRPr="001153D2" w14:paraId="26600850"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0A02D9E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Schools</w:t>
            </w:r>
          </w:p>
        </w:tc>
        <w:tc>
          <w:tcPr>
            <w:tcW w:w="0" w:type="auto"/>
            <w:shd w:val="clear" w:color="auto" w:fill="auto"/>
            <w:hideMark/>
          </w:tcPr>
          <w:p w14:paraId="2A6E80D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25</w:t>
            </w:r>
          </w:p>
        </w:tc>
        <w:tc>
          <w:tcPr>
            <w:tcW w:w="0" w:type="auto"/>
            <w:shd w:val="clear" w:color="auto" w:fill="auto"/>
            <w:hideMark/>
          </w:tcPr>
          <w:p w14:paraId="6C51464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0.5-2</w:t>
            </w:r>
          </w:p>
        </w:tc>
        <w:tc>
          <w:tcPr>
            <w:tcW w:w="0" w:type="auto"/>
            <w:shd w:val="clear" w:color="auto" w:fill="auto"/>
            <w:hideMark/>
          </w:tcPr>
          <w:p w14:paraId="0501853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w:t>
            </w:r>
          </w:p>
        </w:tc>
      </w:tr>
      <w:tr w:rsidR="004600D5" w:rsidRPr="001153D2" w14:paraId="7FD297EB" w14:textId="77777777" w:rsidTr="004600D5">
        <w:trPr>
          <w:jc w:val="center"/>
        </w:trPr>
        <w:tc>
          <w:tcPr>
            <w:tcW w:w="0" w:type="auto"/>
            <w:hideMark/>
          </w:tcPr>
          <w:p w14:paraId="4D2BB88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Churches</w:t>
            </w:r>
          </w:p>
        </w:tc>
        <w:tc>
          <w:tcPr>
            <w:tcW w:w="0" w:type="auto"/>
            <w:hideMark/>
          </w:tcPr>
          <w:p w14:paraId="2153209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w:t>
            </w:r>
          </w:p>
        </w:tc>
        <w:tc>
          <w:tcPr>
            <w:tcW w:w="0" w:type="auto"/>
            <w:hideMark/>
          </w:tcPr>
          <w:p w14:paraId="0D15D28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0.5-2</w:t>
            </w:r>
          </w:p>
        </w:tc>
        <w:tc>
          <w:tcPr>
            <w:tcW w:w="0" w:type="auto"/>
            <w:hideMark/>
          </w:tcPr>
          <w:p w14:paraId="193ACCE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w:t>
            </w:r>
          </w:p>
        </w:tc>
      </w:tr>
      <w:tr w:rsidR="004600D5" w:rsidRPr="001153D2" w14:paraId="41521F43"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4D1B1DD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Markets</w:t>
            </w:r>
          </w:p>
        </w:tc>
        <w:tc>
          <w:tcPr>
            <w:tcW w:w="0" w:type="auto"/>
            <w:shd w:val="clear" w:color="auto" w:fill="auto"/>
            <w:hideMark/>
          </w:tcPr>
          <w:p w14:paraId="24538FC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w:t>
            </w:r>
          </w:p>
        </w:tc>
        <w:tc>
          <w:tcPr>
            <w:tcW w:w="0" w:type="auto"/>
            <w:shd w:val="clear" w:color="auto" w:fill="auto"/>
            <w:hideMark/>
          </w:tcPr>
          <w:p w14:paraId="34BE94C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0.5-2</w:t>
            </w:r>
          </w:p>
        </w:tc>
        <w:tc>
          <w:tcPr>
            <w:tcW w:w="0" w:type="auto"/>
            <w:shd w:val="clear" w:color="auto" w:fill="auto"/>
            <w:hideMark/>
          </w:tcPr>
          <w:p w14:paraId="0E5DD8C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w:t>
            </w:r>
          </w:p>
        </w:tc>
      </w:tr>
      <w:tr w:rsidR="004600D5" w:rsidRPr="001153D2" w14:paraId="7815638F" w14:textId="77777777" w:rsidTr="004600D5">
        <w:trPr>
          <w:jc w:val="center"/>
        </w:trPr>
        <w:tc>
          <w:tcPr>
            <w:tcW w:w="0" w:type="auto"/>
            <w:hideMark/>
          </w:tcPr>
          <w:p w14:paraId="0686266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Motor Parks</w:t>
            </w:r>
          </w:p>
        </w:tc>
        <w:tc>
          <w:tcPr>
            <w:tcW w:w="0" w:type="auto"/>
            <w:hideMark/>
          </w:tcPr>
          <w:p w14:paraId="637D22A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8</w:t>
            </w:r>
          </w:p>
        </w:tc>
        <w:tc>
          <w:tcPr>
            <w:tcW w:w="0" w:type="auto"/>
            <w:hideMark/>
          </w:tcPr>
          <w:p w14:paraId="52A8231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0.5-1</w:t>
            </w:r>
          </w:p>
        </w:tc>
        <w:tc>
          <w:tcPr>
            <w:tcW w:w="0" w:type="auto"/>
            <w:hideMark/>
          </w:tcPr>
          <w:p w14:paraId="1756CD7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0.1</w:t>
            </w:r>
          </w:p>
        </w:tc>
      </w:tr>
    </w:tbl>
    <w:p w14:paraId="67996586" w14:textId="77777777" w:rsidR="004600D5" w:rsidRPr="001153D2" w:rsidRDefault="004600D5" w:rsidP="004600D5">
      <w:pPr>
        <w:jc w:val="both"/>
        <w:rPr>
          <w:rFonts w:ascii="Arial" w:hAnsi="Arial" w:cs="Arial"/>
          <w:b/>
          <w:bCs/>
        </w:rPr>
      </w:pPr>
    </w:p>
    <w:p w14:paraId="02D8BA32" w14:textId="77777777" w:rsidR="004600D5" w:rsidRPr="001153D2" w:rsidRDefault="004600D5" w:rsidP="004600D5">
      <w:pPr>
        <w:jc w:val="both"/>
        <w:rPr>
          <w:rFonts w:ascii="Arial" w:hAnsi="Arial" w:cs="Arial"/>
          <w:b/>
          <w:bCs/>
        </w:rPr>
      </w:pPr>
      <w:r w:rsidRPr="001153D2">
        <w:rPr>
          <w:rFonts w:ascii="Arial" w:hAnsi="Arial" w:cs="Arial"/>
          <w:b/>
          <w:bCs/>
        </w:rPr>
        <w:lastRenderedPageBreak/>
        <w:t>3.7 General Comparison between HA-MRSA and CA-MRSA</w:t>
      </w:r>
    </w:p>
    <w:p w14:paraId="4F6BD4F3" w14:textId="77777777" w:rsidR="004600D5" w:rsidRPr="001153D2" w:rsidRDefault="004600D5" w:rsidP="004600D5">
      <w:pPr>
        <w:spacing w:after="160"/>
        <w:jc w:val="both"/>
        <w:rPr>
          <w:rFonts w:ascii="Arial" w:hAnsi="Arial" w:cs="Arial"/>
        </w:rPr>
      </w:pPr>
      <w:r w:rsidRPr="001153D2">
        <w:rPr>
          <w:rFonts w:ascii="Arial" w:hAnsi="Arial" w:cs="Arial"/>
        </w:rPr>
        <w:t>Summary of the differences between HA-MRSA and CA-MRSA as obtained from the study is shown in Table 8 below. It can be observed that the HA-MRSA isolates were prevalent, had higher antibiotic resistance, MAR index (0.2-0.4 vs 0.1-0.2) and MIC values (0.5-4.0 vs 0.5-2.0 µg/ml) than the CA-MRSA isolates (27% vs 17% and 57% vs 38%). All these results together suggest that the HA-MRSA isolates are more resistant to antibiotics and therefore a bigger problem to treat compared to the CA-MRSA isolates. The reason why there are differences in the resistance profile between HA-MRSA and CA-MRSA is because of the differences in their evolution and ecology. The HA-MRSA strains have evolved in the hospital setting where there is high antibiotic pressure and easy transmission due to close contact with patients and invasive practices. CA-MRSA strains, on the other hand, have evolved in the community, where antibiotic pressure is lower and transmission occurs primarily through skin-to-skin contact.</w:t>
      </w:r>
    </w:p>
    <w:p w14:paraId="76D53E60" w14:textId="77777777" w:rsidR="004600D5" w:rsidRPr="001153D2" w:rsidRDefault="004600D5" w:rsidP="004600D5">
      <w:pPr>
        <w:spacing w:after="160"/>
        <w:jc w:val="both"/>
        <w:rPr>
          <w:rFonts w:ascii="Arial" w:hAnsi="Arial" w:cs="Arial"/>
        </w:rPr>
      </w:pPr>
      <w:r w:rsidRPr="001153D2">
        <w:rPr>
          <w:rFonts w:ascii="Arial" w:hAnsi="Arial" w:cs="Arial"/>
        </w:rPr>
        <w:t xml:space="preserve">The increased resistance of HA-MRSA isolates has many clinical implications. For instance, HA-MRSA infections are harder to treat and are associated with longer hospital stay, thereby increasing health care costs and morbidity. The limited treatment options available for HA-MRSA infections show the importance of adopting infection control measures in order to reduce their spread. The susceptibility of CA-MRSA to </w:t>
      </w:r>
      <w:proofErr w:type="spellStart"/>
      <w:r w:rsidRPr="001153D2">
        <w:rPr>
          <w:rFonts w:ascii="Arial" w:hAnsi="Arial" w:cs="Arial"/>
        </w:rPr>
        <w:t>non beta</w:t>
      </w:r>
      <w:proofErr w:type="spellEnd"/>
      <w:r w:rsidRPr="001153D2">
        <w:rPr>
          <w:rFonts w:ascii="Arial" w:hAnsi="Arial" w:cs="Arial"/>
        </w:rPr>
        <w:t xml:space="preserve"> lactams </w:t>
      </w:r>
      <w:proofErr w:type="gramStart"/>
      <w:r w:rsidRPr="001153D2">
        <w:rPr>
          <w:rFonts w:ascii="Arial" w:hAnsi="Arial" w:cs="Arial"/>
        </w:rPr>
        <w:t>is</w:t>
      </w:r>
      <w:proofErr w:type="gramEnd"/>
      <w:r w:rsidRPr="001153D2">
        <w:rPr>
          <w:rFonts w:ascii="Arial" w:hAnsi="Arial" w:cs="Arial"/>
        </w:rPr>
        <w:t xml:space="preserve"> similar to what has been reported before, and this might mean that these drugs can be used in treating CA-MRSA infections. On the other hand, some areas have reported the presence of multi drug resistant CA-MRSA (David &amp; Daum, 2010).</w:t>
      </w:r>
    </w:p>
    <w:p w14:paraId="6DC6E062" w14:textId="77777777" w:rsidR="004600D5" w:rsidRPr="001153D2" w:rsidRDefault="004600D5" w:rsidP="004600D5">
      <w:pPr>
        <w:jc w:val="both"/>
        <w:rPr>
          <w:rFonts w:ascii="Arial" w:hAnsi="Arial" w:cs="Arial"/>
        </w:rPr>
      </w:pPr>
      <w:r w:rsidRPr="001153D2">
        <w:rPr>
          <w:rFonts w:ascii="Arial" w:hAnsi="Arial" w:cs="Arial"/>
          <w:b/>
          <w:bCs/>
        </w:rPr>
        <w:t>Table 8: General Comparison between HA-MRSA and CA-MRSA</w:t>
      </w:r>
    </w:p>
    <w:tbl>
      <w:tblPr>
        <w:tblStyle w:val="ListTable6Colorful"/>
        <w:tblW w:w="5958" w:type="dxa"/>
        <w:jc w:val="center"/>
        <w:tblLook w:val="0420" w:firstRow="1" w:lastRow="0" w:firstColumn="0" w:lastColumn="0" w:noHBand="0" w:noVBand="1"/>
      </w:tblPr>
      <w:tblGrid>
        <w:gridCol w:w="2628"/>
        <w:gridCol w:w="1710"/>
        <w:gridCol w:w="1620"/>
      </w:tblGrid>
      <w:tr w:rsidR="004600D5" w:rsidRPr="001153D2" w14:paraId="44B0D2D1"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2628" w:type="dxa"/>
            <w:hideMark/>
          </w:tcPr>
          <w:p w14:paraId="019B050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Parameter</w:t>
            </w:r>
          </w:p>
        </w:tc>
        <w:tc>
          <w:tcPr>
            <w:tcW w:w="1710" w:type="dxa"/>
            <w:hideMark/>
          </w:tcPr>
          <w:p w14:paraId="331C363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HA-MRSA</w:t>
            </w:r>
          </w:p>
        </w:tc>
        <w:tc>
          <w:tcPr>
            <w:tcW w:w="1620" w:type="dxa"/>
            <w:hideMark/>
          </w:tcPr>
          <w:p w14:paraId="5C585B3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CA-MRSA</w:t>
            </w:r>
          </w:p>
        </w:tc>
      </w:tr>
      <w:tr w:rsidR="004600D5" w:rsidRPr="001153D2" w14:paraId="37E3D1C6"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628" w:type="dxa"/>
            <w:shd w:val="clear" w:color="auto" w:fill="auto"/>
            <w:hideMark/>
          </w:tcPr>
          <w:p w14:paraId="4E947F21" w14:textId="77777777" w:rsidR="004600D5" w:rsidRPr="001153D2" w:rsidRDefault="004600D5" w:rsidP="004600D5">
            <w:pPr>
              <w:rPr>
                <w:rFonts w:ascii="Arial" w:hAnsi="Arial" w:cs="Arial"/>
                <w:sz w:val="20"/>
                <w:szCs w:val="20"/>
              </w:rPr>
            </w:pPr>
            <w:r w:rsidRPr="001153D2">
              <w:rPr>
                <w:rFonts w:ascii="Arial" w:hAnsi="Arial" w:cs="Arial"/>
                <w:sz w:val="20"/>
                <w:szCs w:val="20"/>
              </w:rPr>
              <w:t>Prevalence</w:t>
            </w:r>
          </w:p>
        </w:tc>
        <w:tc>
          <w:tcPr>
            <w:tcW w:w="1710" w:type="dxa"/>
            <w:shd w:val="clear" w:color="auto" w:fill="auto"/>
            <w:hideMark/>
          </w:tcPr>
          <w:p w14:paraId="31DE01B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27%</w:t>
            </w:r>
          </w:p>
        </w:tc>
        <w:tc>
          <w:tcPr>
            <w:tcW w:w="1620" w:type="dxa"/>
            <w:shd w:val="clear" w:color="auto" w:fill="auto"/>
            <w:hideMark/>
          </w:tcPr>
          <w:p w14:paraId="2CF46C1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17%</w:t>
            </w:r>
          </w:p>
        </w:tc>
      </w:tr>
      <w:tr w:rsidR="004600D5" w:rsidRPr="001153D2" w14:paraId="091CC1E0" w14:textId="77777777" w:rsidTr="004600D5">
        <w:trPr>
          <w:jc w:val="center"/>
        </w:trPr>
        <w:tc>
          <w:tcPr>
            <w:tcW w:w="2628" w:type="dxa"/>
            <w:hideMark/>
          </w:tcPr>
          <w:p w14:paraId="39F378D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Resistance to antibiotics</w:t>
            </w:r>
          </w:p>
        </w:tc>
        <w:tc>
          <w:tcPr>
            <w:tcW w:w="1710" w:type="dxa"/>
            <w:hideMark/>
          </w:tcPr>
          <w:p w14:paraId="4C6F96C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57%</w:t>
            </w:r>
          </w:p>
        </w:tc>
        <w:tc>
          <w:tcPr>
            <w:tcW w:w="1620" w:type="dxa"/>
            <w:hideMark/>
          </w:tcPr>
          <w:p w14:paraId="6FF79BB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38%</w:t>
            </w:r>
          </w:p>
        </w:tc>
      </w:tr>
      <w:tr w:rsidR="004600D5" w:rsidRPr="001153D2" w14:paraId="6E15698A"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628" w:type="dxa"/>
            <w:shd w:val="clear" w:color="auto" w:fill="auto"/>
            <w:hideMark/>
          </w:tcPr>
          <w:p w14:paraId="2F46697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MIC value (</w:t>
            </w:r>
            <w:proofErr w:type="spellStart"/>
            <w:r w:rsidRPr="001153D2">
              <w:rPr>
                <w:rFonts w:ascii="Arial" w:hAnsi="Arial" w:cs="Arial"/>
                <w:sz w:val="20"/>
                <w:szCs w:val="20"/>
              </w:rPr>
              <w:t>μg</w:t>
            </w:r>
            <w:proofErr w:type="spellEnd"/>
            <w:r w:rsidRPr="001153D2">
              <w:rPr>
                <w:rFonts w:ascii="Arial" w:hAnsi="Arial" w:cs="Arial"/>
                <w:sz w:val="20"/>
                <w:szCs w:val="20"/>
              </w:rPr>
              <w:t>/ml)</w:t>
            </w:r>
          </w:p>
        </w:tc>
        <w:tc>
          <w:tcPr>
            <w:tcW w:w="1710" w:type="dxa"/>
            <w:shd w:val="clear" w:color="auto" w:fill="auto"/>
            <w:hideMark/>
          </w:tcPr>
          <w:p w14:paraId="3B49ECA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0.5-4.0</w:t>
            </w:r>
          </w:p>
        </w:tc>
        <w:tc>
          <w:tcPr>
            <w:tcW w:w="1620" w:type="dxa"/>
            <w:shd w:val="clear" w:color="auto" w:fill="auto"/>
            <w:hideMark/>
          </w:tcPr>
          <w:p w14:paraId="1E0983E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0.5-2.0</w:t>
            </w:r>
          </w:p>
        </w:tc>
      </w:tr>
      <w:tr w:rsidR="004600D5" w:rsidRPr="001153D2" w14:paraId="206DCA57" w14:textId="77777777" w:rsidTr="004600D5">
        <w:trPr>
          <w:jc w:val="center"/>
        </w:trPr>
        <w:tc>
          <w:tcPr>
            <w:tcW w:w="2628" w:type="dxa"/>
            <w:hideMark/>
          </w:tcPr>
          <w:p w14:paraId="467EB75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MAR index</w:t>
            </w:r>
          </w:p>
        </w:tc>
        <w:tc>
          <w:tcPr>
            <w:tcW w:w="1710" w:type="dxa"/>
            <w:hideMark/>
          </w:tcPr>
          <w:p w14:paraId="064B4C5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0.2-0.4</w:t>
            </w:r>
          </w:p>
        </w:tc>
        <w:tc>
          <w:tcPr>
            <w:tcW w:w="1620" w:type="dxa"/>
            <w:hideMark/>
          </w:tcPr>
          <w:p w14:paraId="11BD262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0.1-0.2</w:t>
            </w:r>
          </w:p>
        </w:tc>
      </w:tr>
    </w:tbl>
    <w:p w14:paraId="0B067893" w14:textId="77777777" w:rsidR="004600D5" w:rsidRDefault="004600D5" w:rsidP="004600D5">
      <w:pPr>
        <w:spacing w:after="160"/>
        <w:jc w:val="both"/>
        <w:rPr>
          <w:rFonts w:ascii="Arial" w:hAnsi="Arial" w:cs="Arial"/>
          <w:b/>
          <w:bCs/>
        </w:rPr>
      </w:pPr>
    </w:p>
    <w:p w14:paraId="2EF81E1C" w14:textId="38A7737E" w:rsidR="004600D5" w:rsidRPr="001153D2" w:rsidRDefault="004600D5" w:rsidP="004600D5">
      <w:pPr>
        <w:spacing w:after="160"/>
        <w:jc w:val="both"/>
        <w:rPr>
          <w:rFonts w:ascii="Arial" w:hAnsi="Arial" w:cs="Arial"/>
          <w:b/>
          <w:bCs/>
        </w:rPr>
      </w:pPr>
      <w:r w:rsidRPr="001153D2">
        <w:rPr>
          <w:rFonts w:ascii="Arial" w:hAnsi="Arial" w:cs="Arial"/>
          <w:b/>
          <w:bCs/>
        </w:rPr>
        <w:t>3.8 Implications for Clinical Practice and Public Health</w:t>
      </w:r>
    </w:p>
    <w:p w14:paraId="7FA7DBFA" w14:textId="77777777" w:rsidR="004600D5" w:rsidRPr="001153D2" w:rsidRDefault="004600D5" w:rsidP="004600D5">
      <w:pPr>
        <w:spacing w:after="240"/>
        <w:jc w:val="both"/>
        <w:rPr>
          <w:rFonts w:ascii="Arial" w:hAnsi="Arial" w:cs="Arial"/>
        </w:rPr>
      </w:pPr>
      <w:r w:rsidRPr="001153D2">
        <w:rPr>
          <w:rFonts w:ascii="Arial" w:hAnsi="Arial" w:cs="Arial"/>
        </w:rPr>
        <w:t>The results of the study raise various issues in terms of their implications for clinical practice in Edo State as well as in the country at large. First of all, the results highlight the necessity of implementing more aggressive strategies in order to detect MRSA-positive carriers and infected individuals in both clinical and non-clinical settings. Thus, hospitals should introduce surveillance cultures aimed at detection of MRSA positive individuals and isolation of infected people. Promotion of hand hygiene, disinfection and sterilization of equipment are key aspects of MRSA control programs.</w:t>
      </w:r>
    </w:p>
    <w:p w14:paraId="65AF14C8" w14:textId="77777777" w:rsidR="004600D5" w:rsidRPr="001153D2" w:rsidRDefault="004600D5" w:rsidP="004600D5">
      <w:pPr>
        <w:spacing w:after="240"/>
        <w:jc w:val="both"/>
        <w:rPr>
          <w:rFonts w:ascii="Arial" w:hAnsi="Arial" w:cs="Arial"/>
        </w:rPr>
      </w:pPr>
      <w:r w:rsidRPr="001153D2">
        <w:rPr>
          <w:rFonts w:ascii="Arial" w:hAnsi="Arial" w:cs="Arial"/>
        </w:rPr>
        <w:t>Another issue is the high MAR index detected for HA-MRSA strains. The presence of high MAR index means that implementation of antibiotic stewardship programs in hospitals is highly desirable. In fact, antibiotic stewardship includes optimization of antibiotic therapy in terms of its choice, dose and duration of treatment with the ultimate goal of improving patient outcomes, minimizing resistance to antibiotics and side effects.</w:t>
      </w:r>
    </w:p>
    <w:p w14:paraId="08BD2C61" w14:textId="77777777" w:rsidR="004600D5" w:rsidRPr="001153D2" w:rsidRDefault="004600D5" w:rsidP="004600D5">
      <w:pPr>
        <w:spacing w:after="240"/>
        <w:jc w:val="both"/>
        <w:rPr>
          <w:rFonts w:ascii="Arial" w:hAnsi="Arial" w:cs="Arial"/>
        </w:rPr>
      </w:pPr>
      <w:r w:rsidRPr="001153D2">
        <w:rPr>
          <w:rFonts w:ascii="Arial" w:hAnsi="Arial" w:cs="Arial"/>
        </w:rPr>
        <w:t>Thirdly, the detection of CA-MRSA in the community calls for the provision of public education on hygiene measures and proper utilization of antibiotics. Members of the community should be informed about the significance of good hand hygiene, proper wound care, and the avoidance of sharing personal objects. Misuse of antibiotics in the community, including self-treatment and improper course of treatment, should be prevented.</w:t>
      </w:r>
    </w:p>
    <w:p w14:paraId="5C5C320B" w14:textId="77777777" w:rsidR="004600D5" w:rsidRPr="001153D2" w:rsidRDefault="004600D5" w:rsidP="004600D5">
      <w:pPr>
        <w:spacing w:after="240"/>
        <w:jc w:val="both"/>
        <w:rPr>
          <w:rFonts w:ascii="Arial" w:hAnsi="Arial" w:cs="Arial"/>
        </w:rPr>
      </w:pPr>
      <w:r w:rsidRPr="001153D2">
        <w:rPr>
          <w:rFonts w:ascii="Arial" w:hAnsi="Arial" w:cs="Arial"/>
        </w:rPr>
        <w:lastRenderedPageBreak/>
        <w:t>Fourthly, since fomites carry the highest proportion of HA-MRSA, there is a need to prioritize environmental cleaning and disinfection. Healthcare facilities should put in place and enforce strict cleaning measures, especially for high-contact surfaces such as bed rails, tables, and doorknobs. The use of antimicrobial products that are effective against MRSA is vital.</w:t>
      </w:r>
    </w:p>
    <w:p w14:paraId="4DBF8D59" w14:textId="57F8C1A9" w:rsidR="00C30A0F" w:rsidRDefault="004600D5" w:rsidP="004600D5">
      <w:pPr>
        <w:pStyle w:val="Body"/>
        <w:spacing w:after="0"/>
        <w:rPr>
          <w:rFonts w:ascii="Arial" w:hAnsi="Arial" w:cs="Arial"/>
        </w:rPr>
      </w:pPr>
      <w:r w:rsidRPr="001153D2">
        <w:rPr>
          <w:rFonts w:ascii="Arial" w:hAnsi="Arial" w:cs="Arial"/>
        </w:rPr>
        <w:t>Lastly, the isolation of MRSA in the community has an impact on empirical antibiotic therapy. The healthcare practitioners should include MRSA as one of the causes of community-acquired infections and should try to obtain cultures and susceptibility information when possible. Antibiotics such as vancomycin and linezolid that are active against MRSA should only be used when it is certain that the infection is due to MRSA.</w:t>
      </w:r>
      <w:r w:rsidR="00C30A0F" w:rsidRPr="00FB3A86">
        <w:rPr>
          <w:rFonts w:ascii="Arial" w:hAnsi="Arial" w:cs="Arial"/>
        </w:rPr>
        <w:t xml:space="preserve"> </w:t>
      </w:r>
    </w:p>
    <w:p w14:paraId="489E66FF" w14:textId="77777777" w:rsidR="00E053D0" w:rsidRDefault="00E053D0" w:rsidP="00441B6F">
      <w:pPr>
        <w:pStyle w:val="Body"/>
        <w:spacing w:after="0"/>
        <w:rPr>
          <w:rFonts w:ascii="Arial" w:hAnsi="Arial" w:cs="Arial"/>
        </w:rPr>
      </w:pPr>
    </w:p>
    <w:p w14:paraId="7FE23267" w14:textId="77777777" w:rsidR="00790ADA" w:rsidRPr="00FB3A86" w:rsidRDefault="00790ADA" w:rsidP="00441B6F">
      <w:pPr>
        <w:pStyle w:val="Body"/>
        <w:spacing w:after="0"/>
        <w:rPr>
          <w:rFonts w:ascii="Arial" w:hAnsi="Arial" w:cs="Arial"/>
        </w:rPr>
      </w:pPr>
    </w:p>
    <w:p w14:paraId="23B49D98"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630E9394" w14:textId="77777777" w:rsidR="00790ADA" w:rsidRPr="00FB3A86" w:rsidRDefault="00790ADA" w:rsidP="00441B6F">
      <w:pPr>
        <w:pStyle w:val="ConcHead"/>
        <w:spacing w:after="0"/>
        <w:jc w:val="both"/>
        <w:rPr>
          <w:rFonts w:ascii="Arial" w:hAnsi="Arial" w:cs="Arial"/>
        </w:rPr>
      </w:pPr>
    </w:p>
    <w:p w14:paraId="4EFE3E53" w14:textId="77777777" w:rsidR="004600D5" w:rsidRPr="001153D2" w:rsidRDefault="004600D5" w:rsidP="004600D5">
      <w:pPr>
        <w:spacing w:after="160"/>
        <w:jc w:val="both"/>
        <w:rPr>
          <w:rFonts w:ascii="Arial" w:hAnsi="Arial" w:cs="Arial"/>
        </w:rPr>
      </w:pPr>
      <w:r w:rsidRPr="001153D2">
        <w:rPr>
          <w:rFonts w:ascii="Arial" w:hAnsi="Arial" w:cs="Arial"/>
        </w:rPr>
        <w:t>MRSA was found to have a prevalence of 22% in Edo State, Nigeria, with HA-MRSA prevalence (27%) higher than CA-MRSA prevalence (17%). Most of the HA-MRSA was isolated from fomites (32%) and cleaners (24%). Male surgical ward, female surgical ward and laundry departments had the highest rate of isolation. All isolates were susceptible to vancomycin and linezolid, but resistant to cloxacillin (96%) in both categories. HA-MRSA had more resistance to ciprofloxacin, gentamicin, and erythromycin than CA-MRSA isolates. MAR index in HA-MRSA isolates (0.2-0.4) was higher than CA-MRSA isolates (0.1-0.2). It is evident that there is higher rate of misusing antibiotics in hospitals. From this study, HA-MRSA isolates have higher antibiotic resistance and MAR indices when compared to CA-MRSA. Moreover, fomites are found to be important sources of MRSA transmission in hospitals. The high prevalence rate of MRSA in both hospitals and communities in Edo State has important clinical and public health implication, which includes high morbidity, mortality and healthcare cost. In accordance to the results of this study, the following recommendations can be made:</w:t>
      </w:r>
    </w:p>
    <w:p w14:paraId="0AA9D5B1" w14:textId="77777777" w:rsidR="004600D5" w:rsidRPr="001153D2" w:rsidRDefault="004600D5" w:rsidP="004600D5">
      <w:pPr>
        <w:numPr>
          <w:ilvl w:val="0"/>
          <w:numId w:val="31"/>
        </w:numPr>
        <w:spacing w:after="160"/>
        <w:jc w:val="both"/>
        <w:rPr>
          <w:rFonts w:ascii="Arial" w:hAnsi="Arial" w:cs="Arial"/>
        </w:rPr>
      </w:pPr>
      <w:r w:rsidRPr="001153D2">
        <w:rPr>
          <w:rFonts w:ascii="Arial" w:hAnsi="Arial" w:cs="Arial"/>
        </w:rPr>
        <w:t>Healthcare providers need to practice good hygiene by washing hands frequently and cleaning and disinfecting surfaces and fomites in the hospital regularly. The laundry section needs to be handled professionally with the treatment of waste water prior to dumping.</w:t>
      </w:r>
    </w:p>
    <w:p w14:paraId="30778B1E" w14:textId="77777777" w:rsidR="004600D5" w:rsidRPr="001153D2" w:rsidRDefault="004600D5" w:rsidP="004600D5">
      <w:pPr>
        <w:numPr>
          <w:ilvl w:val="0"/>
          <w:numId w:val="31"/>
        </w:numPr>
        <w:spacing w:after="160"/>
        <w:jc w:val="both"/>
        <w:rPr>
          <w:rFonts w:ascii="Arial" w:hAnsi="Arial" w:cs="Arial"/>
        </w:rPr>
      </w:pPr>
      <w:r w:rsidRPr="001153D2">
        <w:rPr>
          <w:rFonts w:ascii="Arial" w:hAnsi="Arial" w:cs="Arial"/>
        </w:rPr>
        <w:t>The high MAR value of HA-MRSA suggests the overprescription of antibiotics in the hospital. Antibiotic stewardship program should be put in place to control the rational use of antibiotics.</w:t>
      </w:r>
    </w:p>
    <w:p w14:paraId="7520D0FE" w14:textId="77777777" w:rsidR="004600D5" w:rsidRPr="001153D2" w:rsidRDefault="004600D5" w:rsidP="004600D5">
      <w:pPr>
        <w:numPr>
          <w:ilvl w:val="0"/>
          <w:numId w:val="31"/>
        </w:numPr>
        <w:spacing w:after="160"/>
        <w:jc w:val="both"/>
        <w:rPr>
          <w:rFonts w:ascii="Arial" w:hAnsi="Arial" w:cs="Arial"/>
        </w:rPr>
      </w:pPr>
      <w:r w:rsidRPr="001153D2">
        <w:rPr>
          <w:rFonts w:ascii="Arial" w:hAnsi="Arial" w:cs="Arial"/>
        </w:rPr>
        <w:t>It is necessary to educate the public on the proper use of antibiotics and the risks associated with self-medication. There should be no antibiotics prescription without prescription.</w:t>
      </w:r>
    </w:p>
    <w:p w14:paraId="06FE8AFA" w14:textId="77777777" w:rsidR="004600D5" w:rsidRPr="001153D2" w:rsidRDefault="004600D5" w:rsidP="004600D5">
      <w:pPr>
        <w:numPr>
          <w:ilvl w:val="0"/>
          <w:numId w:val="31"/>
        </w:numPr>
        <w:spacing w:after="160"/>
        <w:jc w:val="both"/>
        <w:rPr>
          <w:rFonts w:ascii="Arial" w:hAnsi="Arial" w:cs="Arial"/>
        </w:rPr>
      </w:pPr>
      <w:r w:rsidRPr="001153D2">
        <w:rPr>
          <w:rFonts w:ascii="Arial" w:hAnsi="Arial" w:cs="Arial"/>
        </w:rPr>
        <w:t>The CA-MRSA infection that has been found in crowded places such as markets and motor parks necessitates the need for hand hygiene campaigns. Hand sanitizers and hand washing at school level will help in preventing the spread of infections among students.</w:t>
      </w:r>
    </w:p>
    <w:p w14:paraId="6E263F1B" w14:textId="77777777" w:rsidR="004600D5" w:rsidRPr="001153D2" w:rsidRDefault="004600D5" w:rsidP="004600D5">
      <w:pPr>
        <w:numPr>
          <w:ilvl w:val="0"/>
          <w:numId w:val="31"/>
        </w:numPr>
        <w:spacing w:after="160"/>
        <w:jc w:val="both"/>
        <w:rPr>
          <w:rFonts w:ascii="Arial" w:hAnsi="Arial" w:cs="Arial"/>
        </w:rPr>
      </w:pPr>
      <w:r w:rsidRPr="001153D2">
        <w:rPr>
          <w:rFonts w:ascii="Arial" w:hAnsi="Arial" w:cs="Arial"/>
        </w:rPr>
        <w:t>Monitoring of MRSA prevalence and its resistance patterns is very important to help determine the trends and make guidelines on how to treat such infections. There should be molecular typing of MRSA to determine the genetics behind its resistance and virulence.</w:t>
      </w:r>
    </w:p>
    <w:p w14:paraId="4C4FE80B" w14:textId="77777777" w:rsidR="004600D5" w:rsidRPr="001153D2" w:rsidRDefault="004600D5" w:rsidP="004600D5">
      <w:pPr>
        <w:numPr>
          <w:ilvl w:val="0"/>
          <w:numId w:val="31"/>
        </w:numPr>
        <w:spacing w:after="160"/>
        <w:jc w:val="both"/>
        <w:rPr>
          <w:rFonts w:ascii="Arial" w:hAnsi="Arial" w:cs="Arial"/>
        </w:rPr>
      </w:pPr>
      <w:r w:rsidRPr="001153D2">
        <w:rPr>
          <w:rFonts w:ascii="Arial" w:hAnsi="Arial" w:cs="Arial"/>
        </w:rPr>
        <w:t>Hospital staff should be screened for MRSA carriage especially those working in critical units like the surgical ward, laundry, and A&amp;E to detect any carriers of the organism and help decolonize them so that they do not infect patients.</w:t>
      </w:r>
    </w:p>
    <w:p w14:paraId="3085C3F1" w14:textId="77777777" w:rsidR="004600D5" w:rsidRPr="001153D2" w:rsidRDefault="004600D5" w:rsidP="004600D5">
      <w:pPr>
        <w:numPr>
          <w:ilvl w:val="0"/>
          <w:numId w:val="31"/>
        </w:numPr>
        <w:spacing w:after="160"/>
        <w:jc w:val="both"/>
        <w:rPr>
          <w:rFonts w:ascii="Arial" w:hAnsi="Arial" w:cs="Arial"/>
        </w:rPr>
      </w:pPr>
      <w:r w:rsidRPr="001153D2">
        <w:rPr>
          <w:rFonts w:ascii="Arial" w:hAnsi="Arial" w:cs="Arial"/>
        </w:rPr>
        <w:lastRenderedPageBreak/>
        <w:t xml:space="preserve">It is important to conduct research on the transfer mechanism of </w:t>
      </w:r>
      <w:proofErr w:type="spellStart"/>
      <w:r w:rsidRPr="001153D2">
        <w:rPr>
          <w:rFonts w:ascii="Arial" w:hAnsi="Arial" w:cs="Arial"/>
        </w:rPr>
        <w:t>SCCmec</w:t>
      </w:r>
      <w:proofErr w:type="spellEnd"/>
      <w:r w:rsidRPr="001153D2">
        <w:rPr>
          <w:rFonts w:ascii="Arial" w:hAnsi="Arial" w:cs="Arial"/>
        </w:rPr>
        <w:t xml:space="preserve"> from HA-MRSA to CA-MRSA.</w:t>
      </w:r>
    </w:p>
    <w:p w14:paraId="61920E73" w14:textId="77777777" w:rsidR="00790ADA" w:rsidRPr="00FB3A86" w:rsidRDefault="00790ADA" w:rsidP="00441B6F">
      <w:pPr>
        <w:pStyle w:val="Body"/>
        <w:spacing w:after="0"/>
        <w:rPr>
          <w:rFonts w:ascii="Arial" w:hAnsi="Arial" w:cs="Arial"/>
        </w:rPr>
      </w:pPr>
    </w:p>
    <w:p w14:paraId="203DECCF" w14:textId="77777777" w:rsidR="00F9211D" w:rsidRDefault="00F9211D" w:rsidP="00F9211D">
      <w:pPr>
        <w:pStyle w:val="ReferHead"/>
        <w:spacing w:after="0"/>
        <w:jc w:val="both"/>
        <w:rPr>
          <w:rFonts w:ascii="Arial" w:hAnsi="Arial" w:cs="Arial"/>
          <w:bCs/>
          <w:caps w:val="0"/>
          <w:szCs w:val="22"/>
          <w:lang w:val="en-GB"/>
        </w:rPr>
      </w:pPr>
      <w:r w:rsidRPr="00F9211D">
        <w:rPr>
          <w:rFonts w:ascii="Arial" w:hAnsi="Arial" w:cs="Arial"/>
          <w:bCs/>
          <w:caps w:val="0"/>
          <w:szCs w:val="22"/>
          <w:lang w:val="en-GB"/>
        </w:rPr>
        <w:t>COMPETING INTERESTS</w:t>
      </w:r>
    </w:p>
    <w:p w14:paraId="7B1F3D26" w14:textId="77777777" w:rsidR="00F9211D" w:rsidRPr="00F9211D" w:rsidRDefault="00F9211D" w:rsidP="00F9211D">
      <w:pPr>
        <w:pStyle w:val="ReferHead"/>
        <w:spacing w:after="0"/>
        <w:jc w:val="both"/>
        <w:rPr>
          <w:rFonts w:ascii="Arial" w:hAnsi="Arial" w:cs="Arial"/>
          <w:bCs/>
          <w:caps w:val="0"/>
          <w:szCs w:val="22"/>
          <w:lang w:val="en-GB"/>
        </w:rPr>
      </w:pPr>
    </w:p>
    <w:p w14:paraId="02B295A6" w14:textId="77777777" w:rsidR="00F9211D" w:rsidRPr="00F9211D" w:rsidRDefault="00F9211D" w:rsidP="00F9211D">
      <w:pPr>
        <w:pStyle w:val="ReferHead"/>
        <w:jc w:val="both"/>
        <w:rPr>
          <w:rFonts w:ascii="Arial" w:hAnsi="Arial" w:cs="Arial"/>
          <w:b w:val="0"/>
          <w:caps w:val="0"/>
          <w:sz w:val="20"/>
          <w:lang w:val="en-GB"/>
        </w:rPr>
      </w:pPr>
      <w:r w:rsidRPr="00F9211D">
        <w:rPr>
          <w:rFonts w:ascii="Arial" w:hAnsi="Arial" w:cs="Arial"/>
          <w:b w:val="0"/>
          <w:caps w:val="0"/>
          <w:sz w:val="20"/>
          <w:lang w:val="en-GB"/>
        </w:rPr>
        <w:t>The authors declare no competing interests.</w:t>
      </w:r>
    </w:p>
    <w:p w14:paraId="530B006E" w14:textId="77777777" w:rsidR="00F9211D" w:rsidRDefault="00F9211D" w:rsidP="00F9211D">
      <w:pPr>
        <w:pStyle w:val="ReferHead"/>
        <w:spacing w:after="0"/>
        <w:jc w:val="both"/>
        <w:rPr>
          <w:rFonts w:ascii="Arial" w:hAnsi="Arial" w:cs="Arial"/>
          <w:bCs/>
          <w:caps w:val="0"/>
          <w:szCs w:val="22"/>
          <w:lang w:val="en-GB"/>
        </w:rPr>
      </w:pPr>
      <w:r w:rsidRPr="00F9211D">
        <w:rPr>
          <w:rFonts w:ascii="Arial" w:hAnsi="Arial" w:cs="Arial"/>
          <w:bCs/>
          <w:caps w:val="0"/>
          <w:szCs w:val="22"/>
          <w:lang w:val="en-GB"/>
        </w:rPr>
        <w:t>CONSENT</w:t>
      </w:r>
    </w:p>
    <w:p w14:paraId="2FF6FEEF" w14:textId="77777777" w:rsidR="00F9211D" w:rsidRPr="00F9211D" w:rsidRDefault="00F9211D" w:rsidP="00F9211D">
      <w:pPr>
        <w:pStyle w:val="ReferHead"/>
        <w:spacing w:after="0"/>
        <w:jc w:val="both"/>
        <w:rPr>
          <w:rFonts w:ascii="Arial" w:hAnsi="Arial" w:cs="Arial"/>
          <w:bCs/>
          <w:caps w:val="0"/>
          <w:szCs w:val="22"/>
          <w:lang w:val="en-GB"/>
        </w:rPr>
      </w:pPr>
    </w:p>
    <w:p w14:paraId="31DC74E9" w14:textId="681C6F59" w:rsidR="001A29D8" w:rsidRPr="00F9211D" w:rsidRDefault="00F9211D" w:rsidP="00F9211D">
      <w:pPr>
        <w:pStyle w:val="ReferHead"/>
        <w:spacing w:after="0"/>
        <w:jc w:val="both"/>
        <w:rPr>
          <w:rFonts w:ascii="Arial" w:hAnsi="Arial" w:cs="Arial"/>
          <w:b w:val="0"/>
          <w:caps w:val="0"/>
          <w:sz w:val="20"/>
          <w:lang w:val="en-GB"/>
        </w:rPr>
      </w:pPr>
      <w:r w:rsidRPr="00F9211D">
        <w:rPr>
          <w:rFonts w:ascii="Arial" w:hAnsi="Arial" w:cs="Arial"/>
          <w:b w:val="0"/>
          <w:caps w:val="0"/>
          <w:sz w:val="20"/>
          <w:lang w:val="en-GB"/>
        </w:rPr>
        <w:t>Informed consent was obtained from all participants. Ethical approval was granted by the Ethical Committee of Irrua Specialist Teaching Hospital, Irrua, Edo State, Nigeria.</w:t>
      </w:r>
    </w:p>
    <w:p w14:paraId="717DE350" w14:textId="77777777" w:rsidR="005C784C" w:rsidRDefault="005C784C" w:rsidP="00441B6F">
      <w:pPr>
        <w:pStyle w:val="ReferHead"/>
        <w:spacing w:after="0"/>
        <w:jc w:val="both"/>
        <w:rPr>
          <w:rFonts w:ascii="Arial" w:hAnsi="Arial" w:cs="Arial"/>
          <w:b w:val="0"/>
          <w:caps w:val="0"/>
          <w:sz w:val="20"/>
        </w:rPr>
      </w:pPr>
    </w:p>
    <w:p w14:paraId="058657A5" w14:textId="0BC5FA80" w:rsidR="005C784C" w:rsidRDefault="005C784C" w:rsidP="00441B6F">
      <w:pPr>
        <w:pStyle w:val="ReferHead"/>
        <w:spacing w:after="0"/>
        <w:jc w:val="both"/>
        <w:rPr>
          <w:rFonts w:ascii="Arial" w:hAnsi="Arial" w:cs="Arial"/>
          <w:bCs/>
        </w:rPr>
      </w:pPr>
      <w:r>
        <w:rPr>
          <w:rFonts w:ascii="Arial" w:hAnsi="Arial" w:cs="Arial"/>
          <w:bCs/>
        </w:rPr>
        <w:t xml:space="preserve">Ethical approval </w:t>
      </w:r>
    </w:p>
    <w:p w14:paraId="0DDD17DB" w14:textId="77777777" w:rsidR="005C784C" w:rsidRPr="002B685A" w:rsidRDefault="005C784C" w:rsidP="00441B6F">
      <w:pPr>
        <w:pStyle w:val="ReferHead"/>
        <w:spacing w:after="0"/>
        <w:jc w:val="both"/>
        <w:rPr>
          <w:rFonts w:ascii="Arial" w:hAnsi="Arial" w:cs="Arial"/>
          <w:bCs/>
        </w:rPr>
      </w:pPr>
    </w:p>
    <w:p w14:paraId="17F09794" w14:textId="7697FF75" w:rsidR="0041027F" w:rsidRDefault="004600D5" w:rsidP="00441B6F">
      <w:pPr>
        <w:pStyle w:val="ReferHead"/>
        <w:spacing w:after="0"/>
        <w:jc w:val="both"/>
        <w:rPr>
          <w:rFonts w:ascii="Arial" w:hAnsi="Arial" w:cs="Arial"/>
          <w:b w:val="0"/>
          <w:caps w:val="0"/>
          <w:sz w:val="20"/>
        </w:rPr>
      </w:pPr>
      <w:r w:rsidRPr="004600D5">
        <w:rPr>
          <w:rFonts w:ascii="Arial" w:hAnsi="Arial" w:cs="Arial"/>
          <w:b w:val="0"/>
          <w:caps w:val="0"/>
          <w:sz w:val="20"/>
        </w:rPr>
        <w:t>Ethical approval was obtained from the Ethical Committee of ISTH, Irrua, before commencement of the study.</w:t>
      </w:r>
    </w:p>
    <w:p w14:paraId="68D5D959" w14:textId="77777777" w:rsidR="004D5B76" w:rsidRDefault="004D5B76" w:rsidP="004D5B76">
      <w:pPr>
        <w:rPr>
          <w:rFonts w:ascii="Times New Roman" w:hAnsi="Times New Roman"/>
          <w:b/>
        </w:rPr>
      </w:pPr>
      <w:r w:rsidRPr="000839CE">
        <w:rPr>
          <w:rFonts w:ascii="Times New Roman" w:hAnsi="Times New Roman"/>
          <w:b/>
        </w:rPr>
        <w:t>Declaration of AI Use</w:t>
      </w:r>
    </w:p>
    <w:p w14:paraId="6F0024F0" w14:textId="77777777" w:rsidR="004D5B76" w:rsidRDefault="004D5B76" w:rsidP="004D5B76">
      <w:pPr>
        <w:rPr>
          <w:rFonts w:ascii="Times New Roman" w:hAnsi="Times New Roman"/>
          <w:b/>
        </w:rPr>
      </w:pPr>
    </w:p>
    <w:p w14:paraId="739603D2" w14:textId="77777777" w:rsidR="004D5B76" w:rsidRDefault="004D5B76" w:rsidP="004D5B76">
      <w:pPr>
        <w:rPr>
          <w:rFonts w:ascii="Times New Roman" w:hAnsi="Times New Roman"/>
          <w:b/>
        </w:rPr>
      </w:pPr>
    </w:p>
    <w:p w14:paraId="5D1D7A36" w14:textId="77777777" w:rsidR="004D5B76" w:rsidRDefault="004D5B76" w:rsidP="004D5B76">
      <w:pPr>
        <w:rPr>
          <w:rFonts w:ascii="Times New Roman" w:hAnsi="Times New Roman"/>
          <w:b/>
        </w:rPr>
      </w:pPr>
    </w:p>
    <w:p w14:paraId="4EE64B40" w14:textId="77777777" w:rsidR="004D5B76" w:rsidRDefault="004D5B76" w:rsidP="004D5B76">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D4149E5" w14:textId="77777777" w:rsidR="004D5B76" w:rsidRDefault="004D5B76" w:rsidP="004D5B76">
      <w:pPr>
        <w:pStyle w:val="DefAcrHead"/>
        <w:spacing w:after="0"/>
        <w:jc w:val="both"/>
        <w:rPr>
          <w:rFonts w:ascii="Arial" w:hAnsi="Arial" w:cs="Arial"/>
        </w:rPr>
      </w:pPr>
      <w:r w:rsidRPr="00FB3A86">
        <w:rPr>
          <w:rFonts w:ascii="Arial" w:hAnsi="Arial" w:cs="Arial"/>
        </w:rPr>
        <w:t>Definitions, Acronyms, Abbreviations</w:t>
      </w:r>
    </w:p>
    <w:p w14:paraId="7CBCCEE6" w14:textId="77777777" w:rsidR="004D5B76" w:rsidRDefault="004D5B76" w:rsidP="004D5B76">
      <w:pPr>
        <w:pStyle w:val="Body"/>
        <w:spacing w:after="0"/>
        <w:rPr>
          <w:rFonts w:ascii="Arial" w:hAnsi="Arial" w:cs="Arial"/>
          <w:lang w:val="en-GB"/>
        </w:rPr>
      </w:pPr>
    </w:p>
    <w:p w14:paraId="725A3F5E" w14:textId="77777777" w:rsidR="004D5B76" w:rsidRPr="00F9211D" w:rsidRDefault="004D5B76" w:rsidP="004D5B76">
      <w:pPr>
        <w:pStyle w:val="Body"/>
        <w:spacing w:after="0"/>
        <w:rPr>
          <w:rFonts w:ascii="Arial" w:hAnsi="Arial" w:cs="Arial"/>
          <w:b/>
          <w:bCs/>
          <w:lang w:val="en-GB"/>
        </w:rPr>
      </w:pPr>
      <w:r w:rsidRPr="00F9211D">
        <w:rPr>
          <w:rFonts w:ascii="Arial" w:hAnsi="Arial" w:cs="Arial"/>
          <w:b/>
          <w:bCs/>
          <w:lang w:val="en-GB"/>
        </w:rPr>
        <w:t>Definitions</w:t>
      </w:r>
    </w:p>
    <w:p w14:paraId="0B3DF60F" w14:textId="77777777" w:rsidR="004D5B76" w:rsidRDefault="004D5B76" w:rsidP="004D5B76">
      <w:pPr>
        <w:pStyle w:val="Body"/>
        <w:spacing w:after="0"/>
        <w:rPr>
          <w:rFonts w:ascii="Arial" w:hAnsi="Arial" w:cs="Arial"/>
          <w:lang w:val="en-GB"/>
        </w:rPr>
      </w:pPr>
    </w:p>
    <w:p w14:paraId="63154921"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Antibiogram: The measurement of the susceptibility of bacteria to antibiotics to determine resistance patterns.</w:t>
      </w:r>
    </w:p>
    <w:p w14:paraId="42A37338" w14:textId="77777777" w:rsidR="004D5B76" w:rsidRPr="00F9211D" w:rsidRDefault="004D5B76" w:rsidP="004D5B76">
      <w:pPr>
        <w:pStyle w:val="Body"/>
        <w:spacing w:after="0"/>
        <w:rPr>
          <w:rFonts w:ascii="Arial" w:hAnsi="Arial" w:cs="Arial"/>
          <w:lang w:val="en-GB"/>
        </w:rPr>
      </w:pPr>
    </w:p>
    <w:p w14:paraId="13880B54"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Biofilm: A community of microorganisms attached to a surface by a self-produced polymeric matrix.</w:t>
      </w:r>
    </w:p>
    <w:p w14:paraId="65276324" w14:textId="77777777" w:rsidR="004D5B76" w:rsidRPr="00F9211D" w:rsidRDefault="004D5B76" w:rsidP="004D5B76">
      <w:pPr>
        <w:pStyle w:val="Body"/>
        <w:spacing w:after="0"/>
        <w:rPr>
          <w:rFonts w:ascii="Arial" w:hAnsi="Arial" w:cs="Arial"/>
          <w:lang w:val="en-GB"/>
        </w:rPr>
      </w:pPr>
    </w:p>
    <w:p w14:paraId="33133CD0"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Fomites: Inanimate objects or surfaces that can carry infectious agents.</w:t>
      </w:r>
    </w:p>
    <w:p w14:paraId="0410BE26" w14:textId="77777777" w:rsidR="004D5B76" w:rsidRPr="00F9211D" w:rsidRDefault="004D5B76" w:rsidP="004D5B76">
      <w:pPr>
        <w:pStyle w:val="Body"/>
        <w:spacing w:after="0"/>
        <w:rPr>
          <w:rFonts w:ascii="Arial" w:hAnsi="Arial" w:cs="Arial"/>
          <w:lang w:val="en-GB"/>
        </w:rPr>
      </w:pPr>
    </w:p>
    <w:p w14:paraId="115B6F54"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MAR Index: Multiple Antibiotic Resistance Index; ratio of antibiotics an isolate is resistant to, divided by total antibiotics tested.</w:t>
      </w:r>
    </w:p>
    <w:p w14:paraId="7BCAB3D7" w14:textId="77777777" w:rsidR="004D5B76" w:rsidRPr="00F9211D" w:rsidRDefault="004D5B76" w:rsidP="004D5B76">
      <w:pPr>
        <w:pStyle w:val="Body"/>
        <w:spacing w:after="0"/>
        <w:rPr>
          <w:rFonts w:ascii="Arial" w:hAnsi="Arial" w:cs="Arial"/>
          <w:lang w:val="en-GB"/>
        </w:rPr>
      </w:pPr>
    </w:p>
    <w:p w14:paraId="2A624681"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MRSA: Staphylococcus aureus resistant to methicillin and other beta-lactam antibiotics.</w:t>
      </w:r>
    </w:p>
    <w:p w14:paraId="17377F09" w14:textId="77777777" w:rsidR="004D5B76" w:rsidRPr="00F9211D" w:rsidRDefault="004D5B76" w:rsidP="004D5B76">
      <w:pPr>
        <w:pStyle w:val="Body"/>
        <w:spacing w:after="0"/>
        <w:rPr>
          <w:rFonts w:ascii="Arial" w:hAnsi="Arial" w:cs="Arial"/>
          <w:lang w:val="en-GB"/>
        </w:rPr>
      </w:pPr>
    </w:p>
    <w:p w14:paraId="47112A47"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Prevalence: The proportion of a population found to have a condition at a specific time.</w:t>
      </w:r>
    </w:p>
    <w:p w14:paraId="788FAD7F" w14:textId="77777777" w:rsidR="004D5B76" w:rsidRPr="00F9211D" w:rsidRDefault="004D5B76" w:rsidP="004D5B76">
      <w:pPr>
        <w:pStyle w:val="Body"/>
        <w:spacing w:after="0"/>
        <w:rPr>
          <w:rFonts w:ascii="Arial" w:hAnsi="Arial" w:cs="Arial"/>
          <w:lang w:val="en-GB"/>
        </w:rPr>
      </w:pPr>
    </w:p>
    <w:p w14:paraId="3AFFDAD2"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Virulence: The degree of pathogenicity or harmfulness of a microorganism.</w:t>
      </w:r>
    </w:p>
    <w:p w14:paraId="047A8388" w14:textId="77777777" w:rsidR="004D5B76" w:rsidRPr="00F9211D" w:rsidRDefault="004D5B76" w:rsidP="004D5B76">
      <w:pPr>
        <w:pStyle w:val="Body"/>
        <w:spacing w:after="0"/>
        <w:rPr>
          <w:rFonts w:ascii="Arial" w:hAnsi="Arial" w:cs="Arial"/>
          <w:lang w:val="en-GB"/>
        </w:rPr>
      </w:pPr>
    </w:p>
    <w:p w14:paraId="6B14B8B1" w14:textId="77777777" w:rsidR="004D5B76" w:rsidRDefault="004D5B76" w:rsidP="004D5B76">
      <w:pPr>
        <w:pStyle w:val="Body"/>
        <w:spacing w:after="0"/>
        <w:rPr>
          <w:rFonts w:ascii="Arial" w:hAnsi="Arial" w:cs="Arial"/>
          <w:b/>
          <w:bCs/>
          <w:lang w:val="en-GB"/>
        </w:rPr>
      </w:pPr>
      <w:r w:rsidRPr="00F9211D">
        <w:rPr>
          <w:rFonts w:ascii="Arial" w:hAnsi="Arial" w:cs="Arial"/>
          <w:b/>
          <w:bCs/>
          <w:lang w:val="en-GB"/>
        </w:rPr>
        <w:t>Acronyms and Abbreviations</w:t>
      </w:r>
    </w:p>
    <w:p w14:paraId="14FE58A9" w14:textId="77777777" w:rsidR="004D5B76" w:rsidRPr="00F9211D" w:rsidRDefault="004D5B76" w:rsidP="004D5B76">
      <w:pPr>
        <w:pStyle w:val="Body"/>
        <w:spacing w:after="0"/>
        <w:rPr>
          <w:rFonts w:ascii="Arial" w:hAnsi="Arial" w:cs="Arial"/>
          <w:b/>
          <w:bCs/>
          <w:lang w:val="en-GB"/>
        </w:rPr>
      </w:pPr>
    </w:p>
    <w:p w14:paraId="7C9C16B2"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A&amp;E — Accident and Emergency</w:t>
      </w:r>
    </w:p>
    <w:p w14:paraId="0B1F9990" w14:textId="77777777" w:rsidR="004D5B76" w:rsidRPr="00F9211D" w:rsidRDefault="004D5B76" w:rsidP="004D5B76">
      <w:pPr>
        <w:pStyle w:val="Body"/>
        <w:spacing w:after="0"/>
        <w:rPr>
          <w:rFonts w:ascii="Arial" w:hAnsi="Arial" w:cs="Arial"/>
          <w:lang w:val="en-GB"/>
        </w:rPr>
      </w:pPr>
    </w:p>
    <w:p w14:paraId="5652D632"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CA-MRSA — Community-Acquired Methicillin-Resistant Staphylococcus aureus</w:t>
      </w:r>
    </w:p>
    <w:p w14:paraId="42F00E6F" w14:textId="77777777" w:rsidR="004D5B76" w:rsidRPr="00F9211D" w:rsidRDefault="004D5B76" w:rsidP="004D5B76">
      <w:pPr>
        <w:pStyle w:val="Body"/>
        <w:spacing w:after="0"/>
        <w:rPr>
          <w:rFonts w:ascii="Arial" w:hAnsi="Arial" w:cs="Arial"/>
          <w:lang w:val="en-GB"/>
        </w:rPr>
      </w:pPr>
    </w:p>
    <w:p w14:paraId="0E66A31A"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lastRenderedPageBreak/>
        <w:t>CLSI — Clinical and Laboratory Standards Institute</w:t>
      </w:r>
    </w:p>
    <w:p w14:paraId="128BC9B5" w14:textId="77777777" w:rsidR="004D5B76" w:rsidRPr="00F9211D" w:rsidRDefault="004D5B76" w:rsidP="004D5B76">
      <w:pPr>
        <w:pStyle w:val="Body"/>
        <w:spacing w:after="0"/>
        <w:rPr>
          <w:rFonts w:ascii="Arial" w:hAnsi="Arial" w:cs="Arial"/>
          <w:lang w:val="en-GB"/>
        </w:rPr>
      </w:pPr>
    </w:p>
    <w:p w14:paraId="17C5CD25" w14:textId="77777777" w:rsidR="004D5B76" w:rsidRPr="00F9211D" w:rsidRDefault="004D5B76" w:rsidP="004D5B76">
      <w:pPr>
        <w:pStyle w:val="Body"/>
        <w:spacing w:after="0"/>
        <w:rPr>
          <w:rFonts w:ascii="Arial" w:hAnsi="Arial" w:cs="Arial"/>
          <w:lang w:val="en-GB"/>
        </w:rPr>
      </w:pPr>
      <w:proofErr w:type="spellStart"/>
      <w:r w:rsidRPr="00F9211D">
        <w:rPr>
          <w:rFonts w:ascii="Arial" w:hAnsi="Arial" w:cs="Arial"/>
          <w:lang w:val="en-GB"/>
        </w:rPr>
        <w:t>CoNS</w:t>
      </w:r>
      <w:proofErr w:type="spellEnd"/>
      <w:r w:rsidRPr="00F9211D">
        <w:rPr>
          <w:rFonts w:ascii="Arial" w:hAnsi="Arial" w:cs="Arial"/>
          <w:lang w:val="en-GB"/>
        </w:rPr>
        <w:t xml:space="preserve"> — Coagulase-Negative Staphylococci</w:t>
      </w:r>
    </w:p>
    <w:p w14:paraId="1A5BB440" w14:textId="77777777" w:rsidR="004D5B76" w:rsidRPr="00F9211D" w:rsidRDefault="004D5B76" w:rsidP="004D5B76">
      <w:pPr>
        <w:pStyle w:val="Body"/>
        <w:spacing w:after="0"/>
        <w:rPr>
          <w:rFonts w:ascii="Arial" w:hAnsi="Arial" w:cs="Arial"/>
          <w:lang w:val="en-GB"/>
        </w:rPr>
      </w:pPr>
    </w:p>
    <w:p w14:paraId="4B1EAA61"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HA-MRSA — Hospital-Acquired Methicillin-Resistant Staphylococcus aureus</w:t>
      </w:r>
    </w:p>
    <w:p w14:paraId="727B2EBE" w14:textId="77777777" w:rsidR="004D5B76" w:rsidRPr="00F9211D" w:rsidRDefault="004D5B76" w:rsidP="004D5B76">
      <w:pPr>
        <w:pStyle w:val="Body"/>
        <w:spacing w:after="0"/>
        <w:rPr>
          <w:rFonts w:ascii="Arial" w:hAnsi="Arial" w:cs="Arial"/>
          <w:lang w:val="en-GB"/>
        </w:rPr>
      </w:pPr>
    </w:p>
    <w:p w14:paraId="7ABD1140"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ICU — Intensive Care Unit</w:t>
      </w:r>
    </w:p>
    <w:p w14:paraId="424BC98C" w14:textId="77777777" w:rsidR="004D5B76" w:rsidRPr="00F9211D" w:rsidRDefault="004D5B76" w:rsidP="004D5B76">
      <w:pPr>
        <w:pStyle w:val="Body"/>
        <w:spacing w:after="0"/>
        <w:rPr>
          <w:rFonts w:ascii="Arial" w:hAnsi="Arial" w:cs="Arial"/>
          <w:lang w:val="en-GB"/>
        </w:rPr>
      </w:pPr>
    </w:p>
    <w:p w14:paraId="707FDF17"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ISTH — Irrua Specialist Teaching Hospital</w:t>
      </w:r>
    </w:p>
    <w:p w14:paraId="749E7063" w14:textId="77777777" w:rsidR="004D5B76" w:rsidRPr="00F9211D" w:rsidRDefault="004D5B76" w:rsidP="004D5B76">
      <w:pPr>
        <w:pStyle w:val="Body"/>
        <w:spacing w:after="0"/>
        <w:rPr>
          <w:rFonts w:ascii="Arial" w:hAnsi="Arial" w:cs="Arial"/>
          <w:lang w:val="en-GB"/>
        </w:rPr>
      </w:pPr>
    </w:p>
    <w:p w14:paraId="7D4A69B1"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MAR — Multiple Antibiotic Resistance</w:t>
      </w:r>
    </w:p>
    <w:p w14:paraId="2AC5A283" w14:textId="77777777" w:rsidR="004D5B76" w:rsidRPr="00F9211D" w:rsidRDefault="004D5B76" w:rsidP="004D5B76">
      <w:pPr>
        <w:pStyle w:val="Body"/>
        <w:spacing w:after="0"/>
        <w:rPr>
          <w:rFonts w:ascii="Arial" w:hAnsi="Arial" w:cs="Arial"/>
          <w:lang w:val="en-GB"/>
        </w:rPr>
      </w:pPr>
    </w:p>
    <w:p w14:paraId="7AF85520"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MCH — Mother and Child Health</w:t>
      </w:r>
    </w:p>
    <w:p w14:paraId="23E6AF27" w14:textId="77777777" w:rsidR="004D5B76" w:rsidRPr="00F9211D" w:rsidRDefault="004D5B76" w:rsidP="004D5B76">
      <w:pPr>
        <w:pStyle w:val="Body"/>
        <w:spacing w:after="0"/>
        <w:rPr>
          <w:rFonts w:ascii="Arial" w:hAnsi="Arial" w:cs="Arial"/>
          <w:lang w:val="en-GB"/>
        </w:rPr>
      </w:pPr>
    </w:p>
    <w:p w14:paraId="63DA2ED4"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MIC — Minimum Inhibitory Concentration</w:t>
      </w:r>
    </w:p>
    <w:p w14:paraId="444355AE" w14:textId="77777777" w:rsidR="004D5B76" w:rsidRPr="00F9211D" w:rsidRDefault="004D5B76" w:rsidP="004D5B76">
      <w:pPr>
        <w:pStyle w:val="Body"/>
        <w:spacing w:after="0"/>
        <w:rPr>
          <w:rFonts w:ascii="Arial" w:hAnsi="Arial" w:cs="Arial"/>
          <w:lang w:val="en-GB"/>
        </w:rPr>
      </w:pPr>
    </w:p>
    <w:p w14:paraId="663AC5CE"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MRSA — Methicillin-Resistant Staphylococcus aureus</w:t>
      </w:r>
    </w:p>
    <w:p w14:paraId="77C3689E" w14:textId="77777777" w:rsidR="004D5B76" w:rsidRPr="00F9211D" w:rsidRDefault="004D5B76" w:rsidP="004D5B76">
      <w:pPr>
        <w:pStyle w:val="Body"/>
        <w:spacing w:after="0"/>
        <w:rPr>
          <w:rFonts w:ascii="Arial" w:hAnsi="Arial" w:cs="Arial"/>
          <w:lang w:val="en-GB"/>
        </w:rPr>
      </w:pPr>
    </w:p>
    <w:p w14:paraId="1E916E1C"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MSA — Mannitol Salt Agar</w:t>
      </w:r>
    </w:p>
    <w:p w14:paraId="4C39F3A0" w14:textId="77777777" w:rsidR="004D5B76" w:rsidRPr="00F9211D" w:rsidRDefault="004D5B76" w:rsidP="004D5B76">
      <w:pPr>
        <w:pStyle w:val="Body"/>
        <w:spacing w:after="0"/>
        <w:rPr>
          <w:rFonts w:ascii="Arial" w:hAnsi="Arial" w:cs="Arial"/>
          <w:lang w:val="en-GB"/>
        </w:rPr>
      </w:pPr>
    </w:p>
    <w:p w14:paraId="66441797"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MSSA — Methicillin-Susceptible Staphylococcus aureus</w:t>
      </w:r>
    </w:p>
    <w:p w14:paraId="5D49ED38" w14:textId="77777777" w:rsidR="004D5B76" w:rsidRPr="00F9211D" w:rsidRDefault="004D5B76" w:rsidP="004D5B76">
      <w:pPr>
        <w:pStyle w:val="Body"/>
        <w:spacing w:after="0"/>
        <w:rPr>
          <w:rFonts w:ascii="Arial" w:hAnsi="Arial" w:cs="Arial"/>
          <w:lang w:val="en-GB"/>
        </w:rPr>
      </w:pPr>
    </w:p>
    <w:p w14:paraId="781E76B9"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ORSAB — Oxacillin Resistant Screening Agar Base</w:t>
      </w:r>
    </w:p>
    <w:p w14:paraId="43BDA14D" w14:textId="77777777" w:rsidR="004D5B76" w:rsidRPr="00F9211D" w:rsidRDefault="004D5B76" w:rsidP="004D5B76">
      <w:pPr>
        <w:pStyle w:val="Body"/>
        <w:spacing w:after="0"/>
        <w:rPr>
          <w:rFonts w:ascii="Arial" w:hAnsi="Arial" w:cs="Arial"/>
          <w:lang w:val="en-GB"/>
        </w:rPr>
      </w:pPr>
    </w:p>
    <w:p w14:paraId="5CE1D7D2"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PBP2a — Penicillin-Binding Protein 2a</w:t>
      </w:r>
    </w:p>
    <w:p w14:paraId="5F216CC0" w14:textId="77777777" w:rsidR="004D5B76" w:rsidRPr="00F9211D" w:rsidRDefault="004D5B76" w:rsidP="004D5B76">
      <w:pPr>
        <w:pStyle w:val="Body"/>
        <w:spacing w:after="0"/>
        <w:rPr>
          <w:rFonts w:ascii="Arial" w:hAnsi="Arial" w:cs="Arial"/>
          <w:lang w:val="en-GB"/>
        </w:rPr>
      </w:pPr>
    </w:p>
    <w:p w14:paraId="2055FD4F"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PCR — Polymerase Chain Reaction</w:t>
      </w:r>
    </w:p>
    <w:p w14:paraId="1DE38755" w14:textId="77777777" w:rsidR="004D5B76" w:rsidRPr="00F9211D" w:rsidRDefault="004D5B76" w:rsidP="004D5B76">
      <w:pPr>
        <w:pStyle w:val="Body"/>
        <w:spacing w:after="0"/>
        <w:rPr>
          <w:rFonts w:ascii="Arial" w:hAnsi="Arial" w:cs="Arial"/>
          <w:lang w:val="en-GB"/>
        </w:rPr>
      </w:pPr>
    </w:p>
    <w:p w14:paraId="3CCB943B"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 xml:space="preserve">PVL — Panton-Valentine </w:t>
      </w:r>
      <w:proofErr w:type="spellStart"/>
      <w:r w:rsidRPr="00F9211D">
        <w:rPr>
          <w:rFonts w:ascii="Arial" w:hAnsi="Arial" w:cs="Arial"/>
          <w:lang w:val="en-GB"/>
        </w:rPr>
        <w:t>Leukocidin</w:t>
      </w:r>
      <w:proofErr w:type="spellEnd"/>
    </w:p>
    <w:p w14:paraId="690278CB" w14:textId="77777777" w:rsidR="004D5B76" w:rsidRPr="00F9211D" w:rsidRDefault="004D5B76" w:rsidP="004D5B76">
      <w:pPr>
        <w:pStyle w:val="Body"/>
        <w:spacing w:after="0"/>
        <w:rPr>
          <w:rFonts w:ascii="Arial" w:hAnsi="Arial" w:cs="Arial"/>
          <w:lang w:val="en-GB"/>
        </w:rPr>
      </w:pPr>
    </w:p>
    <w:p w14:paraId="1EE0EA07"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SCBU — Special Care Baby Unit</w:t>
      </w:r>
    </w:p>
    <w:p w14:paraId="357EBFB2" w14:textId="77777777" w:rsidR="004D5B76" w:rsidRPr="00F9211D" w:rsidRDefault="004D5B76" w:rsidP="004D5B76">
      <w:pPr>
        <w:pStyle w:val="Body"/>
        <w:spacing w:after="0"/>
        <w:rPr>
          <w:rFonts w:ascii="Arial" w:hAnsi="Arial" w:cs="Arial"/>
          <w:lang w:val="en-GB"/>
        </w:rPr>
      </w:pPr>
    </w:p>
    <w:p w14:paraId="5A8CEF7F" w14:textId="77777777" w:rsidR="004D5B76" w:rsidRPr="00F9211D" w:rsidRDefault="004D5B76" w:rsidP="004D5B76">
      <w:pPr>
        <w:pStyle w:val="Body"/>
        <w:spacing w:after="0"/>
        <w:rPr>
          <w:rFonts w:ascii="Arial" w:hAnsi="Arial" w:cs="Arial"/>
          <w:lang w:val="en-GB"/>
        </w:rPr>
      </w:pPr>
      <w:proofErr w:type="spellStart"/>
      <w:r w:rsidRPr="00F9211D">
        <w:rPr>
          <w:rFonts w:ascii="Arial" w:hAnsi="Arial" w:cs="Arial"/>
          <w:lang w:val="en-GB"/>
        </w:rPr>
        <w:t>SCCmec</w:t>
      </w:r>
      <w:proofErr w:type="spellEnd"/>
      <w:r w:rsidRPr="00F9211D">
        <w:rPr>
          <w:rFonts w:ascii="Arial" w:hAnsi="Arial" w:cs="Arial"/>
          <w:lang w:val="en-GB"/>
        </w:rPr>
        <w:t xml:space="preserve"> — Staphylococcal Cassette Chromosome </w:t>
      </w:r>
      <w:proofErr w:type="spellStart"/>
      <w:r w:rsidRPr="00F9211D">
        <w:rPr>
          <w:rFonts w:ascii="Arial" w:hAnsi="Arial" w:cs="Arial"/>
          <w:lang w:val="en-GB"/>
        </w:rPr>
        <w:t>mec</w:t>
      </w:r>
      <w:proofErr w:type="spellEnd"/>
    </w:p>
    <w:p w14:paraId="6BCCC130" w14:textId="77777777" w:rsidR="004D5B76" w:rsidRPr="00FB3A86" w:rsidRDefault="004D5B76" w:rsidP="004D5B76">
      <w:pPr>
        <w:pStyle w:val="Appendix"/>
        <w:spacing w:after="0"/>
        <w:jc w:val="both"/>
        <w:rPr>
          <w:rFonts w:ascii="Arial" w:hAnsi="Arial" w:cs="Arial"/>
          <w:b w:val="0"/>
        </w:rPr>
        <w:sectPr w:rsidR="004D5B76" w:rsidRPr="00FB3A86" w:rsidSect="004D5B76">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291C376A" w14:textId="77777777" w:rsidR="004D5B76" w:rsidRPr="00FB3A86" w:rsidRDefault="004D5B76" w:rsidP="004D5B76">
      <w:pPr>
        <w:pStyle w:val="Appendix"/>
        <w:spacing w:after="0"/>
        <w:jc w:val="both"/>
        <w:rPr>
          <w:rFonts w:ascii="Arial" w:hAnsi="Arial" w:cs="Arial"/>
          <w:b w:val="0"/>
        </w:rPr>
      </w:pPr>
    </w:p>
    <w:p w14:paraId="0794A9C3" w14:textId="77777777" w:rsidR="004D5B76" w:rsidRPr="002D08AC" w:rsidRDefault="004D5B76" w:rsidP="004D5B76">
      <w:pPr>
        <w:rPr>
          <w:rFonts w:ascii="Arial" w:hAnsi="Arial" w:cs="Arial"/>
        </w:rPr>
      </w:pPr>
    </w:p>
    <w:p w14:paraId="638462F9" w14:textId="77777777" w:rsidR="004D5B76" w:rsidRPr="004600D5" w:rsidRDefault="004D5B76" w:rsidP="00441B6F">
      <w:pPr>
        <w:pStyle w:val="ReferHead"/>
        <w:spacing w:after="0"/>
        <w:jc w:val="both"/>
        <w:rPr>
          <w:rFonts w:ascii="Arial" w:hAnsi="Arial" w:cs="Arial"/>
          <w:b w:val="0"/>
          <w:caps w:val="0"/>
          <w:sz w:val="20"/>
        </w:rPr>
      </w:pPr>
    </w:p>
    <w:p w14:paraId="03F3BA5F" w14:textId="77777777" w:rsidR="00860000" w:rsidRDefault="00860000" w:rsidP="00441B6F">
      <w:pPr>
        <w:pStyle w:val="ReferHead"/>
        <w:spacing w:after="0"/>
        <w:jc w:val="both"/>
        <w:rPr>
          <w:rFonts w:ascii="Arial" w:hAnsi="Arial" w:cs="Arial"/>
        </w:rPr>
      </w:pPr>
    </w:p>
    <w:p w14:paraId="38418B6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58EC849" w14:textId="77777777" w:rsidR="00790ADA" w:rsidRPr="00FB3A86" w:rsidRDefault="00790ADA" w:rsidP="00441B6F">
      <w:pPr>
        <w:pStyle w:val="ReferHead"/>
        <w:spacing w:after="0"/>
        <w:jc w:val="both"/>
        <w:rPr>
          <w:rFonts w:ascii="Arial" w:hAnsi="Arial" w:cs="Arial"/>
        </w:rPr>
      </w:pPr>
    </w:p>
    <w:p w14:paraId="7336A26E" w14:textId="77777777" w:rsidR="00F9211D" w:rsidRPr="00F9211D" w:rsidRDefault="00F9211D" w:rsidP="00F9211D">
      <w:pPr>
        <w:spacing w:after="160"/>
        <w:jc w:val="both"/>
        <w:rPr>
          <w:rFonts w:ascii="Arial" w:hAnsi="Arial" w:cs="Arial"/>
        </w:rPr>
      </w:pPr>
      <w:r w:rsidRPr="00F9211D">
        <w:rPr>
          <w:rFonts w:ascii="Arial" w:hAnsi="Arial" w:cs="Arial"/>
        </w:rPr>
        <w:t>Abubakar, U., Sulaiman, S.A.S., Adnan, A., et al. (2012). Prevalence of methicillin-resistant Staphylococcus aureus in Ahmadu Bello University Teaching Hospital, Zaria, Nigeria. African Journal of Microbiology Research, 6(12): 2993-2998.</w:t>
      </w:r>
    </w:p>
    <w:p w14:paraId="1202592A" w14:textId="77777777" w:rsidR="00F9211D" w:rsidRPr="00F9211D" w:rsidRDefault="00F9211D" w:rsidP="00F9211D">
      <w:pPr>
        <w:spacing w:after="160"/>
        <w:jc w:val="both"/>
        <w:rPr>
          <w:rFonts w:ascii="Arial" w:hAnsi="Arial" w:cs="Arial"/>
        </w:rPr>
      </w:pPr>
      <w:r w:rsidRPr="00F9211D">
        <w:rPr>
          <w:rFonts w:ascii="Arial" w:hAnsi="Arial" w:cs="Arial"/>
        </w:rPr>
        <w:t xml:space="preserve">Alli, O.A., </w:t>
      </w:r>
      <w:proofErr w:type="spellStart"/>
      <w:r w:rsidRPr="00F9211D">
        <w:rPr>
          <w:rFonts w:ascii="Arial" w:hAnsi="Arial" w:cs="Arial"/>
        </w:rPr>
        <w:t>Ogbolu</w:t>
      </w:r>
      <w:proofErr w:type="spellEnd"/>
      <w:r w:rsidRPr="00F9211D">
        <w:rPr>
          <w:rFonts w:ascii="Arial" w:hAnsi="Arial" w:cs="Arial"/>
        </w:rPr>
        <w:t>, D.O., Shittu, A.O., et al. (2015). Association of virulence genes with </w:t>
      </w:r>
      <w:proofErr w:type="spellStart"/>
      <w:r w:rsidRPr="00F9211D">
        <w:rPr>
          <w:rFonts w:ascii="Arial" w:hAnsi="Arial" w:cs="Arial"/>
        </w:rPr>
        <w:t>mecA</w:t>
      </w:r>
      <w:proofErr w:type="spellEnd"/>
      <w:r w:rsidRPr="00F9211D">
        <w:rPr>
          <w:rFonts w:ascii="Arial" w:hAnsi="Arial" w:cs="Arial"/>
        </w:rPr>
        <w:t> gene in Staphylococcus aureus isolates from tertiary hospitals in Nigeria. Indian Journal of Pathology and Microbiology, 58(4): 464-471.</w:t>
      </w:r>
    </w:p>
    <w:p w14:paraId="7F2355D4" w14:textId="77777777" w:rsidR="00F9211D" w:rsidRPr="00F9211D" w:rsidRDefault="00F9211D" w:rsidP="00F9211D">
      <w:pPr>
        <w:spacing w:after="160"/>
        <w:jc w:val="both"/>
        <w:rPr>
          <w:rFonts w:ascii="Arial" w:hAnsi="Arial" w:cs="Arial"/>
        </w:rPr>
      </w:pPr>
      <w:r w:rsidRPr="00F9211D">
        <w:rPr>
          <w:rFonts w:ascii="Arial" w:hAnsi="Arial" w:cs="Arial"/>
        </w:rPr>
        <w:t xml:space="preserve">Bartlett, J.E., </w:t>
      </w:r>
      <w:proofErr w:type="spellStart"/>
      <w:r w:rsidRPr="00F9211D">
        <w:rPr>
          <w:rFonts w:ascii="Arial" w:hAnsi="Arial" w:cs="Arial"/>
        </w:rPr>
        <w:t>Kotrlik</w:t>
      </w:r>
      <w:proofErr w:type="spellEnd"/>
      <w:r w:rsidRPr="00F9211D">
        <w:rPr>
          <w:rFonts w:ascii="Arial" w:hAnsi="Arial" w:cs="Arial"/>
        </w:rPr>
        <w:t>, J.W., Higgins, C.C. (2001). Organizational research: Determining appropriate sample size in survey research. Learning and Performance Journal, 19: 43-50.</w:t>
      </w:r>
    </w:p>
    <w:p w14:paraId="09A0A15A" w14:textId="77777777" w:rsidR="00F9211D" w:rsidRPr="00F9211D" w:rsidRDefault="00F9211D" w:rsidP="00F9211D">
      <w:pPr>
        <w:spacing w:after="160"/>
        <w:jc w:val="both"/>
        <w:rPr>
          <w:rFonts w:ascii="Arial" w:hAnsi="Arial" w:cs="Arial"/>
        </w:rPr>
      </w:pPr>
      <w:r w:rsidRPr="00F9211D">
        <w:rPr>
          <w:rFonts w:ascii="Arial" w:hAnsi="Arial" w:cs="Arial"/>
        </w:rPr>
        <w:t>Bratu, S., Eramo, A., Kopec, R., et al. (2005). Community-associated methicillin-resistant Staphylococcus aureus in hospital nursery and maternity units. Emerging Infectious Diseases, 11(6): 808-813.</w:t>
      </w:r>
    </w:p>
    <w:p w14:paraId="725AAC92" w14:textId="77777777" w:rsidR="00F9211D" w:rsidRPr="00F9211D" w:rsidRDefault="00F9211D" w:rsidP="00F9211D">
      <w:pPr>
        <w:spacing w:after="160"/>
        <w:jc w:val="both"/>
        <w:rPr>
          <w:rFonts w:ascii="Arial" w:hAnsi="Arial" w:cs="Arial"/>
        </w:rPr>
      </w:pPr>
      <w:r w:rsidRPr="00F9211D">
        <w:rPr>
          <w:rFonts w:ascii="Arial" w:hAnsi="Arial" w:cs="Arial"/>
        </w:rPr>
        <w:lastRenderedPageBreak/>
        <w:t>Cheesbrough, M. (2000). District Laboratory Practice in Tropical Countries. Cambridge University Press, Cambridge, pp. 75-197.</w:t>
      </w:r>
    </w:p>
    <w:p w14:paraId="1B9B43B2" w14:textId="77777777" w:rsidR="00F9211D" w:rsidRPr="00F9211D" w:rsidRDefault="00F9211D" w:rsidP="00F9211D">
      <w:pPr>
        <w:spacing w:after="160"/>
        <w:jc w:val="both"/>
        <w:rPr>
          <w:rFonts w:ascii="Arial" w:hAnsi="Arial" w:cs="Arial"/>
        </w:rPr>
      </w:pPr>
      <w:r w:rsidRPr="00F9211D">
        <w:rPr>
          <w:rFonts w:ascii="Arial" w:hAnsi="Arial" w:cs="Arial"/>
        </w:rPr>
        <w:t>Choo, E.J., Chambers, H.F. (2016). Treatment of methicillin-resistant Staphylococcus aureus bacteremia. Infection and Chemotherapy, 48(4): 267-273.</w:t>
      </w:r>
    </w:p>
    <w:p w14:paraId="2E80B172" w14:textId="77777777" w:rsidR="00F9211D" w:rsidRPr="00F9211D" w:rsidRDefault="00F9211D" w:rsidP="00F9211D">
      <w:pPr>
        <w:spacing w:after="160"/>
        <w:jc w:val="both"/>
        <w:rPr>
          <w:rFonts w:ascii="Arial" w:hAnsi="Arial" w:cs="Arial"/>
        </w:rPr>
      </w:pPr>
      <w:r w:rsidRPr="00F9211D">
        <w:rPr>
          <w:rFonts w:ascii="Arial" w:hAnsi="Arial" w:cs="Arial"/>
        </w:rPr>
        <w:t>Clinical and Laboratory Standards Institute (CLSI) (2017). Performance Standards for Antimicrobial Susceptibility Testing. 27th ed. CLSI supplement M100. Wayne, PA: CLSI.</w:t>
      </w:r>
    </w:p>
    <w:p w14:paraId="1A243B95" w14:textId="77777777" w:rsidR="00F9211D" w:rsidRPr="00F9211D" w:rsidRDefault="00F9211D" w:rsidP="00F9211D">
      <w:pPr>
        <w:spacing w:after="160"/>
        <w:jc w:val="both"/>
        <w:rPr>
          <w:rFonts w:ascii="Arial" w:hAnsi="Arial" w:cs="Arial"/>
        </w:rPr>
      </w:pPr>
      <w:r w:rsidRPr="00F9211D">
        <w:rPr>
          <w:rFonts w:ascii="Arial" w:hAnsi="Arial" w:cs="Arial"/>
        </w:rPr>
        <w:t>Collins, J., Rudkin, J. (2010). Offsetting virulence and antibiotic resistance costs by MRSA. ISME Journal, 4: 1-8.</w:t>
      </w:r>
    </w:p>
    <w:p w14:paraId="7B0E7C72" w14:textId="77777777" w:rsidR="00F9211D" w:rsidRPr="00F9211D" w:rsidRDefault="00F9211D" w:rsidP="00F9211D">
      <w:pPr>
        <w:spacing w:after="160"/>
        <w:jc w:val="both"/>
        <w:rPr>
          <w:rFonts w:ascii="Arial" w:hAnsi="Arial" w:cs="Arial"/>
        </w:rPr>
      </w:pPr>
      <w:r w:rsidRPr="00F9211D">
        <w:rPr>
          <w:rFonts w:ascii="Arial" w:hAnsi="Arial" w:cs="Arial"/>
        </w:rPr>
        <w:t>Cooper, B.S., Medley, G.F., Stone, S.P., et al. (2004). Methicillin-resistant Staphylococcus aureus in hospitals and the community: stealth dynamics and control catastrophes. Proceedings of the National Academy of Sciences, 101(27): 10223-10228.</w:t>
      </w:r>
    </w:p>
    <w:p w14:paraId="75C91FE4" w14:textId="77777777" w:rsidR="00F9211D" w:rsidRPr="00F9211D" w:rsidRDefault="00F9211D" w:rsidP="00F9211D">
      <w:pPr>
        <w:spacing w:after="160"/>
        <w:jc w:val="both"/>
        <w:rPr>
          <w:rFonts w:ascii="Arial" w:hAnsi="Arial" w:cs="Arial"/>
        </w:rPr>
      </w:pPr>
      <w:r w:rsidRPr="00F9211D">
        <w:rPr>
          <w:rFonts w:ascii="Arial" w:hAnsi="Arial" w:cs="Arial"/>
        </w:rPr>
        <w:t>Cosgrove, S.E., Qi, Y., Kaye, K.S., et al. (2005). The impact of methicillin resistance in Staphylococcus aureus bacteremia on patient outcomes: mortality, length of stay, and hospital charges. Infection Control and Hospital Epidemiology, 26(2): 166-174.</w:t>
      </w:r>
    </w:p>
    <w:p w14:paraId="3FD95F0C" w14:textId="77777777" w:rsidR="00F9211D" w:rsidRPr="00F9211D" w:rsidRDefault="00F9211D" w:rsidP="00F9211D">
      <w:pPr>
        <w:spacing w:after="160"/>
        <w:jc w:val="both"/>
        <w:rPr>
          <w:rFonts w:ascii="Arial" w:hAnsi="Arial" w:cs="Arial"/>
        </w:rPr>
      </w:pPr>
      <w:r w:rsidRPr="00F9211D">
        <w:rPr>
          <w:rFonts w:ascii="Arial" w:hAnsi="Arial" w:cs="Arial"/>
        </w:rPr>
        <w:t>David, M.Z., Daum, R.S. (2010). Community-associated methicillin-resistant Staphylococcus aureus: Epidemiology and clinical consequences of an emerging epidemic. Clinical Microbiology Reviews, 23(3): 616-687.</w:t>
      </w:r>
    </w:p>
    <w:p w14:paraId="11201485" w14:textId="77777777" w:rsidR="00F9211D" w:rsidRPr="00F9211D" w:rsidRDefault="00F9211D" w:rsidP="00F9211D">
      <w:pPr>
        <w:spacing w:after="160"/>
        <w:jc w:val="both"/>
        <w:rPr>
          <w:rFonts w:ascii="Arial" w:hAnsi="Arial" w:cs="Arial"/>
        </w:rPr>
      </w:pPr>
      <w:proofErr w:type="spellStart"/>
      <w:r w:rsidRPr="00F9211D">
        <w:rPr>
          <w:rFonts w:ascii="Arial" w:hAnsi="Arial" w:cs="Arial"/>
        </w:rPr>
        <w:t>Igbinosa</w:t>
      </w:r>
      <w:proofErr w:type="spellEnd"/>
      <w:r w:rsidRPr="00F9211D">
        <w:rPr>
          <w:rFonts w:ascii="Arial" w:hAnsi="Arial" w:cs="Arial"/>
        </w:rPr>
        <w:t xml:space="preserve">, E.O., </w:t>
      </w:r>
      <w:proofErr w:type="spellStart"/>
      <w:r w:rsidRPr="00F9211D">
        <w:rPr>
          <w:rFonts w:ascii="Arial" w:hAnsi="Arial" w:cs="Arial"/>
        </w:rPr>
        <w:t>Beshiru</w:t>
      </w:r>
      <w:proofErr w:type="spellEnd"/>
      <w:r w:rsidRPr="00F9211D">
        <w:rPr>
          <w:rFonts w:ascii="Arial" w:hAnsi="Arial" w:cs="Arial"/>
        </w:rPr>
        <w:t xml:space="preserve">, A., </w:t>
      </w:r>
      <w:proofErr w:type="spellStart"/>
      <w:r w:rsidRPr="00F9211D">
        <w:rPr>
          <w:rFonts w:ascii="Arial" w:hAnsi="Arial" w:cs="Arial"/>
        </w:rPr>
        <w:t>Akporehe</w:t>
      </w:r>
      <w:proofErr w:type="spellEnd"/>
      <w:r w:rsidRPr="00F9211D">
        <w:rPr>
          <w:rFonts w:ascii="Arial" w:hAnsi="Arial" w:cs="Arial"/>
        </w:rPr>
        <w:t xml:space="preserve">, L.U., </w:t>
      </w:r>
      <w:proofErr w:type="spellStart"/>
      <w:r w:rsidRPr="00F9211D">
        <w:rPr>
          <w:rFonts w:ascii="Arial" w:hAnsi="Arial" w:cs="Arial"/>
        </w:rPr>
        <w:t>Ogofure</w:t>
      </w:r>
      <w:proofErr w:type="spellEnd"/>
      <w:r w:rsidRPr="00F9211D">
        <w:rPr>
          <w:rFonts w:ascii="Arial" w:hAnsi="Arial" w:cs="Arial"/>
        </w:rPr>
        <w:t>, A.G. (2016). Detection of methicillin-resistant Staphylococcus aureus isolated from food producing animals: A public health implication. Veterinary Science, 3: 1-11.</w:t>
      </w:r>
    </w:p>
    <w:p w14:paraId="16BFFEE5" w14:textId="77777777" w:rsidR="00F9211D" w:rsidRPr="00F9211D" w:rsidRDefault="00F9211D" w:rsidP="00F9211D">
      <w:pPr>
        <w:spacing w:after="160"/>
        <w:jc w:val="both"/>
        <w:rPr>
          <w:rFonts w:ascii="Arial" w:hAnsi="Arial" w:cs="Arial"/>
        </w:rPr>
      </w:pPr>
      <w:proofErr w:type="spellStart"/>
      <w:r w:rsidRPr="00F9211D">
        <w:rPr>
          <w:rFonts w:ascii="Arial" w:hAnsi="Arial" w:cs="Arial"/>
        </w:rPr>
        <w:t>Krumperman</w:t>
      </w:r>
      <w:proofErr w:type="spellEnd"/>
      <w:r w:rsidRPr="00F9211D">
        <w:rPr>
          <w:rFonts w:ascii="Arial" w:hAnsi="Arial" w:cs="Arial"/>
        </w:rPr>
        <w:t>, P.H. (1983). Multiple antibiotic resistance indexing of Escherichia coli to identify high-risk sources of fecal contamination of foods. Applied and Environmental Microbiology, 46(1): 165-170.</w:t>
      </w:r>
    </w:p>
    <w:p w14:paraId="5EA26318" w14:textId="77777777" w:rsidR="00F9211D" w:rsidRPr="00F9211D" w:rsidRDefault="00F9211D" w:rsidP="00F9211D">
      <w:pPr>
        <w:spacing w:after="160"/>
        <w:jc w:val="both"/>
        <w:rPr>
          <w:rFonts w:ascii="Arial" w:hAnsi="Arial" w:cs="Arial"/>
        </w:rPr>
      </w:pPr>
      <w:r w:rsidRPr="00F9211D">
        <w:rPr>
          <w:rFonts w:ascii="Arial" w:hAnsi="Arial" w:cs="Arial"/>
        </w:rPr>
        <w:t xml:space="preserve">Naik, D., </w:t>
      </w:r>
      <w:proofErr w:type="spellStart"/>
      <w:r w:rsidRPr="00F9211D">
        <w:rPr>
          <w:rFonts w:ascii="Arial" w:hAnsi="Arial" w:cs="Arial"/>
        </w:rPr>
        <w:t>Teclu</w:t>
      </w:r>
      <w:proofErr w:type="spellEnd"/>
      <w:r w:rsidRPr="00F9211D">
        <w:rPr>
          <w:rFonts w:ascii="Arial" w:hAnsi="Arial" w:cs="Arial"/>
        </w:rPr>
        <w:t>, A. (2009). A study on antimicrobial susceptibility pattern in clinical isolates of Staphylococcus aureus in Eritrea. Pan African Medical Journal, 3(1): 1-7.</w:t>
      </w:r>
    </w:p>
    <w:p w14:paraId="16C069A3" w14:textId="77777777" w:rsidR="00F9211D" w:rsidRPr="00F9211D" w:rsidRDefault="00F9211D" w:rsidP="00F9211D">
      <w:pPr>
        <w:spacing w:after="160"/>
        <w:jc w:val="both"/>
        <w:rPr>
          <w:rFonts w:ascii="Arial" w:hAnsi="Arial" w:cs="Arial"/>
        </w:rPr>
      </w:pPr>
      <w:proofErr w:type="spellStart"/>
      <w:r w:rsidRPr="00F9211D">
        <w:rPr>
          <w:rFonts w:ascii="Arial" w:hAnsi="Arial" w:cs="Arial"/>
        </w:rPr>
        <w:t>Ogefere</w:t>
      </w:r>
      <w:proofErr w:type="spellEnd"/>
      <w:r w:rsidRPr="00F9211D">
        <w:rPr>
          <w:rFonts w:ascii="Arial" w:hAnsi="Arial" w:cs="Arial"/>
        </w:rPr>
        <w:t>, H.O., Lawrence, A.O. (2019). Molecular characterization of methicillin-resistant Staphylococcus aureus among apparently healthy students. Universal Medicina, 38: 25-32.</w:t>
      </w:r>
    </w:p>
    <w:p w14:paraId="6EA1447D" w14:textId="77777777" w:rsidR="00F9211D" w:rsidRPr="00F9211D" w:rsidRDefault="00F9211D" w:rsidP="00F9211D">
      <w:pPr>
        <w:spacing w:after="160"/>
        <w:jc w:val="both"/>
        <w:rPr>
          <w:rFonts w:ascii="Arial" w:hAnsi="Arial" w:cs="Arial"/>
        </w:rPr>
      </w:pPr>
      <w:r w:rsidRPr="00F9211D">
        <w:rPr>
          <w:rFonts w:ascii="Arial" w:hAnsi="Arial" w:cs="Arial"/>
        </w:rPr>
        <w:t xml:space="preserve">Okon, K., Uba, A.B.P., </w:t>
      </w:r>
      <w:proofErr w:type="spellStart"/>
      <w:r w:rsidRPr="00F9211D">
        <w:rPr>
          <w:rFonts w:ascii="Arial" w:hAnsi="Arial" w:cs="Arial"/>
        </w:rPr>
        <w:t>Oyawoye</w:t>
      </w:r>
      <w:proofErr w:type="spellEnd"/>
      <w:r w:rsidRPr="00F9211D">
        <w:rPr>
          <w:rFonts w:ascii="Arial" w:hAnsi="Arial" w:cs="Arial"/>
        </w:rPr>
        <w:t>, O.M., et al. (2011). Epidemiology and characteristic pattern of methicillin-resistant Staphylococcus aureus recovered from tertiary hospitals in Northern Nigeria. International Journal of Tropical Medicine, 6(5): 106-112.</w:t>
      </w:r>
    </w:p>
    <w:p w14:paraId="3BCD6B0B" w14:textId="77777777" w:rsidR="00F9211D" w:rsidRPr="00F9211D" w:rsidRDefault="00F9211D" w:rsidP="00F9211D">
      <w:pPr>
        <w:spacing w:after="160"/>
        <w:jc w:val="both"/>
        <w:rPr>
          <w:rFonts w:ascii="Arial" w:hAnsi="Arial" w:cs="Arial"/>
        </w:rPr>
      </w:pPr>
      <w:r w:rsidRPr="00F9211D">
        <w:rPr>
          <w:rFonts w:ascii="Arial" w:hAnsi="Arial" w:cs="Arial"/>
        </w:rPr>
        <w:t xml:space="preserve">Okwu, M., </w:t>
      </w:r>
      <w:proofErr w:type="spellStart"/>
      <w:r w:rsidRPr="00F9211D">
        <w:rPr>
          <w:rFonts w:ascii="Arial" w:hAnsi="Arial" w:cs="Arial"/>
        </w:rPr>
        <w:t>Bambgala</w:t>
      </w:r>
      <w:proofErr w:type="spellEnd"/>
      <w:r w:rsidRPr="00F9211D">
        <w:rPr>
          <w:rFonts w:ascii="Arial" w:hAnsi="Arial" w:cs="Arial"/>
        </w:rPr>
        <w:t xml:space="preserve">, S., </w:t>
      </w:r>
      <w:proofErr w:type="spellStart"/>
      <w:r w:rsidRPr="00F9211D">
        <w:rPr>
          <w:rFonts w:ascii="Arial" w:hAnsi="Arial" w:cs="Arial"/>
        </w:rPr>
        <w:t>Aborisade</w:t>
      </w:r>
      <w:proofErr w:type="spellEnd"/>
      <w:r w:rsidRPr="00F9211D">
        <w:rPr>
          <w:rFonts w:ascii="Arial" w:hAnsi="Arial" w:cs="Arial"/>
        </w:rPr>
        <w:t>, W. (2014). Prevalence of nasal carriage of community-associated methicillin-resistant Staphylococcus aureus among healthy primary school children in Okada, Nigeria. Journal of Natural Science Research, 2: 61-65.</w:t>
      </w:r>
    </w:p>
    <w:p w14:paraId="529053BF" w14:textId="77777777" w:rsidR="00F9211D" w:rsidRPr="00F9211D" w:rsidRDefault="00F9211D" w:rsidP="00F9211D">
      <w:pPr>
        <w:spacing w:after="160"/>
        <w:jc w:val="both"/>
        <w:rPr>
          <w:rFonts w:ascii="Arial" w:hAnsi="Arial" w:cs="Arial"/>
        </w:rPr>
      </w:pPr>
      <w:r w:rsidRPr="00F9211D">
        <w:rPr>
          <w:rFonts w:ascii="Arial" w:hAnsi="Arial" w:cs="Arial"/>
        </w:rPr>
        <w:t xml:space="preserve">Osmon, D.R., </w:t>
      </w:r>
      <w:proofErr w:type="spellStart"/>
      <w:r w:rsidRPr="00F9211D">
        <w:rPr>
          <w:rFonts w:ascii="Arial" w:hAnsi="Arial" w:cs="Arial"/>
        </w:rPr>
        <w:t>Berbari</w:t>
      </w:r>
      <w:proofErr w:type="spellEnd"/>
      <w:r w:rsidRPr="00F9211D">
        <w:rPr>
          <w:rFonts w:ascii="Arial" w:hAnsi="Arial" w:cs="Arial"/>
        </w:rPr>
        <w:t>, E.F., Berendt, A.R., et al. (2013). Diagnosis and management of prosthetic joint infection: Clinical practice guidelines by the Infectious Diseases Society of America. Clinical Infectious Diseases, 56(1): e1-e25.</w:t>
      </w:r>
    </w:p>
    <w:p w14:paraId="05E99C8F" w14:textId="77777777" w:rsidR="00F9211D" w:rsidRPr="00F9211D" w:rsidRDefault="00F9211D" w:rsidP="00F9211D">
      <w:pPr>
        <w:spacing w:after="160"/>
        <w:jc w:val="both"/>
        <w:rPr>
          <w:rFonts w:ascii="Arial" w:hAnsi="Arial" w:cs="Arial"/>
        </w:rPr>
      </w:pPr>
      <w:proofErr w:type="spellStart"/>
      <w:r w:rsidRPr="00F9211D">
        <w:rPr>
          <w:rFonts w:ascii="Arial" w:hAnsi="Arial" w:cs="Arial"/>
        </w:rPr>
        <w:t>Otabor</w:t>
      </w:r>
      <w:proofErr w:type="spellEnd"/>
      <w:r w:rsidRPr="00F9211D">
        <w:rPr>
          <w:rFonts w:ascii="Arial" w:hAnsi="Arial" w:cs="Arial"/>
        </w:rPr>
        <w:t>, J.O., Isibor, J.O. (2014). Asymptomatic carriage of plasmid-mediated multidrug-resistant Staphylococcus aureus in nasal tract of persons in a semi-urban area of Nigeria. American Journal of Life Sciences, 2(4): 200-204.</w:t>
      </w:r>
    </w:p>
    <w:p w14:paraId="6E27C914" w14:textId="77777777" w:rsidR="00F9211D" w:rsidRPr="00F9211D" w:rsidRDefault="00F9211D" w:rsidP="00F9211D">
      <w:pPr>
        <w:spacing w:after="160"/>
        <w:jc w:val="both"/>
        <w:rPr>
          <w:rFonts w:ascii="Arial" w:hAnsi="Arial" w:cs="Arial"/>
        </w:rPr>
      </w:pPr>
      <w:r w:rsidRPr="00F9211D">
        <w:rPr>
          <w:rFonts w:ascii="Arial" w:hAnsi="Arial" w:cs="Arial"/>
        </w:rPr>
        <w:t xml:space="preserve">Sganga, G., Tascini, C., Sozio, E., et al. (2016). Focus on the prophylaxis, epidemiology and therapy of methicillin-resistant Staphylococcus aureus surgical site infections and a position </w:t>
      </w:r>
      <w:r w:rsidRPr="00F9211D">
        <w:rPr>
          <w:rFonts w:ascii="Arial" w:hAnsi="Arial" w:cs="Arial"/>
        </w:rPr>
        <w:lastRenderedPageBreak/>
        <w:t>paper on associated risk factors: the perspective of an Italian group of surgeons. World Journal of Emergency Surgery, 11(1): 26.</w:t>
      </w:r>
    </w:p>
    <w:p w14:paraId="0759E7C6" w14:textId="77777777" w:rsidR="00F9211D" w:rsidRPr="00F9211D" w:rsidRDefault="00F9211D" w:rsidP="00F9211D">
      <w:pPr>
        <w:spacing w:after="160"/>
        <w:jc w:val="both"/>
        <w:rPr>
          <w:rFonts w:ascii="Arial" w:hAnsi="Arial" w:cs="Arial"/>
        </w:rPr>
      </w:pPr>
      <w:r w:rsidRPr="00F9211D">
        <w:rPr>
          <w:rFonts w:ascii="Arial" w:hAnsi="Arial" w:cs="Arial"/>
        </w:rPr>
        <w:t>Shittu, A.O., Okon, K., Adesina, S., et al. (2011). Antibiotics resistance and molecular epidemiology of Staphylococcus aureus in Nigeria. British Medical Council of Microbiology, 2: 92-95.</w:t>
      </w:r>
    </w:p>
    <w:p w14:paraId="1F1D52CD" w14:textId="77777777" w:rsidR="00F9211D" w:rsidRPr="00F9211D" w:rsidRDefault="00F9211D" w:rsidP="00F9211D">
      <w:pPr>
        <w:spacing w:after="160"/>
        <w:jc w:val="both"/>
        <w:rPr>
          <w:rFonts w:ascii="Arial" w:hAnsi="Arial" w:cs="Arial"/>
        </w:rPr>
      </w:pPr>
      <w:r w:rsidRPr="00F9211D">
        <w:rPr>
          <w:rFonts w:ascii="Arial" w:hAnsi="Arial" w:cs="Arial"/>
        </w:rPr>
        <w:t xml:space="preserve">Stephani, S., Chung, D.R., Lindsay, J.A., et al. (2012). </w:t>
      </w:r>
      <w:proofErr w:type="spellStart"/>
      <w:r w:rsidRPr="00F9211D">
        <w:rPr>
          <w:rFonts w:ascii="Arial" w:hAnsi="Arial" w:cs="Arial"/>
        </w:rPr>
        <w:t>Meticillin</w:t>
      </w:r>
      <w:proofErr w:type="spellEnd"/>
      <w:r w:rsidRPr="00F9211D">
        <w:rPr>
          <w:rFonts w:ascii="Arial" w:hAnsi="Arial" w:cs="Arial"/>
        </w:rPr>
        <w:t xml:space="preserve">-resistant Staphylococcus aureus (MRSA): global epidemiology and </w:t>
      </w:r>
      <w:proofErr w:type="spellStart"/>
      <w:r w:rsidRPr="00F9211D">
        <w:rPr>
          <w:rFonts w:ascii="Arial" w:hAnsi="Arial" w:cs="Arial"/>
        </w:rPr>
        <w:t>harmonisation</w:t>
      </w:r>
      <w:proofErr w:type="spellEnd"/>
      <w:r w:rsidRPr="00F9211D">
        <w:rPr>
          <w:rFonts w:ascii="Arial" w:hAnsi="Arial" w:cs="Arial"/>
        </w:rPr>
        <w:t xml:space="preserve"> of typing methods. International Journal of Antimicrobial Agents, 39(4): 273-282.</w:t>
      </w:r>
    </w:p>
    <w:p w14:paraId="3865F865" w14:textId="42FE3AF8" w:rsidR="000D689F" w:rsidRPr="00F9211D" w:rsidRDefault="00F9211D" w:rsidP="00F9211D">
      <w:pPr>
        <w:pStyle w:val="Body"/>
        <w:spacing w:after="0"/>
      </w:pPr>
      <w:r w:rsidRPr="00F9211D">
        <w:rPr>
          <w:rFonts w:ascii="Arial" w:hAnsi="Arial" w:cs="Arial"/>
        </w:rPr>
        <w:t>Tacconelli, E., De Angelis, G., Cataldo, M.A., et al. (2008). Does antibiotic exposure increase the risk of methicillin-resistant Staphylococcus aureus (MRSA) isolation? A systematic review and meta-analysis. Journal of Antimicrobial Chemotherapy, 61(1): 26-38.</w:t>
      </w:r>
    </w:p>
    <w:p w14:paraId="3AF6F9DB" w14:textId="77777777" w:rsidR="00441B6F" w:rsidRDefault="00441B6F" w:rsidP="00441B6F">
      <w:pPr>
        <w:pStyle w:val="Body"/>
        <w:spacing w:after="0"/>
        <w:jc w:val="left"/>
      </w:pPr>
    </w:p>
    <w:p w14:paraId="2FDC251F" w14:textId="77777777" w:rsidR="00441B6F" w:rsidRDefault="00441B6F" w:rsidP="00441B6F">
      <w:pPr>
        <w:pStyle w:val="Body"/>
        <w:spacing w:after="0"/>
        <w:jc w:val="left"/>
        <w:rPr>
          <w:rFonts w:ascii="Arial" w:hAnsi="Arial" w:cs="Arial"/>
        </w:rPr>
      </w:pPr>
    </w:p>
    <w:sectPr w:rsidR="00441B6F" w:rsidSect="004D5B7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CC6C5" w14:textId="77777777" w:rsidR="009A2EC2" w:rsidRDefault="009A2EC2" w:rsidP="00C37E61">
      <w:r>
        <w:separator/>
      </w:r>
    </w:p>
  </w:endnote>
  <w:endnote w:type="continuationSeparator" w:id="0">
    <w:p w14:paraId="77D96362" w14:textId="77777777" w:rsidR="009A2EC2" w:rsidRDefault="009A2EC2"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6FCC5" w14:textId="77777777" w:rsidR="00261F36" w:rsidRDefault="00261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A462" w14:textId="77777777" w:rsidR="00261F36" w:rsidRDefault="00261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1F4E" w14:textId="77777777" w:rsidR="009E048A" w:rsidRDefault="009E048A">
    <w:pPr>
      <w:pStyle w:val="Footer"/>
      <w:rPr>
        <w:rFonts w:ascii="Arial" w:hAnsi="Arial" w:cs="Arial"/>
        <w:sz w:val="16"/>
      </w:rPr>
    </w:pPr>
  </w:p>
  <w:p w14:paraId="1CBCCC6E"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11FB4A51" w14:textId="77777777" w:rsidR="009E048A" w:rsidRDefault="009E048A">
    <w:pPr>
      <w:pStyle w:val="Footer"/>
      <w:rPr>
        <w:rFonts w:ascii="Arial" w:hAnsi="Arial" w:cs="Arial"/>
        <w:sz w:val="16"/>
      </w:rPr>
    </w:pPr>
  </w:p>
  <w:p w14:paraId="705EBB4C"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A36B" w14:textId="77777777" w:rsidR="004D5B76" w:rsidRPr="00C37E61" w:rsidRDefault="004D5B76"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CEB79" w14:textId="77777777" w:rsidR="009A2EC2" w:rsidRDefault="009A2EC2" w:rsidP="00C37E61">
      <w:r>
        <w:separator/>
      </w:r>
    </w:p>
  </w:footnote>
  <w:footnote w:type="continuationSeparator" w:id="0">
    <w:p w14:paraId="399D6581" w14:textId="77777777" w:rsidR="009A2EC2" w:rsidRDefault="009A2EC2"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06C25" w14:textId="7202B3BB" w:rsidR="00261F36" w:rsidRDefault="00261F36">
    <w:pPr>
      <w:pStyle w:val="Header"/>
    </w:pPr>
    <w:r>
      <w:rPr>
        <w:noProof/>
      </w:rPr>
      <w:pict w14:anchorId="361F83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87C2" w14:textId="54F09DDE" w:rsidR="00261F36" w:rsidRDefault="00261F36">
    <w:pPr>
      <w:pStyle w:val="Header"/>
    </w:pPr>
    <w:r>
      <w:rPr>
        <w:noProof/>
      </w:rPr>
      <w:pict w14:anchorId="327887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42A2" w14:textId="55616D59" w:rsidR="00296529" w:rsidRPr="00296529" w:rsidRDefault="00261F36" w:rsidP="00296529">
    <w:pPr>
      <w:ind w:left="2160"/>
      <w:jc w:val="center"/>
      <w:rPr>
        <w:rFonts w:ascii="Times New Roman" w:eastAsia="Calibri" w:hAnsi="Times New Roman"/>
        <w:i/>
        <w:sz w:val="18"/>
        <w:szCs w:val="22"/>
      </w:rPr>
    </w:pPr>
    <w:r>
      <w:rPr>
        <w:noProof/>
      </w:rPr>
      <w:pict w14:anchorId="1E5F9E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AEA21E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322BD8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CEE45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A1B1C8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D22139F"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F57BDF7"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F52D" w14:textId="4106B5C8" w:rsidR="00261F36" w:rsidRDefault="00261F36">
    <w:pPr>
      <w:pStyle w:val="Header"/>
    </w:pPr>
    <w:r>
      <w:rPr>
        <w:noProof/>
      </w:rPr>
      <w:pict w14:anchorId="7849C4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5"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F7C80BF">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007F8" w14:textId="106187A8" w:rsidR="00261F36" w:rsidRDefault="00261F36">
    <w:pPr>
      <w:pStyle w:val="Header"/>
    </w:pPr>
    <w:r>
      <w:rPr>
        <w:noProof/>
      </w:rPr>
      <w:pict w14:anchorId="572DBA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6"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E451C6B">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8AC18" w14:textId="666DB991" w:rsidR="00261F36" w:rsidRPr="00296529" w:rsidRDefault="00261F36" w:rsidP="00296529">
    <w:pPr>
      <w:ind w:left="2160"/>
      <w:jc w:val="center"/>
      <w:rPr>
        <w:rFonts w:ascii="Times New Roman" w:eastAsia="Calibri" w:hAnsi="Times New Roman"/>
        <w:i/>
        <w:sz w:val="18"/>
        <w:szCs w:val="22"/>
      </w:rPr>
    </w:pPr>
    <w:r>
      <w:rPr>
        <w:noProof/>
      </w:rPr>
      <w:pict w14:anchorId="25526E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4"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0B72524">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468F02A3" w14:textId="77777777" w:rsidR="00261F36" w:rsidRPr="00296529" w:rsidRDefault="00261F3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76512F5" w14:textId="77777777" w:rsidR="00261F36" w:rsidRPr="00296529" w:rsidRDefault="00261F3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B9548D8" w14:textId="77777777" w:rsidR="00261F36" w:rsidRPr="00296529" w:rsidRDefault="00261F3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91892D0" w14:textId="77777777" w:rsidR="00261F36" w:rsidRDefault="00261F3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EC4F148" w14:textId="77777777" w:rsidR="00261F36" w:rsidRDefault="00261F3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4692814" w14:textId="77777777" w:rsidR="00261F36" w:rsidRDefault="00261F3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EC1B20"/>
    <w:multiLevelType w:val="multilevel"/>
    <w:tmpl w:val="1D18753E"/>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4"/>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6"/>
  </w:num>
  <w:num w:numId="10" w16cid:durableId="1967344970">
    <w:abstractNumId w:val="2"/>
  </w:num>
  <w:num w:numId="11" w16cid:durableId="412317892">
    <w:abstractNumId w:val="19"/>
  </w:num>
  <w:num w:numId="12" w16cid:durableId="1162699396">
    <w:abstractNumId w:val="3"/>
  </w:num>
  <w:num w:numId="13" w16cid:durableId="1799378455">
    <w:abstractNumId w:val="18"/>
  </w:num>
  <w:num w:numId="14" w16cid:durableId="1847285408">
    <w:abstractNumId w:val="8"/>
  </w:num>
  <w:num w:numId="15" w16cid:durableId="302076680">
    <w:abstractNumId w:val="22"/>
  </w:num>
  <w:num w:numId="16" w16cid:durableId="2101171267">
    <w:abstractNumId w:val="5"/>
  </w:num>
  <w:num w:numId="17" w16cid:durableId="2095474162">
    <w:abstractNumId w:val="23"/>
  </w:num>
  <w:num w:numId="18" w16cid:durableId="726026076">
    <w:abstractNumId w:val="14"/>
  </w:num>
  <w:num w:numId="19" w16cid:durableId="1507742585">
    <w:abstractNumId w:val="29"/>
  </w:num>
  <w:num w:numId="20" w16cid:durableId="1414359059">
    <w:abstractNumId w:val="11"/>
  </w:num>
  <w:num w:numId="21" w16cid:durableId="780808669">
    <w:abstractNumId w:val="9"/>
  </w:num>
  <w:num w:numId="22" w16cid:durableId="85656562">
    <w:abstractNumId w:val="13"/>
  </w:num>
  <w:num w:numId="23" w16cid:durableId="1114595123">
    <w:abstractNumId w:val="20"/>
  </w:num>
  <w:num w:numId="24" w16cid:durableId="1717074228">
    <w:abstractNumId w:val="27"/>
  </w:num>
  <w:num w:numId="25" w16cid:durableId="1206672560">
    <w:abstractNumId w:val="4"/>
  </w:num>
  <w:num w:numId="26" w16cid:durableId="121193178">
    <w:abstractNumId w:val="16"/>
  </w:num>
  <w:num w:numId="27" w16cid:durableId="1448308770">
    <w:abstractNumId w:val="21"/>
  </w:num>
  <w:num w:numId="28" w16cid:durableId="2027902646">
    <w:abstractNumId w:val="28"/>
  </w:num>
  <w:num w:numId="29" w16cid:durableId="452793216">
    <w:abstractNumId w:val="25"/>
  </w:num>
  <w:num w:numId="30" w16cid:durableId="511115286">
    <w:abstractNumId w:val="10"/>
  </w:num>
  <w:num w:numId="31" w16cid:durableId="8001521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A47FA"/>
    <w:rsid w:val="000A65D3"/>
    <w:rsid w:val="000B1E33"/>
    <w:rsid w:val="000C132A"/>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61F36"/>
    <w:rsid w:val="00283105"/>
    <w:rsid w:val="00284C4C"/>
    <w:rsid w:val="00287E68"/>
    <w:rsid w:val="00296529"/>
    <w:rsid w:val="00297885"/>
    <w:rsid w:val="002B27FB"/>
    <w:rsid w:val="002B685A"/>
    <w:rsid w:val="002C57D2"/>
    <w:rsid w:val="002E0D56"/>
    <w:rsid w:val="00315186"/>
    <w:rsid w:val="0033343E"/>
    <w:rsid w:val="003512C2"/>
    <w:rsid w:val="00371FB6"/>
    <w:rsid w:val="003755E0"/>
    <w:rsid w:val="003763C1"/>
    <w:rsid w:val="00376BBE"/>
    <w:rsid w:val="00387382"/>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39DB"/>
    <w:rsid w:val="004600D5"/>
    <w:rsid w:val="00471A80"/>
    <w:rsid w:val="004D305E"/>
    <w:rsid w:val="004D4277"/>
    <w:rsid w:val="004D5B76"/>
    <w:rsid w:val="00502516"/>
    <w:rsid w:val="00505F06"/>
    <w:rsid w:val="00506828"/>
    <w:rsid w:val="0053056E"/>
    <w:rsid w:val="00534BAA"/>
    <w:rsid w:val="00554FDA"/>
    <w:rsid w:val="005C784C"/>
    <w:rsid w:val="005D17F6"/>
    <w:rsid w:val="005E5539"/>
    <w:rsid w:val="00602BF5"/>
    <w:rsid w:val="00617FDD"/>
    <w:rsid w:val="00633614"/>
    <w:rsid w:val="00633F68"/>
    <w:rsid w:val="00636EB2"/>
    <w:rsid w:val="006375B8"/>
    <w:rsid w:val="0066510A"/>
    <w:rsid w:val="0067176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A7FC7"/>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5F54"/>
    <w:rsid w:val="008E710C"/>
    <w:rsid w:val="008F69D6"/>
    <w:rsid w:val="00902823"/>
    <w:rsid w:val="00915CA6"/>
    <w:rsid w:val="00927834"/>
    <w:rsid w:val="009500A6"/>
    <w:rsid w:val="00957C18"/>
    <w:rsid w:val="009659BA"/>
    <w:rsid w:val="00983040"/>
    <w:rsid w:val="009A2EC2"/>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E0089"/>
    <w:rsid w:val="00CE793C"/>
    <w:rsid w:val="00CF193C"/>
    <w:rsid w:val="00CF4AF5"/>
    <w:rsid w:val="00D173F1"/>
    <w:rsid w:val="00D36784"/>
    <w:rsid w:val="00D74CB0"/>
    <w:rsid w:val="00D8295D"/>
    <w:rsid w:val="00DC2A65"/>
    <w:rsid w:val="00DE15F0"/>
    <w:rsid w:val="00DE5663"/>
    <w:rsid w:val="00DE78AA"/>
    <w:rsid w:val="00E053D0"/>
    <w:rsid w:val="00E15994"/>
    <w:rsid w:val="00E3114E"/>
    <w:rsid w:val="00E31A70"/>
    <w:rsid w:val="00E35B02"/>
    <w:rsid w:val="00E43803"/>
    <w:rsid w:val="00E66496"/>
    <w:rsid w:val="00E66B35"/>
    <w:rsid w:val="00E66E10"/>
    <w:rsid w:val="00E769F6"/>
    <w:rsid w:val="00E8407C"/>
    <w:rsid w:val="00E84F3C"/>
    <w:rsid w:val="00EA012C"/>
    <w:rsid w:val="00EA571E"/>
    <w:rsid w:val="00EB447C"/>
    <w:rsid w:val="00EC6A55"/>
    <w:rsid w:val="00ED0288"/>
    <w:rsid w:val="00ED32D5"/>
    <w:rsid w:val="00EE17F9"/>
    <w:rsid w:val="00EE52CB"/>
    <w:rsid w:val="00EF581D"/>
    <w:rsid w:val="00EF7FD8"/>
    <w:rsid w:val="00F06F59"/>
    <w:rsid w:val="00F17988"/>
    <w:rsid w:val="00F469F0"/>
    <w:rsid w:val="00F53273"/>
    <w:rsid w:val="00F755E4"/>
    <w:rsid w:val="00F77D02"/>
    <w:rsid w:val="00F9211D"/>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1B727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F9211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600D5"/>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uiPriority w:val="9"/>
    <w:semiHidden/>
    <w:rsid w:val="004600D5"/>
    <w:rPr>
      <w:rFonts w:asciiTheme="minorHAnsi" w:eastAsiaTheme="majorEastAsia" w:hAnsiTheme="minorHAnsi" w:cstheme="majorBidi"/>
      <w:color w:val="365F91" w:themeColor="accent1" w:themeShade="BF"/>
      <w:kern w:val="2"/>
      <w:sz w:val="28"/>
      <w:szCs w:val="28"/>
      <w:lang w:val="en-GB" w:eastAsia="zh-CN"/>
    </w:rPr>
  </w:style>
  <w:style w:type="table" w:styleId="ListTable6Colorful">
    <w:name w:val="List Table 6 Colorful"/>
    <w:basedOn w:val="TableNormal"/>
    <w:uiPriority w:val="51"/>
    <w:rsid w:val="004600D5"/>
    <w:rPr>
      <w:rFonts w:asciiTheme="minorHAnsi" w:eastAsiaTheme="minorEastAsia" w:hAnsiTheme="minorHAnsi" w:cstheme="minorBidi"/>
      <w:color w:val="000000" w:themeColor="text1"/>
      <w:kern w:val="2"/>
      <w:sz w:val="24"/>
      <w:szCs w:val="24"/>
      <w:lang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2Char">
    <w:name w:val="Heading 2 Char"/>
    <w:basedOn w:val="DefaultParagraphFont"/>
    <w:link w:val="Heading2"/>
    <w:semiHidden/>
    <w:rsid w:val="00F9211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14</TotalTime>
  <Pages>14</Pages>
  <Words>5863</Words>
  <Characters>33423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39208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8</cp:revision>
  <cp:lastPrinted>1999-07-06T11:00:00Z</cp:lastPrinted>
  <dcterms:created xsi:type="dcterms:W3CDTF">2026-09-30T02:55:00Z</dcterms:created>
  <dcterms:modified xsi:type="dcterms:W3CDTF">2026-09-30T12:56:00Z</dcterms:modified>
</cp:coreProperties>
</file>