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507BC" w14:textId="77777777" w:rsidR="009E0396" w:rsidRPr="00D23C75" w:rsidRDefault="009E0396" w:rsidP="009E0396">
      <w:pPr>
        <w:pStyle w:val="Heading2"/>
        <w:spacing w:before="160"/>
        <w:ind w:left="994" w:right="180" w:hanging="634"/>
        <w:contextualSpacing/>
        <w:rPr>
          <w:rFonts w:eastAsia="Microsoft Sans Serif"/>
          <w:i/>
          <w:iCs/>
          <w:color w:val="1F1F1F"/>
          <w:sz w:val="36"/>
          <w:szCs w:val="36"/>
          <w:u w:val="single"/>
        </w:rPr>
      </w:pPr>
      <w:r w:rsidRPr="00D23C75">
        <w:rPr>
          <w:rFonts w:eastAsia="Microsoft Sans Serif"/>
          <w:i/>
          <w:iCs/>
          <w:color w:val="1F1F1F"/>
          <w:sz w:val="36"/>
          <w:szCs w:val="36"/>
          <w:u w:val="single"/>
        </w:rPr>
        <w:t>Original Research Article</w:t>
      </w:r>
    </w:p>
    <w:p w14:paraId="6A268A8A" w14:textId="77777777" w:rsidR="00F11EBD" w:rsidRPr="00D23C75" w:rsidRDefault="004B583B" w:rsidP="00F11EBD">
      <w:pPr>
        <w:pStyle w:val="Heading2"/>
        <w:spacing w:before="160"/>
        <w:ind w:left="994" w:right="180" w:hanging="634"/>
        <w:contextualSpacing/>
      </w:pPr>
      <w:r w:rsidRPr="00D23C75">
        <w:rPr>
          <w:rFonts w:eastAsia="Microsoft Sans Serif"/>
          <w:bCs w:val="0"/>
          <w:i/>
          <w:iCs/>
          <w:color w:val="1F1F1F"/>
          <w:sz w:val="36"/>
          <w:szCs w:val="36"/>
        </w:rPr>
        <w:tab/>
      </w:r>
      <w:r w:rsidR="00F11EBD" w:rsidRPr="00D23C75">
        <w:rPr>
          <w:rFonts w:eastAsia="Microsoft Sans Serif"/>
          <w:bCs w:val="0"/>
          <w:i/>
          <w:iCs/>
          <w:color w:val="1F1F1F"/>
          <w:sz w:val="36"/>
          <w:szCs w:val="36"/>
        </w:rPr>
        <w:t xml:space="preserve">In vitro </w:t>
      </w:r>
      <w:r w:rsidR="00F11EBD" w:rsidRPr="00D23C75">
        <w:rPr>
          <w:rFonts w:eastAsia="Microsoft Sans Serif"/>
          <w:bCs w:val="0"/>
          <w:color w:val="1F1F1F"/>
          <w:sz w:val="36"/>
          <w:szCs w:val="36"/>
        </w:rPr>
        <w:t>efficacy of various fungicides</w:t>
      </w:r>
      <w:r w:rsidRPr="00D23C75">
        <w:rPr>
          <w:rFonts w:eastAsia="Microsoft Sans Serif"/>
          <w:bCs w:val="0"/>
          <w:color w:val="1F1F1F"/>
          <w:sz w:val="36"/>
          <w:szCs w:val="36"/>
        </w:rPr>
        <w:t xml:space="preserve"> and bio-agent </w:t>
      </w:r>
      <w:r w:rsidR="009C0274" w:rsidRPr="00D23C75">
        <w:rPr>
          <w:rFonts w:eastAsia="Microsoft Sans Serif"/>
          <w:bCs w:val="0"/>
          <w:color w:val="1F1F1F"/>
          <w:sz w:val="36"/>
          <w:szCs w:val="36"/>
        </w:rPr>
        <w:t xml:space="preserve">against </w:t>
      </w:r>
      <w:r w:rsidR="00312ABD" w:rsidRPr="00D23C75">
        <w:rPr>
          <w:rFonts w:eastAsia="Microsoft Sans Serif"/>
          <w:bCs w:val="0"/>
          <w:i/>
          <w:iCs/>
          <w:color w:val="1F1F1F"/>
          <w:sz w:val="36"/>
          <w:szCs w:val="36"/>
        </w:rPr>
        <w:t xml:space="preserve">Alternaria </w:t>
      </w:r>
      <w:proofErr w:type="spellStart"/>
      <w:r w:rsidR="00312ABD" w:rsidRPr="00D23C75">
        <w:rPr>
          <w:rFonts w:eastAsia="Microsoft Sans Serif"/>
          <w:bCs w:val="0"/>
          <w:i/>
          <w:iCs/>
          <w:color w:val="1F1F1F"/>
          <w:sz w:val="36"/>
          <w:szCs w:val="36"/>
        </w:rPr>
        <w:t>alternata</w:t>
      </w:r>
      <w:proofErr w:type="spellEnd"/>
      <w:r w:rsidR="00312ABD" w:rsidRPr="00D23C75">
        <w:rPr>
          <w:rFonts w:eastAsia="Microsoft Sans Serif"/>
          <w:bCs w:val="0"/>
          <w:i/>
          <w:iCs/>
          <w:color w:val="1F1F1F"/>
          <w:sz w:val="36"/>
          <w:szCs w:val="36"/>
        </w:rPr>
        <w:t xml:space="preserve"> </w:t>
      </w:r>
      <w:r w:rsidR="009C0274" w:rsidRPr="00D23C75">
        <w:rPr>
          <w:rFonts w:eastAsia="Microsoft Sans Serif"/>
          <w:bCs w:val="0"/>
          <w:iCs/>
          <w:color w:val="1F1F1F"/>
          <w:sz w:val="36"/>
          <w:szCs w:val="36"/>
        </w:rPr>
        <w:t>Causing Alternaria leaf blight of groundnut</w:t>
      </w:r>
      <w:r w:rsidR="00F11EBD" w:rsidRPr="00D23C75">
        <w:t xml:space="preserve">             </w:t>
      </w:r>
    </w:p>
    <w:p w14:paraId="639DC8C4" w14:textId="77777777" w:rsidR="00F11EBD" w:rsidRPr="00D23C75" w:rsidRDefault="00F11EBD" w:rsidP="00F11EBD">
      <w:pPr>
        <w:rPr>
          <w:rFonts w:ascii="Arial" w:eastAsia="Arial" w:hAnsi="Arial" w:cs="Arial"/>
          <w:b/>
          <w:bCs/>
        </w:rPr>
      </w:pPr>
    </w:p>
    <w:p w14:paraId="372BF1FA" w14:textId="77777777" w:rsidR="00F11EBD" w:rsidRPr="00D23C75" w:rsidRDefault="00F11EBD" w:rsidP="00F11EBD">
      <w:pPr>
        <w:rPr>
          <w:rFonts w:ascii="Arial" w:eastAsia="Arial" w:hAnsi="Arial" w:cs="Arial"/>
          <w:b/>
          <w:bCs/>
        </w:rPr>
      </w:pPr>
    </w:p>
    <w:p w14:paraId="2BEED771" w14:textId="77777777" w:rsidR="00F11EBD" w:rsidRPr="00D23C75" w:rsidRDefault="00F11EBD" w:rsidP="00F11EBD">
      <w:pPr>
        <w:rPr>
          <w:rFonts w:ascii="Arial" w:eastAsia="Arial" w:hAnsi="Arial" w:cs="Arial"/>
          <w:b/>
          <w:bCs/>
        </w:rPr>
      </w:pPr>
    </w:p>
    <w:p w14:paraId="04CBD8CE" w14:textId="77777777" w:rsidR="00F11EBD" w:rsidRPr="00D23C75" w:rsidRDefault="00F11EBD" w:rsidP="00F11EBD">
      <w:pPr>
        <w:rPr>
          <w:rFonts w:ascii="Arial" w:eastAsia="Arial" w:hAnsi="Arial" w:cs="Arial"/>
          <w:b/>
          <w:bCs/>
        </w:rPr>
      </w:pPr>
    </w:p>
    <w:p w14:paraId="1B4906A5" w14:textId="77777777" w:rsidR="00F11EBD" w:rsidRPr="00D23C75" w:rsidRDefault="00F11EBD" w:rsidP="00F11EBD">
      <w:pPr>
        <w:rPr>
          <w:rFonts w:ascii="Arial" w:eastAsia="Arial" w:hAnsi="Arial" w:cs="Arial"/>
          <w:b/>
          <w:bCs/>
        </w:rPr>
      </w:pPr>
    </w:p>
    <w:p w14:paraId="5B909712" w14:textId="77777777" w:rsidR="00F11EBD" w:rsidRPr="00D23C75" w:rsidRDefault="00F11EBD" w:rsidP="00F11EBD">
      <w:pPr>
        <w:rPr>
          <w:rFonts w:ascii="Arial" w:eastAsia="Arial" w:hAnsi="Arial" w:cs="Arial"/>
          <w:b/>
          <w:bCs/>
        </w:rPr>
      </w:pPr>
    </w:p>
    <w:p w14:paraId="5500710B" w14:textId="77777777" w:rsidR="009E0396" w:rsidRPr="00D23C75" w:rsidRDefault="009E0396" w:rsidP="009E0396">
      <w:pPr>
        <w:rPr>
          <w:rFonts w:ascii="Arial" w:eastAsia="Arial" w:hAnsi="Arial" w:cs="Arial"/>
          <w:b/>
          <w:bCs/>
        </w:rPr>
      </w:pPr>
      <w:r w:rsidRPr="00D23C75">
        <w:rPr>
          <w:rFonts w:ascii="Arial" w:eastAsia="Arial" w:hAnsi="Arial" w:cs="Arial"/>
          <w:b/>
          <w:bCs/>
        </w:rPr>
        <w:t>ABSTRACT</w:t>
      </w:r>
    </w:p>
    <w:p w14:paraId="0CFD953B" w14:textId="77777777" w:rsidR="00F11EBD" w:rsidRPr="00D23C75" w:rsidRDefault="00F651FF" w:rsidP="00F11EBD">
      <w:pPr>
        <w:rPr>
          <w:rFonts w:ascii="Arial" w:eastAsia="Arial" w:hAnsi="Arial" w:cs="Arial"/>
          <w:b/>
          <w:bCs/>
        </w:rPr>
      </w:pPr>
      <w:r w:rsidRPr="00D23C75">
        <w:rPr>
          <w:rFonts w:ascii="Arial" w:hAnsi="Arial" w:cs="Arial"/>
          <w:noProof/>
        </w:rPr>
        <mc:AlternateContent>
          <mc:Choice Requires="wps">
            <w:drawing>
              <wp:anchor distT="0" distB="0" distL="114300" distR="114300" simplePos="0" relativeHeight="251679744" behindDoc="0" locked="0" layoutInCell="1" allowOverlap="1" wp14:anchorId="30551CBA" wp14:editId="33A792B4">
                <wp:simplePos x="0" y="0"/>
                <wp:positionH relativeFrom="column">
                  <wp:posOffset>-190500</wp:posOffset>
                </wp:positionH>
                <wp:positionV relativeFrom="paragraph">
                  <wp:posOffset>116206</wp:posOffset>
                </wp:positionV>
                <wp:extent cx="6348730" cy="4057650"/>
                <wp:effectExtent l="0" t="0" r="0" b="0"/>
                <wp:wrapNone/>
                <wp:docPr id="3" name="Graphic 3"/>
                <wp:cNvGraphicFramePr/>
                <a:graphic xmlns:a="http://schemas.openxmlformats.org/drawingml/2006/main">
                  <a:graphicData uri="http://schemas.microsoft.com/office/word/2010/wordprocessingShape">
                    <wps:wsp>
                      <wps:cNvSpPr/>
                      <wps:spPr>
                        <a:xfrm>
                          <a:off x="0" y="0"/>
                          <a:ext cx="6348730" cy="4057650"/>
                        </a:xfrm>
                        <a:custGeom>
                          <a:avLst/>
                          <a:gdLst/>
                          <a:ahLst/>
                          <a:cxnLst/>
                          <a:rect l="l" t="t" r="r" b="b"/>
                          <a:pathLst>
                            <a:path w="6202680" h="3855720">
                              <a:moveTo>
                                <a:pt x="6202679" y="3855720"/>
                              </a:moveTo>
                              <a:lnTo>
                                <a:pt x="0" y="3855720"/>
                              </a:lnTo>
                              <a:lnTo>
                                <a:pt x="0" y="0"/>
                              </a:lnTo>
                              <a:lnTo>
                                <a:pt x="6202679" y="0"/>
                              </a:lnTo>
                              <a:lnTo>
                                <a:pt x="6202679" y="3855720"/>
                              </a:lnTo>
                              <a:close/>
                            </a:path>
                          </a:pathLst>
                        </a:custGeom>
                        <a:solidFill>
                          <a:srgbClr val="F2F2F2"/>
                        </a:solidFill>
                      </wps:spPr>
                      <wps:txbx>
                        <w:txbxContent>
                          <w:p w14:paraId="54BC6F02" w14:textId="77777777" w:rsidR="004B583B" w:rsidRPr="00CF4031" w:rsidRDefault="004B583B" w:rsidP="009E0396">
                            <w:pPr>
                              <w:pStyle w:val="BodyText"/>
                              <w:spacing w:line="261" w:lineRule="auto"/>
                              <w:ind w:left="360" w:right="180"/>
                              <w:jc w:val="both"/>
                              <w:rPr>
                                <w:rFonts w:ascii="Arial" w:hAnsi="Arial" w:cs="Arial"/>
                              </w:rPr>
                            </w:pPr>
                            <w:r>
                              <w:rPr>
                                <w:rFonts w:ascii="Arial" w:hAnsi="Arial" w:cs="Arial"/>
                                <w:b/>
                                <w:bCs/>
                                <w:highlight w:val="yellow"/>
                              </w:rPr>
                              <w:t>Aims:</w:t>
                            </w:r>
                            <w:r>
                              <w:rPr>
                                <w:rFonts w:ascii="Arial" w:hAnsi="Arial" w:cs="Arial"/>
                                <w:highlight w:val="yellow"/>
                              </w:rPr>
                              <w:t xml:space="preserve"> To evaluate the </w:t>
                            </w:r>
                            <w:r>
                              <w:rPr>
                                <w:rFonts w:ascii="Arial" w:hAnsi="Arial" w:cs="Arial"/>
                                <w:i/>
                                <w:iCs/>
                                <w:highlight w:val="yellow"/>
                              </w:rPr>
                              <w:t>in vitro</w:t>
                            </w:r>
                            <w:r>
                              <w:rPr>
                                <w:rFonts w:ascii="Arial" w:hAnsi="Arial" w:cs="Arial"/>
                                <w:highlight w:val="yellow"/>
                              </w:rPr>
                              <w:t xml:space="preserve"> antagonistic potential of seven systemic fungicides at concentrations of 500 and 1000 ppm and seven biological control agents against </w:t>
                            </w:r>
                            <w:r>
                              <w:rPr>
                                <w:rFonts w:ascii="Arial" w:hAnsi="Arial" w:cs="Arial"/>
                                <w:i/>
                                <w:iCs/>
                                <w:highlight w:val="yellow"/>
                              </w:rPr>
                              <w:t>Alternaria alternata</w:t>
                            </w:r>
                            <w:r>
                              <w:rPr>
                                <w:rFonts w:ascii="Arial" w:hAnsi="Arial" w:cs="Arial"/>
                                <w:highlight w:val="yellow"/>
                              </w:rPr>
                              <w:t>, the causal agent of Alternaria leaf blight of groundnut.</w:t>
                            </w:r>
                          </w:p>
                          <w:p w14:paraId="5BFB9284" w14:textId="77777777" w:rsidR="004B583B" w:rsidRPr="00CF4031" w:rsidRDefault="004B583B" w:rsidP="009E0396">
                            <w:pPr>
                              <w:spacing w:line="228" w:lineRule="exact"/>
                              <w:ind w:left="360" w:right="180"/>
                              <w:rPr>
                                <w:rFonts w:ascii="Arial" w:hAnsi="Arial" w:cs="Arial"/>
                                <w:sz w:val="20"/>
                              </w:rPr>
                            </w:pPr>
                            <w:r>
                              <w:rPr>
                                <w:rFonts w:ascii="Arial" w:hAnsi="Arial" w:cs="Arial"/>
                                <w:b/>
                                <w:bCs/>
                                <w:sz w:val="20"/>
                                <w:highlight w:val="yellow"/>
                              </w:rPr>
                              <w:t>Study Design:</w:t>
                            </w:r>
                            <w:r>
                              <w:rPr>
                                <w:rFonts w:ascii="Arial" w:hAnsi="Arial" w:cs="Arial"/>
                                <w:sz w:val="20"/>
                                <w:highlight w:val="yellow"/>
                              </w:rPr>
                              <w:t xml:space="preserve"> Completely Randomised Design (CRD).</w:t>
                            </w:r>
                          </w:p>
                          <w:p w14:paraId="5D30B648" w14:textId="77777777" w:rsidR="004B583B" w:rsidRPr="00CF4031" w:rsidRDefault="004B583B" w:rsidP="009E0396">
                            <w:pPr>
                              <w:pStyle w:val="BodyText"/>
                              <w:ind w:left="360" w:right="180"/>
                              <w:jc w:val="both"/>
                              <w:rPr>
                                <w:rFonts w:ascii="Arial" w:hAnsi="Arial" w:cs="Arial"/>
                              </w:rPr>
                            </w:pPr>
                            <w:r>
                              <w:rPr>
                                <w:rFonts w:ascii="Arial" w:hAnsi="Arial" w:cs="Arial"/>
                                <w:b/>
                                <w:bCs/>
                                <w:highlight w:val="yellow"/>
                              </w:rPr>
                              <w:t>Place and Duration of Study:</w:t>
                            </w:r>
                            <w:r>
                              <w:rPr>
                                <w:rFonts w:ascii="Arial" w:hAnsi="Arial" w:cs="Arial"/>
                                <w:highlight w:val="yellow"/>
                              </w:rPr>
                              <w:t xml:space="preserve"> Department of Plant Pathology, College of Agriculture, Latur, Maharashtra, India. The study was carried out during 2025-2026.</w:t>
                            </w:r>
                          </w:p>
                          <w:p w14:paraId="30CDCA50" w14:textId="77777777" w:rsidR="004B583B" w:rsidRPr="00CF4031" w:rsidRDefault="004B583B" w:rsidP="009E0396">
                            <w:pPr>
                              <w:pStyle w:val="BodyText"/>
                              <w:spacing w:before="2" w:line="242" w:lineRule="auto"/>
                              <w:ind w:left="360" w:right="180"/>
                              <w:jc w:val="both"/>
                              <w:rPr>
                                <w:rFonts w:ascii="Arial" w:hAnsi="Arial" w:cs="Arial"/>
                              </w:rPr>
                            </w:pPr>
                            <w:r>
                              <w:rPr>
                                <w:rFonts w:ascii="Arial" w:hAnsi="Arial" w:cs="Arial"/>
                                <w:b/>
                                <w:bCs/>
                                <w:highlight w:val="yellow"/>
                              </w:rPr>
                              <w:t>Methodology:</w:t>
                            </w:r>
                            <w:r>
                              <w:rPr>
                                <w:rFonts w:ascii="Arial" w:hAnsi="Arial" w:cs="Arial"/>
                                <w:highlight w:val="yellow"/>
                              </w:rPr>
                              <w:t xml:space="preserve"> </w:t>
                            </w:r>
                            <w:r>
                              <w:rPr>
                                <w:rFonts w:ascii="Arial" w:hAnsi="Arial" w:cs="Arial"/>
                                <w:i/>
                                <w:iCs/>
                                <w:highlight w:val="yellow"/>
                              </w:rPr>
                              <w:t>Alternaria alternata</w:t>
                            </w:r>
                            <w:r>
                              <w:rPr>
                                <w:rFonts w:ascii="Arial" w:hAnsi="Arial" w:cs="Arial"/>
                                <w:highlight w:val="yellow"/>
                              </w:rPr>
                              <w:t xml:space="preserve"> was isolated from infected groundnut plants showing small, irregular, scattered pale-yellow to light-brown spots on the leaves. Seven systemic fungicides (Carbendazim 50% WP, Tebuconazole 25.9% EC, Thiophanate methyl 70% WP, Propiconazole 25% EC, Hexaconazole 5% EC, Pyraclostrobin 20% WG and Difenoconazole 25% EC) were evaluated at concentrations of 500 ppm and 1000 ppm using the poisoned food technique. Seven bioagents (</w:t>
                            </w:r>
                            <w:r>
                              <w:rPr>
                                <w:rFonts w:ascii="Arial" w:hAnsi="Arial" w:cs="Arial"/>
                                <w:i/>
                                <w:iCs/>
                                <w:highlight w:val="yellow"/>
                              </w:rPr>
                              <w:t>Trichoderma asperellum</w:t>
                            </w:r>
                            <w:r>
                              <w:rPr>
                                <w:rFonts w:ascii="Arial" w:hAnsi="Arial" w:cs="Arial"/>
                                <w:highlight w:val="yellow"/>
                              </w:rPr>
                              <w:t xml:space="preserve">, </w:t>
                            </w:r>
                            <w:r>
                              <w:rPr>
                                <w:rFonts w:ascii="Arial" w:hAnsi="Arial" w:cs="Arial"/>
                                <w:i/>
                                <w:iCs/>
                                <w:highlight w:val="yellow"/>
                              </w:rPr>
                              <w:t>T. harzianum</w:t>
                            </w:r>
                            <w:r>
                              <w:rPr>
                                <w:rFonts w:ascii="Arial" w:hAnsi="Arial" w:cs="Arial"/>
                                <w:highlight w:val="yellow"/>
                              </w:rPr>
                              <w:t xml:space="preserve">, </w:t>
                            </w:r>
                            <w:r>
                              <w:rPr>
                                <w:rFonts w:ascii="Arial" w:hAnsi="Arial" w:cs="Arial"/>
                                <w:i/>
                                <w:iCs/>
                                <w:highlight w:val="yellow"/>
                              </w:rPr>
                              <w:t>Aspergillus niger</w:t>
                            </w:r>
                            <w:r>
                              <w:rPr>
                                <w:rFonts w:ascii="Arial" w:hAnsi="Arial" w:cs="Arial"/>
                                <w:highlight w:val="yellow"/>
                              </w:rPr>
                              <w:t xml:space="preserve">, </w:t>
                            </w:r>
                            <w:r>
                              <w:rPr>
                                <w:rFonts w:ascii="Arial" w:hAnsi="Arial" w:cs="Arial"/>
                                <w:i/>
                                <w:iCs/>
                                <w:highlight w:val="yellow"/>
                              </w:rPr>
                              <w:t>T. hamatum</w:t>
                            </w:r>
                            <w:r>
                              <w:rPr>
                                <w:rFonts w:ascii="Arial" w:hAnsi="Arial" w:cs="Arial"/>
                                <w:highlight w:val="yellow"/>
                              </w:rPr>
                              <w:t xml:space="preserve">, </w:t>
                            </w:r>
                            <w:r>
                              <w:rPr>
                                <w:rFonts w:ascii="Arial" w:hAnsi="Arial" w:cs="Arial"/>
                                <w:i/>
                                <w:iCs/>
                                <w:highlight w:val="yellow"/>
                              </w:rPr>
                              <w:t>T. koningii</w:t>
                            </w:r>
                            <w:r>
                              <w:rPr>
                                <w:rFonts w:ascii="Arial" w:hAnsi="Arial" w:cs="Arial"/>
                                <w:highlight w:val="yellow"/>
                              </w:rPr>
                              <w:t xml:space="preserve">, </w:t>
                            </w:r>
                            <w:r>
                              <w:rPr>
                                <w:rFonts w:ascii="Arial" w:hAnsi="Arial" w:cs="Arial"/>
                                <w:i/>
                                <w:iCs/>
                                <w:highlight w:val="yellow"/>
                              </w:rPr>
                              <w:t>Pseudomonas fluorescens</w:t>
                            </w:r>
                            <w:r>
                              <w:rPr>
                                <w:rFonts w:ascii="Arial" w:hAnsi="Arial" w:cs="Arial"/>
                                <w:highlight w:val="yellow"/>
                              </w:rPr>
                              <w:t xml:space="preserve"> and </w:t>
                            </w:r>
                            <w:r>
                              <w:rPr>
                                <w:rFonts w:ascii="Arial" w:hAnsi="Arial" w:cs="Arial"/>
                                <w:i/>
                                <w:iCs/>
                                <w:highlight w:val="yellow"/>
                              </w:rPr>
                              <w:t>Bacillus subtilis</w:t>
                            </w:r>
                            <w:r>
                              <w:rPr>
                                <w:rFonts w:ascii="Arial" w:hAnsi="Arial" w:cs="Arial"/>
                                <w:highlight w:val="yellow"/>
                              </w:rPr>
                              <w:t>) were evaluated using the dual-culture technique on Potato Dextrose Agar (PDA).</w:t>
                            </w:r>
                          </w:p>
                          <w:p w14:paraId="61D736F4" w14:textId="77777777" w:rsidR="004B583B" w:rsidRPr="004077F5" w:rsidRDefault="004B583B" w:rsidP="009E0396">
                            <w:pPr>
                              <w:pStyle w:val="BodyText"/>
                              <w:spacing w:line="244" w:lineRule="auto"/>
                              <w:ind w:left="360" w:right="180"/>
                              <w:jc w:val="both"/>
                              <w:rPr>
                                <w:rFonts w:ascii="Arial" w:hAnsi="Arial" w:cs="Arial"/>
                              </w:rPr>
                            </w:pPr>
                            <w:r>
                              <w:rPr>
                                <w:rFonts w:ascii="Arial" w:hAnsi="Arial" w:cs="Arial"/>
                                <w:b/>
                                <w:bCs/>
                                <w:highlight w:val="yellow"/>
                              </w:rPr>
                              <w:t>Results:</w:t>
                            </w:r>
                            <w:r>
                              <w:rPr>
                                <w:rFonts w:ascii="Arial" w:hAnsi="Arial" w:cs="Arial"/>
                                <w:highlight w:val="yellow"/>
                              </w:rPr>
                              <w:t xml:space="preserve"> All tested systemic fungicides significantly inhibited pathogen mycelial growth compared with the control (P = 0.01). Tebuconazole 25.9% EC, Propiconazole 25% EC, Hexaconazole 5% EC and Difenoconazole 25% EC recorded complete inhibition (100.00%) of mycelial growth. Average inhibition was 52.49% with Pyraclostrobin 20% WG, 47.95% with Carbendazim 50% WP and 45.68% with Thiophanate methyl 70% WP.</w:t>
                            </w:r>
                          </w:p>
                          <w:p w14:paraId="18640AF4" w14:textId="77777777" w:rsidR="004B583B" w:rsidRPr="004077F5" w:rsidRDefault="004B583B" w:rsidP="009E0396">
                            <w:pPr>
                              <w:pStyle w:val="BodyText"/>
                              <w:spacing w:line="242" w:lineRule="auto"/>
                              <w:ind w:left="360" w:right="180"/>
                              <w:jc w:val="both"/>
                              <w:rPr>
                                <w:rFonts w:ascii="Arial" w:hAnsi="Arial" w:cs="Arial"/>
                              </w:rPr>
                            </w:pPr>
                            <w:r>
                              <w:rPr>
                                <w:rFonts w:ascii="Arial" w:hAnsi="Arial" w:cs="Arial"/>
                                <w:i/>
                                <w:iCs/>
                                <w:highlight w:val="yellow"/>
                              </w:rPr>
                              <w:t>Trichoderma asperellum</w:t>
                            </w:r>
                            <w:r>
                              <w:rPr>
                                <w:rFonts w:ascii="Arial" w:hAnsi="Arial" w:cs="Arial"/>
                                <w:highlight w:val="yellow"/>
                              </w:rPr>
                              <w:t xml:space="preserve"> recorded the lowest radial mycelial growth (20.16 mm) and the highest mycelial growth inhibition (77.60%), followed by </w:t>
                            </w:r>
                            <w:r>
                              <w:rPr>
                                <w:rFonts w:ascii="Arial" w:hAnsi="Arial" w:cs="Arial"/>
                                <w:i/>
                                <w:iCs/>
                                <w:highlight w:val="yellow"/>
                              </w:rPr>
                              <w:t>T. harzianum</w:t>
                            </w:r>
                            <w:r>
                              <w:rPr>
                                <w:rFonts w:ascii="Arial" w:hAnsi="Arial" w:cs="Arial"/>
                                <w:highlight w:val="yellow"/>
                              </w:rPr>
                              <w:t xml:space="preserve"> (21.16 mm and 76.48%), </w:t>
                            </w:r>
                            <w:r>
                              <w:rPr>
                                <w:rFonts w:ascii="Arial" w:hAnsi="Arial" w:cs="Arial"/>
                                <w:i/>
                                <w:iCs/>
                                <w:highlight w:val="yellow"/>
                              </w:rPr>
                              <w:t>Aspergillus niger</w:t>
                            </w:r>
                            <w:r>
                              <w:rPr>
                                <w:rFonts w:ascii="Arial" w:hAnsi="Arial" w:cs="Arial"/>
                                <w:highlight w:val="yellow"/>
                              </w:rPr>
                              <w:t xml:space="preserve"> (23.50 mm and 73.88%), </w:t>
                            </w:r>
                            <w:r>
                              <w:rPr>
                                <w:rFonts w:ascii="Arial" w:hAnsi="Arial" w:cs="Arial"/>
                                <w:i/>
                                <w:iCs/>
                                <w:highlight w:val="yellow"/>
                              </w:rPr>
                              <w:t>T. hamatum</w:t>
                            </w:r>
                            <w:r>
                              <w:rPr>
                                <w:rFonts w:ascii="Arial" w:hAnsi="Arial" w:cs="Arial"/>
                                <w:highlight w:val="yellow"/>
                              </w:rPr>
                              <w:t xml:space="preserve"> (29.66 mm and 67.04%), </w:t>
                            </w:r>
                            <w:r>
                              <w:rPr>
                                <w:rFonts w:ascii="Arial" w:hAnsi="Arial" w:cs="Arial"/>
                                <w:i/>
                                <w:iCs/>
                                <w:highlight w:val="yellow"/>
                              </w:rPr>
                              <w:t>T. koningii</w:t>
                            </w:r>
                            <w:r>
                              <w:rPr>
                                <w:rFonts w:ascii="Arial" w:hAnsi="Arial" w:cs="Arial"/>
                                <w:highlight w:val="yellow"/>
                              </w:rPr>
                              <w:t xml:space="preserve"> (24.33 mm and 72.96%), </w:t>
                            </w:r>
                            <w:r>
                              <w:rPr>
                                <w:rFonts w:ascii="Arial" w:hAnsi="Arial" w:cs="Arial"/>
                                <w:i/>
                                <w:iCs/>
                                <w:highlight w:val="yellow"/>
                              </w:rPr>
                              <w:t>Bacillus subtilis</w:t>
                            </w:r>
                            <w:r>
                              <w:rPr>
                                <w:rFonts w:ascii="Arial" w:hAnsi="Arial" w:cs="Arial"/>
                                <w:highlight w:val="yellow"/>
                              </w:rPr>
                              <w:t xml:space="preserve"> (44.33 mm and 50.74%) and </w:t>
                            </w:r>
                            <w:r>
                              <w:rPr>
                                <w:rFonts w:ascii="Arial" w:hAnsi="Arial" w:cs="Arial"/>
                                <w:i/>
                                <w:iCs/>
                                <w:highlight w:val="yellow"/>
                              </w:rPr>
                              <w:t>Pseudomonas fluorescens</w:t>
                            </w:r>
                            <w:r>
                              <w:rPr>
                                <w:rFonts w:ascii="Arial" w:hAnsi="Arial" w:cs="Arial"/>
                                <w:highlight w:val="yellow"/>
                              </w:rPr>
                              <w:t xml:space="preserve"> (48.33 mm and 46.30%), respectively.</w:t>
                            </w:r>
                          </w:p>
                          <w:p w14:paraId="51050416" w14:textId="77777777" w:rsidR="004B583B" w:rsidRPr="00CF4031" w:rsidRDefault="004B583B" w:rsidP="009E0396">
                            <w:pPr>
                              <w:pStyle w:val="BodyText"/>
                              <w:spacing w:line="242" w:lineRule="auto"/>
                              <w:ind w:left="360" w:right="180"/>
                              <w:jc w:val="both"/>
                              <w:rPr>
                                <w:rFonts w:ascii="Arial" w:hAnsi="Arial" w:cs="Arial"/>
                              </w:rPr>
                            </w:pPr>
                            <w:r>
                              <w:rPr>
                                <w:rFonts w:ascii="Arial" w:hAnsi="Arial" w:cs="Arial"/>
                                <w:b/>
                                <w:bCs/>
                                <w:highlight w:val="yellow"/>
                              </w:rPr>
                              <w:t>Conclusion:</w:t>
                            </w:r>
                            <w:r>
                              <w:rPr>
                                <w:rFonts w:ascii="Arial" w:hAnsi="Arial" w:cs="Arial"/>
                                <w:highlight w:val="yellow"/>
                              </w:rPr>
                              <w:t xml:space="preserve"> Among the chemical treatments, Tebuconazole 25.9% EC, Propiconazole 25% EC, Hexaconazole 5% EC and Difenoconazole 25% EC, and among the biocontrol agents, </w:t>
                            </w:r>
                            <w:r>
                              <w:rPr>
                                <w:rFonts w:ascii="Arial" w:hAnsi="Arial" w:cs="Arial"/>
                                <w:i/>
                                <w:iCs/>
                                <w:highlight w:val="yellow"/>
                              </w:rPr>
                              <w:t>Trichoderma asperellum</w:t>
                            </w:r>
                            <w:r>
                              <w:rPr>
                                <w:rFonts w:ascii="Arial" w:hAnsi="Arial" w:cs="Arial"/>
                                <w:highlight w:val="yellow"/>
                              </w:rPr>
                              <w:t xml:space="preserve">, exhibited high antagonistic efficacy </w:t>
                            </w:r>
                            <w:r>
                              <w:rPr>
                                <w:rFonts w:ascii="Arial" w:hAnsi="Arial" w:cs="Arial"/>
                                <w:i/>
                                <w:iCs/>
                                <w:highlight w:val="yellow"/>
                              </w:rPr>
                              <w:t>in vitro</w:t>
                            </w:r>
                            <w:r>
                              <w:rPr>
                                <w:rFonts w:ascii="Arial" w:hAnsi="Arial" w:cs="Arial"/>
                                <w:highlight w:val="yellow"/>
                              </w:rPr>
                              <w:t>. These treatments warrant further evaluation for potential incorporation into integrated disease management strategies against Alternaria leaf blight of groundnut.</w:t>
                            </w:r>
                          </w:p>
                          <w:p w14:paraId="487AAAD7" w14:textId="77777777" w:rsidR="004B583B" w:rsidRPr="00CF4031" w:rsidRDefault="004B583B" w:rsidP="009E0396">
                            <w:pPr>
                              <w:pStyle w:val="BodyText"/>
                              <w:ind w:right="180"/>
                              <w:rPr>
                                <w:rFonts w:ascii="Arial" w:hAnsi="Arial" w:cs="Arial"/>
                              </w:rPr>
                            </w:pPr>
                          </w:p>
                          <w:p w14:paraId="24F8D4B2" w14:textId="77777777" w:rsidR="004B583B" w:rsidRDefault="004B583B" w:rsidP="009E0396">
                            <w:pPr>
                              <w:jc w:val="center"/>
                            </w:pP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30551CBA" id="Graphic 3" o:spid="_x0000_s1026" style="position:absolute;margin-left:-15pt;margin-top:9.15pt;width:499.9pt;height:319.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6202680,38557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z4EKgIAAMEEAAAOAAAAZHJzL2Uyb0RvYy54bWysVF2L2zAQfC/0Pwi9N/Y5l4+aOEe5I6VQ&#10;rgeX0mdZlmODrFUlJXb+fVdylLi9l1KKQRpZo/Xs7Mqbh6GT5CSMbUEV9G6WUiIUh6pVh4J+3+8+&#10;rCmxjqmKSVCioGdh6cP2/btNr3ORQQOyEoZgEGXzXhe0cU7nSWJ5IzpmZ6CFws0aTMccLs0hqQzr&#10;MXonkyxNl0kPptIGuLAW3z6Nm3Qb4te14O5bXVvhiCwoanNhNGEs/ZhsNyw/GKabll9ksH9Q0bFW&#10;4UevoZ6YY+Ro2jehupYbsFC7GYcugbpuuQg5YDZ36R/ZvDZMi5ALmmP11Sb7/8Ly59OrfjFoQ69t&#10;bhH6LIbadH5GfWQIZp2vZonBEY4vl/P79WqOnnLcu08Xq+Ui2JncjvOjdZ8FhFDs9NW60e0qItZE&#10;xAcVocGa+WrJUC1HCVbLUILVKsdqaeb8Oa/PQ9KjlizNlmvU0hR0vl4sVlkaqtHBSewhMJ1PJPBW&#10;HylByZGHmlDyjSnV9ATGfMONjDjrEHtkRgviXpxHzvT7f8/8XWmMyCVYMYr3NoQsrtZgRlPzLci2&#10;2rVSeiusOZSP0pATQ5d3mX+8sXhkQktu7eCRG8oBOR6WUJ1fDOnxzhTU/jwyIyiRXxQ2JVrgIjAR&#10;lBEYJx8hXMNQEGPdfvjBjCYaYUEdNtYzxJZneWwY1OUJI9efVPDp6KBufTcFmaOiywLvScjlcqf9&#10;RZyuA+v259n+AgAA//8DAFBLAwQUAAYACAAAACEAKKlEvuIAAAAKAQAADwAAAGRycy9kb3ducmV2&#10;LnhtbEyPXUvDQBBF3wX/wzKCb+1Go2kbsykqiEgL2g8E3zbZMYlmZ0N226T/3vFJH4d7uXNOthxt&#10;K47Y+8aRgqtpBAKpdKahSsF+9zSZg/BBk9GtI1RwQg/L/Pws06lxA23wuA2V4BHyqVZQh9ClUvqy&#10;Rqv91HVInH263urAZ19J0+uBx20rr6MokVY3xB9q3eFjjeX39mAVFElYPTyv16u32U33NXT7l9fq&#10;/UOpy4vx/g5EwDH8leEXn9EhZ6bCHch40SqYxBG7BA7mMQguLJIFuxQKkttZDDLP5H+F/AcAAP//&#10;AwBQSwECLQAUAAYACAAAACEAtoM4kv4AAADhAQAAEwAAAAAAAAAAAAAAAAAAAAAAW0NvbnRlbnRf&#10;VHlwZXNdLnhtbFBLAQItABQABgAIAAAAIQA4/SH/1gAAAJQBAAALAAAAAAAAAAAAAAAAAC8BAABf&#10;cmVscy8ucmVsc1BLAQItABQABgAIAAAAIQB3dz4EKgIAAMEEAAAOAAAAAAAAAAAAAAAAAC4CAABk&#10;cnMvZTJvRG9jLnhtbFBLAQItABQABgAIAAAAIQAoqUS+4gAAAAoBAAAPAAAAAAAAAAAAAAAAAIQE&#10;AABkcnMvZG93bnJldi54bWxQSwUGAAAAAAQABADzAAAAkwUAAAAA&#10;" adj="-11796480,,5400" path="m6202679,3855720l,3855720,,,6202679,r,3855720xe" fillcolor="#f2f2f2" stroked="f">
                <v:stroke joinstyle="miter"/>
                <v:formulas/>
                <v:path arrowok="t" o:connecttype="custom" textboxrect="0,0,6202680,3855720"/>
                <v:textbox inset="0,0,0,0">
                  <w:txbxContent>
                    <w:p w14:paraId="54BC6F02" w14:textId="77777777" w:rsidR="004B583B" w:rsidRPr="00CF4031" w:rsidRDefault="004B583B" w:rsidP="009E0396">
                      <w:pPr>
                        <w:pStyle w:val="BodyText"/>
                        <w:spacing w:line="261" w:lineRule="auto"/>
                        <w:ind w:left="360" w:right="180"/>
                        <w:jc w:val="both"/>
                        <w:rPr>
                          <w:rFonts w:ascii="Arial" w:hAnsi="Arial" w:cs="Arial"/>
                        </w:rPr>
                      </w:pPr>
                      <w:r>
                        <w:rPr>
                          <w:rFonts w:ascii="Arial" w:hAnsi="Arial" w:cs="Arial"/>
                          <w:b/>
                          <w:bCs/>
                          <w:highlight w:val="yellow"/>
                        </w:rPr>
                        <w:t>Aims:</w:t>
                      </w:r>
                      <w:r>
                        <w:rPr>
                          <w:rFonts w:ascii="Arial" w:hAnsi="Arial" w:cs="Arial"/>
                          <w:highlight w:val="yellow"/>
                        </w:rPr>
                        <w:t xml:space="preserve"> To evaluate the </w:t>
                      </w:r>
                      <w:r>
                        <w:rPr>
                          <w:rFonts w:ascii="Arial" w:hAnsi="Arial" w:cs="Arial"/>
                          <w:i/>
                          <w:iCs/>
                          <w:highlight w:val="yellow"/>
                        </w:rPr>
                        <w:t>in vitro</w:t>
                      </w:r>
                      <w:r>
                        <w:rPr>
                          <w:rFonts w:ascii="Arial" w:hAnsi="Arial" w:cs="Arial"/>
                          <w:highlight w:val="yellow"/>
                        </w:rPr>
                        <w:t xml:space="preserve"> antagonistic potential of seven systemic fungicides at concentrations of 500 and 1000 ppm and seven biological control agents against </w:t>
                      </w:r>
                      <w:r>
                        <w:rPr>
                          <w:rFonts w:ascii="Arial" w:hAnsi="Arial" w:cs="Arial"/>
                          <w:i/>
                          <w:iCs/>
                          <w:highlight w:val="yellow"/>
                        </w:rPr>
                        <w:t>Alternaria alternata</w:t>
                      </w:r>
                      <w:r>
                        <w:rPr>
                          <w:rFonts w:ascii="Arial" w:hAnsi="Arial" w:cs="Arial"/>
                          <w:highlight w:val="yellow"/>
                        </w:rPr>
                        <w:t>, the causal agent of Alternaria leaf blight of groundnut.</w:t>
                      </w:r>
                    </w:p>
                    <w:p w14:paraId="5BFB9284" w14:textId="77777777" w:rsidR="004B583B" w:rsidRPr="00CF4031" w:rsidRDefault="004B583B" w:rsidP="009E0396">
                      <w:pPr>
                        <w:spacing w:line="228" w:lineRule="exact"/>
                        <w:ind w:left="360" w:right="180"/>
                        <w:rPr>
                          <w:rFonts w:ascii="Arial" w:hAnsi="Arial" w:cs="Arial"/>
                          <w:sz w:val="20"/>
                        </w:rPr>
                      </w:pPr>
                      <w:r>
                        <w:rPr>
                          <w:rFonts w:ascii="Arial" w:hAnsi="Arial" w:cs="Arial"/>
                          <w:b/>
                          <w:bCs/>
                          <w:sz w:val="20"/>
                          <w:highlight w:val="yellow"/>
                        </w:rPr>
                        <w:t>Study Design:</w:t>
                      </w:r>
                      <w:r>
                        <w:rPr>
                          <w:rFonts w:ascii="Arial" w:hAnsi="Arial" w:cs="Arial"/>
                          <w:sz w:val="20"/>
                          <w:highlight w:val="yellow"/>
                        </w:rPr>
                        <w:t xml:space="preserve"> Completely Randomised Design (CRD).</w:t>
                      </w:r>
                    </w:p>
                    <w:p w14:paraId="5D30B648" w14:textId="77777777" w:rsidR="004B583B" w:rsidRPr="00CF4031" w:rsidRDefault="004B583B" w:rsidP="009E0396">
                      <w:pPr>
                        <w:pStyle w:val="BodyText"/>
                        <w:ind w:left="360" w:right="180"/>
                        <w:jc w:val="both"/>
                        <w:rPr>
                          <w:rFonts w:ascii="Arial" w:hAnsi="Arial" w:cs="Arial"/>
                        </w:rPr>
                      </w:pPr>
                      <w:r>
                        <w:rPr>
                          <w:rFonts w:ascii="Arial" w:hAnsi="Arial" w:cs="Arial"/>
                          <w:b/>
                          <w:bCs/>
                          <w:highlight w:val="yellow"/>
                        </w:rPr>
                        <w:t>Place and Duration of Study:</w:t>
                      </w:r>
                      <w:r>
                        <w:rPr>
                          <w:rFonts w:ascii="Arial" w:hAnsi="Arial" w:cs="Arial"/>
                          <w:highlight w:val="yellow"/>
                        </w:rPr>
                        <w:t xml:space="preserve"> Department of Plant Pathology, College of Agriculture, Latur, Maharashtra, India. The study was carried out during 2025-2026.</w:t>
                      </w:r>
                    </w:p>
                    <w:p w14:paraId="30CDCA50" w14:textId="77777777" w:rsidR="004B583B" w:rsidRPr="00CF4031" w:rsidRDefault="004B583B" w:rsidP="009E0396">
                      <w:pPr>
                        <w:pStyle w:val="BodyText"/>
                        <w:spacing w:before="2" w:line="242" w:lineRule="auto"/>
                        <w:ind w:left="360" w:right="180"/>
                        <w:jc w:val="both"/>
                        <w:rPr>
                          <w:rFonts w:ascii="Arial" w:hAnsi="Arial" w:cs="Arial"/>
                        </w:rPr>
                      </w:pPr>
                      <w:r>
                        <w:rPr>
                          <w:rFonts w:ascii="Arial" w:hAnsi="Arial" w:cs="Arial"/>
                          <w:b/>
                          <w:bCs/>
                          <w:highlight w:val="yellow"/>
                        </w:rPr>
                        <w:t>Methodology:</w:t>
                      </w:r>
                      <w:r>
                        <w:rPr>
                          <w:rFonts w:ascii="Arial" w:hAnsi="Arial" w:cs="Arial"/>
                          <w:highlight w:val="yellow"/>
                        </w:rPr>
                        <w:t xml:space="preserve"> </w:t>
                      </w:r>
                      <w:r>
                        <w:rPr>
                          <w:rFonts w:ascii="Arial" w:hAnsi="Arial" w:cs="Arial"/>
                          <w:i/>
                          <w:iCs/>
                          <w:highlight w:val="yellow"/>
                        </w:rPr>
                        <w:t>Alternaria alternata</w:t>
                      </w:r>
                      <w:r>
                        <w:rPr>
                          <w:rFonts w:ascii="Arial" w:hAnsi="Arial" w:cs="Arial"/>
                          <w:highlight w:val="yellow"/>
                        </w:rPr>
                        <w:t xml:space="preserve"> was isolated from infected groundnut plants showing small, irregular, scattered pale-yellow to light-brown spots on the leaves. Seven systemic fungicides (Carbendazim 50% WP, Tebuconazole 25.9% EC, Thiophanate methyl 70% WP, Propiconazole 25% EC, Hexaconazole 5% EC, Pyraclostrobin 20% WG and Difenoconazole 25% EC) were evaluated at concentrations of 500 ppm and 1000 ppm using the poisoned food technique. Seven bioagents (</w:t>
                      </w:r>
                      <w:r>
                        <w:rPr>
                          <w:rFonts w:ascii="Arial" w:hAnsi="Arial" w:cs="Arial"/>
                          <w:i/>
                          <w:iCs/>
                          <w:highlight w:val="yellow"/>
                        </w:rPr>
                        <w:t>Trichoderma asperellum</w:t>
                      </w:r>
                      <w:r>
                        <w:rPr>
                          <w:rFonts w:ascii="Arial" w:hAnsi="Arial" w:cs="Arial"/>
                          <w:highlight w:val="yellow"/>
                        </w:rPr>
                        <w:t xml:space="preserve">, </w:t>
                      </w:r>
                      <w:r>
                        <w:rPr>
                          <w:rFonts w:ascii="Arial" w:hAnsi="Arial" w:cs="Arial"/>
                          <w:i/>
                          <w:iCs/>
                          <w:highlight w:val="yellow"/>
                        </w:rPr>
                        <w:t>T. harzianum</w:t>
                      </w:r>
                      <w:r>
                        <w:rPr>
                          <w:rFonts w:ascii="Arial" w:hAnsi="Arial" w:cs="Arial"/>
                          <w:highlight w:val="yellow"/>
                        </w:rPr>
                        <w:t xml:space="preserve">, </w:t>
                      </w:r>
                      <w:r>
                        <w:rPr>
                          <w:rFonts w:ascii="Arial" w:hAnsi="Arial" w:cs="Arial"/>
                          <w:i/>
                          <w:iCs/>
                          <w:highlight w:val="yellow"/>
                        </w:rPr>
                        <w:t>Aspergillus niger</w:t>
                      </w:r>
                      <w:r>
                        <w:rPr>
                          <w:rFonts w:ascii="Arial" w:hAnsi="Arial" w:cs="Arial"/>
                          <w:highlight w:val="yellow"/>
                        </w:rPr>
                        <w:t xml:space="preserve">, </w:t>
                      </w:r>
                      <w:r>
                        <w:rPr>
                          <w:rFonts w:ascii="Arial" w:hAnsi="Arial" w:cs="Arial"/>
                          <w:i/>
                          <w:iCs/>
                          <w:highlight w:val="yellow"/>
                        </w:rPr>
                        <w:t>T. hamatum</w:t>
                      </w:r>
                      <w:r>
                        <w:rPr>
                          <w:rFonts w:ascii="Arial" w:hAnsi="Arial" w:cs="Arial"/>
                          <w:highlight w:val="yellow"/>
                        </w:rPr>
                        <w:t xml:space="preserve">, </w:t>
                      </w:r>
                      <w:r>
                        <w:rPr>
                          <w:rFonts w:ascii="Arial" w:hAnsi="Arial" w:cs="Arial"/>
                          <w:i/>
                          <w:iCs/>
                          <w:highlight w:val="yellow"/>
                        </w:rPr>
                        <w:t>T. koningii</w:t>
                      </w:r>
                      <w:r>
                        <w:rPr>
                          <w:rFonts w:ascii="Arial" w:hAnsi="Arial" w:cs="Arial"/>
                          <w:highlight w:val="yellow"/>
                        </w:rPr>
                        <w:t xml:space="preserve">, </w:t>
                      </w:r>
                      <w:r>
                        <w:rPr>
                          <w:rFonts w:ascii="Arial" w:hAnsi="Arial" w:cs="Arial"/>
                          <w:i/>
                          <w:iCs/>
                          <w:highlight w:val="yellow"/>
                        </w:rPr>
                        <w:t>Pseudomonas fluorescens</w:t>
                      </w:r>
                      <w:r>
                        <w:rPr>
                          <w:rFonts w:ascii="Arial" w:hAnsi="Arial" w:cs="Arial"/>
                          <w:highlight w:val="yellow"/>
                        </w:rPr>
                        <w:t xml:space="preserve"> and </w:t>
                      </w:r>
                      <w:r>
                        <w:rPr>
                          <w:rFonts w:ascii="Arial" w:hAnsi="Arial" w:cs="Arial"/>
                          <w:i/>
                          <w:iCs/>
                          <w:highlight w:val="yellow"/>
                        </w:rPr>
                        <w:t>Bacillus subtilis</w:t>
                      </w:r>
                      <w:r>
                        <w:rPr>
                          <w:rFonts w:ascii="Arial" w:hAnsi="Arial" w:cs="Arial"/>
                          <w:highlight w:val="yellow"/>
                        </w:rPr>
                        <w:t>) were evaluated using the dual-culture technique on Potato Dextrose Agar (PDA).</w:t>
                      </w:r>
                    </w:p>
                    <w:p w14:paraId="61D736F4" w14:textId="77777777" w:rsidR="004B583B" w:rsidRPr="004077F5" w:rsidRDefault="004B583B" w:rsidP="009E0396">
                      <w:pPr>
                        <w:pStyle w:val="BodyText"/>
                        <w:spacing w:line="244" w:lineRule="auto"/>
                        <w:ind w:left="360" w:right="180"/>
                        <w:jc w:val="both"/>
                        <w:rPr>
                          <w:rFonts w:ascii="Arial" w:hAnsi="Arial" w:cs="Arial"/>
                        </w:rPr>
                      </w:pPr>
                      <w:r>
                        <w:rPr>
                          <w:rFonts w:ascii="Arial" w:hAnsi="Arial" w:cs="Arial"/>
                          <w:b/>
                          <w:bCs/>
                          <w:highlight w:val="yellow"/>
                        </w:rPr>
                        <w:t>Results:</w:t>
                      </w:r>
                      <w:r>
                        <w:rPr>
                          <w:rFonts w:ascii="Arial" w:hAnsi="Arial" w:cs="Arial"/>
                          <w:highlight w:val="yellow"/>
                        </w:rPr>
                        <w:t xml:space="preserve"> All tested systemic fungicides significantly inhibited pathogen mycelial growth compared with the control (P = 0.01). Tebuconazole 25.9% EC, Propiconazole 25% EC, Hexaconazole 5% EC and Difenoconazole 25% EC recorded complete inhibition (100.00%) of mycelial growth. Average inhibition was 52.49% with Pyraclostrobin 20% WG, 47.95% with Carbendazim 50% WP and 45.68% with Thiophanate methyl 70% WP.</w:t>
                      </w:r>
                    </w:p>
                    <w:p w14:paraId="18640AF4" w14:textId="77777777" w:rsidR="004B583B" w:rsidRPr="004077F5" w:rsidRDefault="004B583B" w:rsidP="009E0396">
                      <w:pPr>
                        <w:pStyle w:val="BodyText"/>
                        <w:spacing w:line="242" w:lineRule="auto"/>
                        <w:ind w:left="360" w:right="180"/>
                        <w:jc w:val="both"/>
                        <w:rPr>
                          <w:rFonts w:ascii="Arial" w:hAnsi="Arial" w:cs="Arial"/>
                        </w:rPr>
                      </w:pPr>
                      <w:r>
                        <w:rPr>
                          <w:rFonts w:ascii="Arial" w:hAnsi="Arial" w:cs="Arial"/>
                          <w:i/>
                          <w:iCs/>
                          <w:highlight w:val="yellow"/>
                        </w:rPr>
                        <w:t>Trichoderma asperellum</w:t>
                      </w:r>
                      <w:r>
                        <w:rPr>
                          <w:rFonts w:ascii="Arial" w:hAnsi="Arial" w:cs="Arial"/>
                          <w:highlight w:val="yellow"/>
                        </w:rPr>
                        <w:t xml:space="preserve"> recorded the lowest radial mycelial growth (20.16 mm) and the highest mycelial growth inhibition (77.60%), followed by </w:t>
                      </w:r>
                      <w:r>
                        <w:rPr>
                          <w:rFonts w:ascii="Arial" w:hAnsi="Arial" w:cs="Arial"/>
                          <w:i/>
                          <w:iCs/>
                          <w:highlight w:val="yellow"/>
                        </w:rPr>
                        <w:t>T. harzianum</w:t>
                      </w:r>
                      <w:r>
                        <w:rPr>
                          <w:rFonts w:ascii="Arial" w:hAnsi="Arial" w:cs="Arial"/>
                          <w:highlight w:val="yellow"/>
                        </w:rPr>
                        <w:t xml:space="preserve"> (21.16 mm and 76.48%), </w:t>
                      </w:r>
                      <w:r>
                        <w:rPr>
                          <w:rFonts w:ascii="Arial" w:hAnsi="Arial" w:cs="Arial"/>
                          <w:i/>
                          <w:iCs/>
                          <w:highlight w:val="yellow"/>
                        </w:rPr>
                        <w:t>Aspergillus niger</w:t>
                      </w:r>
                      <w:r>
                        <w:rPr>
                          <w:rFonts w:ascii="Arial" w:hAnsi="Arial" w:cs="Arial"/>
                          <w:highlight w:val="yellow"/>
                        </w:rPr>
                        <w:t xml:space="preserve"> (23.50 mm and 73.88%), </w:t>
                      </w:r>
                      <w:r>
                        <w:rPr>
                          <w:rFonts w:ascii="Arial" w:hAnsi="Arial" w:cs="Arial"/>
                          <w:i/>
                          <w:iCs/>
                          <w:highlight w:val="yellow"/>
                        </w:rPr>
                        <w:t>T. hamatum</w:t>
                      </w:r>
                      <w:r>
                        <w:rPr>
                          <w:rFonts w:ascii="Arial" w:hAnsi="Arial" w:cs="Arial"/>
                          <w:highlight w:val="yellow"/>
                        </w:rPr>
                        <w:t xml:space="preserve"> (29.66 mm and 67.04%), </w:t>
                      </w:r>
                      <w:r>
                        <w:rPr>
                          <w:rFonts w:ascii="Arial" w:hAnsi="Arial" w:cs="Arial"/>
                          <w:i/>
                          <w:iCs/>
                          <w:highlight w:val="yellow"/>
                        </w:rPr>
                        <w:t>T. koningii</w:t>
                      </w:r>
                      <w:r>
                        <w:rPr>
                          <w:rFonts w:ascii="Arial" w:hAnsi="Arial" w:cs="Arial"/>
                          <w:highlight w:val="yellow"/>
                        </w:rPr>
                        <w:t xml:space="preserve"> (24.33 mm and 72.96%), </w:t>
                      </w:r>
                      <w:r>
                        <w:rPr>
                          <w:rFonts w:ascii="Arial" w:hAnsi="Arial" w:cs="Arial"/>
                          <w:i/>
                          <w:iCs/>
                          <w:highlight w:val="yellow"/>
                        </w:rPr>
                        <w:t>Bacillus subtilis</w:t>
                      </w:r>
                      <w:r>
                        <w:rPr>
                          <w:rFonts w:ascii="Arial" w:hAnsi="Arial" w:cs="Arial"/>
                          <w:highlight w:val="yellow"/>
                        </w:rPr>
                        <w:t xml:space="preserve"> (44.33 mm and 50.74%) and </w:t>
                      </w:r>
                      <w:r>
                        <w:rPr>
                          <w:rFonts w:ascii="Arial" w:hAnsi="Arial" w:cs="Arial"/>
                          <w:i/>
                          <w:iCs/>
                          <w:highlight w:val="yellow"/>
                        </w:rPr>
                        <w:t>Pseudomonas fluorescens</w:t>
                      </w:r>
                      <w:r>
                        <w:rPr>
                          <w:rFonts w:ascii="Arial" w:hAnsi="Arial" w:cs="Arial"/>
                          <w:highlight w:val="yellow"/>
                        </w:rPr>
                        <w:t xml:space="preserve"> (48.33 mm and 46.30%), respectively.</w:t>
                      </w:r>
                    </w:p>
                    <w:p w14:paraId="51050416" w14:textId="77777777" w:rsidR="004B583B" w:rsidRPr="00CF4031" w:rsidRDefault="004B583B" w:rsidP="009E0396">
                      <w:pPr>
                        <w:pStyle w:val="BodyText"/>
                        <w:spacing w:line="242" w:lineRule="auto"/>
                        <w:ind w:left="360" w:right="180"/>
                        <w:jc w:val="both"/>
                        <w:rPr>
                          <w:rFonts w:ascii="Arial" w:hAnsi="Arial" w:cs="Arial"/>
                        </w:rPr>
                      </w:pPr>
                      <w:r>
                        <w:rPr>
                          <w:rFonts w:ascii="Arial" w:hAnsi="Arial" w:cs="Arial"/>
                          <w:b/>
                          <w:bCs/>
                          <w:highlight w:val="yellow"/>
                        </w:rPr>
                        <w:t>Conclusion:</w:t>
                      </w:r>
                      <w:r>
                        <w:rPr>
                          <w:rFonts w:ascii="Arial" w:hAnsi="Arial" w:cs="Arial"/>
                          <w:highlight w:val="yellow"/>
                        </w:rPr>
                        <w:t xml:space="preserve"> Among the chemical treatments, Tebuconazole 25.9% EC, Propiconazole 25% EC, Hexaconazole 5% EC and Difenoconazole 25% EC, and among the biocontrol agents, </w:t>
                      </w:r>
                      <w:r>
                        <w:rPr>
                          <w:rFonts w:ascii="Arial" w:hAnsi="Arial" w:cs="Arial"/>
                          <w:i/>
                          <w:iCs/>
                          <w:highlight w:val="yellow"/>
                        </w:rPr>
                        <w:t>Trichoderma asperellum</w:t>
                      </w:r>
                      <w:r>
                        <w:rPr>
                          <w:rFonts w:ascii="Arial" w:hAnsi="Arial" w:cs="Arial"/>
                          <w:highlight w:val="yellow"/>
                        </w:rPr>
                        <w:t xml:space="preserve">, exhibited high antagonistic efficacy </w:t>
                      </w:r>
                      <w:r>
                        <w:rPr>
                          <w:rFonts w:ascii="Arial" w:hAnsi="Arial" w:cs="Arial"/>
                          <w:i/>
                          <w:iCs/>
                          <w:highlight w:val="yellow"/>
                        </w:rPr>
                        <w:t>in vitro</w:t>
                      </w:r>
                      <w:r>
                        <w:rPr>
                          <w:rFonts w:ascii="Arial" w:hAnsi="Arial" w:cs="Arial"/>
                          <w:highlight w:val="yellow"/>
                        </w:rPr>
                        <w:t>. These treatments warrant further evaluation for potential incorporation into integrated disease management strategies against Alternaria leaf blight of groundnut.</w:t>
                      </w:r>
                    </w:p>
                    <w:p w14:paraId="487AAAD7" w14:textId="77777777" w:rsidR="004B583B" w:rsidRPr="00CF4031" w:rsidRDefault="004B583B" w:rsidP="009E0396">
                      <w:pPr>
                        <w:pStyle w:val="BodyText"/>
                        <w:ind w:right="180"/>
                        <w:rPr>
                          <w:rFonts w:ascii="Arial" w:hAnsi="Arial" w:cs="Arial"/>
                        </w:rPr>
                      </w:pPr>
                    </w:p>
                    <w:p w14:paraId="24F8D4B2" w14:textId="77777777" w:rsidR="004B583B" w:rsidRDefault="004B583B" w:rsidP="009E0396">
                      <w:pPr>
                        <w:jc w:val="center"/>
                      </w:pPr>
                    </w:p>
                  </w:txbxContent>
                </v:textbox>
              </v:shape>
            </w:pict>
          </mc:Fallback>
        </mc:AlternateContent>
      </w:r>
    </w:p>
    <w:p w14:paraId="7752B0ED" w14:textId="77777777" w:rsidR="009E0396" w:rsidRPr="00D23C75" w:rsidRDefault="009E0396" w:rsidP="00F11EBD">
      <w:pPr>
        <w:rPr>
          <w:rFonts w:ascii="Arial" w:eastAsia="Arial" w:hAnsi="Arial" w:cs="Arial"/>
          <w:b/>
          <w:bCs/>
        </w:rPr>
      </w:pPr>
    </w:p>
    <w:p w14:paraId="3A5A72A7" w14:textId="77777777" w:rsidR="009E0396" w:rsidRPr="00D23C75" w:rsidRDefault="009E0396" w:rsidP="00F11EBD">
      <w:pPr>
        <w:rPr>
          <w:rFonts w:ascii="Arial" w:eastAsia="Arial" w:hAnsi="Arial" w:cs="Arial"/>
          <w:b/>
          <w:bCs/>
        </w:rPr>
      </w:pPr>
    </w:p>
    <w:p w14:paraId="3AED4291" w14:textId="77777777" w:rsidR="009E0396" w:rsidRPr="00D23C75" w:rsidRDefault="009E0396" w:rsidP="00F11EBD">
      <w:pPr>
        <w:rPr>
          <w:rFonts w:ascii="Arial" w:eastAsia="Arial" w:hAnsi="Arial" w:cs="Arial"/>
          <w:b/>
          <w:bCs/>
        </w:rPr>
      </w:pPr>
    </w:p>
    <w:p w14:paraId="3B1F7C9C" w14:textId="77777777" w:rsidR="009E0396" w:rsidRPr="00D23C75" w:rsidRDefault="009E0396" w:rsidP="00F11EBD">
      <w:pPr>
        <w:rPr>
          <w:rFonts w:ascii="Arial" w:eastAsia="Arial" w:hAnsi="Arial" w:cs="Arial"/>
          <w:b/>
          <w:bCs/>
        </w:rPr>
      </w:pPr>
    </w:p>
    <w:p w14:paraId="41FC2E89" w14:textId="77777777" w:rsidR="009E0396" w:rsidRPr="00D23C75" w:rsidRDefault="009E0396" w:rsidP="00F11EBD">
      <w:pPr>
        <w:rPr>
          <w:rFonts w:ascii="Arial" w:eastAsia="Arial" w:hAnsi="Arial" w:cs="Arial"/>
          <w:b/>
          <w:bCs/>
        </w:rPr>
      </w:pPr>
    </w:p>
    <w:p w14:paraId="02920AA6" w14:textId="77777777" w:rsidR="009E0396" w:rsidRPr="00D23C75" w:rsidRDefault="009E0396" w:rsidP="00F11EBD">
      <w:pPr>
        <w:rPr>
          <w:rFonts w:ascii="Arial" w:eastAsia="Arial" w:hAnsi="Arial" w:cs="Arial"/>
          <w:b/>
          <w:bCs/>
        </w:rPr>
      </w:pPr>
    </w:p>
    <w:p w14:paraId="37AF43B8" w14:textId="77777777" w:rsidR="009E0396" w:rsidRPr="00D23C75" w:rsidRDefault="009E0396" w:rsidP="00F11EBD">
      <w:pPr>
        <w:rPr>
          <w:rFonts w:ascii="Arial" w:eastAsia="Arial" w:hAnsi="Arial" w:cs="Arial"/>
          <w:b/>
          <w:bCs/>
        </w:rPr>
      </w:pPr>
    </w:p>
    <w:p w14:paraId="59C5B346" w14:textId="77777777" w:rsidR="00F11EBD" w:rsidRPr="00D23C75" w:rsidRDefault="00F11EBD" w:rsidP="00F11EBD">
      <w:pPr>
        <w:rPr>
          <w:rFonts w:ascii="Arial" w:eastAsia="Arial" w:hAnsi="Arial" w:cs="Arial"/>
          <w:b/>
          <w:bCs/>
        </w:rPr>
      </w:pPr>
    </w:p>
    <w:p w14:paraId="107B7593" w14:textId="77777777" w:rsidR="00F11EBD" w:rsidRPr="00D23C75" w:rsidRDefault="00F11EBD" w:rsidP="00F11EBD">
      <w:pPr>
        <w:rPr>
          <w:rFonts w:ascii="Arial" w:eastAsia="Arial" w:hAnsi="Arial" w:cs="Arial"/>
          <w:b/>
          <w:bCs/>
        </w:rPr>
      </w:pPr>
    </w:p>
    <w:p w14:paraId="6B5A4684" w14:textId="77777777" w:rsidR="009E0396" w:rsidRPr="00D23C75" w:rsidRDefault="009E0396" w:rsidP="00F11EBD">
      <w:pPr>
        <w:rPr>
          <w:rFonts w:ascii="Arial" w:eastAsia="Arial" w:hAnsi="Arial" w:cs="Arial"/>
          <w:b/>
          <w:bCs/>
        </w:rPr>
      </w:pPr>
    </w:p>
    <w:p w14:paraId="0150260D" w14:textId="77777777" w:rsidR="009E0396" w:rsidRPr="00D23C75" w:rsidRDefault="009E0396" w:rsidP="00F11EBD">
      <w:pPr>
        <w:rPr>
          <w:rFonts w:ascii="Arial" w:eastAsia="Arial" w:hAnsi="Arial" w:cs="Arial"/>
          <w:b/>
          <w:bCs/>
        </w:rPr>
      </w:pPr>
    </w:p>
    <w:p w14:paraId="7AD06A01" w14:textId="77777777" w:rsidR="009E0396" w:rsidRPr="00D23C75" w:rsidRDefault="009E0396" w:rsidP="00F11EBD">
      <w:pPr>
        <w:rPr>
          <w:rFonts w:ascii="Arial" w:eastAsia="Arial" w:hAnsi="Arial" w:cs="Arial"/>
          <w:b/>
          <w:bCs/>
        </w:rPr>
      </w:pPr>
    </w:p>
    <w:p w14:paraId="287FABCA" w14:textId="77777777" w:rsidR="009E0396" w:rsidRPr="00D23C75" w:rsidRDefault="009E0396" w:rsidP="00F11EBD">
      <w:pPr>
        <w:rPr>
          <w:rFonts w:ascii="Arial" w:eastAsia="Arial" w:hAnsi="Arial" w:cs="Arial"/>
          <w:b/>
          <w:bCs/>
        </w:rPr>
      </w:pPr>
    </w:p>
    <w:p w14:paraId="44EE3A53" w14:textId="77777777" w:rsidR="009E0396" w:rsidRPr="00D23C75" w:rsidRDefault="009E0396" w:rsidP="00F11EBD">
      <w:pPr>
        <w:rPr>
          <w:rFonts w:ascii="Arial" w:eastAsia="Arial" w:hAnsi="Arial" w:cs="Arial"/>
          <w:b/>
          <w:bCs/>
        </w:rPr>
      </w:pPr>
    </w:p>
    <w:p w14:paraId="0240691C" w14:textId="77777777" w:rsidR="009E0396" w:rsidRPr="00D23C75" w:rsidRDefault="009E0396" w:rsidP="00F11EBD">
      <w:pPr>
        <w:rPr>
          <w:rFonts w:ascii="Arial" w:eastAsia="Arial" w:hAnsi="Arial" w:cs="Arial"/>
          <w:b/>
          <w:bCs/>
        </w:rPr>
      </w:pPr>
    </w:p>
    <w:p w14:paraId="18EBB02D" w14:textId="18CF2BE6" w:rsidR="009E0396" w:rsidRPr="00D23C75" w:rsidRDefault="00F651FF" w:rsidP="003205F8">
      <w:pPr>
        <w:ind w:right="180"/>
        <w:rPr>
          <w:rFonts w:ascii="Arial" w:eastAsia="Arial" w:hAnsi="Arial" w:cs="Arial"/>
          <w:b/>
          <w:bCs/>
        </w:rPr>
      </w:pPr>
      <w:r w:rsidRPr="00D23C75">
        <w:rPr>
          <w:rFonts w:ascii="Arial" w:hAnsi="Arial" w:cs="Arial"/>
          <w:i/>
          <w:sz w:val="20"/>
        </w:rPr>
        <w:t>Keywords</w:t>
      </w:r>
      <w:r w:rsidRPr="00D23C75">
        <w:rPr>
          <w:rFonts w:ascii="Arial" w:hAnsi="Arial" w:cs="Arial"/>
          <w:b/>
          <w:i/>
          <w:sz w:val="20"/>
        </w:rPr>
        <w:t>:</w:t>
      </w:r>
      <w:r w:rsidRPr="00D23C75">
        <w:rPr>
          <w:rFonts w:ascii="Arial" w:hAnsi="Arial" w:cs="Arial"/>
          <w:b/>
          <w:i/>
          <w:spacing w:val="-7"/>
          <w:sz w:val="20"/>
        </w:rPr>
        <w:t xml:space="preserve"> </w:t>
      </w:r>
      <w:r w:rsidR="003205F8" w:rsidRPr="00D23C75">
        <w:rPr>
          <w:rFonts w:ascii="Arial" w:hAnsi="Arial" w:cs="Arial"/>
          <w:i/>
          <w:iCs/>
        </w:rPr>
        <w:t xml:space="preserve">Alternaria </w:t>
      </w:r>
      <w:proofErr w:type="spellStart"/>
      <w:r w:rsidR="003205F8" w:rsidRPr="00D23C75">
        <w:rPr>
          <w:rFonts w:ascii="Arial" w:hAnsi="Arial" w:cs="Arial"/>
          <w:i/>
          <w:iCs/>
        </w:rPr>
        <w:t>alternata</w:t>
      </w:r>
      <w:proofErr w:type="spellEnd"/>
      <w:r w:rsidR="003205F8" w:rsidRPr="00D23C75">
        <w:rPr>
          <w:rFonts w:ascii="Arial" w:hAnsi="Arial" w:cs="Arial"/>
          <w:i/>
        </w:rPr>
        <w:t xml:space="preserve">; groundnut; Alternaria leaf blight; systemic fungicides; bioagents; biological control; </w:t>
      </w:r>
      <w:r w:rsidR="003205F8" w:rsidRPr="00D23C75">
        <w:rPr>
          <w:rFonts w:ascii="Arial" w:hAnsi="Arial" w:cs="Arial"/>
          <w:i/>
          <w:iCs/>
        </w:rPr>
        <w:t xml:space="preserve">Trichoderma </w:t>
      </w:r>
      <w:proofErr w:type="spellStart"/>
      <w:r w:rsidR="003205F8" w:rsidRPr="00D23C75">
        <w:rPr>
          <w:rFonts w:ascii="Arial" w:hAnsi="Arial" w:cs="Arial"/>
          <w:i/>
          <w:iCs/>
        </w:rPr>
        <w:t>asperellum</w:t>
      </w:r>
      <w:proofErr w:type="spellEnd"/>
      <w:r w:rsidR="003205F8" w:rsidRPr="00D23C75">
        <w:rPr>
          <w:rFonts w:ascii="Arial" w:hAnsi="Arial" w:cs="Arial"/>
          <w:i/>
        </w:rPr>
        <w:t>; mycelial growth inhibition; poisoned food technique; dual-culture technique.</w:t>
      </w:r>
    </w:p>
    <w:p w14:paraId="24D26220" w14:textId="77777777" w:rsidR="009E0396" w:rsidRPr="00D23C75" w:rsidRDefault="009E0396" w:rsidP="00F11EBD">
      <w:pPr>
        <w:rPr>
          <w:rFonts w:ascii="Arial" w:eastAsia="Arial" w:hAnsi="Arial" w:cs="Arial"/>
          <w:b/>
          <w:bCs/>
        </w:rPr>
      </w:pPr>
    </w:p>
    <w:p w14:paraId="360B2CCF" w14:textId="77777777" w:rsidR="00F651FF" w:rsidRPr="00D23C75" w:rsidRDefault="00F651FF" w:rsidP="00F11EBD">
      <w:pPr>
        <w:rPr>
          <w:rFonts w:ascii="Arial" w:eastAsia="Arial" w:hAnsi="Arial" w:cs="Arial"/>
          <w:b/>
          <w:bCs/>
        </w:rPr>
      </w:pPr>
    </w:p>
    <w:p w14:paraId="65C2CA1A" w14:textId="77777777" w:rsidR="00777312" w:rsidRPr="00D23C75" w:rsidRDefault="00777312" w:rsidP="00777312">
      <w:pPr>
        <w:pStyle w:val="ListParagraph"/>
        <w:numPr>
          <w:ilvl w:val="0"/>
          <w:numId w:val="7"/>
        </w:numPr>
        <w:rPr>
          <w:rFonts w:ascii="Arial" w:hAnsi="Arial" w:cs="Arial"/>
          <w:b/>
        </w:rPr>
      </w:pPr>
      <w:r w:rsidRPr="00D23C75">
        <w:rPr>
          <w:rFonts w:ascii="Arial" w:hAnsi="Arial" w:cs="Arial"/>
          <w:b/>
        </w:rPr>
        <w:lastRenderedPageBreak/>
        <w:t>INTRODUCTION</w:t>
      </w:r>
    </w:p>
    <w:p w14:paraId="7CD03D87" w14:textId="77777777" w:rsidR="00F11EBD" w:rsidRPr="00D23C75" w:rsidRDefault="00F11EBD" w:rsidP="00F11EBD">
      <w:pPr>
        <w:pStyle w:val="BodyText"/>
        <w:ind w:left="360"/>
        <w:rPr>
          <w:rFonts w:ascii="Arial" w:hAnsi="Arial" w:cs="Arial"/>
        </w:rPr>
      </w:pPr>
      <w:r w:rsidRPr="00D23C75">
        <w:rPr>
          <w:rFonts w:ascii="Arial" w:hAnsi="Arial" w:cs="Arial"/>
        </w:rPr>
        <w:t>Groundnut (</w:t>
      </w:r>
      <w:r w:rsidRPr="00D23C75">
        <w:rPr>
          <w:rFonts w:ascii="Arial" w:hAnsi="Arial" w:cs="Arial"/>
          <w:i/>
        </w:rPr>
        <w:t>Arachis hypogaea</w:t>
      </w:r>
      <w:r w:rsidRPr="00D23C75">
        <w:rPr>
          <w:rFonts w:ascii="Arial" w:hAnsi="Arial" w:cs="Arial"/>
        </w:rPr>
        <w:t xml:space="preserve"> L.) is an important oilseed and food legume crop widely cultivated in India (Noman </w:t>
      </w:r>
      <w:r w:rsidRPr="00D23C75">
        <w:rPr>
          <w:rFonts w:ascii="Arial" w:hAnsi="Arial" w:cs="Arial"/>
          <w:i/>
        </w:rPr>
        <w:t>et al.</w:t>
      </w:r>
      <w:r w:rsidRPr="00D23C75">
        <w:rPr>
          <w:rFonts w:ascii="Arial" w:hAnsi="Arial" w:cs="Arial"/>
        </w:rPr>
        <w:t xml:space="preserve">, 2021). The crop is affected by several fungal diseases, among which foliar diseases are important constraints to production. Alternaria leaf blight, caused by </w:t>
      </w:r>
      <w:r w:rsidRPr="00D23C75">
        <w:rPr>
          <w:rFonts w:ascii="Arial" w:hAnsi="Arial" w:cs="Arial"/>
          <w:i/>
        </w:rPr>
        <w:t>Alternaria alternata</w:t>
      </w:r>
      <w:r w:rsidRPr="00D23C75">
        <w:rPr>
          <w:rFonts w:ascii="Arial" w:hAnsi="Arial" w:cs="Arial"/>
        </w:rPr>
        <w:t>, is an important foliar disease of groundnut and can adversely affect plant growth and yield.</w:t>
      </w:r>
    </w:p>
    <w:p w14:paraId="5BD56E6F" w14:textId="77777777" w:rsidR="00F11EBD" w:rsidRPr="00D23C75" w:rsidRDefault="00F11EBD" w:rsidP="00312ABD">
      <w:pPr>
        <w:pStyle w:val="BodyText"/>
        <w:spacing w:before="39" w:line="242" w:lineRule="auto"/>
        <w:ind w:left="360"/>
        <w:jc w:val="both"/>
        <w:rPr>
          <w:rFonts w:ascii="Arial" w:hAnsi="Arial" w:cs="Arial"/>
        </w:rPr>
      </w:pPr>
      <w:r w:rsidRPr="00D23C75">
        <w:rPr>
          <w:rFonts w:ascii="Arial" w:hAnsi="Arial" w:cs="Arial"/>
        </w:rPr>
        <w:t>Globally, groundnut is cultivated over an area of 33.2 million hectares, with a total production of about 55.3 million tonnes and an average productivity of 1,666 kg/ha. India, the second-largest producer of groundnut in the world, cultivates the crop on nearly 4.98 million hectares, producing around 10.45 million tonnes with an average productivity of 2,099 kg/ha. In Maharashtra, groundnut is grown on about 0.24 million hectares, with a production of nearly 0.30 million tonnes and an average productivity of 1,250 kg/ha. These statistics indicate the significant contribution of groundnut to global and national oilseed production and highlight its importance in the agricultural economy of Maharashtra (Food and Agriculture Organization of the United Nations, 2025).</w:t>
      </w:r>
    </w:p>
    <w:p w14:paraId="25FA850C" w14:textId="77777777" w:rsidR="00F11EBD" w:rsidRPr="00D23C75" w:rsidRDefault="00F11EBD" w:rsidP="00312ABD">
      <w:pPr>
        <w:pStyle w:val="BodyText"/>
        <w:spacing w:before="4" w:line="242" w:lineRule="auto"/>
        <w:ind w:left="360"/>
        <w:jc w:val="both"/>
        <w:rPr>
          <w:rFonts w:ascii="Arial" w:hAnsi="Arial" w:cs="Arial"/>
          <w:i/>
        </w:rPr>
      </w:pPr>
      <w:r w:rsidRPr="00D23C75">
        <w:rPr>
          <w:rFonts w:ascii="Arial" w:hAnsi="Arial" w:cs="Arial"/>
        </w:rPr>
        <w:t>Groundnut production is mainly affected by several diseases caused by fungal, bacterial and viral pathogens, which considerably reduce crop yield and quality. Important diseases of groundnut include stem and root rot (</w:t>
      </w:r>
      <w:r w:rsidRPr="00D23C75">
        <w:rPr>
          <w:rFonts w:ascii="Arial" w:hAnsi="Arial" w:cs="Arial"/>
          <w:i/>
        </w:rPr>
        <w:t>Sclerotium rolfsii</w:t>
      </w:r>
      <w:r w:rsidRPr="00D23C75">
        <w:rPr>
          <w:rFonts w:ascii="Arial" w:hAnsi="Arial" w:cs="Arial"/>
        </w:rPr>
        <w:t>), wilt (</w:t>
      </w:r>
      <w:r w:rsidRPr="00D23C75">
        <w:rPr>
          <w:rFonts w:ascii="Arial" w:hAnsi="Arial" w:cs="Arial"/>
          <w:i/>
        </w:rPr>
        <w:t>Fusarium oxysporum</w:t>
      </w:r>
      <w:r w:rsidRPr="00D23C75">
        <w:rPr>
          <w:rFonts w:ascii="Arial" w:hAnsi="Arial" w:cs="Arial"/>
        </w:rPr>
        <w:t>), pod rot (</w:t>
      </w:r>
      <w:r w:rsidRPr="00D23C75">
        <w:rPr>
          <w:rFonts w:ascii="Arial" w:hAnsi="Arial" w:cs="Arial"/>
          <w:i/>
        </w:rPr>
        <w:t>Rhizoctonia solani</w:t>
      </w:r>
      <w:r w:rsidRPr="00D23C75">
        <w:rPr>
          <w:rFonts w:ascii="Arial" w:hAnsi="Arial" w:cs="Arial"/>
        </w:rPr>
        <w:t>), rust (</w:t>
      </w:r>
      <w:r w:rsidRPr="00D23C75">
        <w:rPr>
          <w:rFonts w:ascii="Arial" w:hAnsi="Arial" w:cs="Arial"/>
          <w:i/>
        </w:rPr>
        <w:t>Puccinia arachidis</w:t>
      </w:r>
      <w:r w:rsidRPr="00D23C75">
        <w:rPr>
          <w:rFonts w:ascii="Arial" w:hAnsi="Arial" w:cs="Arial"/>
        </w:rPr>
        <w:t>), early leaf spot (</w:t>
      </w:r>
      <w:r w:rsidRPr="00D23C75">
        <w:rPr>
          <w:rFonts w:ascii="Arial" w:hAnsi="Arial" w:cs="Arial"/>
          <w:i/>
        </w:rPr>
        <w:t>Passalora arachidicola</w:t>
      </w:r>
      <w:r w:rsidRPr="00D23C75">
        <w:rPr>
          <w:rFonts w:ascii="Arial" w:hAnsi="Arial" w:cs="Arial"/>
        </w:rPr>
        <w:t>), late leaf spot (</w:t>
      </w:r>
      <w:r w:rsidRPr="00D23C75">
        <w:rPr>
          <w:rFonts w:ascii="Arial" w:hAnsi="Arial" w:cs="Arial"/>
          <w:i/>
        </w:rPr>
        <w:t>Nothopassalora personata</w:t>
      </w:r>
      <w:r w:rsidRPr="00D23C75">
        <w:rPr>
          <w:rFonts w:ascii="Arial" w:hAnsi="Arial" w:cs="Arial"/>
        </w:rPr>
        <w:t>), leaf blight (</w:t>
      </w:r>
      <w:r w:rsidRPr="00D23C75">
        <w:rPr>
          <w:rFonts w:ascii="Arial" w:hAnsi="Arial" w:cs="Arial"/>
          <w:i/>
        </w:rPr>
        <w:t>Alternaria alternata</w:t>
      </w:r>
      <w:r w:rsidRPr="00D23C75">
        <w:rPr>
          <w:rFonts w:ascii="Arial" w:hAnsi="Arial" w:cs="Arial"/>
        </w:rPr>
        <w:t>), bacterial wilt (</w:t>
      </w:r>
      <w:r w:rsidRPr="00D23C75">
        <w:rPr>
          <w:rFonts w:ascii="Arial" w:hAnsi="Arial" w:cs="Arial"/>
          <w:i/>
        </w:rPr>
        <w:t>Pseudomonas solanacearum</w:t>
      </w:r>
      <w:r w:rsidRPr="00D23C75">
        <w:rPr>
          <w:rFonts w:ascii="Arial" w:hAnsi="Arial" w:cs="Arial"/>
        </w:rPr>
        <w:t xml:space="preserve">) and bud necrosis caused by </w:t>
      </w:r>
      <w:r w:rsidRPr="00D23C75">
        <w:rPr>
          <w:rFonts w:ascii="Arial" w:hAnsi="Arial" w:cs="Arial"/>
          <w:i/>
        </w:rPr>
        <w:t>Tomato Spotted Wilt Virus</w:t>
      </w:r>
      <w:r w:rsidRPr="00D23C75">
        <w:rPr>
          <w:rFonts w:ascii="Arial" w:hAnsi="Arial" w:cs="Arial"/>
        </w:rPr>
        <w:t xml:space="preserve"> (TSWV). Among these diseases, Alternaria leaf blight has emerged as one of the most serious diseases of groundnut, causing significant yield losses and posing a major constraint to the economic production of the crop (Kumar </w:t>
      </w:r>
      <w:r w:rsidRPr="00D23C75">
        <w:rPr>
          <w:rFonts w:ascii="Arial" w:hAnsi="Arial" w:cs="Arial"/>
          <w:i/>
        </w:rPr>
        <w:t>et al.</w:t>
      </w:r>
      <w:r w:rsidRPr="00D23C75">
        <w:rPr>
          <w:rFonts w:ascii="Arial" w:hAnsi="Arial" w:cs="Arial"/>
        </w:rPr>
        <w:t xml:space="preserve">, 2012; Kantwa </w:t>
      </w:r>
      <w:r w:rsidRPr="00D23C75">
        <w:rPr>
          <w:rFonts w:ascii="Arial" w:hAnsi="Arial" w:cs="Arial"/>
          <w:i/>
        </w:rPr>
        <w:t>et al.</w:t>
      </w:r>
      <w:r w:rsidRPr="00D23C75">
        <w:rPr>
          <w:rFonts w:ascii="Arial" w:hAnsi="Arial" w:cs="Arial"/>
        </w:rPr>
        <w:t>, 2014). The first report of the Alternaria leaf blight fungus infecting groundnut was made by Balasubramanian (1979).</w:t>
      </w:r>
    </w:p>
    <w:p w14:paraId="16CEE658" w14:textId="77777777" w:rsidR="00F11EBD" w:rsidRPr="00D23C75" w:rsidRDefault="00F11EBD" w:rsidP="00F11EBD">
      <w:pPr>
        <w:pStyle w:val="BodyText"/>
        <w:spacing w:before="4" w:line="242" w:lineRule="auto"/>
        <w:ind w:left="360" w:right="180"/>
        <w:jc w:val="both"/>
        <w:rPr>
          <w:rFonts w:ascii="Arial" w:hAnsi="Arial" w:cs="Arial"/>
        </w:rPr>
      </w:pPr>
      <w:r w:rsidRPr="00D23C75">
        <w:rPr>
          <w:rFonts w:ascii="Arial" w:hAnsi="Arial" w:cs="Arial"/>
          <w:i/>
        </w:rPr>
        <w:t>Alternaria alternata</w:t>
      </w:r>
      <w:r w:rsidRPr="00D23C75">
        <w:rPr>
          <w:rFonts w:ascii="Arial" w:hAnsi="Arial" w:cs="Arial"/>
        </w:rPr>
        <w:t xml:space="preserve">, which causes Alternaria leaf blight, has been reported to cause considerable losses in groundnut, with reductions of 13-22 </w:t>
      </w:r>
      <w:r w:rsidRPr="00D23C75">
        <w:rPr>
          <w:rFonts w:ascii="Arial" w:hAnsi="Arial" w:cs="Arial"/>
          <w:i/>
        </w:rPr>
        <w:t>per cent</w:t>
      </w:r>
      <w:r w:rsidRPr="00D23C75">
        <w:rPr>
          <w:rFonts w:ascii="Arial" w:hAnsi="Arial" w:cs="Arial"/>
        </w:rPr>
        <w:t xml:space="preserve"> in pod yield and 24-63 </w:t>
      </w:r>
      <w:r w:rsidRPr="00D23C75">
        <w:rPr>
          <w:rFonts w:ascii="Arial" w:hAnsi="Arial" w:cs="Arial"/>
          <w:i/>
        </w:rPr>
        <w:t>per cent</w:t>
      </w:r>
      <w:r w:rsidRPr="00D23C75">
        <w:rPr>
          <w:rFonts w:ascii="Arial" w:hAnsi="Arial" w:cs="Arial"/>
        </w:rPr>
        <w:t xml:space="preserve"> in haulm yield (Kumar </w:t>
      </w:r>
      <w:r w:rsidRPr="00D23C75">
        <w:rPr>
          <w:rFonts w:ascii="Arial" w:hAnsi="Arial" w:cs="Arial"/>
          <w:i/>
        </w:rPr>
        <w:t>et al.</w:t>
      </w:r>
      <w:r w:rsidRPr="00D23C75">
        <w:rPr>
          <w:rFonts w:ascii="Arial" w:hAnsi="Arial" w:cs="Arial"/>
        </w:rPr>
        <w:t>, 2022).</w:t>
      </w:r>
    </w:p>
    <w:p w14:paraId="364E69FA" w14:textId="263AFA43" w:rsidR="0043263A" w:rsidRPr="00AF4C06" w:rsidRDefault="00275AFA" w:rsidP="00AF4C06">
      <w:pPr>
        <w:pStyle w:val="BodyText"/>
        <w:ind w:left="360"/>
        <w:jc w:val="both"/>
        <w:rPr>
          <w:rFonts w:ascii="Arial" w:hAnsi="Arial" w:cs="Arial"/>
        </w:rPr>
      </w:pPr>
      <w:r w:rsidRPr="00D23C75">
        <w:rPr>
          <w:rFonts w:ascii="Arial" w:hAnsi="Arial" w:cs="Arial"/>
        </w:rPr>
        <w:t xml:space="preserve">Recent field evidence in groundnut indicates that systemic fungicides such as propiconazole and tebuconazole can substantially reduce Alternaria blight severity, while repeated use of single-site fungicides should be managed carefully because sustained selection pressure can favour less-sensitive pathogen populations (Purohit </w:t>
      </w:r>
      <w:r w:rsidRPr="00D23C75">
        <w:rPr>
          <w:rFonts w:ascii="Arial" w:hAnsi="Arial" w:cs="Arial"/>
          <w:i/>
        </w:rPr>
        <w:t>et al.</w:t>
      </w:r>
      <w:r w:rsidRPr="00D23C75">
        <w:rPr>
          <w:rFonts w:ascii="Arial" w:hAnsi="Arial" w:cs="Arial"/>
        </w:rPr>
        <w:t xml:space="preserve">, 2025; Yang </w:t>
      </w:r>
      <w:r w:rsidRPr="00D23C75">
        <w:rPr>
          <w:rFonts w:ascii="Arial" w:hAnsi="Arial" w:cs="Arial"/>
          <w:i/>
        </w:rPr>
        <w:t>et al.</w:t>
      </w:r>
      <w:r w:rsidRPr="00D23C75">
        <w:rPr>
          <w:rFonts w:ascii="Arial" w:hAnsi="Arial" w:cs="Arial"/>
        </w:rPr>
        <w:t xml:space="preserve">, 2022). Biological antagonists offer a complementary approach: Trichoderma spp. can suppress phytopathogenic fungi through mycoparasitism, antibiosis, competition for nutrients and space, and induction of host defences (Harman </w:t>
      </w:r>
      <w:r w:rsidRPr="00D23C75">
        <w:rPr>
          <w:rFonts w:ascii="Arial" w:hAnsi="Arial" w:cs="Arial"/>
          <w:i/>
        </w:rPr>
        <w:t>et al.</w:t>
      </w:r>
      <w:r w:rsidRPr="00D23C75">
        <w:rPr>
          <w:rFonts w:ascii="Arial" w:hAnsi="Arial" w:cs="Arial"/>
        </w:rPr>
        <w:t xml:space="preserve">, 2004; Kumar </w:t>
      </w:r>
      <w:r w:rsidRPr="00D23C75">
        <w:rPr>
          <w:rFonts w:ascii="Arial" w:hAnsi="Arial" w:cs="Arial"/>
          <w:i/>
        </w:rPr>
        <w:t>et al.</w:t>
      </w:r>
      <w:r w:rsidRPr="00D23C75">
        <w:rPr>
          <w:rFonts w:ascii="Arial" w:hAnsi="Arial" w:cs="Arial"/>
        </w:rPr>
        <w:t xml:space="preserve">, 2026). Accordingly, comparative </w:t>
      </w:r>
      <w:r w:rsidRPr="00D23C75">
        <w:rPr>
          <w:rFonts w:ascii="Arial" w:hAnsi="Arial" w:cs="Arial"/>
          <w:i/>
        </w:rPr>
        <w:t>in vitro</w:t>
      </w:r>
      <w:r w:rsidRPr="00D23C75">
        <w:rPr>
          <w:rFonts w:ascii="Arial" w:hAnsi="Arial" w:cs="Arial"/>
        </w:rPr>
        <w:t xml:space="preserve"> screening of fungicides and locally available bioagents provides a rational first step for identifying candidates for subsequent greenhouse and field validation against </w:t>
      </w:r>
      <w:r w:rsidRPr="00D23C75">
        <w:rPr>
          <w:rFonts w:ascii="Arial" w:hAnsi="Arial" w:cs="Arial"/>
          <w:i/>
        </w:rPr>
        <w:t xml:space="preserve">A. </w:t>
      </w:r>
      <w:proofErr w:type="spellStart"/>
      <w:r w:rsidRPr="00D23C75">
        <w:rPr>
          <w:rFonts w:ascii="Arial" w:hAnsi="Arial" w:cs="Arial"/>
          <w:i/>
        </w:rPr>
        <w:t>alternata</w:t>
      </w:r>
      <w:proofErr w:type="spellEnd"/>
      <w:r w:rsidRPr="00D23C75">
        <w:rPr>
          <w:rFonts w:ascii="Arial" w:hAnsi="Arial" w:cs="Arial"/>
        </w:rPr>
        <w:t>.</w:t>
      </w:r>
      <w:r w:rsidR="00AF4C06">
        <w:rPr>
          <w:rFonts w:ascii="Arial" w:hAnsi="Arial" w:cs="Arial"/>
        </w:rPr>
        <w:t xml:space="preserve"> </w:t>
      </w:r>
      <w:r w:rsidRPr="00AD6DC6">
        <w:rPr>
          <w:bCs/>
        </w:rPr>
        <w:t xml:space="preserve">Comparable </w:t>
      </w:r>
      <w:r w:rsidRPr="00AD6DC6">
        <w:rPr>
          <w:bCs/>
          <w:i/>
        </w:rPr>
        <w:t>in vitro</w:t>
      </w:r>
      <w:r w:rsidRPr="00AD6DC6">
        <w:rPr>
          <w:bCs/>
        </w:rPr>
        <w:t xml:space="preserve"> studies with </w:t>
      </w:r>
      <w:r w:rsidRPr="00AD6DC6">
        <w:rPr>
          <w:bCs/>
          <w:i/>
        </w:rPr>
        <w:t>A. alternata</w:t>
      </w:r>
      <w:r w:rsidRPr="00AD6DC6">
        <w:rPr>
          <w:bCs/>
        </w:rPr>
        <w:t xml:space="preserve"> have reported antagonistic activity of </w:t>
      </w:r>
      <w:r w:rsidRPr="00AD6DC6">
        <w:rPr>
          <w:bCs/>
          <w:i/>
        </w:rPr>
        <w:t>T. asperellum</w:t>
      </w:r>
      <w:r w:rsidRPr="00AD6DC6">
        <w:rPr>
          <w:bCs/>
        </w:rPr>
        <w:t xml:space="preserve">, </w:t>
      </w:r>
      <w:r w:rsidRPr="00AD6DC6">
        <w:rPr>
          <w:bCs/>
          <w:i/>
        </w:rPr>
        <w:t>T. harzianum</w:t>
      </w:r>
      <w:r w:rsidRPr="00AD6DC6">
        <w:rPr>
          <w:bCs/>
        </w:rPr>
        <w:t xml:space="preserve">, </w:t>
      </w:r>
      <w:r w:rsidRPr="00AD6DC6">
        <w:rPr>
          <w:bCs/>
          <w:i/>
        </w:rPr>
        <w:t>P. fluorescens</w:t>
      </w:r>
      <w:r w:rsidRPr="00AD6DC6">
        <w:rPr>
          <w:bCs/>
        </w:rPr>
        <w:t xml:space="preserve">, and </w:t>
      </w:r>
      <w:r w:rsidRPr="00AD6DC6">
        <w:rPr>
          <w:bCs/>
          <w:i/>
        </w:rPr>
        <w:t>B. subtilis</w:t>
      </w:r>
      <w:r w:rsidRPr="00AD6DC6">
        <w:rPr>
          <w:bCs/>
        </w:rPr>
        <w:t xml:space="preserve">, supporting the comparative evaluation of microbial antagonists against this pathogen (Sairam et al., 2024). Recent work has also documented inhibition of </w:t>
      </w:r>
      <w:r w:rsidRPr="00AD6DC6">
        <w:rPr>
          <w:bCs/>
          <w:i/>
        </w:rPr>
        <w:t>A. alternata</w:t>
      </w:r>
      <w:r w:rsidRPr="00AD6DC6">
        <w:rPr>
          <w:bCs/>
        </w:rPr>
        <w:t xml:space="preserve"> by </w:t>
      </w:r>
      <w:r w:rsidRPr="00AD6DC6">
        <w:rPr>
          <w:bCs/>
          <w:i/>
        </w:rPr>
        <w:t>B. amyloliquefaciens</w:t>
      </w:r>
      <w:r w:rsidRPr="00AD6DC6">
        <w:rPr>
          <w:bCs/>
        </w:rPr>
        <w:t xml:space="preserve">, further supporting the assessment of bacterial biocontrol agents alongside fungal antagonists (Xie et al., 2025).Recent studies of </w:t>
      </w:r>
      <w:r w:rsidRPr="00AD6DC6">
        <w:rPr>
          <w:bCs/>
          <w:i/>
        </w:rPr>
        <w:t>A. alternata</w:t>
      </w:r>
      <w:r w:rsidRPr="00AD6DC6">
        <w:rPr>
          <w:bCs/>
        </w:rPr>
        <w:t xml:space="preserve"> from other crop pathosystems have demonstrated variation in fungicide sensitivity, reinforcing the value of pathogen-specific </w:t>
      </w:r>
      <w:r w:rsidRPr="00AD6DC6">
        <w:rPr>
          <w:bCs/>
          <w:i/>
        </w:rPr>
        <w:t>in vitro</w:t>
      </w:r>
      <w:r w:rsidRPr="00AD6DC6">
        <w:rPr>
          <w:bCs/>
        </w:rPr>
        <w:t xml:space="preserve"> screening and resistance-aware selection of fungicides before broader field use (Park et al., 2024; Wei et al., 2024).</w:t>
      </w:r>
    </w:p>
    <w:p w14:paraId="6AF7CD15" w14:textId="77777777" w:rsidR="00AF4C06" w:rsidRDefault="00AF4C06">
      <w:pPr>
        <w:pStyle w:val="BodyText"/>
        <w:rPr>
          <w:bCs/>
        </w:rPr>
      </w:pPr>
    </w:p>
    <w:p w14:paraId="79445A4F" w14:textId="3F838BE0" w:rsidR="0043263A" w:rsidRPr="00AD6DC6" w:rsidRDefault="00AF4C06">
      <w:pPr>
        <w:pStyle w:val="BodyText"/>
        <w:rPr>
          <w:bCs/>
        </w:rPr>
      </w:pPr>
      <w:r>
        <w:rPr>
          <w:bCs/>
        </w:rPr>
        <w:t xml:space="preserve"> </w:t>
      </w:r>
      <w:r w:rsidRPr="00AD6DC6">
        <w:rPr>
          <w:bCs/>
        </w:rPr>
        <w:t xml:space="preserve">In groundnut, recent </w:t>
      </w:r>
      <w:r w:rsidRPr="00AD6DC6">
        <w:rPr>
          <w:bCs/>
          <w:i/>
        </w:rPr>
        <w:t>in vitro</w:t>
      </w:r>
      <w:r w:rsidRPr="00AD6DC6">
        <w:rPr>
          <w:bCs/>
        </w:rPr>
        <w:t xml:space="preserve"> work with </w:t>
      </w:r>
      <w:r w:rsidRPr="00AD6DC6">
        <w:rPr>
          <w:bCs/>
          <w:i/>
        </w:rPr>
        <w:t>T. viride</w:t>
      </w:r>
      <w:r w:rsidRPr="00AD6DC6">
        <w:rPr>
          <w:bCs/>
        </w:rPr>
        <w:t xml:space="preserve"> culture filtrates against a fungal pathogen has likewise demonstrated measurable antagonistic activity, illustrating the relevance of laboratory biocontrol screening within groundnut disease-management research (Balamurugan et al., 2026).</w:t>
      </w:r>
    </w:p>
    <w:p w14:paraId="4E497545" w14:textId="77777777" w:rsidR="0043263A" w:rsidRPr="00AD6DC6" w:rsidRDefault="00000000">
      <w:pPr>
        <w:pStyle w:val="BodyText"/>
        <w:rPr>
          <w:bCs/>
        </w:rPr>
      </w:pPr>
      <w:r w:rsidRPr="00AD6DC6">
        <w:rPr>
          <w:bCs/>
        </w:rPr>
        <w:t xml:space="preserve">In the context of the present manuscript, a direct side-by-side </w:t>
      </w:r>
      <w:r w:rsidRPr="00AD6DC6">
        <w:rPr>
          <w:bCs/>
          <w:i/>
        </w:rPr>
        <w:t>in vitro</w:t>
      </w:r>
      <w:r w:rsidRPr="00AD6DC6">
        <w:rPr>
          <w:bCs/>
        </w:rPr>
        <w:t xml:space="preserve"> comparison of the selected systemic fungicides and locally available bioagents against the groundnut isolate of </w:t>
      </w:r>
      <w:r w:rsidRPr="00AD6DC6">
        <w:rPr>
          <w:bCs/>
          <w:i/>
        </w:rPr>
        <w:t>A. alternata</w:t>
      </w:r>
      <w:r w:rsidRPr="00AD6DC6">
        <w:rPr>
          <w:bCs/>
        </w:rPr>
        <w:t xml:space="preserve"> is needed under a common experimental framework. Such comparative screening can provide a consistent basis for prioritizing candidates for subsequent greenhouse and field validation.</w:t>
      </w:r>
    </w:p>
    <w:p w14:paraId="7324B98C" w14:textId="77777777" w:rsidR="0043263A" w:rsidRPr="00AD6DC6" w:rsidRDefault="00000000">
      <w:pPr>
        <w:pStyle w:val="BodyText"/>
        <w:rPr>
          <w:bCs/>
        </w:rPr>
      </w:pPr>
      <w:r w:rsidRPr="00AD6DC6">
        <w:rPr>
          <w:bCs/>
        </w:rPr>
        <w:t xml:space="preserve">Objective of the study: To evaluate and compare the </w:t>
      </w:r>
      <w:r w:rsidRPr="00AD6DC6">
        <w:rPr>
          <w:bCs/>
          <w:i/>
        </w:rPr>
        <w:t>in vitro</w:t>
      </w:r>
      <w:r w:rsidRPr="00AD6DC6">
        <w:rPr>
          <w:bCs/>
        </w:rPr>
        <w:t xml:space="preserve"> efficacy of seven systemic fungicides at 500 and 1000 ppm and seven biological control agents against </w:t>
      </w:r>
      <w:r w:rsidRPr="00AD6DC6">
        <w:rPr>
          <w:bCs/>
          <w:i/>
        </w:rPr>
        <w:t>A. alternata</w:t>
      </w:r>
      <w:r w:rsidRPr="00AD6DC6">
        <w:rPr>
          <w:bCs/>
        </w:rPr>
        <w:t xml:space="preserve"> causing Alternaria leaf blight of groundnut.</w:t>
      </w:r>
    </w:p>
    <w:p w14:paraId="62EF15C3" w14:textId="77777777" w:rsidR="004B583B" w:rsidRPr="00AD6DC6" w:rsidRDefault="004B583B" w:rsidP="008A645C">
      <w:pPr>
        <w:pStyle w:val="BodyText"/>
        <w:ind w:left="360"/>
        <w:jc w:val="both"/>
        <w:rPr>
          <w:rFonts w:ascii="Arial" w:hAnsi="Arial" w:cs="Arial"/>
          <w:bCs/>
        </w:rPr>
      </w:pPr>
    </w:p>
    <w:p w14:paraId="0922B4E2" w14:textId="77777777" w:rsidR="00F11EBD" w:rsidRPr="00D23C75" w:rsidRDefault="00F11EBD" w:rsidP="00AD066B">
      <w:pPr>
        <w:pStyle w:val="BodyText"/>
        <w:numPr>
          <w:ilvl w:val="0"/>
          <w:numId w:val="7"/>
        </w:numPr>
        <w:spacing w:before="4" w:line="242" w:lineRule="auto"/>
        <w:jc w:val="both"/>
        <w:rPr>
          <w:rFonts w:ascii="Arial" w:hAnsi="Arial" w:cs="Arial"/>
          <w:b/>
          <w:bCs/>
        </w:rPr>
      </w:pPr>
      <w:r w:rsidRPr="00D23C75">
        <w:rPr>
          <w:rFonts w:ascii="Arial" w:hAnsi="Arial" w:cs="Arial"/>
          <w:b/>
          <w:bCs/>
        </w:rPr>
        <w:t xml:space="preserve">MATERIAL AND METHODS </w:t>
      </w:r>
    </w:p>
    <w:p w14:paraId="1381E9D1" w14:textId="77777777" w:rsidR="00AD066B" w:rsidRPr="00D23C75" w:rsidRDefault="00AD066B" w:rsidP="00AD066B">
      <w:pPr>
        <w:spacing w:before="120" w:after="120" w:line="240" w:lineRule="auto"/>
        <w:ind w:firstLine="360"/>
        <w:rPr>
          <w:rStyle w:val="BodyTextChar"/>
          <w:rFonts w:ascii="Arial" w:hAnsi="Arial" w:cs="Arial"/>
          <w:b/>
        </w:rPr>
      </w:pPr>
      <w:r w:rsidRPr="00D23C75">
        <w:rPr>
          <w:rFonts w:ascii="Arial" w:hAnsi="Arial" w:cs="Arial"/>
          <w:b/>
          <w:sz w:val="20"/>
        </w:rPr>
        <w:t xml:space="preserve">2.1 Isolation and Identification of </w:t>
      </w:r>
      <w:r w:rsidRPr="00D23C75">
        <w:rPr>
          <w:rFonts w:ascii="Arial" w:hAnsi="Arial" w:cs="Arial"/>
          <w:b/>
          <w:i/>
          <w:sz w:val="20"/>
        </w:rPr>
        <w:t>Alternaria alternata</w:t>
      </w:r>
    </w:p>
    <w:p w14:paraId="79F3B4BD" w14:textId="77777777" w:rsidR="00F11EBD" w:rsidRPr="00D23C75" w:rsidRDefault="00F11EBD" w:rsidP="00AD066B">
      <w:pPr>
        <w:spacing w:before="120" w:after="120" w:line="240" w:lineRule="auto"/>
        <w:ind w:left="360"/>
        <w:jc w:val="both"/>
        <w:rPr>
          <w:rFonts w:ascii="Arial" w:hAnsi="Arial" w:cs="Arial"/>
          <w:b/>
          <w:sz w:val="20"/>
        </w:rPr>
      </w:pPr>
      <w:r w:rsidRPr="00D23C75">
        <w:rPr>
          <w:rFonts w:ascii="Arial" w:eastAsia="Microsoft Sans Serif" w:hAnsi="Arial" w:cs="Arial"/>
          <w:sz w:val="20"/>
          <w:szCs w:val="20"/>
        </w:rPr>
        <w:t xml:space="preserve">The pathogen, </w:t>
      </w:r>
      <w:r w:rsidRPr="00D23C75">
        <w:rPr>
          <w:rFonts w:ascii="Arial" w:eastAsia="Microsoft Sans Serif" w:hAnsi="Arial" w:cs="Arial"/>
          <w:i/>
          <w:sz w:val="20"/>
          <w:szCs w:val="20"/>
        </w:rPr>
        <w:t>Alternaria alternata</w:t>
      </w:r>
      <w:r w:rsidRPr="00D23C75">
        <w:rPr>
          <w:rFonts w:ascii="Arial" w:eastAsia="Microsoft Sans Serif" w:hAnsi="Arial" w:cs="Arial"/>
          <w:sz w:val="20"/>
          <w:szCs w:val="20"/>
        </w:rPr>
        <w:t xml:space="preserve">, was isolated from naturally infected groundnut leaf samples showing typical symptoms of Alternaria leaf blight. The collected diseased leaves were brought to the laboratory and subjected to tissue isolation on Potato Dextrose Agar medium. Based on the symptoms, cultural characteristics and </w:t>
      </w:r>
      <w:r w:rsidRPr="00D23C75">
        <w:rPr>
          <w:rFonts w:ascii="Arial" w:eastAsia="Microsoft Sans Serif" w:hAnsi="Arial" w:cs="Arial"/>
          <w:sz w:val="20"/>
          <w:szCs w:val="20"/>
        </w:rPr>
        <w:lastRenderedPageBreak/>
        <w:t xml:space="preserve">microscopic examination, the pathogen was identified as </w:t>
      </w:r>
      <w:r w:rsidRPr="00D23C75">
        <w:rPr>
          <w:rFonts w:ascii="Arial" w:eastAsia="Microsoft Sans Serif" w:hAnsi="Arial" w:cs="Arial"/>
          <w:i/>
          <w:sz w:val="20"/>
          <w:szCs w:val="20"/>
        </w:rPr>
        <w:t>Alternaria alternata</w:t>
      </w:r>
      <w:r w:rsidRPr="00D23C75">
        <w:rPr>
          <w:rFonts w:ascii="Arial" w:eastAsia="Microsoft Sans Serif" w:hAnsi="Arial" w:cs="Arial"/>
          <w:sz w:val="20"/>
          <w:szCs w:val="20"/>
        </w:rPr>
        <w:t xml:space="preserve">, the causal organism of Alternaria leaf blight of groundnut (Kumar </w:t>
      </w:r>
      <w:r w:rsidRPr="00D23C75">
        <w:rPr>
          <w:rFonts w:ascii="Arial" w:eastAsia="Microsoft Sans Serif" w:hAnsi="Arial" w:cs="Arial"/>
          <w:i/>
          <w:sz w:val="20"/>
          <w:szCs w:val="20"/>
        </w:rPr>
        <w:t>et al.</w:t>
      </w:r>
      <w:r w:rsidRPr="00D23C75">
        <w:rPr>
          <w:rFonts w:ascii="Arial" w:eastAsia="Microsoft Sans Serif" w:hAnsi="Arial" w:cs="Arial"/>
          <w:sz w:val="20"/>
          <w:szCs w:val="20"/>
        </w:rPr>
        <w:t>, 2012; Reddy et al., 2019).</w:t>
      </w:r>
    </w:p>
    <w:p w14:paraId="1569B13F" w14:textId="77777777" w:rsidR="00F11EBD" w:rsidRPr="00D23C75" w:rsidRDefault="00AD066B" w:rsidP="00AD066B">
      <w:pPr>
        <w:pStyle w:val="BodyText"/>
        <w:ind w:firstLine="360"/>
        <w:rPr>
          <w:rFonts w:ascii="Arial" w:hAnsi="Arial" w:cs="Arial"/>
          <w:b/>
        </w:rPr>
      </w:pPr>
      <w:r w:rsidRPr="00D23C75">
        <w:rPr>
          <w:rFonts w:ascii="Arial" w:hAnsi="Arial" w:cs="Arial"/>
          <w:b/>
        </w:rPr>
        <w:t xml:space="preserve">2.2 </w:t>
      </w:r>
      <w:r w:rsidR="00F11EBD" w:rsidRPr="00D23C75">
        <w:rPr>
          <w:rFonts w:ascii="Arial" w:hAnsi="Arial" w:cs="Arial"/>
          <w:b/>
        </w:rPr>
        <w:t>In Vitro Evaluation of Systemic Fungicides</w:t>
      </w:r>
    </w:p>
    <w:p w14:paraId="12C177A9" w14:textId="77777777" w:rsidR="00312ABD" w:rsidRPr="00D23C75" w:rsidRDefault="00F11EBD" w:rsidP="00312ABD">
      <w:pPr>
        <w:pStyle w:val="BodyText"/>
        <w:spacing w:before="4" w:line="242" w:lineRule="auto"/>
        <w:ind w:left="360"/>
        <w:rPr>
          <w:rFonts w:ascii="Arial" w:hAnsi="Arial" w:cs="Arial"/>
        </w:rPr>
      </w:pPr>
      <w:r w:rsidRPr="00D23C75">
        <w:rPr>
          <w:rFonts w:ascii="Arial" w:hAnsi="Arial" w:cs="Arial"/>
        </w:rPr>
        <w:t xml:space="preserve">The fungitoxic potential of seven systemic fungicides was evaluated against </w:t>
      </w:r>
      <w:r w:rsidRPr="00D23C75">
        <w:rPr>
          <w:rFonts w:ascii="Arial" w:hAnsi="Arial" w:cs="Arial"/>
          <w:i/>
        </w:rPr>
        <w:t>Alternaria alternata</w:t>
      </w:r>
      <w:r w:rsidRPr="00D23C75">
        <w:rPr>
          <w:rFonts w:ascii="Arial" w:hAnsi="Arial" w:cs="Arial"/>
        </w:rPr>
        <w:t xml:space="preserve"> using the poisoned food technique (Vincent, 1947).</w:t>
      </w:r>
    </w:p>
    <w:p w14:paraId="23184399" w14:textId="77777777" w:rsidR="00312ABD" w:rsidRPr="00D23C75" w:rsidRDefault="00312ABD" w:rsidP="00AD066B">
      <w:pPr>
        <w:pStyle w:val="BodyText"/>
        <w:spacing w:before="4" w:line="242" w:lineRule="auto"/>
        <w:ind w:left="360"/>
        <w:rPr>
          <w:rFonts w:ascii="Arial" w:hAnsi="Arial" w:cs="Arial"/>
          <w:b/>
        </w:rPr>
      </w:pPr>
    </w:p>
    <w:p w14:paraId="74E5F6B5" w14:textId="77777777" w:rsidR="00F11EBD" w:rsidRPr="00D23C75" w:rsidRDefault="00F11EBD" w:rsidP="00AD066B">
      <w:pPr>
        <w:pStyle w:val="BodyText"/>
        <w:spacing w:before="4" w:line="242" w:lineRule="auto"/>
        <w:ind w:left="360"/>
        <w:rPr>
          <w:rFonts w:ascii="Arial" w:hAnsi="Arial" w:cs="Arial"/>
          <w:b/>
        </w:rPr>
      </w:pPr>
      <w:r w:rsidRPr="00D23C75">
        <w:rPr>
          <w:rFonts w:ascii="Arial" w:hAnsi="Arial" w:cs="Arial"/>
          <w:b/>
        </w:rPr>
        <w:t>Table 1</w:t>
      </w:r>
      <w:r w:rsidR="00312ABD" w:rsidRPr="00D23C75">
        <w:rPr>
          <w:rFonts w:ascii="Arial" w:hAnsi="Arial" w:cs="Arial"/>
          <w:b/>
        </w:rPr>
        <w:t>:</w:t>
      </w:r>
      <w:r w:rsidRPr="00D23C75">
        <w:rPr>
          <w:rFonts w:ascii="Arial" w:hAnsi="Arial" w:cs="Arial"/>
          <w:b/>
        </w:rPr>
        <w:t xml:space="preserve"> Details of systemic fungicides evaluated</w:t>
      </w:r>
    </w:p>
    <w:tbl>
      <w:tblPr>
        <w:tblW w:w="4824" w:type="pct"/>
        <w:tblInd w:w="35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0" w:type="dxa"/>
          <w:right w:w="0" w:type="dxa"/>
        </w:tblCellMar>
        <w:tblLook w:val="01E0" w:firstRow="1" w:lastRow="1" w:firstColumn="1" w:lastColumn="1" w:noHBand="0" w:noVBand="0"/>
      </w:tblPr>
      <w:tblGrid>
        <w:gridCol w:w="791"/>
        <w:gridCol w:w="3169"/>
        <w:gridCol w:w="1710"/>
        <w:gridCol w:w="1893"/>
        <w:gridCol w:w="2153"/>
      </w:tblGrid>
      <w:tr w:rsidR="00AD066B" w:rsidRPr="00D23C75" w14:paraId="1C29EEEF" w14:textId="77777777" w:rsidTr="00312ABD">
        <w:trPr>
          <w:trHeight w:val="485"/>
        </w:trPr>
        <w:tc>
          <w:tcPr>
            <w:tcW w:w="407" w:type="pct"/>
          </w:tcPr>
          <w:p w14:paraId="35366B73" w14:textId="77777777" w:rsidR="00AD066B" w:rsidRPr="00D23C75" w:rsidRDefault="00AD066B" w:rsidP="004B583B">
            <w:pPr>
              <w:pStyle w:val="TableParagraph"/>
              <w:spacing w:before="92"/>
              <w:ind w:left="27" w:right="180"/>
              <w:rPr>
                <w:rFonts w:ascii="Arial" w:hAnsi="Arial" w:cs="Arial"/>
                <w:sz w:val="21"/>
              </w:rPr>
            </w:pPr>
            <w:proofErr w:type="spellStart"/>
            <w:r w:rsidRPr="00D23C75">
              <w:rPr>
                <w:rFonts w:ascii="Arial" w:hAnsi="Arial" w:cs="Arial"/>
                <w:color w:val="1F1F1F"/>
                <w:spacing w:val="-2"/>
                <w:sz w:val="21"/>
              </w:rPr>
              <w:t>Tr.No</w:t>
            </w:r>
            <w:proofErr w:type="spellEnd"/>
            <w:r w:rsidRPr="00D23C75">
              <w:rPr>
                <w:rFonts w:ascii="Arial" w:hAnsi="Arial" w:cs="Arial"/>
                <w:color w:val="1F1F1F"/>
                <w:spacing w:val="-2"/>
                <w:sz w:val="21"/>
              </w:rPr>
              <w:t>.</w:t>
            </w:r>
          </w:p>
        </w:tc>
        <w:tc>
          <w:tcPr>
            <w:tcW w:w="1631" w:type="pct"/>
          </w:tcPr>
          <w:p w14:paraId="03C4F1A0" w14:textId="77777777" w:rsidR="00AD066B" w:rsidRPr="00D23C75" w:rsidRDefault="00AD066B" w:rsidP="004B583B">
            <w:pPr>
              <w:pStyle w:val="TableParagraph"/>
              <w:spacing w:before="92" w:line="242" w:lineRule="auto"/>
              <w:ind w:left="107" w:right="180"/>
              <w:jc w:val="left"/>
              <w:rPr>
                <w:rFonts w:ascii="Arial" w:hAnsi="Arial" w:cs="Arial"/>
                <w:sz w:val="21"/>
              </w:rPr>
            </w:pPr>
            <w:r w:rsidRPr="00D23C75">
              <w:rPr>
                <w:rFonts w:ascii="Arial" w:hAnsi="Arial" w:cs="Arial"/>
                <w:color w:val="1F1F1F"/>
                <w:spacing w:val="-2"/>
                <w:sz w:val="21"/>
              </w:rPr>
              <w:t>Fungicide</w:t>
            </w:r>
            <w:r w:rsidRPr="00D23C75">
              <w:rPr>
                <w:rFonts w:ascii="Arial" w:hAnsi="Arial" w:cs="Arial"/>
                <w:color w:val="1F1F1F"/>
                <w:spacing w:val="-12"/>
                <w:sz w:val="21"/>
              </w:rPr>
              <w:t xml:space="preserve"> </w:t>
            </w:r>
            <w:r w:rsidRPr="00D23C75">
              <w:rPr>
                <w:rFonts w:ascii="Arial" w:hAnsi="Arial" w:cs="Arial"/>
                <w:color w:val="1F1F1F"/>
                <w:spacing w:val="-2"/>
                <w:sz w:val="21"/>
              </w:rPr>
              <w:t xml:space="preserve">Common </w:t>
            </w:r>
            <w:r w:rsidRPr="00D23C75">
              <w:rPr>
                <w:rFonts w:ascii="Arial" w:hAnsi="Arial" w:cs="Arial"/>
                <w:color w:val="1F1F1F"/>
                <w:spacing w:val="-4"/>
                <w:sz w:val="21"/>
              </w:rPr>
              <w:t>Name</w:t>
            </w:r>
          </w:p>
        </w:tc>
        <w:tc>
          <w:tcPr>
            <w:tcW w:w="880" w:type="pct"/>
          </w:tcPr>
          <w:p w14:paraId="3576283F" w14:textId="77777777" w:rsidR="00AD066B" w:rsidRPr="00D23C75" w:rsidRDefault="00AD066B" w:rsidP="00D46366">
            <w:pPr>
              <w:pStyle w:val="TableParagraph"/>
              <w:spacing w:before="92" w:line="242" w:lineRule="auto"/>
              <w:ind w:left="263" w:right="180"/>
              <w:rPr>
                <w:rFonts w:ascii="Arial" w:hAnsi="Arial" w:cs="Arial"/>
                <w:sz w:val="21"/>
              </w:rPr>
            </w:pPr>
            <w:r w:rsidRPr="00D23C75">
              <w:rPr>
                <w:rFonts w:ascii="Arial" w:hAnsi="Arial" w:cs="Arial"/>
                <w:color w:val="1F1F1F"/>
                <w:spacing w:val="-2"/>
                <w:sz w:val="21"/>
              </w:rPr>
              <w:t xml:space="preserve">Trade </w:t>
            </w:r>
            <w:r w:rsidRPr="00D23C75">
              <w:rPr>
                <w:rFonts w:ascii="Arial" w:hAnsi="Arial" w:cs="Arial"/>
                <w:color w:val="1F1F1F"/>
                <w:spacing w:val="-5"/>
                <w:sz w:val="21"/>
              </w:rPr>
              <w:t>Name</w:t>
            </w:r>
          </w:p>
        </w:tc>
        <w:tc>
          <w:tcPr>
            <w:tcW w:w="974" w:type="pct"/>
          </w:tcPr>
          <w:p w14:paraId="10F2B74E" w14:textId="77777777" w:rsidR="00AD066B" w:rsidRPr="00D23C75" w:rsidRDefault="00AD066B" w:rsidP="004B583B">
            <w:pPr>
              <w:pStyle w:val="TableParagraph"/>
              <w:spacing w:before="92"/>
              <w:ind w:left="107" w:right="180"/>
              <w:jc w:val="left"/>
              <w:rPr>
                <w:rFonts w:ascii="Arial" w:hAnsi="Arial" w:cs="Arial"/>
                <w:sz w:val="21"/>
              </w:rPr>
            </w:pPr>
            <w:r w:rsidRPr="00D23C75">
              <w:rPr>
                <w:rFonts w:ascii="Arial" w:hAnsi="Arial" w:cs="Arial"/>
                <w:color w:val="1F1F1F"/>
                <w:spacing w:val="-2"/>
                <w:sz w:val="21"/>
              </w:rPr>
              <w:t>Active</w:t>
            </w:r>
            <w:r w:rsidRPr="00D23C75">
              <w:rPr>
                <w:rFonts w:ascii="Arial" w:hAnsi="Arial" w:cs="Arial"/>
                <w:color w:val="1F1F1F"/>
                <w:spacing w:val="-7"/>
                <w:sz w:val="21"/>
              </w:rPr>
              <w:t xml:space="preserve"> </w:t>
            </w:r>
            <w:r w:rsidRPr="00D23C75">
              <w:rPr>
                <w:rFonts w:ascii="Arial" w:hAnsi="Arial" w:cs="Arial"/>
                <w:color w:val="1F1F1F"/>
                <w:spacing w:val="-2"/>
                <w:sz w:val="21"/>
              </w:rPr>
              <w:t>Ingredient</w:t>
            </w:r>
            <w:r w:rsidR="00312ABD" w:rsidRPr="00D23C75">
              <w:rPr>
                <w:rFonts w:ascii="Arial" w:hAnsi="Arial" w:cs="Arial"/>
                <w:color w:val="1F1F1F"/>
                <w:spacing w:val="-2"/>
                <w:sz w:val="21"/>
              </w:rPr>
              <w:t xml:space="preserve"> </w:t>
            </w:r>
            <w:r w:rsidRPr="00D23C75">
              <w:rPr>
                <w:rFonts w:ascii="Arial" w:hAnsi="Arial" w:cs="Arial"/>
                <w:color w:val="1F1F1F"/>
                <w:spacing w:val="-2"/>
                <w:sz w:val="21"/>
              </w:rPr>
              <w:t>(%)</w:t>
            </w:r>
          </w:p>
        </w:tc>
        <w:tc>
          <w:tcPr>
            <w:tcW w:w="1108" w:type="pct"/>
          </w:tcPr>
          <w:p w14:paraId="4A6EEA93" w14:textId="77777777" w:rsidR="00AD066B" w:rsidRPr="00D23C75" w:rsidRDefault="00D46366" w:rsidP="00D46366">
            <w:pPr>
              <w:pStyle w:val="TableParagraph"/>
              <w:spacing w:before="92" w:line="242" w:lineRule="auto"/>
              <w:ind w:right="180"/>
              <w:rPr>
                <w:rFonts w:ascii="Arial" w:hAnsi="Arial" w:cs="Arial"/>
                <w:sz w:val="21"/>
              </w:rPr>
            </w:pPr>
            <w:r w:rsidRPr="00D23C75">
              <w:rPr>
                <w:rFonts w:ascii="Arial" w:hAnsi="Arial" w:cs="Arial"/>
                <w:color w:val="1F1F1F"/>
                <w:spacing w:val="-4"/>
                <w:sz w:val="21"/>
              </w:rPr>
              <w:t xml:space="preserve">Test </w:t>
            </w:r>
            <w:r w:rsidR="00AD066B" w:rsidRPr="00D23C75">
              <w:rPr>
                <w:rFonts w:ascii="Arial" w:hAnsi="Arial" w:cs="Arial"/>
                <w:color w:val="1F1F1F"/>
                <w:spacing w:val="-4"/>
                <w:sz w:val="21"/>
              </w:rPr>
              <w:t xml:space="preserve">Concentrations </w:t>
            </w:r>
            <w:r w:rsidR="00AD066B" w:rsidRPr="00D23C75">
              <w:rPr>
                <w:rFonts w:ascii="Arial" w:hAnsi="Arial" w:cs="Arial"/>
                <w:color w:val="1F1F1F"/>
                <w:spacing w:val="-2"/>
                <w:sz w:val="21"/>
              </w:rPr>
              <w:t>(ppm)</w:t>
            </w:r>
          </w:p>
        </w:tc>
      </w:tr>
      <w:tr w:rsidR="00AD066B" w:rsidRPr="00D23C75" w14:paraId="6C67B165" w14:textId="77777777" w:rsidTr="00312ABD">
        <w:trPr>
          <w:trHeight w:val="241"/>
        </w:trPr>
        <w:tc>
          <w:tcPr>
            <w:tcW w:w="407" w:type="pct"/>
          </w:tcPr>
          <w:p w14:paraId="0FBFFF06" w14:textId="77777777" w:rsidR="00AD066B" w:rsidRPr="00D23C75" w:rsidRDefault="00AD066B" w:rsidP="004B583B">
            <w:pPr>
              <w:pStyle w:val="TableParagraph"/>
              <w:spacing w:before="78" w:line="244" w:lineRule="exact"/>
              <w:ind w:left="0" w:right="180"/>
              <w:rPr>
                <w:rFonts w:ascii="Arial" w:hAnsi="Arial" w:cs="Arial"/>
                <w:sz w:val="15"/>
              </w:rPr>
            </w:pPr>
            <w:r w:rsidRPr="00D23C75">
              <w:rPr>
                <w:rFonts w:ascii="Arial" w:hAnsi="Arial" w:cs="Arial"/>
                <w:i/>
                <w:color w:val="1F1F1F"/>
                <w:spacing w:val="-5"/>
                <w:position w:val="2"/>
                <w:sz w:val="23"/>
              </w:rPr>
              <w:t>T</w:t>
            </w:r>
            <w:r w:rsidRPr="00D23C75">
              <w:rPr>
                <w:rFonts w:ascii="Arial" w:hAnsi="Arial" w:cs="Arial"/>
                <w:color w:val="1F1F1F"/>
                <w:spacing w:val="-5"/>
                <w:sz w:val="15"/>
              </w:rPr>
              <w:t>1</w:t>
            </w:r>
          </w:p>
        </w:tc>
        <w:tc>
          <w:tcPr>
            <w:tcW w:w="1631" w:type="pct"/>
          </w:tcPr>
          <w:p w14:paraId="53A7457F" w14:textId="77777777" w:rsidR="00AD066B" w:rsidRPr="00D23C75" w:rsidRDefault="00AD066B" w:rsidP="004B583B">
            <w:pPr>
              <w:pStyle w:val="TableParagraph"/>
              <w:spacing w:before="98" w:line="224" w:lineRule="exact"/>
              <w:ind w:left="263" w:right="180"/>
              <w:jc w:val="left"/>
              <w:rPr>
                <w:rFonts w:ascii="Arial" w:hAnsi="Arial" w:cs="Arial"/>
                <w:sz w:val="20"/>
              </w:rPr>
            </w:pPr>
            <w:r w:rsidRPr="00D23C75">
              <w:rPr>
                <w:rFonts w:ascii="Arial" w:hAnsi="Arial" w:cs="Arial"/>
                <w:sz w:val="20"/>
              </w:rPr>
              <w:t>Carbendazim 50 % WP</w:t>
            </w:r>
          </w:p>
        </w:tc>
        <w:tc>
          <w:tcPr>
            <w:tcW w:w="880" w:type="pct"/>
          </w:tcPr>
          <w:p w14:paraId="5321FB71" w14:textId="77777777" w:rsidR="00AD066B" w:rsidRPr="00D23C75" w:rsidRDefault="00AD066B" w:rsidP="00D46366">
            <w:pPr>
              <w:pStyle w:val="TableParagraph"/>
              <w:spacing w:before="98" w:line="224" w:lineRule="exact"/>
              <w:ind w:left="491" w:right="180"/>
              <w:jc w:val="both"/>
              <w:rPr>
                <w:rFonts w:ascii="Arial" w:hAnsi="Arial" w:cs="Arial"/>
                <w:sz w:val="20"/>
              </w:rPr>
            </w:pPr>
            <w:r w:rsidRPr="00D23C75">
              <w:rPr>
                <w:rFonts w:ascii="Arial" w:hAnsi="Arial" w:cs="Arial"/>
                <w:sz w:val="20"/>
              </w:rPr>
              <w:t>Bavistin</w:t>
            </w:r>
          </w:p>
        </w:tc>
        <w:tc>
          <w:tcPr>
            <w:tcW w:w="974" w:type="pct"/>
          </w:tcPr>
          <w:p w14:paraId="59B803E1" w14:textId="77777777" w:rsidR="00AD066B" w:rsidRPr="00D23C75" w:rsidRDefault="00AD066B" w:rsidP="004B583B">
            <w:pPr>
              <w:pStyle w:val="TableParagraph"/>
              <w:spacing w:before="98" w:line="224" w:lineRule="exact"/>
              <w:ind w:left="393" w:right="180"/>
              <w:jc w:val="left"/>
              <w:rPr>
                <w:rFonts w:ascii="Arial" w:hAnsi="Arial" w:cs="Arial"/>
                <w:sz w:val="20"/>
              </w:rPr>
            </w:pPr>
            <w:r w:rsidRPr="00D23C75">
              <w:rPr>
                <w:rFonts w:ascii="Arial" w:hAnsi="Arial" w:cs="Arial"/>
                <w:color w:val="1F1F1F"/>
                <w:spacing w:val="-9"/>
                <w:sz w:val="20"/>
              </w:rPr>
              <w:t>50%</w:t>
            </w:r>
            <w:r w:rsidRPr="00D23C75">
              <w:rPr>
                <w:rFonts w:ascii="Arial" w:hAnsi="Arial" w:cs="Arial"/>
                <w:color w:val="1F1F1F"/>
                <w:spacing w:val="-27"/>
                <w:sz w:val="20"/>
              </w:rPr>
              <w:t xml:space="preserve"> </w:t>
            </w:r>
            <w:r w:rsidRPr="00D23C75">
              <w:rPr>
                <w:rFonts w:ascii="Arial" w:hAnsi="Arial" w:cs="Arial"/>
                <w:color w:val="1F1F1F"/>
                <w:spacing w:val="-5"/>
                <w:sz w:val="20"/>
              </w:rPr>
              <w:t>WP</w:t>
            </w:r>
          </w:p>
        </w:tc>
        <w:tc>
          <w:tcPr>
            <w:tcW w:w="1108" w:type="pct"/>
          </w:tcPr>
          <w:p w14:paraId="0379A2D0" w14:textId="77777777" w:rsidR="00AD066B" w:rsidRPr="00D23C75" w:rsidRDefault="00AD066B" w:rsidP="004B583B">
            <w:pPr>
              <w:pStyle w:val="TableParagraph"/>
              <w:spacing w:before="98" w:line="224" w:lineRule="exact"/>
              <w:ind w:left="268" w:right="180"/>
              <w:jc w:val="left"/>
              <w:rPr>
                <w:rFonts w:ascii="Arial" w:hAnsi="Arial" w:cs="Arial"/>
                <w:sz w:val="20"/>
              </w:rPr>
            </w:pPr>
            <w:r w:rsidRPr="00D23C75">
              <w:rPr>
                <w:rFonts w:ascii="Arial" w:hAnsi="Arial" w:cs="Arial"/>
                <w:color w:val="1F1F1F"/>
                <w:spacing w:val="-2"/>
                <w:sz w:val="20"/>
              </w:rPr>
              <w:t>500,</w:t>
            </w:r>
            <w:r w:rsidRPr="00D23C75">
              <w:rPr>
                <w:rFonts w:ascii="Arial" w:hAnsi="Arial" w:cs="Arial"/>
                <w:color w:val="1F1F1F"/>
                <w:spacing w:val="-7"/>
                <w:sz w:val="20"/>
              </w:rPr>
              <w:t xml:space="preserve"> </w:t>
            </w:r>
            <w:r w:rsidRPr="00D23C75">
              <w:rPr>
                <w:rFonts w:ascii="Arial" w:hAnsi="Arial" w:cs="Arial"/>
                <w:color w:val="1F1F1F"/>
                <w:spacing w:val="-4"/>
                <w:sz w:val="20"/>
              </w:rPr>
              <w:t>1000</w:t>
            </w:r>
            <w:r w:rsidR="00312ABD" w:rsidRPr="00D23C75">
              <w:rPr>
                <w:rFonts w:ascii="Arial" w:hAnsi="Arial" w:cs="Arial"/>
                <w:color w:val="1F1F1F"/>
                <w:spacing w:val="-4"/>
                <w:sz w:val="20"/>
              </w:rPr>
              <w:t xml:space="preserve"> </w:t>
            </w:r>
          </w:p>
        </w:tc>
      </w:tr>
      <w:tr w:rsidR="00AD066B" w:rsidRPr="00D23C75" w14:paraId="1839AA78" w14:textId="77777777" w:rsidTr="00312ABD">
        <w:trPr>
          <w:trHeight w:val="410"/>
        </w:trPr>
        <w:tc>
          <w:tcPr>
            <w:tcW w:w="407" w:type="pct"/>
          </w:tcPr>
          <w:p w14:paraId="610D537F" w14:textId="77777777" w:rsidR="00AD066B" w:rsidRPr="00D23C75" w:rsidRDefault="00AD066B" w:rsidP="004B583B">
            <w:pPr>
              <w:pStyle w:val="TableParagraph"/>
              <w:spacing w:before="145" w:line="244" w:lineRule="exact"/>
              <w:ind w:left="0" w:right="180"/>
              <w:rPr>
                <w:rFonts w:ascii="Arial" w:hAnsi="Arial" w:cs="Arial"/>
                <w:sz w:val="15"/>
              </w:rPr>
            </w:pPr>
            <w:r w:rsidRPr="00D23C75">
              <w:rPr>
                <w:rFonts w:ascii="Arial" w:hAnsi="Arial" w:cs="Arial"/>
                <w:i/>
                <w:color w:val="1F1F1F"/>
                <w:spacing w:val="-5"/>
                <w:position w:val="2"/>
                <w:sz w:val="23"/>
              </w:rPr>
              <w:t>T</w:t>
            </w:r>
            <w:r w:rsidRPr="00D23C75">
              <w:rPr>
                <w:rFonts w:ascii="Arial" w:hAnsi="Arial" w:cs="Arial"/>
                <w:color w:val="1F1F1F"/>
                <w:spacing w:val="-5"/>
                <w:sz w:val="15"/>
              </w:rPr>
              <w:t>2</w:t>
            </w:r>
          </w:p>
        </w:tc>
        <w:tc>
          <w:tcPr>
            <w:tcW w:w="1631" w:type="pct"/>
          </w:tcPr>
          <w:p w14:paraId="574906E0" w14:textId="77777777" w:rsidR="00AD066B" w:rsidRPr="00D23C75" w:rsidRDefault="00AD066B" w:rsidP="004B583B">
            <w:pPr>
              <w:pStyle w:val="TableParagraph"/>
              <w:spacing w:before="166" w:line="224" w:lineRule="exact"/>
              <w:ind w:left="263" w:right="180"/>
              <w:jc w:val="left"/>
              <w:rPr>
                <w:rFonts w:ascii="Arial" w:hAnsi="Arial" w:cs="Arial"/>
                <w:sz w:val="20"/>
              </w:rPr>
            </w:pPr>
            <w:r w:rsidRPr="00D23C75">
              <w:rPr>
                <w:rFonts w:ascii="Arial" w:hAnsi="Arial" w:cs="Arial"/>
                <w:sz w:val="20"/>
              </w:rPr>
              <w:t>Tebuconazole 25.9 % EC</w:t>
            </w:r>
          </w:p>
        </w:tc>
        <w:tc>
          <w:tcPr>
            <w:tcW w:w="880" w:type="pct"/>
          </w:tcPr>
          <w:p w14:paraId="2799B41D" w14:textId="77777777" w:rsidR="00AD066B" w:rsidRPr="00D23C75" w:rsidRDefault="00AD066B" w:rsidP="00D46366">
            <w:pPr>
              <w:pStyle w:val="TableParagraph"/>
              <w:spacing w:before="166" w:line="224" w:lineRule="exact"/>
              <w:ind w:left="491" w:right="180"/>
              <w:jc w:val="both"/>
              <w:rPr>
                <w:rFonts w:ascii="Arial" w:hAnsi="Arial" w:cs="Arial"/>
                <w:sz w:val="20"/>
              </w:rPr>
            </w:pPr>
            <w:proofErr w:type="spellStart"/>
            <w:r w:rsidRPr="00D23C75">
              <w:rPr>
                <w:rFonts w:ascii="Arial" w:hAnsi="Arial" w:cs="Arial"/>
                <w:sz w:val="20"/>
              </w:rPr>
              <w:t>Folicur</w:t>
            </w:r>
            <w:proofErr w:type="spellEnd"/>
          </w:p>
        </w:tc>
        <w:tc>
          <w:tcPr>
            <w:tcW w:w="974" w:type="pct"/>
          </w:tcPr>
          <w:p w14:paraId="4E9F9639" w14:textId="77777777" w:rsidR="00AD066B" w:rsidRPr="00D23C75" w:rsidRDefault="00AD066B" w:rsidP="004B583B">
            <w:pPr>
              <w:pStyle w:val="TableParagraph"/>
              <w:spacing w:before="165" w:line="224" w:lineRule="exact"/>
              <w:ind w:left="393" w:right="180"/>
              <w:jc w:val="left"/>
              <w:rPr>
                <w:rFonts w:ascii="Arial" w:hAnsi="Arial" w:cs="Arial"/>
                <w:sz w:val="20"/>
              </w:rPr>
            </w:pPr>
            <w:r w:rsidRPr="00D23C75">
              <w:rPr>
                <w:rFonts w:ascii="Arial" w:hAnsi="Arial" w:cs="Arial"/>
                <w:sz w:val="20"/>
              </w:rPr>
              <w:t>25.9 % EC</w:t>
            </w:r>
          </w:p>
        </w:tc>
        <w:tc>
          <w:tcPr>
            <w:tcW w:w="1108" w:type="pct"/>
          </w:tcPr>
          <w:p w14:paraId="5B52F2CE" w14:textId="77777777" w:rsidR="00AD066B" w:rsidRPr="00D23C75" w:rsidRDefault="00AD066B" w:rsidP="004B583B">
            <w:pPr>
              <w:pStyle w:val="TableParagraph"/>
              <w:spacing w:before="166" w:line="224" w:lineRule="exact"/>
              <w:ind w:left="268" w:right="180"/>
              <w:jc w:val="left"/>
              <w:rPr>
                <w:rFonts w:ascii="Arial" w:hAnsi="Arial" w:cs="Arial"/>
                <w:sz w:val="20"/>
              </w:rPr>
            </w:pPr>
            <w:r w:rsidRPr="00D23C75">
              <w:rPr>
                <w:rFonts w:ascii="Arial" w:hAnsi="Arial" w:cs="Arial"/>
                <w:color w:val="1F1F1F"/>
                <w:spacing w:val="-2"/>
                <w:sz w:val="20"/>
              </w:rPr>
              <w:t>500,</w:t>
            </w:r>
            <w:r w:rsidRPr="00D23C75">
              <w:rPr>
                <w:rFonts w:ascii="Arial" w:hAnsi="Arial" w:cs="Arial"/>
                <w:color w:val="1F1F1F"/>
                <w:spacing w:val="-7"/>
                <w:sz w:val="20"/>
              </w:rPr>
              <w:t xml:space="preserve"> </w:t>
            </w:r>
            <w:r w:rsidRPr="00D23C75">
              <w:rPr>
                <w:rFonts w:ascii="Arial" w:hAnsi="Arial" w:cs="Arial"/>
                <w:color w:val="1F1F1F"/>
                <w:spacing w:val="-4"/>
                <w:sz w:val="20"/>
              </w:rPr>
              <w:t>1000</w:t>
            </w:r>
          </w:p>
        </w:tc>
      </w:tr>
      <w:tr w:rsidR="00AD066B" w:rsidRPr="00D23C75" w14:paraId="2F82454C" w14:textId="77777777" w:rsidTr="00312ABD">
        <w:trPr>
          <w:trHeight w:val="410"/>
        </w:trPr>
        <w:tc>
          <w:tcPr>
            <w:tcW w:w="407" w:type="pct"/>
          </w:tcPr>
          <w:p w14:paraId="774D8B11" w14:textId="77777777" w:rsidR="00AD066B" w:rsidRPr="00D23C75" w:rsidRDefault="00AD066B" w:rsidP="004B583B">
            <w:pPr>
              <w:pStyle w:val="TableParagraph"/>
              <w:spacing w:before="145" w:line="244" w:lineRule="exact"/>
              <w:ind w:left="0" w:right="180"/>
              <w:rPr>
                <w:rFonts w:ascii="Arial" w:hAnsi="Arial" w:cs="Arial"/>
                <w:sz w:val="15"/>
              </w:rPr>
            </w:pPr>
            <w:r w:rsidRPr="00D23C75">
              <w:rPr>
                <w:rFonts w:ascii="Arial" w:hAnsi="Arial" w:cs="Arial"/>
                <w:i/>
                <w:color w:val="1F1F1F"/>
                <w:spacing w:val="-5"/>
                <w:position w:val="2"/>
                <w:sz w:val="23"/>
              </w:rPr>
              <w:t>T</w:t>
            </w:r>
            <w:r w:rsidRPr="00D23C75">
              <w:rPr>
                <w:rFonts w:ascii="Arial" w:hAnsi="Arial" w:cs="Arial"/>
                <w:color w:val="1F1F1F"/>
                <w:spacing w:val="-5"/>
                <w:sz w:val="15"/>
              </w:rPr>
              <w:t>3</w:t>
            </w:r>
          </w:p>
        </w:tc>
        <w:tc>
          <w:tcPr>
            <w:tcW w:w="1631" w:type="pct"/>
          </w:tcPr>
          <w:p w14:paraId="74DD0455" w14:textId="77777777" w:rsidR="00AD066B" w:rsidRPr="00D23C75" w:rsidRDefault="00AD066B" w:rsidP="004B583B">
            <w:pPr>
              <w:pStyle w:val="TableParagraph"/>
              <w:spacing w:before="166" w:line="224" w:lineRule="exact"/>
              <w:ind w:left="263" w:right="180"/>
              <w:jc w:val="left"/>
              <w:rPr>
                <w:rFonts w:ascii="Arial" w:hAnsi="Arial" w:cs="Arial"/>
                <w:sz w:val="20"/>
              </w:rPr>
            </w:pPr>
            <w:r w:rsidRPr="00D23C75">
              <w:rPr>
                <w:rFonts w:ascii="Arial" w:hAnsi="Arial" w:cs="Arial"/>
                <w:sz w:val="20"/>
              </w:rPr>
              <w:t>Thiophanate methyl 70 % WP</w:t>
            </w:r>
          </w:p>
        </w:tc>
        <w:tc>
          <w:tcPr>
            <w:tcW w:w="880" w:type="pct"/>
          </w:tcPr>
          <w:p w14:paraId="5DFC2624" w14:textId="77777777" w:rsidR="00AD066B" w:rsidRPr="00D23C75" w:rsidRDefault="00AD066B" w:rsidP="00D46366">
            <w:pPr>
              <w:pStyle w:val="TableParagraph"/>
              <w:spacing w:before="165" w:line="224" w:lineRule="exact"/>
              <w:ind w:left="491" w:right="180"/>
              <w:jc w:val="both"/>
              <w:rPr>
                <w:rFonts w:ascii="Arial" w:hAnsi="Arial" w:cs="Arial"/>
                <w:sz w:val="20"/>
              </w:rPr>
            </w:pPr>
            <w:r w:rsidRPr="00D23C75">
              <w:rPr>
                <w:rFonts w:ascii="Arial" w:hAnsi="Arial" w:cs="Arial"/>
                <w:sz w:val="20"/>
              </w:rPr>
              <w:t>Roko</w:t>
            </w:r>
          </w:p>
        </w:tc>
        <w:tc>
          <w:tcPr>
            <w:tcW w:w="974" w:type="pct"/>
          </w:tcPr>
          <w:p w14:paraId="2D501742" w14:textId="77777777" w:rsidR="00AD066B" w:rsidRPr="00D23C75" w:rsidRDefault="00AD066B" w:rsidP="004B583B">
            <w:pPr>
              <w:pStyle w:val="TableParagraph"/>
              <w:spacing w:before="165" w:line="224" w:lineRule="exact"/>
              <w:ind w:left="393" w:right="180"/>
              <w:jc w:val="left"/>
              <w:rPr>
                <w:rFonts w:ascii="Arial" w:hAnsi="Arial" w:cs="Arial"/>
                <w:sz w:val="20"/>
              </w:rPr>
            </w:pPr>
            <w:r w:rsidRPr="00D23C75">
              <w:rPr>
                <w:rFonts w:ascii="Arial" w:hAnsi="Arial" w:cs="Arial"/>
                <w:sz w:val="20"/>
              </w:rPr>
              <w:t>70 % WP</w:t>
            </w:r>
          </w:p>
        </w:tc>
        <w:tc>
          <w:tcPr>
            <w:tcW w:w="1108" w:type="pct"/>
          </w:tcPr>
          <w:p w14:paraId="74991331" w14:textId="77777777" w:rsidR="00AD066B" w:rsidRPr="00D23C75" w:rsidRDefault="00AD066B" w:rsidP="004B583B">
            <w:pPr>
              <w:pStyle w:val="TableParagraph"/>
              <w:spacing w:before="166" w:line="224" w:lineRule="exact"/>
              <w:ind w:left="268" w:right="180"/>
              <w:jc w:val="left"/>
              <w:rPr>
                <w:rFonts w:ascii="Arial" w:hAnsi="Arial" w:cs="Arial"/>
                <w:sz w:val="20"/>
              </w:rPr>
            </w:pPr>
            <w:r w:rsidRPr="00D23C75">
              <w:rPr>
                <w:rFonts w:ascii="Arial" w:hAnsi="Arial" w:cs="Arial"/>
                <w:color w:val="1F1F1F"/>
                <w:spacing w:val="-2"/>
                <w:sz w:val="20"/>
              </w:rPr>
              <w:t>500,</w:t>
            </w:r>
            <w:r w:rsidRPr="00D23C75">
              <w:rPr>
                <w:rFonts w:ascii="Arial" w:hAnsi="Arial" w:cs="Arial"/>
                <w:color w:val="1F1F1F"/>
                <w:spacing w:val="-7"/>
                <w:sz w:val="20"/>
              </w:rPr>
              <w:t xml:space="preserve"> </w:t>
            </w:r>
            <w:r w:rsidRPr="00D23C75">
              <w:rPr>
                <w:rFonts w:ascii="Arial" w:hAnsi="Arial" w:cs="Arial"/>
                <w:color w:val="1F1F1F"/>
                <w:spacing w:val="-4"/>
                <w:sz w:val="20"/>
              </w:rPr>
              <w:t>1000</w:t>
            </w:r>
          </w:p>
        </w:tc>
      </w:tr>
      <w:tr w:rsidR="00AD066B" w:rsidRPr="00D23C75" w14:paraId="572F7468" w14:textId="77777777" w:rsidTr="00312ABD">
        <w:trPr>
          <w:trHeight w:val="419"/>
        </w:trPr>
        <w:tc>
          <w:tcPr>
            <w:tcW w:w="407" w:type="pct"/>
          </w:tcPr>
          <w:p w14:paraId="33A9503F" w14:textId="77777777" w:rsidR="00AD066B" w:rsidRPr="00D23C75" w:rsidRDefault="00AD066B" w:rsidP="004B583B">
            <w:pPr>
              <w:pStyle w:val="TableParagraph"/>
              <w:spacing w:before="155" w:line="244" w:lineRule="exact"/>
              <w:ind w:left="0" w:right="180"/>
              <w:rPr>
                <w:rFonts w:ascii="Arial" w:hAnsi="Arial" w:cs="Arial"/>
                <w:sz w:val="15"/>
              </w:rPr>
            </w:pPr>
            <w:r w:rsidRPr="00D23C75">
              <w:rPr>
                <w:rFonts w:ascii="Arial" w:hAnsi="Arial" w:cs="Arial"/>
                <w:i/>
                <w:color w:val="1F1F1F"/>
                <w:spacing w:val="-5"/>
                <w:position w:val="2"/>
                <w:sz w:val="23"/>
              </w:rPr>
              <w:t>T</w:t>
            </w:r>
            <w:r w:rsidRPr="00D23C75">
              <w:rPr>
                <w:rFonts w:ascii="Arial" w:hAnsi="Arial" w:cs="Arial"/>
                <w:color w:val="1F1F1F"/>
                <w:spacing w:val="-5"/>
                <w:sz w:val="15"/>
              </w:rPr>
              <w:t>4</w:t>
            </w:r>
          </w:p>
        </w:tc>
        <w:tc>
          <w:tcPr>
            <w:tcW w:w="1631" w:type="pct"/>
          </w:tcPr>
          <w:p w14:paraId="01786059" w14:textId="77777777" w:rsidR="00AD066B" w:rsidRPr="00D23C75" w:rsidRDefault="00AD066B" w:rsidP="004B583B">
            <w:pPr>
              <w:pStyle w:val="TableParagraph"/>
              <w:spacing w:before="175" w:line="224" w:lineRule="exact"/>
              <w:ind w:left="263" w:right="180"/>
              <w:jc w:val="left"/>
              <w:rPr>
                <w:rFonts w:ascii="Arial" w:hAnsi="Arial" w:cs="Arial"/>
                <w:sz w:val="20"/>
              </w:rPr>
            </w:pPr>
            <w:r w:rsidRPr="00D23C75">
              <w:rPr>
                <w:rFonts w:ascii="Arial" w:hAnsi="Arial" w:cs="Arial"/>
                <w:sz w:val="20"/>
              </w:rPr>
              <w:t>Propiconazole 25 % EC</w:t>
            </w:r>
          </w:p>
        </w:tc>
        <w:tc>
          <w:tcPr>
            <w:tcW w:w="880" w:type="pct"/>
          </w:tcPr>
          <w:p w14:paraId="0214F98C" w14:textId="77777777" w:rsidR="00AD066B" w:rsidRPr="00D23C75" w:rsidRDefault="00AD066B" w:rsidP="00D46366">
            <w:pPr>
              <w:pStyle w:val="TableParagraph"/>
              <w:spacing w:before="175" w:line="224" w:lineRule="exact"/>
              <w:ind w:left="491" w:right="180"/>
              <w:jc w:val="both"/>
              <w:rPr>
                <w:rFonts w:ascii="Arial" w:hAnsi="Arial" w:cs="Arial"/>
                <w:sz w:val="20"/>
              </w:rPr>
            </w:pPr>
            <w:r w:rsidRPr="00D23C75">
              <w:rPr>
                <w:rFonts w:ascii="Arial" w:hAnsi="Arial" w:cs="Arial"/>
                <w:sz w:val="20"/>
              </w:rPr>
              <w:t>Tilt</w:t>
            </w:r>
          </w:p>
        </w:tc>
        <w:tc>
          <w:tcPr>
            <w:tcW w:w="974" w:type="pct"/>
          </w:tcPr>
          <w:p w14:paraId="79B620B6" w14:textId="77777777" w:rsidR="00AD066B" w:rsidRPr="00D23C75" w:rsidRDefault="00AD066B" w:rsidP="004B583B">
            <w:pPr>
              <w:pStyle w:val="TableParagraph"/>
              <w:spacing w:before="175" w:line="224" w:lineRule="exact"/>
              <w:ind w:left="393" w:right="180"/>
              <w:jc w:val="left"/>
              <w:rPr>
                <w:rFonts w:ascii="Arial" w:hAnsi="Arial" w:cs="Arial"/>
                <w:sz w:val="20"/>
              </w:rPr>
            </w:pPr>
            <w:r w:rsidRPr="00D23C75">
              <w:rPr>
                <w:rFonts w:ascii="Arial" w:hAnsi="Arial" w:cs="Arial"/>
                <w:sz w:val="20"/>
              </w:rPr>
              <w:t>25 % EC</w:t>
            </w:r>
          </w:p>
        </w:tc>
        <w:tc>
          <w:tcPr>
            <w:tcW w:w="1108" w:type="pct"/>
          </w:tcPr>
          <w:p w14:paraId="5B11DBF0" w14:textId="77777777" w:rsidR="00AD066B" w:rsidRPr="00D23C75" w:rsidRDefault="00AD066B" w:rsidP="004B583B">
            <w:pPr>
              <w:pStyle w:val="TableParagraph"/>
              <w:spacing w:before="175" w:line="224" w:lineRule="exact"/>
              <w:ind w:left="268" w:right="180"/>
              <w:jc w:val="left"/>
              <w:rPr>
                <w:rFonts w:ascii="Arial" w:hAnsi="Arial" w:cs="Arial"/>
                <w:sz w:val="20"/>
              </w:rPr>
            </w:pPr>
            <w:r w:rsidRPr="00D23C75">
              <w:rPr>
                <w:rFonts w:ascii="Arial" w:hAnsi="Arial" w:cs="Arial"/>
                <w:color w:val="1F1F1F"/>
                <w:spacing w:val="-2"/>
                <w:sz w:val="20"/>
              </w:rPr>
              <w:t>500,</w:t>
            </w:r>
            <w:r w:rsidRPr="00D23C75">
              <w:rPr>
                <w:rFonts w:ascii="Arial" w:hAnsi="Arial" w:cs="Arial"/>
                <w:color w:val="1F1F1F"/>
                <w:spacing w:val="-7"/>
                <w:sz w:val="20"/>
              </w:rPr>
              <w:t xml:space="preserve"> </w:t>
            </w:r>
            <w:r w:rsidRPr="00D23C75">
              <w:rPr>
                <w:rFonts w:ascii="Arial" w:hAnsi="Arial" w:cs="Arial"/>
                <w:color w:val="1F1F1F"/>
                <w:spacing w:val="-4"/>
                <w:sz w:val="20"/>
              </w:rPr>
              <w:t>1000</w:t>
            </w:r>
          </w:p>
        </w:tc>
      </w:tr>
      <w:tr w:rsidR="00AD066B" w:rsidRPr="00D23C75" w14:paraId="6B2842F0" w14:textId="77777777" w:rsidTr="00312ABD">
        <w:trPr>
          <w:trHeight w:val="417"/>
        </w:trPr>
        <w:tc>
          <w:tcPr>
            <w:tcW w:w="407" w:type="pct"/>
          </w:tcPr>
          <w:p w14:paraId="52919B0A" w14:textId="77777777" w:rsidR="00AD066B" w:rsidRPr="00D23C75" w:rsidRDefault="00AD066B" w:rsidP="004B583B">
            <w:pPr>
              <w:pStyle w:val="TableParagraph"/>
              <w:spacing w:before="153" w:line="244" w:lineRule="exact"/>
              <w:ind w:left="0" w:right="180"/>
              <w:rPr>
                <w:rFonts w:ascii="Arial" w:hAnsi="Arial" w:cs="Arial"/>
                <w:sz w:val="15"/>
              </w:rPr>
            </w:pPr>
            <w:r w:rsidRPr="00D23C75">
              <w:rPr>
                <w:rFonts w:ascii="Arial" w:hAnsi="Arial" w:cs="Arial"/>
                <w:i/>
                <w:color w:val="1F1F1F"/>
                <w:spacing w:val="-5"/>
                <w:position w:val="2"/>
                <w:sz w:val="23"/>
              </w:rPr>
              <w:t>T</w:t>
            </w:r>
            <w:r w:rsidRPr="00D23C75">
              <w:rPr>
                <w:rFonts w:ascii="Arial" w:hAnsi="Arial" w:cs="Arial"/>
                <w:color w:val="1F1F1F"/>
                <w:spacing w:val="-5"/>
                <w:sz w:val="15"/>
              </w:rPr>
              <w:t>5</w:t>
            </w:r>
          </w:p>
        </w:tc>
        <w:tc>
          <w:tcPr>
            <w:tcW w:w="1631" w:type="pct"/>
          </w:tcPr>
          <w:p w14:paraId="36F59FA2" w14:textId="77777777" w:rsidR="00AD066B" w:rsidRPr="00D23C75" w:rsidRDefault="00AD066B" w:rsidP="004B583B">
            <w:pPr>
              <w:pStyle w:val="TableParagraph"/>
              <w:spacing w:before="173" w:line="224" w:lineRule="exact"/>
              <w:ind w:left="263" w:right="180"/>
              <w:jc w:val="left"/>
              <w:rPr>
                <w:rFonts w:ascii="Arial" w:hAnsi="Arial" w:cs="Arial"/>
                <w:sz w:val="20"/>
              </w:rPr>
            </w:pPr>
            <w:r w:rsidRPr="00D23C75">
              <w:rPr>
                <w:rFonts w:ascii="Arial" w:hAnsi="Arial" w:cs="Arial"/>
                <w:sz w:val="20"/>
              </w:rPr>
              <w:t>Hexaconazole 5 % EC</w:t>
            </w:r>
          </w:p>
        </w:tc>
        <w:tc>
          <w:tcPr>
            <w:tcW w:w="880" w:type="pct"/>
          </w:tcPr>
          <w:p w14:paraId="07F9CAE5" w14:textId="77777777" w:rsidR="00AD066B" w:rsidRPr="00D23C75" w:rsidRDefault="00AD066B" w:rsidP="00D46366">
            <w:pPr>
              <w:pStyle w:val="TableParagraph"/>
              <w:spacing w:before="173" w:line="224" w:lineRule="exact"/>
              <w:ind w:left="491" w:right="180"/>
              <w:jc w:val="both"/>
              <w:rPr>
                <w:rFonts w:ascii="Arial" w:hAnsi="Arial" w:cs="Arial"/>
                <w:sz w:val="20"/>
              </w:rPr>
            </w:pPr>
            <w:proofErr w:type="spellStart"/>
            <w:r w:rsidRPr="00D23C75">
              <w:rPr>
                <w:rFonts w:ascii="Arial" w:hAnsi="Arial" w:cs="Arial"/>
                <w:sz w:val="20"/>
              </w:rPr>
              <w:t>Contaf</w:t>
            </w:r>
            <w:proofErr w:type="spellEnd"/>
          </w:p>
        </w:tc>
        <w:tc>
          <w:tcPr>
            <w:tcW w:w="974" w:type="pct"/>
          </w:tcPr>
          <w:p w14:paraId="14E959C8" w14:textId="77777777" w:rsidR="00AD066B" w:rsidRPr="00D23C75" w:rsidRDefault="00AD066B" w:rsidP="004B583B">
            <w:pPr>
              <w:pStyle w:val="TableParagraph"/>
              <w:spacing w:before="173" w:line="224" w:lineRule="exact"/>
              <w:ind w:left="393" w:right="180"/>
              <w:jc w:val="left"/>
              <w:rPr>
                <w:rFonts w:ascii="Arial" w:hAnsi="Arial" w:cs="Arial"/>
                <w:sz w:val="20"/>
              </w:rPr>
            </w:pPr>
            <w:r w:rsidRPr="00D23C75">
              <w:rPr>
                <w:rFonts w:ascii="Arial" w:hAnsi="Arial" w:cs="Arial"/>
                <w:sz w:val="20"/>
              </w:rPr>
              <w:t>5 % EC</w:t>
            </w:r>
          </w:p>
        </w:tc>
        <w:tc>
          <w:tcPr>
            <w:tcW w:w="1108" w:type="pct"/>
          </w:tcPr>
          <w:p w14:paraId="57261609" w14:textId="77777777" w:rsidR="00AD066B" w:rsidRPr="00D23C75" w:rsidRDefault="00AD066B" w:rsidP="004B583B">
            <w:pPr>
              <w:pStyle w:val="TableParagraph"/>
              <w:spacing w:before="173" w:line="224" w:lineRule="exact"/>
              <w:ind w:left="268" w:right="180"/>
              <w:jc w:val="left"/>
              <w:rPr>
                <w:rFonts w:ascii="Arial" w:hAnsi="Arial" w:cs="Arial"/>
                <w:sz w:val="20"/>
              </w:rPr>
            </w:pPr>
            <w:r w:rsidRPr="00D23C75">
              <w:rPr>
                <w:rFonts w:ascii="Arial" w:hAnsi="Arial" w:cs="Arial"/>
                <w:color w:val="1F1F1F"/>
                <w:spacing w:val="-2"/>
                <w:sz w:val="20"/>
              </w:rPr>
              <w:t>500,</w:t>
            </w:r>
            <w:r w:rsidRPr="00D23C75">
              <w:rPr>
                <w:rFonts w:ascii="Arial" w:hAnsi="Arial" w:cs="Arial"/>
                <w:color w:val="1F1F1F"/>
                <w:spacing w:val="-7"/>
                <w:sz w:val="20"/>
              </w:rPr>
              <w:t xml:space="preserve"> </w:t>
            </w:r>
            <w:r w:rsidRPr="00D23C75">
              <w:rPr>
                <w:rFonts w:ascii="Arial" w:hAnsi="Arial" w:cs="Arial"/>
                <w:color w:val="1F1F1F"/>
                <w:spacing w:val="-4"/>
                <w:sz w:val="20"/>
              </w:rPr>
              <w:t>1000</w:t>
            </w:r>
          </w:p>
        </w:tc>
      </w:tr>
      <w:tr w:rsidR="00AD066B" w:rsidRPr="00D23C75" w14:paraId="49EE352D" w14:textId="77777777" w:rsidTr="00312ABD">
        <w:trPr>
          <w:trHeight w:val="410"/>
        </w:trPr>
        <w:tc>
          <w:tcPr>
            <w:tcW w:w="407" w:type="pct"/>
          </w:tcPr>
          <w:p w14:paraId="029CF211" w14:textId="77777777" w:rsidR="00AD066B" w:rsidRPr="00D23C75" w:rsidRDefault="00AD066B" w:rsidP="004B583B">
            <w:pPr>
              <w:pStyle w:val="TableParagraph"/>
              <w:spacing w:before="145" w:line="244" w:lineRule="exact"/>
              <w:ind w:left="0" w:right="180"/>
              <w:rPr>
                <w:rFonts w:ascii="Arial" w:hAnsi="Arial" w:cs="Arial"/>
                <w:sz w:val="15"/>
              </w:rPr>
            </w:pPr>
            <w:r w:rsidRPr="00D23C75">
              <w:rPr>
                <w:rFonts w:ascii="Arial" w:hAnsi="Arial" w:cs="Arial"/>
                <w:i/>
                <w:color w:val="1F1F1F"/>
                <w:spacing w:val="-5"/>
                <w:position w:val="2"/>
                <w:sz w:val="23"/>
              </w:rPr>
              <w:t>T</w:t>
            </w:r>
            <w:r w:rsidRPr="00D23C75">
              <w:rPr>
                <w:rFonts w:ascii="Arial" w:hAnsi="Arial" w:cs="Arial"/>
                <w:color w:val="1F1F1F"/>
                <w:spacing w:val="-5"/>
                <w:sz w:val="15"/>
              </w:rPr>
              <w:t>6</w:t>
            </w:r>
          </w:p>
        </w:tc>
        <w:tc>
          <w:tcPr>
            <w:tcW w:w="1631" w:type="pct"/>
          </w:tcPr>
          <w:p w14:paraId="59FF39D6" w14:textId="77777777" w:rsidR="00AD066B" w:rsidRPr="00D23C75" w:rsidRDefault="00AD066B" w:rsidP="004B583B">
            <w:pPr>
              <w:pStyle w:val="TableParagraph"/>
              <w:spacing w:before="166" w:line="224" w:lineRule="exact"/>
              <w:ind w:left="263" w:right="180"/>
              <w:jc w:val="left"/>
              <w:rPr>
                <w:rFonts w:ascii="Arial" w:hAnsi="Arial" w:cs="Arial"/>
                <w:sz w:val="20"/>
              </w:rPr>
            </w:pPr>
            <w:proofErr w:type="spellStart"/>
            <w:r w:rsidRPr="00D23C75">
              <w:rPr>
                <w:rFonts w:ascii="Arial" w:hAnsi="Arial" w:cs="Arial"/>
                <w:sz w:val="20"/>
              </w:rPr>
              <w:t>Pyraclostrobin</w:t>
            </w:r>
            <w:proofErr w:type="spellEnd"/>
            <w:r w:rsidRPr="00D23C75">
              <w:rPr>
                <w:rFonts w:ascii="Arial" w:hAnsi="Arial" w:cs="Arial"/>
                <w:sz w:val="20"/>
              </w:rPr>
              <w:t xml:space="preserve"> 20 % WG</w:t>
            </w:r>
          </w:p>
        </w:tc>
        <w:tc>
          <w:tcPr>
            <w:tcW w:w="880" w:type="pct"/>
          </w:tcPr>
          <w:p w14:paraId="2F5AA169" w14:textId="77777777" w:rsidR="00AD066B" w:rsidRPr="00D23C75" w:rsidRDefault="00AD066B" w:rsidP="00D46366">
            <w:pPr>
              <w:pStyle w:val="TableParagraph"/>
              <w:spacing w:before="166" w:line="224" w:lineRule="exact"/>
              <w:ind w:left="491" w:right="180"/>
              <w:jc w:val="both"/>
              <w:rPr>
                <w:rFonts w:ascii="Arial" w:hAnsi="Arial" w:cs="Arial"/>
                <w:sz w:val="20"/>
              </w:rPr>
            </w:pPr>
            <w:r w:rsidRPr="00D23C75">
              <w:rPr>
                <w:rFonts w:ascii="Arial" w:hAnsi="Arial" w:cs="Arial"/>
                <w:sz w:val="20"/>
              </w:rPr>
              <w:t>Headline</w:t>
            </w:r>
          </w:p>
        </w:tc>
        <w:tc>
          <w:tcPr>
            <w:tcW w:w="974" w:type="pct"/>
          </w:tcPr>
          <w:p w14:paraId="42EEFB62" w14:textId="77777777" w:rsidR="00AD066B" w:rsidRPr="00D23C75" w:rsidRDefault="00AD066B" w:rsidP="004B583B">
            <w:pPr>
              <w:pStyle w:val="TableParagraph"/>
              <w:spacing w:before="165" w:line="224" w:lineRule="exact"/>
              <w:ind w:left="393" w:right="180"/>
              <w:jc w:val="left"/>
              <w:rPr>
                <w:rFonts w:ascii="Arial" w:hAnsi="Arial" w:cs="Arial"/>
                <w:sz w:val="20"/>
              </w:rPr>
            </w:pPr>
            <w:r w:rsidRPr="00D23C75">
              <w:rPr>
                <w:rFonts w:ascii="Arial" w:hAnsi="Arial" w:cs="Arial"/>
                <w:sz w:val="20"/>
              </w:rPr>
              <w:t>20 % WG</w:t>
            </w:r>
          </w:p>
        </w:tc>
        <w:tc>
          <w:tcPr>
            <w:tcW w:w="1108" w:type="pct"/>
          </w:tcPr>
          <w:p w14:paraId="652EA7F4" w14:textId="77777777" w:rsidR="00AD066B" w:rsidRPr="00D23C75" w:rsidRDefault="00AD066B" w:rsidP="004B583B">
            <w:pPr>
              <w:pStyle w:val="TableParagraph"/>
              <w:spacing w:before="166" w:line="224" w:lineRule="exact"/>
              <w:ind w:left="268" w:right="180"/>
              <w:jc w:val="left"/>
              <w:rPr>
                <w:rFonts w:ascii="Arial" w:hAnsi="Arial" w:cs="Arial"/>
                <w:sz w:val="20"/>
              </w:rPr>
            </w:pPr>
            <w:r w:rsidRPr="00D23C75">
              <w:rPr>
                <w:rFonts w:ascii="Arial" w:hAnsi="Arial" w:cs="Arial"/>
                <w:color w:val="1F1F1F"/>
                <w:spacing w:val="-2"/>
                <w:sz w:val="20"/>
              </w:rPr>
              <w:t>500,</w:t>
            </w:r>
            <w:r w:rsidRPr="00D23C75">
              <w:rPr>
                <w:rFonts w:ascii="Arial" w:hAnsi="Arial" w:cs="Arial"/>
                <w:color w:val="1F1F1F"/>
                <w:spacing w:val="-7"/>
                <w:sz w:val="20"/>
              </w:rPr>
              <w:t xml:space="preserve"> </w:t>
            </w:r>
            <w:r w:rsidRPr="00D23C75">
              <w:rPr>
                <w:rFonts w:ascii="Arial" w:hAnsi="Arial" w:cs="Arial"/>
                <w:color w:val="1F1F1F"/>
                <w:spacing w:val="-4"/>
                <w:sz w:val="20"/>
              </w:rPr>
              <w:t>1000</w:t>
            </w:r>
          </w:p>
        </w:tc>
      </w:tr>
      <w:tr w:rsidR="00AD066B" w:rsidRPr="00D23C75" w14:paraId="61B79297" w14:textId="77777777" w:rsidTr="00312ABD">
        <w:trPr>
          <w:trHeight w:val="417"/>
        </w:trPr>
        <w:tc>
          <w:tcPr>
            <w:tcW w:w="407" w:type="pct"/>
          </w:tcPr>
          <w:p w14:paraId="527ACAA6" w14:textId="77777777" w:rsidR="00AD066B" w:rsidRPr="00D23C75" w:rsidRDefault="00AD066B" w:rsidP="004B583B">
            <w:pPr>
              <w:pStyle w:val="TableParagraph"/>
              <w:spacing w:before="153" w:line="244" w:lineRule="exact"/>
              <w:ind w:left="0" w:right="180"/>
              <w:rPr>
                <w:rFonts w:ascii="Arial" w:hAnsi="Arial" w:cs="Arial"/>
                <w:sz w:val="15"/>
              </w:rPr>
            </w:pPr>
            <w:r w:rsidRPr="00D23C75">
              <w:rPr>
                <w:rFonts w:ascii="Arial" w:hAnsi="Arial" w:cs="Arial"/>
                <w:i/>
                <w:color w:val="1F1F1F"/>
                <w:spacing w:val="-5"/>
                <w:position w:val="2"/>
                <w:sz w:val="23"/>
              </w:rPr>
              <w:t>T</w:t>
            </w:r>
            <w:r w:rsidRPr="00D23C75">
              <w:rPr>
                <w:rFonts w:ascii="Arial" w:hAnsi="Arial" w:cs="Arial"/>
                <w:color w:val="1F1F1F"/>
                <w:spacing w:val="-5"/>
                <w:sz w:val="15"/>
              </w:rPr>
              <w:t>7</w:t>
            </w:r>
          </w:p>
        </w:tc>
        <w:tc>
          <w:tcPr>
            <w:tcW w:w="1631" w:type="pct"/>
          </w:tcPr>
          <w:p w14:paraId="4BBD3133" w14:textId="77777777" w:rsidR="00AD066B" w:rsidRPr="00D23C75" w:rsidRDefault="00AD066B" w:rsidP="004B583B">
            <w:pPr>
              <w:pStyle w:val="TableParagraph"/>
              <w:spacing w:before="173" w:line="224" w:lineRule="exact"/>
              <w:ind w:left="263" w:right="180"/>
              <w:jc w:val="left"/>
              <w:rPr>
                <w:rFonts w:ascii="Arial" w:hAnsi="Arial" w:cs="Arial"/>
                <w:sz w:val="20"/>
              </w:rPr>
            </w:pPr>
            <w:r w:rsidRPr="00D23C75">
              <w:rPr>
                <w:rFonts w:ascii="Arial" w:hAnsi="Arial" w:cs="Arial"/>
                <w:sz w:val="20"/>
              </w:rPr>
              <w:t>Difen</w:t>
            </w:r>
            <w:r w:rsidR="00954729" w:rsidRPr="00D23C75">
              <w:rPr>
                <w:rFonts w:ascii="Arial" w:hAnsi="Arial" w:cs="Arial"/>
                <w:sz w:val="20"/>
              </w:rPr>
              <w:t>o</w:t>
            </w:r>
            <w:r w:rsidRPr="00D23C75">
              <w:rPr>
                <w:rFonts w:ascii="Arial" w:hAnsi="Arial" w:cs="Arial"/>
                <w:sz w:val="20"/>
              </w:rPr>
              <w:t>conazole 25 % EC</w:t>
            </w:r>
          </w:p>
        </w:tc>
        <w:tc>
          <w:tcPr>
            <w:tcW w:w="880" w:type="pct"/>
          </w:tcPr>
          <w:p w14:paraId="341544C6" w14:textId="77777777" w:rsidR="00AD066B" w:rsidRPr="00D23C75" w:rsidRDefault="00AD066B" w:rsidP="00D46366">
            <w:pPr>
              <w:pStyle w:val="TableParagraph"/>
              <w:spacing w:before="173" w:line="224" w:lineRule="exact"/>
              <w:ind w:left="491" w:right="180"/>
              <w:jc w:val="both"/>
              <w:rPr>
                <w:rFonts w:ascii="Arial" w:hAnsi="Arial" w:cs="Arial"/>
                <w:sz w:val="20"/>
              </w:rPr>
            </w:pPr>
            <w:r w:rsidRPr="00D23C75">
              <w:rPr>
                <w:rFonts w:ascii="Arial" w:hAnsi="Arial" w:cs="Arial"/>
                <w:sz w:val="20"/>
              </w:rPr>
              <w:t>Score</w:t>
            </w:r>
          </w:p>
        </w:tc>
        <w:tc>
          <w:tcPr>
            <w:tcW w:w="974" w:type="pct"/>
          </w:tcPr>
          <w:p w14:paraId="2EFC3234" w14:textId="77777777" w:rsidR="00AD066B" w:rsidRPr="00D23C75" w:rsidRDefault="00AD066B" w:rsidP="004B583B">
            <w:pPr>
              <w:pStyle w:val="TableParagraph"/>
              <w:spacing w:before="173" w:line="224" w:lineRule="exact"/>
              <w:ind w:left="393" w:right="180"/>
              <w:jc w:val="left"/>
              <w:rPr>
                <w:rFonts w:ascii="Arial" w:hAnsi="Arial" w:cs="Arial"/>
                <w:sz w:val="20"/>
              </w:rPr>
            </w:pPr>
            <w:r w:rsidRPr="00D23C75">
              <w:rPr>
                <w:rFonts w:ascii="Arial" w:hAnsi="Arial" w:cs="Arial"/>
                <w:sz w:val="20"/>
              </w:rPr>
              <w:t>25 % EC</w:t>
            </w:r>
          </w:p>
        </w:tc>
        <w:tc>
          <w:tcPr>
            <w:tcW w:w="1108" w:type="pct"/>
          </w:tcPr>
          <w:p w14:paraId="1C1EB94D" w14:textId="77777777" w:rsidR="00AD066B" w:rsidRPr="00D23C75" w:rsidRDefault="00AD066B" w:rsidP="004B583B">
            <w:pPr>
              <w:pStyle w:val="TableParagraph"/>
              <w:spacing w:before="173" w:line="224" w:lineRule="exact"/>
              <w:ind w:left="268" w:right="180"/>
              <w:jc w:val="left"/>
              <w:rPr>
                <w:rFonts w:ascii="Arial" w:hAnsi="Arial" w:cs="Arial"/>
                <w:sz w:val="20"/>
              </w:rPr>
            </w:pPr>
            <w:r w:rsidRPr="00D23C75">
              <w:rPr>
                <w:rFonts w:ascii="Arial" w:hAnsi="Arial" w:cs="Arial"/>
                <w:color w:val="1F1F1F"/>
                <w:spacing w:val="-2"/>
                <w:sz w:val="20"/>
              </w:rPr>
              <w:t>500,</w:t>
            </w:r>
            <w:r w:rsidRPr="00D23C75">
              <w:rPr>
                <w:rFonts w:ascii="Arial" w:hAnsi="Arial" w:cs="Arial"/>
                <w:color w:val="1F1F1F"/>
                <w:spacing w:val="-7"/>
                <w:sz w:val="20"/>
              </w:rPr>
              <w:t xml:space="preserve"> </w:t>
            </w:r>
            <w:r w:rsidRPr="00D23C75">
              <w:rPr>
                <w:rFonts w:ascii="Arial" w:hAnsi="Arial" w:cs="Arial"/>
                <w:color w:val="1F1F1F"/>
                <w:spacing w:val="-4"/>
                <w:sz w:val="20"/>
              </w:rPr>
              <w:t>1000</w:t>
            </w:r>
          </w:p>
        </w:tc>
      </w:tr>
      <w:tr w:rsidR="00D46366" w:rsidRPr="00D23C75" w14:paraId="0D8611A2" w14:textId="77777777" w:rsidTr="00312ABD">
        <w:trPr>
          <w:trHeight w:val="417"/>
        </w:trPr>
        <w:tc>
          <w:tcPr>
            <w:tcW w:w="407" w:type="pct"/>
          </w:tcPr>
          <w:p w14:paraId="5A7F9FF8" w14:textId="77777777" w:rsidR="00D46366" w:rsidRPr="00D23C75" w:rsidRDefault="00D46366" w:rsidP="00D46366">
            <w:pPr>
              <w:pStyle w:val="TableParagraph"/>
              <w:spacing w:before="153" w:line="244" w:lineRule="exact"/>
              <w:ind w:left="0" w:right="180"/>
              <w:rPr>
                <w:rFonts w:ascii="Arial" w:hAnsi="Arial" w:cs="Arial"/>
                <w:sz w:val="15"/>
              </w:rPr>
            </w:pPr>
            <w:r w:rsidRPr="00D23C75">
              <w:rPr>
                <w:rFonts w:ascii="Arial" w:hAnsi="Arial" w:cs="Arial"/>
                <w:i/>
                <w:color w:val="1F1F1F"/>
                <w:spacing w:val="-5"/>
                <w:position w:val="2"/>
                <w:sz w:val="20"/>
              </w:rPr>
              <w:t>T8</w:t>
            </w:r>
          </w:p>
        </w:tc>
        <w:tc>
          <w:tcPr>
            <w:tcW w:w="1631" w:type="pct"/>
          </w:tcPr>
          <w:p w14:paraId="6D28C342" w14:textId="77777777" w:rsidR="00D46366" w:rsidRPr="00D23C75" w:rsidRDefault="00D46366" w:rsidP="00D46366">
            <w:pPr>
              <w:pStyle w:val="TableParagraph"/>
              <w:spacing w:before="98" w:line="224" w:lineRule="exact"/>
              <w:ind w:left="263" w:right="180"/>
              <w:jc w:val="left"/>
              <w:rPr>
                <w:rFonts w:ascii="Arial" w:hAnsi="Arial" w:cs="Arial"/>
                <w:sz w:val="20"/>
              </w:rPr>
            </w:pPr>
            <w:r w:rsidRPr="00D23C75">
              <w:rPr>
                <w:rFonts w:ascii="Arial" w:hAnsi="Arial" w:cs="Arial"/>
                <w:color w:val="1F1F1F"/>
                <w:sz w:val="20"/>
              </w:rPr>
              <w:t>Control</w:t>
            </w:r>
            <w:r w:rsidRPr="00D23C75">
              <w:rPr>
                <w:rFonts w:ascii="Arial" w:hAnsi="Arial" w:cs="Arial"/>
                <w:color w:val="1F1F1F"/>
                <w:spacing w:val="-9"/>
                <w:sz w:val="20"/>
              </w:rPr>
              <w:t xml:space="preserve"> </w:t>
            </w:r>
            <w:r w:rsidRPr="00D23C75">
              <w:rPr>
                <w:rFonts w:ascii="Arial" w:hAnsi="Arial" w:cs="Arial"/>
                <w:color w:val="1F1F1F"/>
                <w:spacing w:val="-2"/>
                <w:sz w:val="20"/>
              </w:rPr>
              <w:t>(Untreated)</w:t>
            </w:r>
          </w:p>
        </w:tc>
        <w:tc>
          <w:tcPr>
            <w:tcW w:w="880" w:type="pct"/>
          </w:tcPr>
          <w:p w14:paraId="4FD7B6D5" w14:textId="77777777" w:rsidR="00D46366" w:rsidRPr="00D23C75" w:rsidRDefault="00D46366" w:rsidP="00D46366">
            <w:pPr>
              <w:pStyle w:val="TableParagraph"/>
              <w:spacing w:before="98" w:line="224" w:lineRule="exact"/>
              <w:ind w:left="0" w:right="180"/>
              <w:rPr>
                <w:rFonts w:ascii="Arial" w:hAnsi="Arial" w:cs="Arial"/>
                <w:sz w:val="20"/>
              </w:rPr>
            </w:pPr>
            <w:r w:rsidRPr="00D23C75">
              <w:rPr>
                <w:rFonts w:ascii="Arial" w:hAnsi="Arial" w:cs="Arial"/>
                <w:color w:val="1F1F1F"/>
                <w:sz w:val="20"/>
              </w:rPr>
              <w:t>-</w:t>
            </w:r>
          </w:p>
        </w:tc>
        <w:tc>
          <w:tcPr>
            <w:tcW w:w="974" w:type="pct"/>
          </w:tcPr>
          <w:p w14:paraId="218DECF6" w14:textId="77777777" w:rsidR="00D46366" w:rsidRPr="00D23C75" w:rsidRDefault="00D46366" w:rsidP="00D46366">
            <w:pPr>
              <w:pStyle w:val="TableParagraph"/>
              <w:spacing w:before="98" w:line="224" w:lineRule="exact"/>
              <w:ind w:left="393" w:right="180"/>
              <w:jc w:val="left"/>
              <w:rPr>
                <w:rFonts w:ascii="Arial" w:hAnsi="Arial" w:cs="Arial"/>
                <w:sz w:val="20"/>
              </w:rPr>
            </w:pPr>
            <w:r w:rsidRPr="00D23C75">
              <w:rPr>
                <w:rFonts w:ascii="Arial" w:hAnsi="Arial" w:cs="Arial"/>
                <w:color w:val="1F1F1F"/>
                <w:w w:val="90"/>
                <w:sz w:val="20"/>
              </w:rPr>
              <w:t>Plain</w:t>
            </w:r>
            <w:r w:rsidRPr="00D23C75">
              <w:rPr>
                <w:rFonts w:ascii="Arial" w:hAnsi="Arial" w:cs="Arial"/>
                <w:color w:val="1F1F1F"/>
                <w:spacing w:val="6"/>
                <w:sz w:val="20"/>
              </w:rPr>
              <w:t xml:space="preserve"> </w:t>
            </w:r>
            <w:r w:rsidRPr="00D23C75">
              <w:rPr>
                <w:rFonts w:ascii="Arial" w:hAnsi="Arial" w:cs="Arial"/>
                <w:color w:val="1F1F1F"/>
                <w:spacing w:val="-5"/>
                <w:sz w:val="20"/>
              </w:rPr>
              <w:t>PDA</w:t>
            </w:r>
          </w:p>
        </w:tc>
        <w:tc>
          <w:tcPr>
            <w:tcW w:w="1108" w:type="pct"/>
          </w:tcPr>
          <w:p w14:paraId="5CC85C34" w14:textId="77777777" w:rsidR="00D46366" w:rsidRPr="00D23C75" w:rsidRDefault="00D46366" w:rsidP="00D46366">
            <w:pPr>
              <w:pStyle w:val="TableParagraph"/>
              <w:spacing w:before="98" w:line="224" w:lineRule="exact"/>
              <w:ind w:left="268" w:right="180"/>
              <w:jc w:val="left"/>
              <w:rPr>
                <w:rFonts w:ascii="Arial" w:hAnsi="Arial" w:cs="Arial"/>
                <w:sz w:val="20"/>
              </w:rPr>
            </w:pPr>
            <w:r w:rsidRPr="00D23C75">
              <w:rPr>
                <w:rFonts w:ascii="Arial" w:hAnsi="Arial" w:cs="Arial"/>
                <w:color w:val="1F1F1F"/>
                <w:spacing w:val="-10"/>
                <w:w w:val="115"/>
                <w:sz w:val="20"/>
              </w:rPr>
              <w:t>0</w:t>
            </w:r>
          </w:p>
        </w:tc>
      </w:tr>
    </w:tbl>
    <w:p w14:paraId="6B5F260D" w14:textId="77777777" w:rsidR="00F11EBD" w:rsidRPr="00D23C75" w:rsidRDefault="00F11EBD" w:rsidP="00F11EBD">
      <w:pPr>
        <w:pStyle w:val="BodyText"/>
        <w:spacing w:before="4" w:line="242" w:lineRule="auto"/>
        <w:ind w:left="360" w:right="180"/>
        <w:jc w:val="both"/>
        <w:rPr>
          <w:rFonts w:ascii="Arial" w:hAnsi="Arial" w:cs="Arial"/>
        </w:rPr>
      </w:pPr>
    </w:p>
    <w:p w14:paraId="3C43B563" w14:textId="77777777" w:rsidR="00D46366" w:rsidRPr="00D23C75" w:rsidRDefault="00D46366" w:rsidP="00D46366">
      <w:pPr>
        <w:pStyle w:val="BodyText"/>
        <w:spacing w:line="242" w:lineRule="auto"/>
        <w:ind w:left="360" w:right="180"/>
        <w:jc w:val="both"/>
        <w:rPr>
          <w:rFonts w:ascii="Arial" w:hAnsi="Arial" w:cs="Arial"/>
        </w:rPr>
      </w:pPr>
      <w:r w:rsidRPr="00D23C75">
        <w:rPr>
          <w:rFonts w:ascii="Arial" w:hAnsi="Arial" w:cs="Arial"/>
          <w:spacing w:val="-2"/>
        </w:rPr>
        <w:t xml:space="preserve">Requisite quantities of each systemic fungicide were incorporated into sterilised, molten PDA medium under aseptic conditions to achieve final concentrations of 500 ppm and 1000 ppm. The medium was thoroughly mixed and poured into sterile Petri dishes (90 mm diameter), with three replications per treatment. After solidification, a 5 mm mycelial disc cut from the active margin of a 7-day-old culture of </w:t>
      </w:r>
      <w:r w:rsidRPr="00D23C75">
        <w:rPr>
          <w:rFonts w:ascii="Arial" w:hAnsi="Arial" w:cs="Arial"/>
          <w:i/>
          <w:spacing w:val="-2"/>
        </w:rPr>
        <w:t>Alternaria alternata</w:t>
      </w:r>
      <w:r w:rsidRPr="00D23C75">
        <w:rPr>
          <w:rFonts w:ascii="Arial" w:hAnsi="Arial" w:cs="Arial"/>
          <w:spacing w:val="-2"/>
        </w:rPr>
        <w:t xml:space="preserve"> was inoculated at the centre of each Petri plate. Untreated PDA plates served as the control (T8). Plates were incubated at 27 ± 2∘C. Radial colony diameter (mm) was measured when mycelial growth in the control plate reached full coverage (90 mm).</w:t>
      </w:r>
    </w:p>
    <w:p w14:paraId="0C9269C4" w14:textId="77777777" w:rsidR="00D46366" w:rsidRPr="00D23C75" w:rsidRDefault="00D46366" w:rsidP="00D46366">
      <w:pPr>
        <w:pStyle w:val="BodyText"/>
        <w:spacing w:before="7"/>
        <w:ind w:left="360" w:right="180"/>
        <w:jc w:val="both"/>
        <w:rPr>
          <w:rFonts w:ascii="Arial" w:hAnsi="Arial" w:cs="Arial"/>
        </w:rPr>
      </w:pPr>
      <w:r w:rsidRPr="00D23C75">
        <w:rPr>
          <w:rFonts w:ascii="Arial" w:hAnsi="Arial" w:cs="Arial"/>
        </w:rPr>
        <w:t>Per cent growth inhibition relative to the control was calculated using Vincent's (1947) formula:</w:t>
      </w:r>
    </w:p>
    <w:p w14:paraId="67F02CAA" w14:textId="77777777" w:rsidR="00D46366" w:rsidRPr="00D23C75" w:rsidRDefault="00D46366" w:rsidP="00D46366">
      <w:pPr>
        <w:spacing w:before="207"/>
        <w:ind w:left="1274" w:right="180"/>
        <w:rPr>
          <w:rFonts w:ascii="Arial" w:hAnsi="Arial" w:cs="Arial"/>
          <w:sz w:val="24"/>
        </w:rPr>
      </w:pPr>
      <w:r w:rsidRPr="00D23C75">
        <w:rPr>
          <w:rFonts w:ascii="Arial" w:hAnsi="Arial" w:cs="Arial"/>
          <w:sz w:val="24"/>
        </w:rPr>
        <w:t>C-</w:t>
      </w:r>
      <w:r w:rsidRPr="00D23C75">
        <w:rPr>
          <w:rFonts w:ascii="Arial" w:hAnsi="Arial" w:cs="Arial"/>
          <w:spacing w:val="-10"/>
          <w:sz w:val="24"/>
        </w:rPr>
        <w:t>T</w:t>
      </w:r>
    </w:p>
    <w:p w14:paraId="03EE52E6" w14:textId="77777777" w:rsidR="00D46366" w:rsidRPr="00D23C75" w:rsidRDefault="00D46366" w:rsidP="00D46366">
      <w:pPr>
        <w:tabs>
          <w:tab w:val="left" w:leader="hyphen" w:pos="1934"/>
        </w:tabs>
        <w:spacing w:before="15"/>
        <w:ind w:left="643" w:right="180"/>
        <w:rPr>
          <w:rFonts w:ascii="Arial" w:hAnsi="Arial" w:cs="Arial"/>
          <w:sz w:val="24"/>
        </w:rPr>
      </w:pPr>
      <w:r w:rsidRPr="00D23C75">
        <w:rPr>
          <w:rFonts w:ascii="Arial" w:hAnsi="Arial" w:cs="Arial"/>
          <w:w w:val="80"/>
          <w:sz w:val="24"/>
        </w:rPr>
        <w:t>(I)</w:t>
      </w:r>
      <w:r w:rsidRPr="00D23C75">
        <w:rPr>
          <w:rFonts w:ascii="Arial" w:hAnsi="Arial" w:cs="Arial"/>
          <w:spacing w:val="-6"/>
          <w:w w:val="80"/>
          <w:sz w:val="24"/>
        </w:rPr>
        <w:t xml:space="preserve"> </w:t>
      </w:r>
      <w:r w:rsidRPr="00D23C75">
        <w:rPr>
          <w:rFonts w:ascii="Arial" w:hAnsi="Arial" w:cs="Arial"/>
          <w:spacing w:val="-10"/>
          <w:w w:val="95"/>
          <w:sz w:val="24"/>
        </w:rPr>
        <w:t>=</w:t>
      </w:r>
      <w:r w:rsidRPr="00D23C75">
        <w:rPr>
          <w:rFonts w:ascii="Arial" w:hAnsi="Arial" w:cs="Arial"/>
          <w:sz w:val="24"/>
        </w:rPr>
        <w:tab/>
        <w:t>×</w:t>
      </w:r>
      <w:r w:rsidRPr="00D23C75">
        <w:rPr>
          <w:rFonts w:ascii="Arial" w:hAnsi="Arial" w:cs="Arial"/>
          <w:spacing w:val="-22"/>
          <w:sz w:val="24"/>
        </w:rPr>
        <w:t xml:space="preserve"> </w:t>
      </w:r>
      <w:r w:rsidRPr="00D23C75">
        <w:rPr>
          <w:rFonts w:ascii="Arial" w:hAnsi="Arial" w:cs="Arial"/>
          <w:spacing w:val="-5"/>
          <w:sz w:val="24"/>
        </w:rPr>
        <w:t>100</w:t>
      </w:r>
    </w:p>
    <w:p w14:paraId="68EEEC90" w14:textId="77777777" w:rsidR="00D46366" w:rsidRPr="00D23C75" w:rsidRDefault="00D46366" w:rsidP="00D46366">
      <w:pPr>
        <w:spacing w:before="14"/>
        <w:ind w:left="1324" w:right="180"/>
        <w:rPr>
          <w:rFonts w:ascii="Arial" w:hAnsi="Arial" w:cs="Arial"/>
          <w:sz w:val="24"/>
        </w:rPr>
      </w:pPr>
      <w:r w:rsidRPr="00D23C75">
        <w:rPr>
          <w:rFonts w:ascii="Arial" w:hAnsi="Arial" w:cs="Arial"/>
          <w:spacing w:val="-10"/>
          <w:w w:val="115"/>
          <w:sz w:val="24"/>
        </w:rPr>
        <w:t>C</w:t>
      </w:r>
    </w:p>
    <w:p w14:paraId="30F63431" w14:textId="77777777" w:rsidR="00D46366" w:rsidRPr="00D23C75" w:rsidRDefault="00D46366" w:rsidP="00D46366">
      <w:pPr>
        <w:rPr>
          <w:rFonts w:ascii="Arial" w:eastAsia="Arial" w:hAnsi="Arial" w:cs="Arial"/>
          <w:bCs/>
          <w:sz w:val="20"/>
        </w:rPr>
      </w:pPr>
      <w:r w:rsidRPr="00D23C75">
        <w:rPr>
          <w:rFonts w:ascii="Arial" w:eastAsia="Arial" w:hAnsi="Arial" w:cs="Arial"/>
          <w:b/>
          <w:bCs/>
        </w:rPr>
        <w:tab/>
      </w:r>
      <w:r w:rsidRPr="00D23C75">
        <w:rPr>
          <w:rFonts w:ascii="Arial" w:eastAsia="Arial" w:hAnsi="Arial" w:cs="Arial"/>
          <w:bCs/>
          <w:sz w:val="20"/>
        </w:rPr>
        <w:t xml:space="preserve">Where, </w:t>
      </w:r>
    </w:p>
    <w:p w14:paraId="703D1A82" w14:textId="77777777" w:rsidR="00D46366" w:rsidRPr="00D23C75" w:rsidRDefault="00D46366" w:rsidP="00D46366">
      <w:pPr>
        <w:pStyle w:val="BodyText"/>
        <w:ind w:left="83" w:right="180"/>
        <w:rPr>
          <w:rFonts w:ascii="Arial" w:hAnsi="Arial" w:cs="Arial"/>
        </w:rPr>
      </w:pPr>
      <w:r w:rsidRPr="00D23C75">
        <w:rPr>
          <w:rFonts w:ascii="Arial" w:eastAsia="Arial" w:hAnsi="Arial" w:cs="Arial"/>
          <w:bCs/>
        </w:rPr>
        <w:tab/>
      </w:r>
      <w:r w:rsidRPr="00D23C75">
        <w:rPr>
          <w:rFonts w:ascii="Arial" w:eastAsia="Arial" w:hAnsi="Arial" w:cs="Arial"/>
          <w:bCs/>
        </w:rPr>
        <w:tab/>
      </w:r>
      <w:r w:rsidRPr="00D23C75">
        <w:rPr>
          <w:rFonts w:ascii="Arial" w:hAnsi="Arial" w:cs="Arial"/>
          <w:b/>
        </w:rPr>
        <w:t>I</w:t>
      </w:r>
      <w:r w:rsidRPr="00D23C75">
        <w:rPr>
          <w:rFonts w:ascii="Arial" w:hAnsi="Arial" w:cs="Arial"/>
          <w:b/>
          <w:spacing w:val="-7"/>
        </w:rPr>
        <w:t xml:space="preserve"> </w:t>
      </w:r>
      <w:r w:rsidRPr="00D23C75">
        <w:rPr>
          <w:rFonts w:ascii="Arial" w:hAnsi="Arial" w:cs="Arial"/>
        </w:rPr>
        <w:t>=</w:t>
      </w:r>
      <w:r w:rsidRPr="00D23C75">
        <w:rPr>
          <w:rFonts w:ascii="Arial" w:hAnsi="Arial" w:cs="Arial"/>
          <w:spacing w:val="-4"/>
        </w:rPr>
        <w:t xml:space="preserve"> </w:t>
      </w:r>
      <w:r w:rsidRPr="00D23C75">
        <w:rPr>
          <w:rFonts w:ascii="Arial" w:hAnsi="Arial" w:cs="Arial"/>
        </w:rPr>
        <w:t>Percent</w:t>
      </w:r>
      <w:r w:rsidRPr="00D23C75">
        <w:rPr>
          <w:rFonts w:ascii="Arial" w:hAnsi="Arial" w:cs="Arial"/>
          <w:spacing w:val="-2"/>
        </w:rPr>
        <w:t xml:space="preserve"> </w:t>
      </w:r>
      <w:r w:rsidRPr="00D23C75">
        <w:rPr>
          <w:rFonts w:ascii="Arial" w:hAnsi="Arial" w:cs="Arial"/>
        </w:rPr>
        <w:t>inhibition</w:t>
      </w:r>
      <w:r w:rsidRPr="00D23C75">
        <w:rPr>
          <w:rFonts w:ascii="Arial" w:hAnsi="Arial" w:cs="Arial"/>
          <w:spacing w:val="-3"/>
        </w:rPr>
        <w:t xml:space="preserve"> </w:t>
      </w:r>
      <w:r w:rsidRPr="00D23C75">
        <w:rPr>
          <w:rFonts w:ascii="Arial" w:hAnsi="Arial" w:cs="Arial"/>
        </w:rPr>
        <w:t>of</w:t>
      </w:r>
      <w:r w:rsidRPr="00D23C75">
        <w:rPr>
          <w:rFonts w:ascii="Arial" w:hAnsi="Arial" w:cs="Arial"/>
          <w:spacing w:val="-2"/>
        </w:rPr>
        <w:t xml:space="preserve"> </w:t>
      </w:r>
      <w:r w:rsidRPr="00D23C75">
        <w:rPr>
          <w:rFonts w:ascii="Arial" w:hAnsi="Arial" w:cs="Arial"/>
        </w:rPr>
        <w:t>mycelial</w:t>
      </w:r>
      <w:r w:rsidRPr="00D23C75">
        <w:rPr>
          <w:rFonts w:ascii="Arial" w:hAnsi="Arial" w:cs="Arial"/>
          <w:spacing w:val="-4"/>
        </w:rPr>
        <w:t xml:space="preserve"> </w:t>
      </w:r>
      <w:r w:rsidRPr="00D23C75">
        <w:rPr>
          <w:rFonts w:ascii="Arial" w:hAnsi="Arial" w:cs="Arial"/>
          <w:spacing w:val="-2"/>
        </w:rPr>
        <w:t>growth</w:t>
      </w:r>
    </w:p>
    <w:p w14:paraId="732EDDD7" w14:textId="77777777" w:rsidR="00D46366" w:rsidRPr="00D23C75" w:rsidRDefault="00D46366" w:rsidP="00D46366">
      <w:pPr>
        <w:pStyle w:val="BodyText"/>
        <w:ind w:left="803" w:right="180" w:firstLine="637"/>
        <w:rPr>
          <w:rFonts w:ascii="Arial" w:hAnsi="Arial" w:cs="Arial"/>
        </w:rPr>
      </w:pPr>
      <w:r w:rsidRPr="00D23C75">
        <w:rPr>
          <w:rFonts w:ascii="Arial" w:hAnsi="Arial" w:cs="Arial"/>
          <w:b/>
        </w:rPr>
        <w:t>C</w:t>
      </w:r>
      <w:r w:rsidRPr="00D23C75">
        <w:rPr>
          <w:rFonts w:ascii="Arial" w:hAnsi="Arial" w:cs="Arial"/>
          <w:b/>
          <w:spacing w:val="-5"/>
        </w:rPr>
        <w:t xml:space="preserve"> </w:t>
      </w:r>
      <w:r w:rsidRPr="00D23C75">
        <w:rPr>
          <w:rFonts w:ascii="Arial" w:hAnsi="Arial" w:cs="Arial"/>
        </w:rPr>
        <w:t>=</w:t>
      </w:r>
      <w:r w:rsidRPr="00D23C75">
        <w:rPr>
          <w:rFonts w:ascii="Arial" w:hAnsi="Arial" w:cs="Arial"/>
          <w:spacing w:val="-2"/>
        </w:rPr>
        <w:t xml:space="preserve"> </w:t>
      </w:r>
      <w:r w:rsidRPr="00D23C75">
        <w:rPr>
          <w:rFonts w:ascii="Arial" w:hAnsi="Arial" w:cs="Arial"/>
        </w:rPr>
        <w:t>Radial</w:t>
      </w:r>
      <w:r w:rsidRPr="00D23C75">
        <w:rPr>
          <w:rFonts w:ascii="Arial" w:hAnsi="Arial" w:cs="Arial"/>
          <w:spacing w:val="-2"/>
        </w:rPr>
        <w:t xml:space="preserve"> </w:t>
      </w:r>
      <w:r w:rsidRPr="00D23C75">
        <w:rPr>
          <w:rFonts w:ascii="Arial" w:hAnsi="Arial" w:cs="Arial"/>
        </w:rPr>
        <w:t>growth</w:t>
      </w:r>
      <w:r w:rsidRPr="00D23C75">
        <w:rPr>
          <w:rFonts w:ascii="Arial" w:hAnsi="Arial" w:cs="Arial"/>
          <w:spacing w:val="-4"/>
        </w:rPr>
        <w:t xml:space="preserve"> </w:t>
      </w:r>
      <w:r w:rsidRPr="00D23C75">
        <w:rPr>
          <w:rFonts w:ascii="Arial" w:hAnsi="Arial" w:cs="Arial"/>
        </w:rPr>
        <w:t>of the</w:t>
      </w:r>
      <w:r w:rsidRPr="00D23C75">
        <w:rPr>
          <w:rFonts w:ascii="Arial" w:hAnsi="Arial" w:cs="Arial"/>
          <w:spacing w:val="-1"/>
        </w:rPr>
        <w:t xml:space="preserve"> </w:t>
      </w:r>
      <w:r w:rsidRPr="00D23C75">
        <w:rPr>
          <w:rFonts w:ascii="Arial" w:hAnsi="Arial" w:cs="Arial"/>
        </w:rPr>
        <w:t>pathogen in</w:t>
      </w:r>
      <w:r w:rsidRPr="00D23C75">
        <w:rPr>
          <w:rFonts w:ascii="Arial" w:hAnsi="Arial" w:cs="Arial"/>
          <w:spacing w:val="-4"/>
        </w:rPr>
        <w:t xml:space="preserve"> </w:t>
      </w:r>
      <w:r w:rsidRPr="00D23C75">
        <w:rPr>
          <w:rFonts w:ascii="Arial" w:hAnsi="Arial" w:cs="Arial"/>
        </w:rPr>
        <w:t>the</w:t>
      </w:r>
      <w:r w:rsidRPr="00D23C75">
        <w:rPr>
          <w:rFonts w:ascii="Arial" w:hAnsi="Arial" w:cs="Arial"/>
          <w:spacing w:val="-3"/>
        </w:rPr>
        <w:t xml:space="preserve"> </w:t>
      </w:r>
      <w:r w:rsidRPr="00D23C75">
        <w:rPr>
          <w:rFonts w:ascii="Arial" w:hAnsi="Arial" w:cs="Arial"/>
        </w:rPr>
        <w:t>untreated</w:t>
      </w:r>
      <w:r w:rsidRPr="00D23C75">
        <w:rPr>
          <w:rFonts w:ascii="Arial" w:hAnsi="Arial" w:cs="Arial"/>
          <w:spacing w:val="-4"/>
        </w:rPr>
        <w:t xml:space="preserve"> </w:t>
      </w:r>
      <w:r w:rsidRPr="00D23C75">
        <w:rPr>
          <w:rFonts w:ascii="Arial" w:hAnsi="Arial" w:cs="Arial"/>
        </w:rPr>
        <w:t>control</w:t>
      </w:r>
      <w:r w:rsidRPr="00D23C75">
        <w:rPr>
          <w:rFonts w:ascii="Arial" w:hAnsi="Arial" w:cs="Arial"/>
          <w:spacing w:val="-4"/>
        </w:rPr>
        <w:t xml:space="preserve"> (mm)</w:t>
      </w:r>
    </w:p>
    <w:p w14:paraId="6801819B" w14:textId="77777777" w:rsidR="00D46366" w:rsidRPr="00D23C75" w:rsidRDefault="00D46366" w:rsidP="00D46366">
      <w:pPr>
        <w:pStyle w:val="BodyText"/>
        <w:spacing w:before="1"/>
        <w:ind w:left="803" w:right="180" w:firstLine="637"/>
        <w:rPr>
          <w:rFonts w:ascii="Arial" w:hAnsi="Arial" w:cs="Arial"/>
        </w:rPr>
      </w:pPr>
      <w:r w:rsidRPr="00D23C75">
        <w:rPr>
          <w:rFonts w:ascii="Arial" w:hAnsi="Arial" w:cs="Arial"/>
          <w:b/>
        </w:rPr>
        <w:t>T</w:t>
      </w:r>
      <w:r w:rsidRPr="00D23C75">
        <w:rPr>
          <w:rFonts w:ascii="Arial" w:hAnsi="Arial" w:cs="Arial"/>
          <w:b/>
          <w:spacing w:val="-4"/>
        </w:rPr>
        <w:t xml:space="preserve"> </w:t>
      </w:r>
      <w:r w:rsidRPr="00D23C75">
        <w:rPr>
          <w:rFonts w:ascii="Arial" w:hAnsi="Arial" w:cs="Arial"/>
        </w:rPr>
        <w:t>=</w:t>
      </w:r>
      <w:r w:rsidRPr="00D23C75">
        <w:rPr>
          <w:rFonts w:ascii="Arial" w:hAnsi="Arial" w:cs="Arial"/>
          <w:spacing w:val="-2"/>
        </w:rPr>
        <w:t xml:space="preserve"> </w:t>
      </w:r>
      <w:r w:rsidRPr="00D23C75">
        <w:rPr>
          <w:rFonts w:ascii="Arial" w:hAnsi="Arial" w:cs="Arial"/>
        </w:rPr>
        <w:t>Radial</w:t>
      </w:r>
      <w:r w:rsidRPr="00D23C75">
        <w:rPr>
          <w:rFonts w:ascii="Arial" w:hAnsi="Arial" w:cs="Arial"/>
          <w:spacing w:val="-2"/>
        </w:rPr>
        <w:t xml:space="preserve"> </w:t>
      </w:r>
      <w:r w:rsidRPr="00D23C75">
        <w:rPr>
          <w:rFonts w:ascii="Arial" w:hAnsi="Arial" w:cs="Arial"/>
        </w:rPr>
        <w:t>growth of</w:t>
      </w:r>
      <w:r w:rsidRPr="00D23C75">
        <w:rPr>
          <w:rFonts w:ascii="Arial" w:hAnsi="Arial" w:cs="Arial"/>
          <w:spacing w:val="-2"/>
        </w:rPr>
        <w:t xml:space="preserve"> </w:t>
      </w:r>
      <w:r w:rsidRPr="00D23C75">
        <w:rPr>
          <w:rFonts w:ascii="Arial" w:hAnsi="Arial" w:cs="Arial"/>
        </w:rPr>
        <w:t>the</w:t>
      </w:r>
      <w:r w:rsidRPr="00D23C75">
        <w:rPr>
          <w:rFonts w:ascii="Arial" w:hAnsi="Arial" w:cs="Arial"/>
          <w:spacing w:val="-1"/>
        </w:rPr>
        <w:t xml:space="preserve"> </w:t>
      </w:r>
      <w:r w:rsidRPr="00D23C75">
        <w:rPr>
          <w:rFonts w:ascii="Arial" w:hAnsi="Arial" w:cs="Arial"/>
        </w:rPr>
        <w:t>pathogen in</w:t>
      </w:r>
      <w:r w:rsidRPr="00D23C75">
        <w:rPr>
          <w:rFonts w:ascii="Arial" w:hAnsi="Arial" w:cs="Arial"/>
          <w:spacing w:val="-4"/>
        </w:rPr>
        <w:t xml:space="preserve"> </w:t>
      </w:r>
      <w:r w:rsidRPr="00D23C75">
        <w:rPr>
          <w:rFonts w:ascii="Arial" w:hAnsi="Arial" w:cs="Arial"/>
        </w:rPr>
        <w:t>the</w:t>
      </w:r>
      <w:r w:rsidRPr="00D23C75">
        <w:rPr>
          <w:rFonts w:ascii="Arial" w:hAnsi="Arial" w:cs="Arial"/>
          <w:spacing w:val="-3"/>
        </w:rPr>
        <w:t xml:space="preserve"> </w:t>
      </w:r>
      <w:r w:rsidRPr="00D23C75">
        <w:rPr>
          <w:rFonts w:ascii="Arial" w:hAnsi="Arial" w:cs="Arial"/>
        </w:rPr>
        <w:t>treatment</w:t>
      </w:r>
      <w:r w:rsidRPr="00D23C75">
        <w:rPr>
          <w:rFonts w:ascii="Arial" w:hAnsi="Arial" w:cs="Arial"/>
          <w:spacing w:val="-2"/>
        </w:rPr>
        <w:t xml:space="preserve"> </w:t>
      </w:r>
      <w:r w:rsidRPr="00D23C75">
        <w:rPr>
          <w:rFonts w:ascii="Arial" w:hAnsi="Arial" w:cs="Arial"/>
          <w:spacing w:val="-4"/>
        </w:rPr>
        <w:t>(mm)</w:t>
      </w:r>
    </w:p>
    <w:p w14:paraId="1CD604EE" w14:textId="77777777" w:rsidR="00F11EBD" w:rsidRPr="00D23C75" w:rsidRDefault="00D46366" w:rsidP="00D46366">
      <w:pPr>
        <w:pStyle w:val="BodyText"/>
        <w:ind w:left="360"/>
        <w:rPr>
          <w:rFonts w:ascii="Arial" w:eastAsia="Arial" w:hAnsi="Arial" w:cs="Arial"/>
          <w:b/>
          <w:bCs/>
        </w:rPr>
      </w:pPr>
      <w:r w:rsidRPr="00D23C75">
        <w:rPr>
          <w:rFonts w:ascii="Arial" w:eastAsia="Arial" w:hAnsi="Arial" w:cs="Arial"/>
          <w:b/>
          <w:bCs/>
        </w:rPr>
        <w:t xml:space="preserve">2.3 </w:t>
      </w:r>
      <w:r w:rsidRPr="00D23C75">
        <w:rPr>
          <w:rFonts w:ascii="Arial" w:hAnsi="Arial" w:cs="Arial"/>
          <w:b/>
          <w:i/>
          <w:iCs/>
        </w:rPr>
        <w:t>In</w:t>
      </w:r>
      <w:r w:rsidRPr="00D23C75">
        <w:rPr>
          <w:rFonts w:ascii="Arial" w:hAnsi="Arial" w:cs="Arial"/>
          <w:b/>
          <w:i/>
          <w:iCs/>
          <w:spacing w:val="-2"/>
        </w:rPr>
        <w:t xml:space="preserve"> </w:t>
      </w:r>
      <w:r w:rsidRPr="00D23C75">
        <w:rPr>
          <w:rFonts w:ascii="Arial" w:hAnsi="Arial" w:cs="Arial"/>
          <w:b/>
          <w:i/>
          <w:iCs/>
        </w:rPr>
        <w:t>Vitro</w:t>
      </w:r>
      <w:r w:rsidRPr="00D23C75">
        <w:rPr>
          <w:rFonts w:ascii="Arial" w:hAnsi="Arial" w:cs="Arial"/>
          <w:b/>
          <w:spacing w:val="-4"/>
        </w:rPr>
        <w:t xml:space="preserve"> </w:t>
      </w:r>
      <w:r w:rsidRPr="00D23C75">
        <w:rPr>
          <w:rFonts w:ascii="Arial" w:hAnsi="Arial" w:cs="Arial"/>
          <w:b/>
        </w:rPr>
        <w:t>Evaluation</w:t>
      </w:r>
      <w:r w:rsidRPr="00D23C75">
        <w:rPr>
          <w:rFonts w:ascii="Arial" w:hAnsi="Arial" w:cs="Arial"/>
          <w:b/>
          <w:spacing w:val="-5"/>
        </w:rPr>
        <w:t xml:space="preserve"> </w:t>
      </w:r>
      <w:r w:rsidRPr="00D23C75">
        <w:rPr>
          <w:rFonts w:ascii="Arial" w:hAnsi="Arial" w:cs="Arial"/>
          <w:b/>
        </w:rPr>
        <w:t>of Bio-</w:t>
      </w:r>
      <w:r w:rsidRPr="00D23C75">
        <w:rPr>
          <w:rFonts w:ascii="Arial" w:hAnsi="Arial" w:cs="Arial"/>
          <w:b/>
          <w:spacing w:val="-2"/>
        </w:rPr>
        <w:t>Agents</w:t>
      </w:r>
    </w:p>
    <w:p w14:paraId="5987EE55" w14:textId="77777777" w:rsidR="004E2302" w:rsidRPr="00D23C75" w:rsidRDefault="00D46366" w:rsidP="00D46366">
      <w:pPr>
        <w:spacing w:line="242" w:lineRule="auto"/>
        <w:ind w:left="360" w:right="180"/>
        <w:jc w:val="both"/>
        <w:rPr>
          <w:rFonts w:ascii="Arial" w:hAnsi="Arial" w:cs="Arial"/>
          <w:sz w:val="20"/>
        </w:rPr>
      </w:pPr>
      <w:r w:rsidRPr="00D23C75">
        <w:rPr>
          <w:rFonts w:ascii="Arial" w:hAnsi="Arial" w:cs="Arial"/>
        </w:rPr>
        <w:t>Seven biocontrol agents (</w:t>
      </w:r>
      <w:r w:rsidRPr="00D23C75">
        <w:rPr>
          <w:rFonts w:ascii="Arial" w:hAnsi="Arial" w:cs="Arial"/>
          <w:i/>
        </w:rPr>
        <w:t>Trichoderma asperellum</w:t>
      </w:r>
      <w:r w:rsidRPr="00D23C75">
        <w:rPr>
          <w:rFonts w:ascii="Arial" w:hAnsi="Arial" w:cs="Arial"/>
        </w:rPr>
        <w:t xml:space="preserve">, </w:t>
      </w:r>
      <w:r w:rsidRPr="00D23C75">
        <w:rPr>
          <w:rFonts w:ascii="Arial" w:hAnsi="Arial" w:cs="Arial"/>
          <w:i/>
        </w:rPr>
        <w:t>T. harzianum</w:t>
      </w:r>
      <w:r w:rsidRPr="00D23C75">
        <w:rPr>
          <w:rFonts w:ascii="Arial" w:hAnsi="Arial" w:cs="Arial"/>
        </w:rPr>
        <w:t xml:space="preserve">, </w:t>
      </w:r>
      <w:r w:rsidRPr="00D23C75">
        <w:rPr>
          <w:rFonts w:ascii="Arial" w:hAnsi="Arial" w:cs="Arial"/>
          <w:i/>
        </w:rPr>
        <w:t>Aspergillus niger</w:t>
      </w:r>
      <w:r w:rsidRPr="00D23C75">
        <w:rPr>
          <w:rFonts w:ascii="Arial" w:hAnsi="Arial" w:cs="Arial"/>
        </w:rPr>
        <w:t xml:space="preserve">, </w:t>
      </w:r>
      <w:r w:rsidRPr="00D23C75">
        <w:rPr>
          <w:rFonts w:ascii="Arial" w:hAnsi="Arial" w:cs="Arial"/>
          <w:i/>
        </w:rPr>
        <w:t>T. hamatum</w:t>
      </w:r>
      <w:r w:rsidRPr="00D23C75">
        <w:rPr>
          <w:rFonts w:ascii="Arial" w:hAnsi="Arial" w:cs="Arial"/>
        </w:rPr>
        <w:t xml:space="preserve">, </w:t>
      </w:r>
      <w:r w:rsidRPr="00D23C75">
        <w:rPr>
          <w:rFonts w:ascii="Arial" w:hAnsi="Arial" w:cs="Arial"/>
          <w:i/>
        </w:rPr>
        <w:t>T. koningii</w:t>
      </w:r>
      <w:r w:rsidRPr="00D23C75">
        <w:rPr>
          <w:rFonts w:ascii="Arial" w:hAnsi="Arial" w:cs="Arial"/>
        </w:rPr>
        <w:t xml:space="preserve">, </w:t>
      </w:r>
      <w:r w:rsidRPr="00D23C75">
        <w:rPr>
          <w:rFonts w:ascii="Arial" w:hAnsi="Arial" w:cs="Arial"/>
          <w:i/>
        </w:rPr>
        <w:t>Bacillus subtilis</w:t>
      </w:r>
      <w:r w:rsidRPr="00D23C75">
        <w:rPr>
          <w:rFonts w:ascii="Arial" w:hAnsi="Arial" w:cs="Arial"/>
        </w:rPr>
        <w:t xml:space="preserve"> and </w:t>
      </w:r>
      <w:r w:rsidRPr="00D23C75">
        <w:rPr>
          <w:rFonts w:ascii="Arial" w:hAnsi="Arial" w:cs="Arial"/>
          <w:i/>
        </w:rPr>
        <w:t>Pseudomonas fluorescens</w:t>
      </w:r>
      <w:r w:rsidRPr="00D23C75">
        <w:rPr>
          <w:rFonts w:ascii="Arial" w:hAnsi="Arial" w:cs="Arial"/>
        </w:rPr>
        <w:t xml:space="preserve">) were screened for antagonistic activity against </w:t>
      </w:r>
      <w:r w:rsidRPr="00D23C75">
        <w:rPr>
          <w:rFonts w:ascii="Arial" w:hAnsi="Arial" w:cs="Arial"/>
          <w:i/>
        </w:rPr>
        <w:t>Alternaria alternata</w:t>
      </w:r>
      <w:r w:rsidRPr="00D23C75">
        <w:rPr>
          <w:rFonts w:ascii="Arial" w:hAnsi="Arial" w:cs="Arial"/>
        </w:rPr>
        <w:t xml:space="preserve"> using the dual-culture technique (Dennis &amp; Webster, 1971).</w:t>
      </w:r>
    </w:p>
    <w:p w14:paraId="4ECF24D8" w14:textId="77777777" w:rsidR="00D46366" w:rsidRPr="00D23C75" w:rsidRDefault="00D46366" w:rsidP="00D46366">
      <w:pPr>
        <w:spacing w:line="242" w:lineRule="auto"/>
        <w:ind w:left="360" w:right="180"/>
        <w:jc w:val="both"/>
        <w:rPr>
          <w:rFonts w:ascii="Arial" w:hAnsi="Arial" w:cs="Arial"/>
          <w:spacing w:val="-2"/>
        </w:rPr>
      </w:pPr>
      <w:r w:rsidRPr="00D23C75">
        <w:rPr>
          <w:rFonts w:ascii="Arial" w:hAnsi="Arial" w:cs="Arial"/>
        </w:rPr>
        <w:t>Table 2</w:t>
      </w:r>
      <w:r w:rsidR="004E2302" w:rsidRPr="00D23C75">
        <w:rPr>
          <w:rFonts w:ascii="Arial" w:hAnsi="Arial" w:cs="Arial"/>
        </w:rPr>
        <w:t xml:space="preserve"> : </w:t>
      </w:r>
      <w:r w:rsidRPr="00D23C75">
        <w:rPr>
          <w:rFonts w:ascii="Arial" w:hAnsi="Arial" w:cs="Arial"/>
        </w:rPr>
        <w:t>. Details of biocontrol agents evaluated</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0" w:type="dxa"/>
          <w:right w:w="0" w:type="dxa"/>
        </w:tblCellMar>
        <w:tblLook w:val="01E0" w:firstRow="1" w:lastRow="1" w:firstColumn="1" w:lastColumn="1" w:noHBand="0" w:noVBand="0"/>
      </w:tblPr>
      <w:tblGrid>
        <w:gridCol w:w="1063"/>
        <w:gridCol w:w="2826"/>
        <w:gridCol w:w="3768"/>
        <w:gridCol w:w="2413"/>
      </w:tblGrid>
      <w:tr w:rsidR="00D46366" w:rsidRPr="00D23C75" w14:paraId="3C586D1D" w14:textId="77777777" w:rsidTr="00D46366">
        <w:trPr>
          <w:trHeight w:val="328"/>
        </w:trPr>
        <w:tc>
          <w:tcPr>
            <w:tcW w:w="528" w:type="pct"/>
          </w:tcPr>
          <w:p w14:paraId="7BC556DF" w14:textId="77777777" w:rsidR="00D46366" w:rsidRPr="00D23C75" w:rsidRDefault="00D46366" w:rsidP="004B583B">
            <w:pPr>
              <w:pStyle w:val="TableParagraph"/>
              <w:spacing w:before="89" w:line="219" w:lineRule="exact"/>
              <w:ind w:left="220" w:right="180"/>
              <w:jc w:val="left"/>
              <w:rPr>
                <w:rFonts w:ascii="Arial" w:hAnsi="Arial" w:cs="Arial"/>
                <w:sz w:val="21"/>
              </w:rPr>
            </w:pPr>
            <w:r w:rsidRPr="00D23C75">
              <w:rPr>
                <w:rFonts w:ascii="Arial" w:hAnsi="Arial" w:cs="Arial"/>
                <w:color w:val="1F1F1F"/>
                <w:spacing w:val="-10"/>
                <w:w w:val="90"/>
                <w:sz w:val="21"/>
              </w:rPr>
              <w:t>Tr.</w:t>
            </w:r>
            <w:r w:rsidRPr="00D23C75">
              <w:rPr>
                <w:rFonts w:ascii="Arial" w:hAnsi="Arial" w:cs="Arial"/>
                <w:color w:val="1F1F1F"/>
                <w:spacing w:val="-14"/>
                <w:w w:val="90"/>
                <w:sz w:val="21"/>
              </w:rPr>
              <w:t xml:space="preserve"> </w:t>
            </w:r>
            <w:r w:rsidRPr="00D23C75">
              <w:rPr>
                <w:rFonts w:ascii="Arial" w:hAnsi="Arial" w:cs="Arial"/>
                <w:color w:val="1F1F1F"/>
                <w:spacing w:val="-5"/>
                <w:sz w:val="21"/>
              </w:rPr>
              <w:t>No.</w:t>
            </w:r>
          </w:p>
        </w:tc>
        <w:tc>
          <w:tcPr>
            <w:tcW w:w="1403" w:type="pct"/>
          </w:tcPr>
          <w:p w14:paraId="5CA29222" w14:textId="77777777" w:rsidR="00D46366" w:rsidRPr="00D23C75" w:rsidRDefault="00D46366" w:rsidP="004B583B">
            <w:pPr>
              <w:pStyle w:val="TableParagraph"/>
              <w:spacing w:before="89" w:line="219" w:lineRule="exact"/>
              <w:ind w:left="160" w:right="180"/>
              <w:rPr>
                <w:rFonts w:ascii="Arial" w:hAnsi="Arial" w:cs="Arial"/>
                <w:sz w:val="21"/>
              </w:rPr>
            </w:pPr>
            <w:r w:rsidRPr="00D23C75">
              <w:rPr>
                <w:rFonts w:ascii="Arial" w:hAnsi="Arial" w:cs="Arial"/>
                <w:color w:val="1F1F1F"/>
                <w:spacing w:val="-4"/>
                <w:sz w:val="21"/>
              </w:rPr>
              <w:t>Antagonist</w:t>
            </w:r>
            <w:r w:rsidRPr="00D23C75">
              <w:rPr>
                <w:rFonts w:ascii="Arial" w:hAnsi="Arial" w:cs="Arial"/>
                <w:color w:val="1F1F1F"/>
                <w:spacing w:val="-1"/>
                <w:sz w:val="21"/>
              </w:rPr>
              <w:t xml:space="preserve"> </w:t>
            </w:r>
            <w:r w:rsidRPr="00D23C75">
              <w:rPr>
                <w:rFonts w:ascii="Arial" w:hAnsi="Arial" w:cs="Arial"/>
                <w:color w:val="1F1F1F"/>
                <w:spacing w:val="-4"/>
                <w:sz w:val="21"/>
              </w:rPr>
              <w:t>/</w:t>
            </w:r>
            <w:r w:rsidRPr="00D23C75">
              <w:rPr>
                <w:rFonts w:ascii="Arial" w:hAnsi="Arial" w:cs="Arial"/>
                <w:color w:val="1F1F1F"/>
                <w:spacing w:val="-9"/>
                <w:sz w:val="21"/>
              </w:rPr>
              <w:t xml:space="preserve"> </w:t>
            </w:r>
            <w:r w:rsidRPr="00D23C75">
              <w:rPr>
                <w:rFonts w:ascii="Arial" w:hAnsi="Arial" w:cs="Arial"/>
                <w:color w:val="1F1F1F"/>
                <w:spacing w:val="-4"/>
                <w:sz w:val="21"/>
              </w:rPr>
              <w:t>Bio-agent</w:t>
            </w:r>
          </w:p>
        </w:tc>
        <w:tc>
          <w:tcPr>
            <w:tcW w:w="1871" w:type="pct"/>
          </w:tcPr>
          <w:p w14:paraId="63CD1C8F" w14:textId="77777777" w:rsidR="00D46366" w:rsidRPr="00D23C75" w:rsidRDefault="00D46366" w:rsidP="004B583B">
            <w:pPr>
              <w:pStyle w:val="TableParagraph"/>
              <w:spacing w:before="89" w:line="219" w:lineRule="exact"/>
              <w:ind w:left="11" w:right="180"/>
              <w:rPr>
                <w:rFonts w:ascii="Arial" w:hAnsi="Arial" w:cs="Arial"/>
                <w:sz w:val="21"/>
              </w:rPr>
            </w:pPr>
            <w:r w:rsidRPr="00D23C75">
              <w:rPr>
                <w:rFonts w:ascii="Arial" w:hAnsi="Arial" w:cs="Arial"/>
                <w:color w:val="1F1F1F"/>
                <w:spacing w:val="-6"/>
                <w:sz w:val="21"/>
              </w:rPr>
              <w:t>Isolation</w:t>
            </w:r>
            <w:r w:rsidRPr="00D23C75">
              <w:rPr>
                <w:rFonts w:ascii="Arial" w:hAnsi="Arial" w:cs="Arial"/>
                <w:color w:val="1F1F1F"/>
                <w:spacing w:val="1"/>
                <w:sz w:val="21"/>
              </w:rPr>
              <w:t xml:space="preserve"> </w:t>
            </w:r>
            <w:r w:rsidRPr="00D23C75">
              <w:rPr>
                <w:rFonts w:ascii="Arial" w:hAnsi="Arial" w:cs="Arial"/>
                <w:color w:val="1F1F1F"/>
                <w:spacing w:val="-6"/>
                <w:sz w:val="21"/>
              </w:rPr>
              <w:t>Source</w:t>
            </w:r>
            <w:r w:rsidRPr="00D23C75">
              <w:rPr>
                <w:rFonts w:ascii="Arial" w:hAnsi="Arial" w:cs="Arial"/>
                <w:color w:val="1F1F1F"/>
                <w:spacing w:val="-3"/>
                <w:sz w:val="21"/>
              </w:rPr>
              <w:t xml:space="preserve"> </w:t>
            </w:r>
            <w:r w:rsidRPr="00D23C75">
              <w:rPr>
                <w:rFonts w:ascii="Arial" w:hAnsi="Arial" w:cs="Arial"/>
                <w:color w:val="1F1F1F"/>
                <w:spacing w:val="-6"/>
                <w:sz w:val="21"/>
              </w:rPr>
              <w:t>/</w:t>
            </w:r>
            <w:r w:rsidRPr="00D23C75">
              <w:rPr>
                <w:rFonts w:ascii="Arial" w:hAnsi="Arial" w:cs="Arial"/>
                <w:color w:val="1F1F1F"/>
                <w:spacing w:val="-17"/>
                <w:sz w:val="21"/>
              </w:rPr>
              <w:t xml:space="preserve"> </w:t>
            </w:r>
            <w:r w:rsidRPr="00D23C75">
              <w:rPr>
                <w:rFonts w:ascii="Arial" w:hAnsi="Arial" w:cs="Arial"/>
                <w:color w:val="1F1F1F"/>
                <w:spacing w:val="-6"/>
                <w:sz w:val="21"/>
              </w:rPr>
              <w:t>Provider</w:t>
            </w:r>
          </w:p>
        </w:tc>
        <w:tc>
          <w:tcPr>
            <w:tcW w:w="1198" w:type="pct"/>
          </w:tcPr>
          <w:p w14:paraId="4ECD7D9A" w14:textId="77777777" w:rsidR="00D46366" w:rsidRPr="00D23C75" w:rsidRDefault="00D46366" w:rsidP="004B583B">
            <w:pPr>
              <w:pStyle w:val="TableParagraph"/>
              <w:spacing w:before="89" w:line="219" w:lineRule="exact"/>
              <w:ind w:left="0" w:right="180"/>
              <w:jc w:val="right"/>
              <w:rPr>
                <w:rFonts w:ascii="Arial" w:hAnsi="Arial" w:cs="Arial"/>
                <w:sz w:val="21"/>
              </w:rPr>
            </w:pPr>
            <w:r w:rsidRPr="00D23C75">
              <w:rPr>
                <w:rFonts w:ascii="Arial" w:hAnsi="Arial" w:cs="Arial"/>
                <w:color w:val="1F1F1F"/>
                <w:spacing w:val="-7"/>
                <w:sz w:val="21"/>
              </w:rPr>
              <w:t>Technique</w:t>
            </w:r>
            <w:r w:rsidRPr="00D23C75">
              <w:rPr>
                <w:rFonts w:ascii="Arial" w:hAnsi="Arial" w:cs="Arial"/>
                <w:color w:val="1F1F1F"/>
                <w:spacing w:val="3"/>
                <w:sz w:val="21"/>
              </w:rPr>
              <w:t xml:space="preserve"> </w:t>
            </w:r>
            <w:r w:rsidRPr="00D23C75">
              <w:rPr>
                <w:rFonts w:ascii="Arial" w:hAnsi="Arial" w:cs="Arial"/>
                <w:color w:val="1F1F1F"/>
                <w:spacing w:val="-2"/>
                <w:sz w:val="21"/>
              </w:rPr>
              <w:t>Applied</w:t>
            </w:r>
          </w:p>
        </w:tc>
      </w:tr>
      <w:tr w:rsidR="00D46366" w:rsidRPr="00D23C75" w14:paraId="678D8AF2" w14:textId="77777777" w:rsidTr="00D46366">
        <w:trPr>
          <w:trHeight w:val="342"/>
        </w:trPr>
        <w:tc>
          <w:tcPr>
            <w:tcW w:w="528" w:type="pct"/>
          </w:tcPr>
          <w:p w14:paraId="275EC827" w14:textId="77777777" w:rsidR="00D46366" w:rsidRPr="00D23C75" w:rsidRDefault="00D46366" w:rsidP="004B583B">
            <w:pPr>
              <w:pStyle w:val="TableParagraph"/>
              <w:spacing w:before="82" w:line="241" w:lineRule="exact"/>
              <w:ind w:left="467" w:right="180"/>
              <w:jc w:val="left"/>
              <w:rPr>
                <w:rFonts w:ascii="Arial" w:hAnsi="Arial" w:cs="Arial"/>
                <w:sz w:val="15"/>
              </w:rPr>
            </w:pPr>
            <w:r w:rsidRPr="00D23C75">
              <w:rPr>
                <w:rFonts w:ascii="Arial" w:hAnsi="Arial" w:cs="Arial"/>
                <w:color w:val="1F1F1F"/>
                <w:spacing w:val="-5"/>
                <w:position w:val="2"/>
                <w:sz w:val="23"/>
              </w:rPr>
              <w:t>T</w:t>
            </w:r>
            <w:r w:rsidRPr="00D23C75">
              <w:rPr>
                <w:rFonts w:ascii="Arial" w:hAnsi="Arial" w:cs="Arial"/>
                <w:color w:val="1F1F1F"/>
                <w:spacing w:val="-5"/>
                <w:sz w:val="15"/>
              </w:rPr>
              <w:t>1</w:t>
            </w:r>
          </w:p>
        </w:tc>
        <w:tc>
          <w:tcPr>
            <w:tcW w:w="1403" w:type="pct"/>
          </w:tcPr>
          <w:p w14:paraId="7A31591B" w14:textId="77777777" w:rsidR="00D46366" w:rsidRPr="00D23C75" w:rsidRDefault="00312ABD" w:rsidP="004B583B">
            <w:pPr>
              <w:pStyle w:val="TableParagraph"/>
              <w:spacing w:before="102" w:line="220" w:lineRule="exact"/>
              <w:ind w:left="160" w:right="180"/>
              <w:rPr>
                <w:rFonts w:ascii="Arial" w:hAnsi="Arial" w:cs="Arial"/>
                <w:i/>
                <w:sz w:val="20"/>
              </w:rPr>
            </w:pPr>
            <w:r w:rsidRPr="00D23C75">
              <w:rPr>
                <w:rFonts w:ascii="Arial" w:hAnsi="Arial" w:cs="Arial"/>
                <w:i/>
                <w:sz w:val="20"/>
              </w:rPr>
              <w:t>Trichoderma</w:t>
            </w:r>
            <w:r w:rsidR="00D46366" w:rsidRPr="00D23C75">
              <w:rPr>
                <w:rFonts w:ascii="Arial" w:hAnsi="Arial" w:cs="Arial"/>
                <w:i/>
                <w:sz w:val="20"/>
              </w:rPr>
              <w:t xml:space="preserve"> </w:t>
            </w:r>
            <w:proofErr w:type="spellStart"/>
            <w:r w:rsidR="00D46366" w:rsidRPr="00D23C75">
              <w:rPr>
                <w:rFonts w:ascii="Arial" w:hAnsi="Arial" w:cs="Arial"/>
                <w:i/>
                <w:sz w:val="20"/>
              </w:rPr>
              <w:t>asperellum</w:t>
            </w:r>
            <w:proofErr w:type="spellEnd"/>
          </w:p>
        </w:tc>
        <w:tc>
          <w:tcPr>
            <w:tcW w:w="1871" w:type="pct"/>
          </w:tcPr>
          <w:p w14:paraId="523451F3" w14:textId="77777777" w:rsidR="00D46366" w:rsidRPr="00D23C75" w:rsidRDefault="00D46366" w:rsidP="004B583B">
            <w:pPr>
              <w:pStyle w:val="TableParagraph"/>
              <w:spacing w:before="106" w:line="217" w:lineRule="exact"/>
              <w:ind w:left="11" w:right="180"/>
              <w:rPr>
                <w:rFonts w:ascii="Arial" w:hAnsi="Arial" w:cs="Arial"/>
                <w:sz w:val="20"/>
              </w:rPr>
            </w:pPr>
            <w:r w:rsidRPr="00D23C75">
              <w:rPr>
                <w:rFonts w:ascii="Arial" w:hAnsi="Arial" w:cs="Arial"/>
                <w:color w:val="1F1F1F"/>
                <w:spacing w:val="-2"/>
                <w:sz w:val="20"/>
              </w:rPr>
              <w:t>Laboratory,</w:t>
            </w:r>
            <w:r w:rsidRPr="00D23C75">
              <w:rPr>
                <w:rFonts w:ascii="Arial" w:hAnsi="Arial" w:cs="Arial"/>
                <w:color w:val="1F1F1F"/>
                <w:spacing w:val="-12"/>
                <w:sz w:val="20"/>
              </w:rPr>
              <w:t xml:space="preserve"> </w:t>
            </w:r>
            <w:r w:rsidRPr="00D23C75">
              <w:rPr>
                <w:rFonts w:ascii="Arial" w:hAnsi="Arial" w:cs="Arial"/>
                <w:color w:val="1F1F1F"/>
                <w:spacing w:val="-4"/>
                <w:sz w:val="20"/>
              </w:rPr>
              <w:t>VNMKV</w:t>
            </w:r>
          </w:p>
        </w:tc>
        <w:tc>
          <w:tcPr>
            <w:tcW w:w="1198" w:type="pct"/>
          </w:tcPr>
          <w:p w14:paraId="3C38BBE8" w14:textId="77777777" w:rsidR="00D46366" w:rsidRPr="00D23C75" w:rsidRDefault="00D46366" w:rsidP="004B583B">
            <w:pPr>
              <w:pStyle w:val="TableParagraph"/>
              <w:spacing w:before="106" w:line="217" w:lineRule="exact"/>
              <w:ind w:left="674" w:right="180"/>
              <w:jc w:val="left"/>
              <w:rPr>
                <w:rFonts w:ascii="Arial" w:hAnsi="Arial" w:cs="Arial"/>
                <w:sz w:val="20"/>
              </w:rPr>
            </w:pPr>
            <w:r w:rsidRPr="00D23C75">
              <w:rPr>
                <w:rFonts w:ascii="Arial" w:hAnsi="Arial" w:cs="Arial"/>
                <w:color w:val="1F1F1F"/>
                <w:spacing w:val="-6"/>
                <w:sz w:val="20"/>
              </w:rPr>
              <w:t>Dual</w:t>
            </w:r>
            <w:r w:rsidRPr="00D23C75">
              <w:rPr>
                <w:rFonts w:ascii="Arial" w:hAnsi="Arial" w:cs="Arial"/>
                <w:color w:val="1F1F1F"/>
                <w:spacing w:val="-9"/>
                <w:sz w:val="20"/>
              </w:rPr>
              <w:t xml:space="preserve"> </w:t>
            </w:r>
            <w:r w:rsidRPr="00D23C75">
              <w:rPr>
                <w:rFonts w:ascii="Arial" w:hAnsi="Arial" w:cs="Arial"/>
                <w:color w:val="1F1F1F"/>
                <w:spacing w:val="-2"/>
                <w:sz w:val="20"/>
              </w:rPr>
              <w:t>Culture</w:t>
            </w:r>
          </w:p>
        </w:tc>
      </w:tr>
      <w:tr w:rsidR="00D46366" w:rsidRPr="00D23C75" w14:paraId="4586CA6B" w14:textId="77777777" w:rsidTr="00D46366">
        <w:trPr>
          <w:trHeight w:val="410"/>
        </w:trPr>
        <w:tc>
          <w:tcPr>
            <w:tcW w:w="528" w:type="pct"/>
          </w:tcPr>
          <w:p w14:paraId="3C1853AF" w14:textId="77777777" w:rsidR="00D46366" w:rsidRPr="00D23C75" w:rsidRDefault="00D46366" w:rsidP="004B583B">
            <w:pPr>
              <w:pStyle w:val="TableParagraph"/>
              <w:spacing w:before="149" w:line="241" w:lineRule="exact"/>
              <w:ind w:left="467" w:right="180"/>
              <w:jc w:val="left"/>
              <w:rPr>
                <w:rFonts w:ascii="Arial" w:hAnsi="Arial" w:cs="Arial"/>
                <w:sz w:val="15"/>
              </w:rPr>
            </w:pPr>
            <w:r w:rsidRPr="00D23C75">
              <w:rPr>
                <w:rFonts w:ascii="Arial" w:hAnsi="Arial" w:cs="Arial"/>
                <w:color w:val="1F1F1F"/>
                <w:spacing w:val="-5"/>
                <w:position w:val="2"/>
                <w:sz w:val="23"/>
              </w:rPr>
              <w:t>T</w:t>
            </w:r>
            <w:r w:rsidRPr="00D23C75">
              <w:rPr>
                <w:rFonts w:ascii="Arial" w:hAnsi="Arial" w:cs="Arial"/>
                <w:color w:val="1F1F1F"/>
                <w:spacing w:val="-5"/>
                <w:sz w:val="15"/>
              </w:rPr>
              <w:t>2</w:t>
            </w:r>
          </w:p>
        </w:tc>
        <w:tc>
          <w:tcPr>
            <w:tcW w:w="1403" w:type="pct"/>
          </w:tcPr>
          <w:p w14:paraId="0C4F3E63" w14:textId="77777777" w:rsidR="00D46366" w:rsidRPr="00D23C75" w:rsidRDefault="00D46366" w:rsidP="004B583B">
            <w:pPr>
              <w:pStyle w:val="TableParagraph"/>
              <w:spacing w:before="172" w:line="218" w:lineRule="exact"/>
              <w:ind w:left="160" w:right="180"/>
              <w:rPr>
                <w:rFonts w:ascii="Arial" w:hAnsi="Arial" w:cs="Arial"/>
                <w:i/>
                <w:sz w:val="20"/>
              </w:rPr>
            </w:pPr>
            <w:r w:rsidRPr="00D23C75">
              <w:rPr>
                <w:rFonts w:ascii="Arial" w:hAnsi="Arial" w:cs="Arial"/>
                <w:i/>
                <w:sz w:val="20"/>
              </w:rPr>
              <w:t xml:space="preserve">T. </w:t>
            </w:r>
            <w:proofErr w:type="spellStart"/>
            <w:r w:rsidRPr="00D23C75">
              <w:rPr>
                <w:rFonts w:ascii="Arial" w:hAnsi="Arial" w:cs="Arial"/>
                <w:i/>
                <w:sz w:val="20"/>
              </w:rPr>
              <w:t>harzianum</w:t>
            </w:r>
            <w:proofErr w:type="spellEnd"/>
          </w:p>
        </w:tc>
        <w:tc>
          <w:tcPr>
            <w:tcW w:w="1871" w:type="pct"/>
          </w:tcPr>
          <w:p w14:paraId="57191F53" w14:textId="77777777" w:rsidR="00D46366" w:rsidRPr="00D23C75" w:rsidRDefault="00D46366" w:rsidP="004B583B">
            <w:pPr>
              <w:pStyle w:val="TableParagraph"/>
              <w:spacing w:before="175" w:line="215" w:lineRule="exact"/>
              <w:ind w:left="11" w:right="180"/>
              <w:rPr>
                <w:rFonts w:ascii="Arial" w:hAnsi="Arial" w:cs="Arial"/>
                <w:sz w:val="20"/>
              </w:rPr>
            </w:pPr>
            <w:r w:rsidRPr="00D23C75">
              <w:rPr>
                <w:rFonts w:ascii="Arial" w:hAnsi="Arial" w:cs="Arial"/>
                <w:color w:val="1F1F1F"/>
                <w:spacing w:val="-2"/>
                <w:sz w:val="20"/>
              </w:rPr>
              <w:t>Laboratory,</w:t>
            </w:r>
            <w:r w:rsidRPr="00D23C75">
              <w:rPr>
                <w:rFonts w:ascii="Arial" w:hAnsi="Arial" w:cs="Arial"/>
                <w:color w:val="1F1F1F"/>
                <w:spacing w:val="-12"/>
                <w:sz w:val="20"/>
              </w:rPr>
              <w:t xml:space="preserve"> </w:t>
            </w:r>
            <w:r w:rsidRPr="00D23C75">
              <w:rPr>
                <w:rFonts w:ascii="Arial" w:hAnsi="Arial" w:cs="Arial"/>
                <w:color w:val="1F1F1F"/>
                <w:spacing w:val="-4"/>
                <w:sz w:val="20"/>
              </w:rPr>
              <w:t>VNMKV</w:t>
            </w:r>
          </w:p>
        </w:tc>
        <w:tc>
          <w:tcPr>
            <w:tcW w:w="1198" w:type="pct"/>
          </w:tcPr>
          <w:p w14:paraId="79D3984D" w14:textId="77777777" w:rsidR="00D46366" w:rsidRPr="00D23C75" w:rsidRDefault="00D46366" w:rsidP="004B583B">
            <w:pPr>
              <w:pStyle w:val="TableParagraph"/>
              <w:spacing w:before="175" w:line="215" w:lineRule="exact"/>
              <w:ind w:left="674" w:right="180"/>
              <w:jc w:val="left"/>
              <w:rPr>
                <w:rFonts w:ascii="Arial" w:hAnsi="Arial" w:cs="Arial"/>
                <w:sz w:val="20"/>
              </w:rPr>
            </w:pPr>
            <w:r w:rsidRPr="00D23C75">
              <w:rPr>
                <w:rFonts w:ascii="Arial" w:hAnsi="Arial" w:cs="Arial"/>
                <w:color w:val="1F1F1F"/>
                <w:spacing w:val="-6"/>
                <w:sz w:val="20"/>
              </w:rPr>
              <w:t>Dual</w:t>
            </w:r>
            <w:r w:rsidRPr="00D23C75">
              <w:rPr>
                <w:rFonts w:ascii="Arial" w:hAnsi="Arial" w:cs="Arial"/>
                <w:color w:val="1F1F1F"/>
                <w:spacing w:val="-9"/>
                <w:sz w:val="20"/>
              </w:rPr>
              <w:t xml:space="preserve"> </w:t>
            </w:r>
            <w:r w:rsidRPr="00D23C75">
              <w:rPr>
                <w:rFonts w:ascii="Arial" w:hAnsi="Arial" w:cs="Arial"/>
                <w:color w:val="1F1F1F"/>
                <w:spacing w:val="-2"/>
                <w:sz w:val="20"/>
              </w:rPr>
              <w:t>Culture</w:t>
            </w:r>
          </w:p>
        </w:tc>
      </w:tr>
      <w:tr w:rsidR="00D46366" w:rsidRPr="00D23C75" w14:paraId="3BDE5BE5" w14:textId="77777777" w:rsidTr="00D46366">
        <w:trPr>
          <w:trHeight w:val="417"/>
        </w:trPr>
        <w:tc>
          <w:tcPr>
            <w:tcW w:w="528" w:type="pct"/>
          </w:tcPr>
          <w:p w14:paraId="5F103BDE" w14:textId="77777777" w:rsidR="00D46366" w:rsidRPr="00D23C75" w:rsidRDefault="00D46366" w:rsidP="004B583B">
            <w:pPr>
              <w:pStyle w:val="TableParagraph"/>
              <w:spacing w:before="156" w:line="241" w:lineRule="exact"/>
              <w:ind w:left="467" w:right="180"/>
              <w:jc w:val="left"/>
              <w:rPr>
                <w:rFonts w:ascii="Arial" w:hAnsi="Arial" w:cs="Arial"/>
                <w:sz w:val="15"/>
              </w:rPr>
            </w:pPr>
            <w:r w:rsidRPr="00D23C75">
              <w:rPr>
                <w:rFonts w:ascii="Arial" w:hAnsi="Arial" w:cs="Arial"/>
                <w:color w:val="1F1F1F"/>
                <w:spacing w:val="-5"/>
                <w:position w:val="2"/>
                <w:sz w:val="23"/>
              </w:rPr>
              <w:lastRenderedPageBreak/>
              <w:t>T</w:t>
            </w:r>
            <w:r w:rsidRPr="00D23C75">
              <w:rPr>
                <w:rFonts w:ascii="Arial" w:hAnsi="Arial" w:cs="Arial"/>
                <w:color w:val="1F1F1F"/>
                <w:spacing w:val="-5"/>
                <w:sz w:val="15"/>
              </w:rPr>
              <w:t>3</w:t>
            </w:r>
          </w:p>
        </w:tc>
        <w:tc>
          <w:tcPr>
            <w:tcW w:w="1403" w:type="pct"/>
          </w:tcPr>
          <w:p w14:paraId="0CD59B0E" w14:textId="77777777" w:rsidR="00D46366" w:rsidRPr="00D23C75" w:rsidRDefault="00D46366" w:rsidP="004B583B">
            <w:pPr>
              <w:pStyle w:val="TableParagraph"/>
              <w:spacing w:before="179" w:line="218" w:lineRule="exact"/>
              <w:ind w:left="160" w:right="180"/>
              <w:rPr>
                <w:rFonts w:ascii="Arial" w:hAnsi="Arial" w:cs="Arial"/>
                <w:i/>
                <w:sz w:val="20"/>
              </w:rPr>
            </w:pPr>
            <w:r w:rsidRPr="00D23C75">
              <w:rPr>
                <w:rFonts w:ascii="Arial" w:hAnsi="Arial" w:cs="Arial"/>
                <w:i/>
                <w:sz w:val="20"/>
              </w:rPr>
              <w:t xml:space="preserve">Aspergillus </w:t>
            </w:r>
            <w:proofErr w:type="spellStart"/>
            <w:r w:rsidRPr="00D23C75">
              <w:rPr>
                <w:rFonts w:ascii="Arial" w:hAnsi="Arial" w:cs="Arial"/>
                <w:i/>
                <w:sz w:val="20"/>
              </w:rPr>
              <w:t>niger</w:t>
            </w:r>
            <w:proofErr w:type="spellEnd"/>
          </w:p>
        </w:tc>
        <w:tc>
          <w:tcPr>
            <w:tcW w:w="1871" w:type="pct"/>
          </w:tcPr>
          <w:p w14:paraId="79AA0EAC" w14:textId="77777777" w:rsidR="00D46366" w:rsidRPr="00D23C75" w:rsidRDefault="00D46366" w:rsidP="004B583B">
            <w:pPr>
              <w:pStyle w:val="TableParagraph"/>
              <w:spacing w:before="182" w:line="215" w:lineRule="exact"/>
              <w:ind w:left="11" w:right="180"/>
              <w:rPr>
                <w:rFonts w:ascii="Arial" w:hAnsi="Arial" w:cs="Arial"/>
                <w:sz w:val="20"/>
              </w:rPr>
            </w:pPr>
            <w:r w:rsidRPr="00D23C75">
              <w:rPr>
                <w:rFonts w:ascii="Arial" w:hAnsi="Arial" w:cs="Arial"/>
                <w:color w:val="1F1F1F"/>
                <w:spacing w:val="-2"/>
                <w:sz w:val="20"/>
              </w:rPr>
              <w:t>Laboratory,</w:t>
            </w:r>
            <w:r w:rsidRPr="00D23C75">
              <w:rPr>
                <w:rFonts w:ascii="Arial" w:hAnsi="Arial" w:cs="Arial"/>
                <w:color w:val="1F1F1F"/>
                <w:spacing w:val="-12"/>
                <w:sz w:val="20"/>
              </w:rPr>
              <w:t xml:space="preserve"> </w:t>
            </w:r>
            <w:r w:rsidRPr="00D23C75">
              <w:rPr>
                <w:rFonts w:ascii="Arial" w:hAnsi="Arial" w:cs="Arial"/>
                <w:color w:val="1F1F1F"/>
                <w:spacing w:val="-4"/>
                <w:sz w:val="20"/>
              </w:rPr>
              <w:t>VNMKV</w:t>
            </w:r>
          </w:p>
        </w:tc>
        <w:tc>
          <w:tcPr>
            <w:tcW w:w="1198" w:type="pct"/>
          </w:tcPr>
          <w:p w14:paraId="0C01CB3B" w14:textId="77777777" w:rsidR="00D46366" w:rsidRPr="00D23C75" w:rsidRDefault="00D46366" w:rsidP="004B583B">
            <w:pPr>
              <w:pStyle w:val="TableParagraph"/>
              <w:spacing w:before="182" w:line="215" w:lineRule="exact"/>
              <w:ind w:left="674" w:right="180"/>
              <w:jc w:val="left"/>
              <w:rPr>
                <w:rFonts w:ascii="Arial" w:hAnsi="Arial" w:cs="Arial"/>
                <w:sz w:val="20"/>
              </w:rPr>
            </w:pPr>
            <w:r w:rsidRPr="00D23C75">
              <w:rPr>
                <w:rFonts w:ascii="Arial" w:hAnsi="Arial" w:cs="Arial"/>
                <w:color w:val="1F1F1F"/>
                <w:spacing w:val="-6"/>
                <w:sz w:val="20"/>
              </w:rPr>
              <w:t>Dual</w:t>
            </w:r>
            <w:r w:rsidRPr="00D23C75">
              <w:rPr>
                <w:rFonts w:ascii="Arial" w:hAnsi="Arial" w:cs="Arial"/>
                <w:color w:val="1F1F1F"/>
                <w:spacing w:val="-9"/>
                <w:sz w:val="20"/>
              </w:rPr>
              <w:t xml:space="preserve"> </w:t>
            </w:r>
            <w:r w:rsidRPr="00D23C75">
              <w:rPr>
                <w:rFonts w:ascii="Arial" w:hAnsi="Arial" w:cs="Arial"/>
                <w:color w:val="1F1F1F"/>
                <w:spacing w:val="-2"/>
                <w:sz w:val="20"/>
              </w:rPr>
              <w:t>Culture</w:t>
            </w:r>
          </w:p>
        </w:tc>
      </w:tr>
      <w:tr w:rsidR="00D46366" w:rsidRPr="00D23C75" w14:paraId="4DAA3742" w14:textId="77777777" w:rsidTr="00D46366">
        <w:trPr>
          <w:trHeight w:val="417"/>
        </w:trPr>
        <w:tc>
          <w:tcPr>
            <w:tcW w:w="528" w:type="pct"/>
          </w:tcPr>
          <w:p w14:paraId="5C782247" w14:textId="77777777" w:rsidR="00D46366" w:rsidRPr="00D23C75" w:rsidRDefault="00D46366" w:rsidP="004B583B">
            <w:pPr>
              <w:pStyle w:val="TableParagraph"/>
              <w:spacing w:before="156" w:line="241" w:lineRule="exact"/>
              <w:ind w:left="467" w:right="180"/>
              <w:jc w:val="left"/>
              <w:rPr>
                <w:rFonts w:ascii="Arial" w:hAnsi="Arial" w:cs="Arial"/>
                <w:sz w:val="15"/>
              </w:rPr>
            </w:pPr>
            <w:r w:rsidRPr="00D23C75">
              <w:rPr>
                <w:rFonts w:ascii="Arial" w:hAnsi="Arial" w:cs="Arial"/>
                <w:color w:val="1F1F1F"/>
                <w:spacing w:val="-5"/>
                <w:position w:val="2"/>
                <w:sz w:val="23"/>
              </w:rPr>
              <w:t>T</w:t>
            </w:r>
            <w:r w:rsidRPr="00D23C75">
              <w:rPr>
                <w:rFonts w:ascii="Arial" w:hAnsi="Arial" w:cs="Arial"/>
                <w:color w:val="1F1F1F"/>
                <w:spacing w:val="-5"/>
                <w:sz w:val="15"/>
              </w:rPr>
              <w:t>4</w:t>
            </w:r>
          </w:p>
        </w:tc>
        <w:tc>
          <w:tcPr>
            <w:tcW w:w="1403" w:type="pct"/>
          </w:tcPr>
          <w:p w14:paraId="07C7DF94" w14:textId="77777777" w:rsidR="00D46366" w:rsidRPr="00D23C75" w:rsidRDefault="00D46366" w:rsidP="004B583B">
            <w:pPr>
              <w:pStyle w:val="TableParagraph"/>
              <w:spacing w:before="179" w:line="218" w:lineRule="exact"/>
              <w:ind w:left="160" w:right="180"/>
              <w:rPr>
                <w:rFonts w:ascii="Arial" w:hAnsi="Arial" w:cs="Arial"/>
                <w:i/>
                <w:sz w:val="20"/>
              </w:rPr>
            </w:pPr>
            <w:r w:rsidRPr="00D23C75">
              <w:rPr>
                <w:rFonts w:ascii="Arial" w:hAnsi="Arial" w:cs="Arial"/>
                <w:i/>
                <w:sz w:val="20"/>
              </w:rPr>
              <w:t>T. hamatum</w:t>
            </w:r>
          </w:p>
        </w:tc>
        <w:tc>
          <w:tcPr>
            <w:tcW w:w="1871" w:type="pct"/>
          </w:tcPr>
          <w:p w14:paraId="19D8E5D1" w14:textId="77777777" w:rsidR="00D46366" w:rsidRPr="00D23C75" w:rsidRDefault="00D46366" w:rsidP="004B583B">
            <w:pPr>
              <w:pStyle w:val="TableParagraph"/>
              <w:spacing w:before="182" w:line="215" w:lineRule="exact"/>
              <w:ind w:left="11" w:right="180"/>
              <w:rPr>
                <w:rFonts w:ascii="Arial" w:hAnsi="Arial" w:cs="Arial"/>
                <w:sz w:val="20"/>
              </w:rPr>
            </w:pPr>
            <w:r w:rsidRPr="00D23C75">
              <w:rPr>
                <w:rFonts w:ascii="Arial" w:hAnsi="Arial" w:cs="Arial"/>
                <w:color w:val="1F1F1F"/>
                <w:spacing w:val="-2"/>
                <w:sz w:val="20"/>
              </w:rPr>
              <w:t>Laboratory,</w:t>
            </w:r>
            <w:r w:rsidRPr="00D23C75">
              <w:rPr>
                <w:rFonts w:ascii="Arial" w:hAnsi="Arial" w:cs="Arial"/>
                <w:color w:val="1F1F1F"/>
                <w:spacing w:val="-12"/>
                <w:sz w:val="20"/>
              </w:rPr>
              <w:t xml:space="preserve"> </w:t>
            </w:r>
            <w:r w:rsidRPr="00D23C75">
              <w:rPr>
                <w:rFonts w:ascii="Arial" w:hAnsi="Arial" w:cs="Arial"/>
                <w:color w:val="1F1F1F"/>
                <w:spacing w:val="-4"/>
                <w:sz w:val="20"/>
              </w:rPr>
              <w:t>VNMKV</w:t>
            </w:r>
          </w:p>
        </w:tc>
        <w:tc>
          <w:tcPr>
            <w:tcW w:w="1198" w:type="pct"/>
          </w:tcPr>
          <w:p w14:paraId="30F54D7B" w14:textId="77777777" w:rsidR="00D46366" w:rsidRPr="00D23C75" w:rsidRDefault="00D46366" w:rsidP="004B583B">
            <w:pPr>
              <w:pStyle w:val="TableParagraph"/>
              <w:spacing w:before="182" w:line="215" w:lineRule="exact"/>
              <w:ind w:left="674" w:right="180"/>
              <w:jc w:val="left"/>
              <w:rPr>
                <w:rFonts w:ascii="Arial" w:hAnsi="Arial" w:cs="Arial"/>
                <w:sz w:val="20"/>
              </w:rPr>
            </w:pPr>
            <w:r w:rsidRPr="00D23C75">
              <w:rPr>
                <w:rFonts w:ascii="Arial" w:hAnsi="Arial" w:cs="Arial"/>
                <w:color w:val="1F1F1F"/>
                <w:spacing w:val="-6"/>
                <w:sz w:val="20"/>
              </w:rPr>
              <w:t>Dual</w:t>
            </w:r>
            <w:r w:rsidRPr="00D23C75">
              <w:rPr>
                <w:rFonts w:ascii="Arial" w:hAnsi="Arial" w:cs="Arial"/>
                <w:color w:val="1F1F1F"/>
                <w:spacing w:val="-9"/>
                <w:sz w:val="20"/>
              </w:rPr>
              <w:t xml:space="preserve"> </w:t>
            </w:r>
            <w:r w:rsidRPr="00D23C75">
              <w:rPr>
                <w:rFonts w:ascii="Arial" w:hAnsi="Arial" w:cs="Arial"/>
                <w:color w:val="1F1F1F"/>
                <w:spacing w:val="-2"/>
                <w:sz w:val="20"/>
              </w:rPr>
              <w:t>Culture</w:t>
            </w:r>
          </w:p>
        </w:tc>
      </w:tr>
      <w:tr w:rsidR="00D46366" w:rsidRPr="00D23C75" w14:paraId="1C734644" w14:textId="77777777" w:rsidTr="00D46366">
        <w:trPr>
          <w:trHeight w:val="412"/>
        </w:trPr>
        <w:tc>
          <w:tcPr>
            <w:tcW w:w="528" w:type="pct"/>
          </w:tcPr>
          <w:p w14:paraId="1616B512" w14:textId="77777777" w:rsidR="00D46366" w:rsidRPr="00D23C75" w:rsidRDefault="00D46366" w:rsidP="004B583B">
            <w:pPr>
              <w:pStyle w:val="TableParagraph"/>
              <w:spacing w:before="151" w:line="241" w:lineRule="exact"/>
              <w:ind w:left="467" w:right="180"/>
              <w:jc w:val="left"/>
              <w:rPr>
                <w:rFonts w:ascii="Arial" w:hAnsi="Arial" w:cs="Arial"/>
                <w:sz w:val="15"/>
              </w:rPr>
            </w:pPr>
            <w:r w:rsidRPr="00D23C75">
              <w:rPr>
                <w:rFonts w:ascii="Arial" w:hAnsi="Arial" w:cs="Arial"/>
                <w:color w:val="1F1F1F"/>
                <w:spacing w:val="-5"/>
                <w:position w:val="2"/>
                <w:sz w:val="23"/>
              </w:rPr>
              <w:t>T</w:t>
            </w:r>
            <w:r w:rsidRPr="00D23C75">
              <w:rPr>
                <w:rFonts w:ascii="Arial" w:hAnsi="Arial" w:cs="Arial"/>
                <w:color w:val="1F1F1F"/>
                <w:spacing w:val="-5"/>
                <w:sz w:val="15"/>
              </w:rPr>
              <w:t>5</w:t>
            </w:r>
          </w:p>
        </w:tc>
        <w:tc>
          <w:tcPr>
            <w:tcW w:w="1403" w:type="pct"/>
          </w:tcPr>
          <w:p w14:paraId="002D4211" w14:textId="77777777" w:rsidR="00D46366" w:rsidRPr="00D23C75" w:rsidRDefault="00D46366" w:rsidP="004B583B">
            <w:pPr>
              <w:pStyle w:val="TableParagraph"/>
              <w:spacing w:before="172" w:line="220" w:lineRule="exact"/>
              <w:ind w:left="160" w:right="180"/>
              <w:rPr>
                <w:rFonts w:ascii="Arial" w:hAnsi="Arial" w:cs="Arial"/>
                <w:i/>
                <w:sz w:val="20"/>
              </w:rPr>
            </w:pPr>
            <w:r w:rsidRPr="00D23C75">
              <w:rPr>
                <w:rFonts w:ascii="Arial" w:hAnsi="Arial" w:cs="Arial"/>
                <w:i/>
                <w:sz w:val="20"/>
              </w:rPr>
              <w:t xml:space="preserve">T. </w:t>
            </w:r>
            <w:proofErr w:type="spellStart"/>
            <w:r w:rsidRPr="00D23C75">
              <w:rPr>
                <w:rFonts w:ascii="Arial" w:hAnsi="Arial" w:cs="Arial"/>
                <w:i/>
                <w:sz w:val="20"/>
              </w:rPr>
              <w:t>koningii</w:t>
            </w:r>
            <w:proofErr w:type="spellEnd"/>
          </w:p>
        </w:tc>
        <w:tc>
          <w:tcPr>
            <w:tcW w:w="1871" w:type="pct"/>
          </w:tcPr>
          <w:p w14:paraId="634C4770" w14:textId="77777777" w:rsidR="00D46366" w:rsidRPr="00D23C75" w:rsidRDefault="00D46366" w:rsidP="004B583B">
            <w:pPr>
              <w:pStyle w:val="TableParagraph"/>
              <w:spacing w:before="175" w:line="217" w:lineRule="exact"/>
              <w:ind w:left="11" w:right="180"/>
              <w:rPr>
                <w:rFonts w:ascii="Arial" w:hAnsi="Arial" w:cs="Arial"/>
                <w:sz w:val="20"/>
              </w:rPr>
            </w:pPr>
            <w:r w:rsidRPr="00D23C75">
              <w:rPr>
                <w:rFonts w:ascii="Arial" w:hAnsi="Arial" w:cs="Arial"/>
                <w:color w:val="1F1F1F"/>
                <w:spacing w:val="-2"/>
                <w:sz w:val="20"/>
              </w:rPr>
              <w:t>Laboratory,</w:t>
            </w:r>
            <w:r w:rsidRPr="00D23C75">
              <w:rPr>
                <w:rFonts w:ascii="Arial" w:hAnsi="Arial" w:cs="Arial"/>
                <w:color w:val="1F1F1F"/>
                <w:spacing w:val="-12"/>
                <w:sz w:val="20"/>
              </w:rPr>
              <w:t xml:space="preserve"> </w:t>
            </w:r>
            <w:r w:rsidRPr="00D23C75">
              <w:rPr>
                <w:rFonts w:ascii="Arial" w:hAnsi="Arial" w:cs="Arial"/>
                <w:color w:val="1F1F1F"/>
                <w:spacing w:val="-4"/>
                <w:sz w:val="20"/>
              </w:rPr>
              <w:t>VNMKV</w:t>
            </w:r>
          </w:p>
        </w:tc>
        <w:tc>
          <w:tcPr>
            <w:tcW w:w="1198" w:type="pct"/>
          </w:tcPr>
          <w:p w14:paraId="005D758D" w14:textId="77777777" w:rsidR="00D46366" w:rsidRPr="00D23C75" w:rsidRDefault="00D46366" w:rsidP="004B583B">
            <w:pPr>
              <w:pStyle w:val="TableParagraph"/>
              <w:spacing w:before="175" w:line="217" w:lineRule="exact"/>
              <w:ind w:left="674" w:right="180"/>
              <w:jc w:val="left"/>
              <w:rPr>
                <w:rFonts w:ascii="Arial" w:hAnsi="Arial" w:cs="Arial"/>
                <w:sz w:val="20"/>
              </w:rPr>
            </w:pPr>
            <w:r w:rsidRPr="00D23C75">
              <w:rPr>
                <w:rFonts w:ascii="Arial" w:hAnsi="Arial" w:cs="Arial"/>
                <w:color w:val="1F1F1F"/>
                <w:spacing w:val="-6"/>
                <w:sz w:val="20"/>
              </w:rPr>
              <w:t>Dual</w:t>
            </w:r>
            <w:r w:rsidRPr="00D23C75">
              <w:rPr>
                <w:rFonts w:ascii="Arial" w:hAnsi="Arial" w:cs="Arial"/>
                <w:color w:val="1F1F1F"/>
                <w:spacing w:val="-9"/>
                <w:sz w:val="20"/>
              </w:rPr>
              <w:t xml:space="preserve"> </w:t>
            </w:r>
            <w:r w:rsidRPr="00D23C75">
              <w:rPr>
                <w:rFonts w:ascii="Arial" w:hAnsi="Arial" w:cs="Arial"/>
                <w:color w:val="1F1F1F"/>
                <w:spacing w:val="-2"/>
                <w:sz w:val="20"/>
              </w:rPr>
              <w:t>Culture</w:t>
            </w:r>
          </w:p>
        </w:tc>
      </w:tr>
      <w:tr w:rsidR="00D46366" w:rsidRPr="00D23C75" w14:paraId="50AE0FEC" w14:textId="77777777" w:rsidTr="00D46366">
        <w:trPr>
          <w:trHeight w:val="417"/>
        </w:trPr>
        <w:tc>
          <w:tcPr>
            <w:tcW w:w="528" w:type="pct"/>
          </w:tcPr>
          <w:p w14:paraId="0D5B6058" w14:textId="77777777" w:rsidR="00D46366" w:rsidRPr="00D23C75" w:rsidRDefault="00D46366" w:rsidP="004B583B">
            <w:pPr>
              <w:pStyle w:val="TableParagraph"/>
              <w:spacing w:before="156" w:line="241" w:lineRule="exact"/>
              <w:ind w:left="467" w:right="180"/>
              <w:jc w:val="left"/>
              <w:rPr>
                <w:rFonts w:ascii="Arial" w:hAnsi="Arial" w:cs="Arial"/>
                <w:sz w:val="15"/>
              </w:rPr>
            </w:pPr>
            <w:r w:rsidRPr="00D23C75">
              <w:rPr>
                <w:rFonts w:ascii="Arial" w:hAnsi="Arial" w:cs="Arial"/>
                <w:color w:val="1F1F1F"/>
                <w:spacing w:val="-5"/>
                <w:position w:val="2"/>
                <w:sz w:val="23"/>
              </w:rPr>
              <w:t>T</w:t>
            </w:r>
            <w:r w:rsidRPr="00D23C75">
              <w:rPr>
                <w:rFonts w:ascii="Arial" w:hAnsi="Arial" w:cs="Arial"/>
                <w:color w:val="1F1F1F"/>
                <w:spacing w:val="-5"/>
                <w:sz w:val="15"/>
              </w:rPr>
              <w:t>6</w:t>
            </w:r>
          </w:p>
        </w:tc>
        <w:tc>
          <w:tcPr>
            <w:tcW w:w="1403" w:type="pct"/>
          </w:tcPr>
          <w:p w14:paraId="058BD655" w14:textId="77777777" w:rsidR="00D46366" w:rsidRPr="00D23C75" w:rsidRDefault="00D46366" w:rsidP="004B583B">
            <w:pPr>
              <w:pStyle w:val="TableParagraph"/>
              <w:spacing w:before="177" w:line="220" w:lineRule="exact"/>
              <w:ind w:left="160" w:right="180"/>
              <w:rPr>
                <w:rFonts w:ascii="Arial" w:hAnsi="Arial" w:cs="Arial"/>
                <w:i/>
                <w:sz w:val="20"/>
              </w:rPr>
            </w:pPr>
            <w:r w:rsidRPr="00D23C75">
              <w:rPr>
                <w:rFonts w:ascii="Arial" w:hAnsi="Arial" w:cs="Arial"/>
                <w:i/>
                <w:sz w:val="20"/>
              </w:rPr>
              <w:t>Pseudomonas fluorescens</w:t>
            </w:r>
          </w:p>
        </w:tc>
        <w:tc>
          <w:tcPr>
            <w:tcW w:w="1871" w:type="pct"/>
          </w:tcPr>
          <w:p w14:paraId="60AA1D7E" w14:textId="77777777" w:rsidR="00D46366" w:rsidRPr="00D23C75" w:rsidRDefault="00D46366" w:rsidP="004B583B">
            <w:pPr>
              <w:pStyle w:val="TableParagraph"/>
              <w:spacing w:before="180" w:line="217" w:lineRule="exact"/>
              <w:ind w:left="11" w:right="180"/>
              <w:rPr>
                <w:rFonts w:ascii="Arial" w:hAnsi="Arial" w:cs="Arial"/>
                <w:sz w:val="20"/>
              </w:rPr>
            </w:pPr>
            <w:r w:rsidRPr="00D23C75">
              <w:rPr>
                <w:rFonts w:ascii="Arial" w:hAnsi="Arial" w:cs="Arial"/>
                <w:color w:val="1F1F1F"/>
                <w:spacing w:val="-2"/>
                <w:sz w:val="20"/>
              </w:rPr>
              <w:t>Laboratory,</w:t>
            </w:r>
            <w:r w:rsidRPr="00D23C75">
              <w:rPr>
                <w:rFonts w:ascii="Arial" w:hAnsi="Arial" w:cs="Arial"/>
                <w:color w:val="1F1F1F"/>
                <w:spacing w:val="-12"/>
                <w:sz w:val="20"/>
              </w:rPr>
              <w:t xml:space="preserve"> </w:t>
            </w:r>
            <w:r w:rsidRPr="00D23C75">
              <w:rPr>
                <w:rFonts w:ascii="Arial" w:hAnsi="Arial" w:cs="Arial"/>
                <w:color w:val="1F1F1F"/>
                <w:spacing w:val="-4"/>
                <w:sz w:val="20"/>
              </w:rPr>
              <w:t>VNMKV</w:t>
            </w:r>
          </w:p>
        </w:tc>
        <w:tc>
          <w:tcPr>
            <w:tcW w:w="1198" w:type="pct"/>
          </w:tcPr>
          <w:p w14:paraId="793A67D3" w14:textId="77777777" w:rsidR="00D46366" w:rsidRPr="00D23C75" w:rsidRDefault="00D46366" w:rsidP="004B583B">
            <w:pPr>
              <w:pStyle w:val="TableParagraph"/>
              <w:spacing w:before="180" w:line="217" w:lineRule="exact"/>
              <w:ind w:left="674" w:right="180"/>
              <w:jc w:val="left"/>
              <w:rPr>
                <w:rFonts w:ascii="Arial" w:hAnsi="Arial" w:cs="Arial"/>
                <w:sz w:val="20"/>
              </w:rPr>
            </w:pPr>
            <w:r w:rsidRPr="00D23C75">
              <w:rPr>
                <w:rFonts w:ascii="Arial" w:hAnsi="Arial" w:cs="Arial"/>
                <w:color w:val="1F1F1F"/>
                <w:spacing w:val="-6"/>
                <w:sz w:val="20"/>
              </w:rPr>
              <w:t>Dual</w:t>
            </w:r>
            <w:r w:rsidRPr="00D23C75">
              <w:rPr>
                <w:rFonts w:ascii="Arial" w:hAnsi="Arial" w:cs="Arial"/>
                <w:color w:val="1F1F1F"/>
                <w:spacing w:val="-9"/>
                <w:sz w:val="20"/>
              </w:rPr>
              <w:t xml:space="preserve"> </w:t>
            </w:r>
            <w:r w:rsidRPr="00D23C75">
              <w:rPr>
                <w:rFonts w:ascii="Arial" w:hAnsi="Arial" w:cs="Arial"/>
                <w:color w:val="1F1F1F"/>
                <w:spacing w:val="-2"/>
                <w:sz w:val="20"/>
              </w:rPr>
              <w:t>Culture</w:t>
            </w:r>
          </w:p>
        </w:tc>
      </w:tr>
      <w:tr w:rsidR="00D46366" w:rsidRPr="00D23C75" w14:paraId="13ED142D" w14:textId="77777777" w:rsidTr="00D46366">
        <w:trPr>
          <w:trHeight w:val="417"/>
        </w:trPr>
        <w:tc>
          <w:tcPr>
            <w:tcW w:w="528" w:type="pct"/>
          </w:tcPr>
          <w:p w14:paraId="40A5BDC1" w14:textId="77777777" w:rsidR="00D46366" w:rsidRPr="00D23C75" w:rsidRDefault="00D46366" w:rsidP="004B583B">
            <w:pPr>
              <w:pStyle w:val="TableParagraph"/>
              <w:spacing w:before="156" w:line="241" w:lineRule="exact"/>
              <w:ind w:left="467" w:right="180"/>
              <w:jc w:val="left"/>
              <w:rPr>
                <w:rFonts w:ascii="Arial" w:hAnsi="Arial" w:cs="Arial"/>
                <w:sz w:val="15"/>
              </w:rPr>
            </w:pPr>
            <w:r w:rsidRPr="00D23C75">
              <w:rPr>
                <w:rFonts w:ascii="Arial" w:hAnsi="Arial" w:cs="Arial"/>
                <w:color w:val="1F1F1F"/>
                <w:spacing w:val="-5"/>
                <w:position w:val="2"/>
                <w:sz w:val="23"/>
              </w:rPr>
              <w:t>T</w:t>
            </w:r>
            <w:r w:rsidRPr="00D23C75">
              <w:rPr>
                <w:rFonts w:ascii="Arial" w:hAnsi="Arial" w:cs="Arial"/>
                <w:color w:val="1F1F1F"/>
                <w:spacing w:val="-5"/>
                <w:sz w:val="15"/>
              </w:rPr>
              <w:t>7</w:t>
            </w:r>
          </w:p>
        </w:tc>
        <w:tc>
          <w:tcPr>
            <w:tcW w:w="1403" w:type="pct"/>
          </w:tcPr>
          <w:p w14:paraId="316D79F8" w14:textId="77777777" w:rsidR="00D46366" w:rsidRPr="00D23C75" w:rsidRDefault="00D46366" w:rsidP="004B583B">
            <w:pPr>
              <w:pStyle w:val="TableParagraph"/>
              <w:spacing w:before="177" w:line="220" w:lineRule="exact"/>
              <w:ind w:left="160" w:right="180"/>
              <w:rPr>
                <w:rFonts w:ascii="Arial" w:hAnsi="Arial" w:cs="Arial"/>
                <w:i/>
                <w:sz w:val="20"/>
              </w:rPr>
            </w:pPr>
            <w:r w:rsidRPr="00D23C75">
              <w:rPr>
                <w:rFonts w:ascii="Arial" w:hAnsi="Arial" w:cs="Arial"/>
                <w:i/>
                <w:sz w:val="20"/>
              </w:rPr>
              <w:t>Bacillus subtilis</w:t>
            </w:r>
          </w:p>
        </w:tc>
        <w:tc>
          <w:tcPr>
            <w:tcW w:w="1871" w:type="pct"/>
          </w:tcPr>
          <w:p w14:paraId="4FECE54D" w14:textId="77777777" w:rsidR="00D46366" w:rsidRPr="00D23C75" w:rsidRDefault="00D46366" w:rsidP="004B583B">
            <w:pPr>
              <w:pStyle w:val="TableParagraph"/>
              <w:spacing w:before="180" w:line="217" w:lineRule="exact"/>
              <w:ind w:left="11" w:right="180"/>
              <w:rPr>
                <w:rFonts w:ascii="Arial" w:hAnsi="Arial" w:cs="Arial"/>
                <w:sz w:val="20"/>
              </w:rPr>
            </w:pPr>
            <w:r w:rsidRPr="00D23C75">
              <w:rPr>
                <w:rFonts w:ascii="Arial" w:hAnsi="Arial" w:cs="Arial"/>
                <w:color w:val="1F1F1F"/>
                <w:spacing w:val="-2"/>
                <w:sz w:val="20"/>
              </w:rPr>
              <w:t>Laboratory,</w:t>
            </w:r>
            <w:r w:rsidRPr="00D23C75">
              <w:rPr>
                <w:rFonts w:ascii="Arial" w:hAnsi="Arial" w:cs="Arial"/>
                <w:color w:val="1F1F1F"/>
                <w:spacing w:val="-12"/>
                <w:sz w:val="20"/>
              </w:rPr>
              <w:t xml:space="preserve"> </w:t>
            </w:r>
            <w:r w:rsidRPr="00D23C75">
              <w:rPr>
                <w:rFonts w:ascii="Arial" w:hAnsi="Arial" w:cs="Arial"/>
                <w:color w:val="1F1F1F"/>
                <w:spacing w:val="-4"/>
                <w:sz w:val="20"/>
              </w:rPr>
              <w:t>VNMKV</w:t>
            </w:r>
          </w:p>
        </w:tc>
        <w:tc>
          <w:tcPr>
            <w:tcW w:w="1198" w:type="pct"/>
          </w:tcPr>
          <w:p w14:paraId="4E259C61" w14:textId="77777777" w:rsidR="00D46366" w:rsidRPr="00D23C75" w:rsidRDefault="00D46366" w:rsidP="004B583B">
            <w:pPr>
              <w:pStyle w:val="TableParagraph"/>
              <w:spacing w:before="180" w:line="217" w:lineRule="exact"/>
              <w:ind w:left="674" w:right="180"/>
              <w:jc w:val="left"/>
              <w:rPr>
                <w:rFonts w:ascii="Arial" w:hAnsi="Arial" w:cs="Arial"/>
                <w:sz w:val="20"/>
              </w:rPr>
            </w:pPr>
            <w:r w:rsidRPr="00D23C75">
              <w:rPr>
                <w:rFonts w:ascii="Arial" w:hAnsi="Arial" w:cs="Arial"/>
                <w:color w:val="1F1F1F"/>
                <w:spacing w:val="-6"/>
                <w:sz w:val="20"/>
              </w:rPr>
              <w:t>Dual</w:t>
            </w:r>
            <w:r w:rsidRPr="00D23C75">
              <w:rPr>
                <w:rFonts w:ascii="Arial" w:hAnsi="Arial" w:cs="Arial"/>
                <w:color w:val="1F1F1F"/>
                <w:spacing w:val="-9"/>
                <w:sz w:val="20"/>
              </w:rPr>
              <w:t xml:space="preserve"> </w:t>
            </w:r>
            <w:r w:rsidRPr="00D23C75">
              <w:rPr>
                <w:rFonts w:ascii="Arial" w:hAnsi="Arial" w:cs="Arial"/>
                <w:color w:val="1F1F1F"/>
                <w:spacing w:val="-2"/>
                <w:sz w:val="20"/>
              </w:rPr>
              <w:t>Culture</w:t>
            </w:r>
          </w:p>
        </w:tc>
      </w:tr>
      <w:tr w:rsidR="00D46366" w:rsidRPr="00D23C75" w14:paraId="75A76028" w14:textId="77777777" w:rsidTr="00D46366">
        <w:trPr>
          <w:trHeight w:val="342"/>
        </w:trPr>
        <w:tc>
          <w:tcPr>
            <w:tcW w:w="528" w:type="pct"/>
          </w:tcPr>
          <w:p w14:paraId="092BBB26" w14:textId="77777777" w:rsidR="00D46366" w:rsidRPr="00D23C75" w:rsidRDefault="00D46366" w:rsidP="004B583B">
            <w:pPr>
              <w:pStyle w:val="TableParagraph"/>
              <w:spacing w:before="82" w:line="241" w:lineRule="exact"/>
              <w:ind w:left="467" w:right="180"/>
              <w:jc w:val="left"/>
              <w:rPr>
                <w:rFonts w:ascii="Arial" w:hAnsi="Arial" w:cs="Arial"/>
                <w:sz w:val="15"/>
              </w:rPr>
            </w:pPr>
            <w:r w:rsidRPr="00D23C75">
              <w:rPr>
                <w:rFonts w:ascii="Arial" w:hAnsi="Arial" w:cs="Arial"/>
                <w:color w:val="1F1F1F"/>
                <w:spacing w:val="-5"/>
                <w:position w:val="2"/>
                <w:sz w:val="23"/>
              </w:rPr>
              <w:t>T</w:t>
            </w:r>
            <w:r w:rsidRPr="00D23C75">
              <w:rPr>
                <w:rFonts w:ascii="Arial" w:hAnsi="Arial" w:cs="Arial"/>
                <w:color w:val="1F1F1F"/>
                <w:spacing w:val="-5"/>
                <w:sz w:val="15"/>
              </w:rPr>
              <w:t>8</w:t>
            </w:r>
          </w:p>
        </w:tc>
        <w:tc>
          <w:tcPr>
            <w:tcW w:w="1403" w:type="pct"/>
          </w:tcPr>
          <w:p w14:paraId="6DB74824" w14:textId="77777777" w:rsidR="00D46366" w:rsidRPr="00D23C75" w:rsidRDefault="00D46366" w:rsidP="004B583B">
            <w:pPr>
              <w:pStyle w:val="TableParagraph"/>
              <w:spacing w:before="106" w:line="217" w:lineRule="exact"/>
              <w:ind w:left="160" w:right="180"/>
              <w:rPr>
                <w:rFonts w:ascii="Arial" w:hAnsi="Arial" w:cs="Arial"/>
                <w:sz w:val="20"/>
              </w:rPr>
            </w:pPr>
            <w:r w:rsidRPr="00D23C75">
              <w:rPr>
                <w:rFonts w:ascii="Arial" w:hAnsi="Arial" w:cs="Arial"/>
                <w:color w:val="1F1F1F"/>
                <w:sz w:val="20"/>
              </w:rPr>
              <w:t>Control</w:t>
            </w:r>
            <w:r w:rsidRPr="00D23C75">
              <w:rPr>
                <w:rFonts w:ascii="Arial" w:hAnsi="Arial" w:cs="Arial"/>
                <w:color w:val="1F1F1F"/>
                <w:spacing w:val="-9"/>
                <w:sz w:val="20"/>
              </w:rPr>
              <w:t xml:space="preserve"> </w:t>
            </w:r>
            <w:r w:rsidRPr="00D23C75">
              <w:rPr>
                <w:rFonts w:ascii="Arial" w:hAnsi="Arial" w:cs="Arial"/>
                <w:color w:val="1F1F1F"/>
                <w:spacing w:val="-2"/>
                <w:sz w:val="20"/>
              </w:rPr>
              <w:t>(Untreated)</w:t>
            </w:r>
          </w:p>
        </w:tc>
        <w:tc>
          <w:tcPr>
            <w:tcW w:w="1871" w:type="pct"/>
          </w:tcPr>
          <w:p w14:paraId="2B5774C8" w14:textId="77777777" w:rsidR="00D46366" w:rsidRPr="00D23C75" w:rsidRDefault="00D46366" w:rsidP="004B583B">
            <w:pPr>
              <w:pStyle w:val="TableParagraph"/>
              <w:spacing w:before="106" w:line="217" w:lineRule="exact"/>
              <w:ind w:left="11" w:right="180"/>
              <w:rPr>
                <w:rFonts w:ascii="Arial" w:hAnsi="Arial" w:cs="Arial"/>
                <w:sz w:val="20"/>
              </w:rPr>
            </w:pPr>
            <w:r w:rsidRPr="00D23C75">
              <w:rPr>
                <w:rFonts w:ascii="Arial" w:hAnsi="Arial" w:cs="Arial"/>
                <w:color w:val="1F1F1F"/>
                <w:spacing w:val="-4"/>
                <w:sz w:val="20"/>
              </w:rPr>
              <w:t>Pathogen</w:t>
            </w:r>
            <w:r w:rsidRPr="00D23C75">
              <w:rPr>
                <w:rFonts w:ascii="Arial" w:hAnsi="Arial" w:cs="Arial"/>
                <w:color w:val="1F1F1F"/>
                <w:spacing w:val="2"/>
                <w:sz w:val="20"/>
              </w:rPr>
              <w:t xml:space="preserve"> </w:t>
            </w:r>
            <w:r w:rsidRPr="00D23C75">
              <w:rPr>
                <w:rFonts w:ascii="Arial" w:hAnsi="Arial" w:cs="Arial"/>
                <w:color w:val="1F1F1F"/>
                <w:spacing w:val="-2"/>
                <w:sz w:val="20"/>
              </w:rPr>
              <w:t>alone</w:t>
            </w:r>
          </w:p>
        </w:tc>
        <w:tc>
          <w:tcPr>
            <w:tcW w:w="1198" w:type="pct"/>
          </w:tcPr>
          <w:p w14:paraId="5527DF1E" w14:textId="77777777" w:rsidR="00D46366" w:rsidRPr="00D23C75" w:rsidRDefault="00D46366" w:rsidP="004B583B">
            <w:pPr>
              <w:pStyle w:val="TableParagraph"/>
              <w:spacing w:before="105" w:line="217" w:lineRule="exact"/>
              <w:ind w:left="0" w:right="180"/>
              <w:jc w:val="right"/>
              <w:rPr>
                <w:rFonts w:ascii="Arial" w:hAnsi="Arial" w:cs="Arial"/>
                <w:sz w:val="20"/>
              </w:rPr>
            </w:pPr>
            <w:r w:rsidRPr="00D23C75">
              <w:rPr>
                <w:rFonts w:ascii="Arial" w:hAnsi="Arial" w:cs="Arial"/>
                <w:color w:val="1F1F1F"/>
                <w:w w:val="90"/>
                <w:sz w:val="20"/>
              </w:rPr>
              <w:t>Single</w:t>
            </w:r>
            <w:r w:rsidRPr="00D23C75">
              <w:rPr>
                <w:rFonts w:ascii="Arial" w:hAnsi="Arial" w:cs="Arial"/>
                <w:color w:val="1F1F1F"/>
                <w:spacing w:val="18"/>
                <w:sz w:val="20"/>
              </w:rPr>
              <w:t xml:space="preserve"> </w:t>
            </w:r>
            <w:r w:rsidRPr="00D23C75">
              <w:rPr>
                <w:rFonts w:ascii="Arial" w:hAnsi="Arial" w:cs="Arial"/>
                <w:color w:val="1F1F1F"/>
                <w:spacing w:val="-2"/>
                <w:w w:val="95"/>
                <w:sz w:val="20"/>
              </w:rPr>
              <w:t>Inoculation</w:t>
            </w:r>
          </w:p>
        </w:tc>
      </w:tr>
    </w:tbl>
    <w:p w14:paraId="3120CBB4" w14:textId="77777777" w:rsidR="00D46366" w:rsidRPr="00D23C75" w:rsidRDefault="00D46366" w:rsidP="00D46366">
      <w:pPr>
        <w:spacing w:line="242" w:lineRule="auto"/>
        <w:ind w:left="360" w:right="180"/>
        <w:jc w:val="both"/>
        <w:rPr>
          <w:rFonts w:ascii="Arial" w:hAnsi="Arial" w:cs="Arial"/>
          <w:sz w:val="20"/>
        </w:rPr>
      </w:pPr>
    </w:p>
    <w:p w14:paraId="523384E4" w14:textId="77777777" w:rsidR="00D46366" w:rsidRPr="00D23C75" w:rsidRDefault="00D46366" w:rsidP="00D46366">
      <w:pPr>
        <w:pStyle w:val="BodyText"/>
        <w:spacing w:line="242" w:lineRule="auto"/>
        <w:ind w:left="360" w:right="180"/>
        <w:jc w:val="both"/>
        <w:rPr>
          <w:rFonts w:ascii="Arial" w:hAnsi="Arial" w:cs="Arial"/>
        </w:rPr>
      </w:pPr>
      <w:r w:rsidRPr="00D23C75">
        <w:rPr>
          <w:rFonts w:ascii="Arial" w:hAnsi="Arial" w:cs="Arial"/>
        </w:rPr>
        <w:t>Mycelial discs (5 mm) cut from active 7-day-old cultures of the pathogen and the respective antagonist were placed opposite each other near the edges of Petri dishes containing solidified PDA medium, approximately 60 mm apart. In the control plates (T8), only the pathogen disc was placed. The experiment was laid out in a completely randomised design (CRD) with three replications per treatment. Plates were incubated at 27 ± 2∘C. Radial growth of the pathogen was recorded when the control plates attained full growth (90 mm). Per cent growth inhibition was computed using Vincent's (1947) formula.</w:t>
      </w:r>
    </w:p>
    <w:p w14:paraId="1D7E0A21" w14:textId="77777777" w:rsidR="004B583B" w:rsidRPr="00D23C75" w:rsidRDefault="004B583B" w:rsidP="00D46366">
      <w:pPr>
        <w:pStyle w:val="BodyText"/>
        <w:spacing w:line="242" w:lineRule="auto"/>
        <w:ind w:left="360" w:right="180"/>
        <w:jc w:val="both"/>
        <w:rPr>
          <w:rFonts w:ascii="Arial" w:hAnsi="Arial" w:cs="Arial"/>
        </w:rPr>
      </w:pPr>
    </w:p>
    <w:p w14:paraId="07574BAA" w14:textId="77777777" w:rsidR="00D46366" w:rsidRPr="00D23C75" w:rsidRDefault="00D46366" w:rsidP="00D46366">
      <w:pPr>
        <w:spacing w:before="207"/>
        <w:ind w:left="1274" w:right="180"/>
        <w:rPr>
          <w:rFonts w:ascii="Arial" w:hAnsi="Arial" w:cs="Arial"/>
          <w:sz w:val="24"/>
        </w:rPr>
      </w:pPr>
      <w:r w:rsidRPr="00D23C75">
        <w:rPr>
          <w:rFonts w:ascii="Arial" w:eastAsia="Arial" w:hAnsi="Arial" w:cs="Arial"/>
          <w:b/>
          <w:bCs/>
        </w:rPr>
        <w:tab/>
      </w:r>
      <w:r w:rsidRPr="00D23C75">
        <w:rPr>
          <w:rFonts w:ascii="Arial" w:hAnsi="Arial" w:cs="Arial"/>
          <w:sz w:val="24"/>
        </w:rPr>
        <w:t>C-</w:t>
      </w:r>
      <w:r w:rsidRPr="00D23C75">
        <w:rPr>
          <w:rFonts w:ascii="Arial" w:hAnsi="Arial" w:cs="Arial"/>
          <w:spacing w:val="-10"/>
          <w:sz w:val="24"/>
        </w:rPr>
        <w:t>T</w:t>
      </w:r>
    </w:p>
    <w:p w14:paraId="3AFE6AA9" w14:textId="77777777" w:rsidR="00D46366" w:rsidRPr="00D23C75" w:rsidRDefault="00D46366" w:rsidP="00D46366">
      <w:pPr>
        <w:tabs>
          <w:tab w:val="left" w:leader="hyphen" w:pos="1934"/>
        </w:tabs>
        <w:spacing w:before="15"/>
        <w:ind w:left="643" w:right="180"/>
        <w:rPr>
          <w:rFonts w:ascii="Arial" w:hAnsi="Arial" w:cs="Arial"/>
          <w:sz w:val="24"/>
        </w:rPr>
      </w:pPr>
      <w:r w:rsidRPr="00D23C75">
        <w:rPr>
          <w:rFonts w:ascii="Arial" w:hAnsi="Arial" w:cs="Arial"/>
          <w:w w:val="80"/>
          <w:sz w:val="24"/>
        </w:rPr>
        <w:t>(I)</w:t>
      </w:r>
      <w:r w:rsidRPr="00D23C75">
        <w:rPr>
          <w:rFonts w:ascii="Arial" w:hAnsi="Arial" w:cs="Arial"/>
          <w:spacing w:val="-6"/>
          <w:w w:val="80"/>
          <w:sz w:val="24"/>
        </w:rPr>
        <w:t xml:space="preserve"> </w:t>
      </w:r>
      <w:r w:rsidRPr="00D23C75">
        <w:rPr>
          <w:rFonts w:ascii="Arial" w:hAnsi="Arial" w:cs="Arial"/>
          <w:spacing w:val="-10"/>
          <w:w w:val="95"/>
          <w:sz w:val="24"/>
        </w:rPr>
        <w:t>=</w:t>
      </w:r>
      <w:r w:rsidRPr="00D23C75">
        <w:rPr>
          <w:rFonts w:ascii="Arial" w:hAnsi="Arial" w:cs="Arial"/>
          <w:sz w:val="24"/>
        </w:rPr>
        <w:tab/>
        <w:t>×</w:t>
      </w:r>
      <w:r w:rsidRPr="00D23C75">
        <w:rPr>
          <w:rFonts w:ascii="Arial" w:hAnsi="Arial" w:cs="Arial"/>
          <w:spacing w:val="-22"/>
          <w:sz w:val="24"/>
        </w:rPr>
        <w:t xml:space="preserve"> </w:t>
      </w:r>
      <w:r w:rsidRPr="00D23C75">
        <w:rPr>
          <w:rFonts w:ascii="Arial" w:hAnsi="Arial" w:cs="Arial"/>
          <w:spacing w:val="-5"/>
          <w:sz w:val="24"/>
        </w:rPr>
        <w:t>100</w:t>
      </w:r>
    </w:p>
    <w:p w14:paraId="4D4EAE2F" w14:textId="77777777" w:rsidR="00D46366" w:rsidRPr="00D23C75" w:rsidRDefault="00D46366" w:rsidP="00D46366">
      <w:pPr>
        <w:spacing w:before="14"/>
        <w:ind w:left="1324" w:right="180"/>
        <w:rPr>
          <w:rFonts w:ascii="Arial" w:hAnsi="Arial" w:cs="Arial"/>
          <w:sz w:val="24"/>
        </w:rPr>
      </w:pPr>
      <w:r w:rsidRPr="00D23C75">
        <w:rPr>
          <w:rFonts w:ascii="Arial" w:hAnsi="Arial" w:cs="Arial"/>
          <w:spacing w:val="-10"/>
          <w:w w:val="115"/>
          <w:sz w:val="24"/>
        </w:rPr>
        <w:t xml:space="preserve">  C</w:t>
      </w:r>
    </w:p>
    <w:p w14:paraId="5E7D2447" w14:textId="77777777" w:rsidR="00F11EBD" w:rsidRPr="00D23C75" w:rsidRDefault="00D46366" w:rsidP="00F11EBD">
      <w:pPr>
        <w:rPr>
          <w:rFonts w:ascii="Arial" w:eastAsia="Arial" w:hAnsi="Arial" w:cs="Arial"/>
          <w:bCs/>
          <w:sz w:val="20"/>
        </w:rPr>
      </w:pPr>
      <w:r w:rsidRPr="00D23C75">
        <w:rPr>
          <w:rFonts w:ascii="Arial" w:eastAsia="Arial" w:hAnsi="Arial" w:cs="Arial"/>
          <w:bCs/>
          <w:sz w:val="20"/>
        </w:rPr>
        <w:t>Where,</w:t>
      </w:r>
    </w:p>
    <w:p w14:paraId="01E5A485" w14:textId="77777777" w:rsidR="00D46366" w:rsidRPr="00D23C75" w:rsidRDefault="00D46366" w:rsidP="00D46366">
      <w:pPr>
        <w:pStyle w:val="BodyText"/>
        <w:spacing w:before="188"/>
        <w:ind w:right="180" w:firstLine="720"/>
        <w:rPr>
          <w:rFonts w:ascii="Arial" w:hAnsi="Arial" w:cs="Arial"/>
          <w:spacing w:val="-2"/>
        </w:rPr>
      </w:pPr>
      <w:r w:rsidRPr="00D23C75">
        <w:rPr>
          <w:rFonts w:ascii="Arial" w:eastAsia="Arial" w:hAnsi="Arial" w:cs="Arial"/>
          <w:bCs/>
        </w:rPr>
        <w:tab/>
      </w:r>
      <w:r w:rsidRPr="00D23C75">
        <w:rPr>
          <w:rFonts w:ascii="Arial" w:hAnsi="Arial" w:cs="Arial"/>
          <w:b/>
        </w:rPr>
        <w:t>I</w:t>
      </w:r>
      <w:r w:rsidRPr="00D23C75">
        <w:rPr>
          <w:rFonts w:ascii="Arial" w:hAnsi="Arial" w:cs="Arial"/>
          <w:b/>
          <w:spacing w:val="-7"/>
        </w:rPr>
        <w:t xml:space="preserve"> </w:t>
      </w:r>
      <w:r w:rsidRPr="00D23C75">
        <w:rPr>
          <w:rFonts w:ascii="Arial" w:hAnsi="Arial" w:cs="Arial"/>
        </w:rPr>
        <w:t>=</w:t>
      </w:r>
      <w:r w:rsidRPr="00D23C75">
        <w:rPr>
          <w:rFonts w:ascii="Arial" w:hAnsi="Arial" w:cs="Arial"/>
          <w:spacing w:val="-4"/>
        </w:rPr>
        <w:t xml:space="preserve"> </w:t>
      </w:r>
      <w:r w:rsidRPr="00D23C75">
        <w:rPr>
          <w:rFonts w:ascii="Arial" w:hAnsi="Arial" w:cs="Arial"/>
        </w:rPr>
        <w:t>Percent</w:t>
      </w:r>
      <w:r w:rsidRPr="00D23C75">
        <w:rPr>
          <w:rFonts w:ascii="Arial" w:hAnsi="Arial" w:cs="Arial"/>
          <w:spacing w:val="-2"/>
        </w:rPr>
        <w:t xml:space="preserve"> </w:t>
      </w:r>
      <w:r w:rsidRPr="00D23C75">
        <w:rPr>
          <w:rFonts w:ascii="Arial" w:hAnsi="Arial" w:cs="Arial"/>
        </w:rPr>
        <w:t>inhibition</w:t>
      </w:r>
      <w:r w:rsidRPr="00D23C75">
        <w:rPr>
          <w:rFonts w:ascii="Arial" w:hAnsi="Arial" w:cs="Arial"/>
          <w:spacing w:val="-3"/>
        </w:rPr>
        <w:t xml:space="preserve"> </w:t>
      </w:r>
      <w:r w:rsidRPr="00D23C75">
        <w:rPr>
          <w:rFonts w:ascii="Arial" w:hAnsi="Arial" w:cs="Arial"/>
        </w:rPr>
        <w:t>of</w:t>
      </w:r>
      <w:r w:rsidRPr="00D23C75">
        <w:rPr>
          <w:rFonts w:ascii="Arial" w:hAnsi="Arial" w:cs="Arial"/>
          <w:spacing w:val="-2"/>
        </w:rPr>
        <w:t xml:space="preserve"> </w:t>
      </w:r>
      <w:r w:rsidRPr="00D23C75">
        <w:rPr>
          <w:rFonts w:ascii="Arial" w:hAnsi="Arial" w:cs="Arial"/>
        </w:rPr>
        <w:t>mycelial</w:t>
      </w:r>
      <w:r w:rsidRPr="00D23C75">
        <w:rPr>
          <w:rFonts w:ascii="Arial" w:hAnsi="Arial" w:cs="Arial"/>
          <w:spacing w:val="-4"/>
        </w:rPr>
        <w:t xml:space="preserve"> </w:t>
      </w:r>
      <w:r w:rsidRPr="00D23C75">
        <w:rPr>
          <w:rFonts w:ascii="Arial" w:hAnsi="Arial" w:cs="Arial"/>
          <w:spacing w:val="-2"/>
        </w:rPr>
        <w:t>growth</w:t>
      </w:r>
    </w:p>
    <w:p w14:paraId="61E524EE" w14:textId="77777777" w:rsidR="00D46366" w:rsidRPr="00D23C75" w:rsidRDefault="00D46366" w:rsidP="00D46366">
      <w:pPr>
        <w:pStyle w:val="BodyText"/>
        <w:spacing w:before="79"/>
        <w:ind w:left="1080" w:right="180"/>
        <w:rPr>
          <w:rFonts w:ascii="Arial" w:hAnsi="Arial" w:cs="Arial"/>
        </w:rPr>
      </w:pPr>
      <w:r w:rsidRPr="00D23C75">
        <w:rPr>
          <w:rFonts w:ascii="Arial" w:hAnsi="Arial" w:cs="Arial"/>
          <w:spacing w:val="-2"/>
        </w:rPr>
        <w:tab/>
      </w:r>
      <w:r w:rsidRPr="00D23C75">
        <w:rPr>
          <w:rFonts w:ascii="Arial" w:hAnsi="Arial" w:cs="Arial"/>
          <w:b/>
        </w:rPr>
        <w:t>C</w:t>
      </w:r>
      <w:r w:rsidRPr="00D23C75">
        <w:rPr>
          <w:rFonts w:ascii="Arial" w:hAnsi="Arial" w:cs="Arial"/>
          <w:b/>
          <w:spacing w:val="-5"/>
        </w:rPr>
        <w:t xml:space="preserve"> </w:t>
      </w:r>
      <w:r w:rsidRPr="00D23C75">
        <w:rPr>
          <w:rFonts w:ascii="Arial" w:hAnsi="Arial" w:cs="Arial"/>
        </w:rPr>
        <w:t>=</w:t>
      </w:r>
      <w:r w:rsidRPr="00D23C75">
        <w:rPr>
          <w:rFonts w:ascii="Arial" w:hAnsi="Arial" w:cs="Arial"/>
          <w:spacing w:val="-2"/>
        </w:rPr>
        <w:t xml:space="preserve"> </w:t>
      </w:r>
      <w:r w:rsidRPr="00D23C75">
        <w:rPr>
          <w:rFonts w:ascii="Arial" w:hAnsi="Arial" w:cs="Arial"/>
        </w:rPr>
        <w:t>Radial</w:t>
      </w:r>
      <w:r w:rsidRPr="00D23C75">
        <w:rPr>
          <w:rFonts w:ascii="Arial" w:hAnsi="Arial" w:cs="Arial"/>
          <w:spacing w:val="-2"/>
        </w:rPr>
        <w:t xml:space="preserve"> </w:t>
      </w:r>
      <w:r w:rsidRPr="00D23C75">
        <w:rPr>
          <w:rFonts w:ascii="Arial" w:hAnsi="Arial" w:cs="Arial"/>
        </w:rPr>
        <w:t>growth</w:t>
      </w:r>
      <w:r w:rsidRPr="00D23C75">
        <w:rPr>
          <w:rFonts w:ascii="Arial" w:hAnsi="Arial" w:cs="Arial"/>
          <w:spacing w:val="-4"/>
        </w:rPr>
        <w:t xml:space="preserve"> </w:t>
      </w:r>
      <w:r w:rsidRPr="00D23C75">
        <w:rPr>
          <w:rFonts w:ascii="Arial" w:hAnsi="Arial" w:cs="Arial"/>
        </w:rPr>
        <w:t>of the</w:t>
      </w:r>
      <w:r w:rsidRPr="00D23C75">
        <w:rPr>
          <w:rFonts w:ascii="Arial" w:hAnsi="Arial" w:cs="Arial"/>
          <w:spacing w:val="-1"/>
        </w:rPr>
        <w:t xml:space="preserve"> </w:t>
      </w:r>
      <w:r w:rsidRPr="00D23C75">
        <w:rPr>
          <w:rFonts w:ascii="Arial" w:hAnsi="Arial" w:cs="Arial"/>
        </w:rPr>
        <w:t>pathogen in</w:t>
      </w:r>
      <w:r w:rsidRPr="00D23C75">
        <w:rPr>
          <w:rFonts w:ascii="Arial" w:hAnsi="Arial" w:cs="Arial"/>
          <w:spacing w:val="-4"/>
        </w:rPr>
        <w:t xml:space="preserve"> </w:t>
      </w:r>
      <w:r w:rsidRPr="00D23C75">
        <w:rPr>
          <w:rFonts w:ascii="Arial" w:hAnsi="Arial" w:cs="Arial"/>
        </w:rPr>
        <w:t>the</w:t>
      </w:r>
      <w:r w:rsidRPr="00D23C75">
        <w:rPr>
          <w:rFonts w:ascii="Arial" w:hAnsi="Arial" w:cs="Arial"/>
          <w:spacing w:val="-3"/>
        </w:rPr>
        <w:t xml:space="preserve"> </w:t>
      </w:r>
      <w:r w:rsidRPr="00D23C75">
        <w:rPr>
          <w:rFonts w:ascii="Arial" w:hAnsi="Arial" w:cs="Arial"/>
        </w:rPr>
        <w:t>untreated</w:t>
      </w:r>
      <w:r w:rsidRPr="00D23C75">
        <w:rPr>
          <w:rFonts w:ascii="Arial" w:hAnsi="Arial" w:cs="Arial"/>
          <w:spacing w:val="-4"/>
        </w:rPr>
        <w:t xml:space="preserve"> </w:t>
      </w:r>
      <w:r w:rsidRPr="00D23C75">
        <w:rPr>
          <w:rFonts w:ascii="Arial" w:hAnsi="Arial" w:cs="Arial"/>
        </w:rPr>
        <w:t>control</w:t>
      </w:r>
      <w:r w:rsidRPr="00D23C75">
        <w:rPr>
          <w:rFonts w:ascii="Arial" w:hAnsi="Arial" w:cs="Arial"/>
          <w:spacing w:val="-4"/>
        </w:rPr>
        <w:t xml:space="preserve"> (mm)</w:t>
      </w:r>
    </w:p>
    <w:p w14:paraId="2EC6BB85" w14:textId="77777777" w:rsidR="00D46366" w:rsidRPr="00D23C75" w:rsidRDefault="00D46366" w:rsidP="00D46366">
      <w:pPr>
        <w:pStyle w:val="BodyText"/>
        <w:spacing w:before="1"/>
        <w:ind w:left="1080" w:right="180" w:firstLine="360"/>
        <w:rPr>
          <w:rFonts w:ascii="Arial" w:hAnsi="Arial" w:cs="Arial"/>
        </w:rPr>
      </w:pPr>
      <w:r w:rsidRPr="00D23C75">
        <w:rPr>
          <w:rFonts w:ascii="Arial" w:hAnsi="Arial" w:cs="Arial"/>
          <w:b/>
        </w:rPr>
        <w:t>T</w:t>
      </w:r>
      <w:r w:rsidRPr="00D23C75">
        <w:rPr>
          <w:rFonts w:ascii="Arial" w:hAnsi="Arial" w:cs="Arial"/>
          <w:b/>
          <w:spacing w:val="-4"/>
        </w:rPr>
        <w:t xml:space="preserve"> </w:t>
      </w:r>
      <w:r w:rsidRPr="00D23C75">
        <w:rPr>
          <w:rFonts w:ascii="Arial" w:hAnsi="Arial" w:cs="Arial"/>
        </w:rPr>
        <w:t>=</w:t>
      </w:r>
      <w:r w:rsidRPr="00D23C75">
        <w:rPr>
          <w:rFonts w:ascii="Arial" w:hAnsi="Arial" w:cs="Arial"/>
          <w:spacing w:val="-2"/>
        </w:rPr>
        <w:t xml:space="preserve"> </w:t>
      </w:r>
      <w:r w:rsidRPr="00D23C75">
        <w:rPr>
          <w:rFonts w:ascii="Arial" w:hAnsi="Arial" w:cs="Arial"/>
        </w:rPr>
        <w:t>Radial</w:t>
      </w:r>
      <w:r w:rsidRPr="00D23C75">
        <w:rPr>
          <w:rFonts w:ascii="Arial" w:hAnsi="Arial" w:cs="Arial"/>
          <w:spacing w:val="-2"/>
        </w:rPr>
        <w:t xml:space="preserve"> </w:t>
      </w:r>
      <w:r w:rsidRPr="00D23C75">
        <w:rPr>
          <w:rFonts w:ascii="Arial" w:hAnsi="Arial" w:cs="Arial"/>
        </w:rPr>
        <w:t>growth of</w:t>
      </w:r>
      <w:r w:rsidRPr="00D23C75">
        <w:rPr>
          <w:rFonts w:ascii="Arial" w:hAnsi="Arial" w:cs="Arial"/>
          <w:spacing w:val="-2"/>
        </w:rPr>
        <w:t xml:space="preserve"> </w:t>
      </w:r>
      <w:r w:rsidRPr="00D23C75">
        <w:rPr>
          <w:rFonts w:ascii="Arial" w:hAnsi="Arial" w:cs="Arial"/>
        </w:rPr>
        <w:t>the</w:t>
      </w:r>
      <w:r w:rsidRPr="00D23C75">
        <w:rPr>
          <w:rFonts w:ascii="Arial" w:hAnsi="Arial" w:cs="Arial"/>
          <w:spacing w:val="-1"/>
        </w:rPr>
        <w:t xml:space="preserve"> </w:t>
      </w:r>
      <w:r w:rsidRPr="00D23C75">
        <w:rPr>
          <w:rFonts w:ascii="Arial" w:hAnsi="Arial" w:cs="Arial"/>
        </w:rPr>
        <w:t>pathogen</w:t>
      </w:r>
      <w:r w:rsidRPr="00D23C75">
        <w:rPr>
          <w:rFonts w:ascii="Arial" w:hAnsi="Arial" w:cs="Arial"/>
          <w:spacing w:val="-1"/>
        </w:rPr>
        <w:t xml:space="preserve"> </w:t>
      </w:r>
      <w:r w:rsidRPr="00D23C75">
        <w:rPr>
          <w:rFonts w:ascii="Arial" w:hAnsi="Arial" w:cs="Arial"/>
        </w:rPr>
        <w:t>in</w:t>
      </w:r>
      <w:r w:rsidRPr="00D23C75">
        <w:rPr>
          <w:rFonts w:ascii="Arial" w:hAnsi="Arial" w:cs="Arial"/>
          <w:spacing w:val="-3"/>
        </w:rPr>
        <w:t xml:space="preserve"> </w:t>
      </w:r>
      <w:r w:rsidRPr="00D23C75">
        <w:rPr>
          <w:rFonts w:ascii="Arial" w:hAnsi="Arial" w:cs="Arial"/>
        </w:rPr>
        <w:t>the</w:t>
      </w:r>
      <w:r w:rsidRPr="00D23C75">
        <w:rPr>
          <w:rFonts w:ascii="Arial" w:hAnsi="Arial" w:cs="Arial"/>
          <w:spacing w:val="-4"/>
        </w:rPr>
        <w:t xml:space="preserve"> </w:t>
      </w:r>
      <w:r w:rsidRPr="00D23C75">
        <w:rPr>
          <w:rFonts w:ascii="Arial" w:hAnsi="Arial" w:cs="Arial"/>
        </w:rPr>
        <w:t>dual</w:t>
      </w:r>
      <w:r w:rsidRPr="00D23C75">
        <w:rPr>
          <w:rFonts w:ascii="Arial" w:hAnsi="Arial" w:cs="Arial"/>
          <w:spacing w:val="-5"/>
        </w:rPr>
        <w:t xml:space="preserve"> </w:t>
      </w:r>
      <w:r w:rsidRPr="00D23C75">
        <w:rPr>
          <w:rFonts w:ascii="Arial" w:hAnsi="Arial" w:cs="Arial"/>
        </w:rPr>
        <w:t>culture</w:t>
      </w:r>
      <w:r w:rsidRPr="00D23C75">
        <w:rPr>
          <w:rFonts w:ascii="Arial" w:hAnsi="Arial" w:cs="Arial"/>
          <w:spacing w:val="-2"/>
        </w:rPr>
        <w:t xml:space="preserve"> </w:t>
      </w:r>
      <w:r w:rsidRPr="00D23C75">
        <w:rPr>
          <w:rFonts w:ascii="Arial" w:hAnsi="Arial" w:cs="Arial"/>
        </w:rPr>
        <w:t>treatment</w:t>
      </w:r>
      <w:r w:rsidRPr="00D23C75">
        <w:rPr>
          <w:rFonts w:ascii="Arial" w:hAnsi="Arial" w:cs="Arial"/>
          <w:spacing w:val="-2"/>
        </w:rPr>
        <w:t xml:space="preserve"> </w:t>
      </w:r>
      <w:r w:rsidRPr="00D23C75">
        <w:rPr>
          <w:rFonts w:ascii="Arial" w:hAnsi="Arial" w:cs="Arial"/>
          <w:spacing w:val="-4"/>
        </w:rPr>
        <w:t>(mm)</w:t>
      </w:r>
    </w:p>
    <w:p w14:paraId="1914ADDE" w14:textId="77777777" w:rsidR="00D46366" w:rsidRPr="00D23C75" w:rsidRDefault="00100FFE" w:rsidP="00D46366">
      <w:pPr>
        <w:pStyle w:val="Heading2"/>
        <w:tabs>
          <w:tab w:val="left" w:pos="872"/>
        </w:tabs>
        <w:spacing w:before="44"/>
        <w:ind w:left="360" w:right="180" w:firstLine="0"/>
      </w:pPr>
      <w:r w:rsidRPr="00D23C75">
        <w:rPr>
          <w:spacing w:val="-5"/>
        </w:rPr>
        <w:t>2.4</w:t>
      </w:r>
      <w:r w:rsidR="00D46366" w:rsidRPr="00D23C75">
        <w:tab/>
        <w:t>Statistical</w:t>
      </w:r>
      <w:r w:rsidR="00D46366" w:rsidRPr="00D23C75">
        <w:rPr>
          <w:spacing w:val="-5"/>
        </w:rPr>
        <w:t xml:space="preserve"> </w:t>
      </w:r>
      <w:r w:rsidR="00D46366" w:rsidRPr="00D23C75">
        <w:rPr>
          <w:spacing w:val="-2"/>
        </w:rPr>
        <w:t>Analysis</w:t>
      </w:r>
    </w:p>
    <w:p w14:paraId="495EDB3D" w14:textId="77777777" w:rsidR="00D46366" w:rsidRPr="00D23C75" w:rsidRDefault="00D46366" w:rsidP="00D46366">
      <w:pPr>
        <w:pStyle w:val="BodyText"/>
        <w:spacing w:before="122" w:line="242" w:lineRule="auto"/>
        <w:ind w:left="360" w:right="180"/>
        <w:rPr>
          <w:rFonts w:ascii="Arial" w:hAnsi="Arial" w:cs="Arial"/>
        </w:rPr>
      </w:pPr>
      <w:r w:rsidRPr="00D23C75">
        <w:rPr>
          <w:rFonts w:ascii="Arial" w:hAnsi="Arial" w:cs="Arial"/>
        </w:rPr>
        <w:t>All laboratory experiments were conducted using a CRD with three replications. Data were subjected to analysis of variance (ANOVA). Standard errors (S.E. ±) and critical difference (C.D.) values at the 1% level of significance (P = 0.01) were calculated to compare treatment means.</w:t>
      </w:r>
    </w:p>
    <w:p w14:paraId="570D98D6" w14:textId="77777777" w:rsidR="00100FFE" w:rsidRPr="00D23C75" w:rsidRDefault="004B583B" w:rsidP="00100FFE">
      <w:pPr>
        <w:pStyle w:val="ListParagraph"/>
        <w:numPr>
          <w:ilvl w:val="0"/>
          <w:numId w:val="7"/>
        </w:numPr>
        <w:rPr>
          <w:rFonts w:ascii="Arial" w:eastAsia="Arial" w:hAnsi="Arial" w:cs="Arial"/>
          <w:b/>
          <w:bCs/>
        </w:rPr>
      </w:pPr>
      <w:r w:rsidRPr="00D23C75">
        <w:rPr>
          <w:rFonts w:ascii="Arial" w:eastAsia="Arial" w:hAnsi="Arial" w:cs="Arial"/>
          <w:b/>
          <w:bCs/>
        </w:rPr>
        <w:t>RESULTS AND DISCUSSION</w:t>
      </w:r>
    </w:p>
    <w:p w14:paraId="3FAD363D" w14:textId="77777777" w:rsidR="004B583B" w:rsidRPr="00D23C75" w:rsidRDefault="004B583B" w:rsidP="004B583B">
      <w:pPr>
        <w:pStyle w:val="ListParagraph"/>
        <w:rPr>
          <w:rFonts w:ascii="Arial" w:eastAsia="Arial" w:hAnsi="Arial" w:cs="Arial"/>
          <w:b/>
          <w:bCs/>
        </w:rPr>
      </w:pPr>
    </w:p>
    <w:p w14:paraId="73069C99" w14:textId="77777777" w:rsidR="00100FFE" w:rsidRPr="00D23C75" w:rsidRDefault="00100FFE" w:rsidP="00100FFE">
      <w:pPr>
        <w:pStyle w:val="ListParagraph"/>
        <w:numPr>
          <w:ilvl w:val="1"/>
          <w:numId w:val="9"/>
        </w:numPr>
        <w:rPr>
          <w:rFonts w:ascii="Arial" w:eastAsia="Arial" w:hAnsi="Arial" w:cs="Arial"/>
          <w:b/>
          <w:bCs/>
          <w:sz w:val="20"/>
        </w:rPr>
      </w:pPr>
      <w:r w:rsidRPr="00D23C75">
        <w:rPr>
          <w:rFonts w:ascii="Arial" w:hAnsi="Arial" w:cs="Arial"/>
          <w:b/>
          <w:i/>
        </w:rPr>
        <w:t>In</w:t>
      </w:r>
      <w:r w:rsidRPr="00D23C75">
        <w:rPr>
          <w:rFonts w:ascii="Arial" w:hAnsi="Arial" w:cs="Arial"/>
          <w:b/>
          <w:i/>
          <w:spacing w:val="-1"/>
        </w:rPr>
        <w:t xml:space="preserve"> </w:t>
      </w:r>
      <w:r w:rsidRPr="00D23C75">
        <w:rPr>
          <w:rFonts w:ascii="Arial" w:hAnsi="Arial" w:cs="Arial"/>
          <w:b/>
          <w:i/>
        </w:rPr>
        <w:t>Vitro</w:t>
      </w:r>
      <w:r w:rsidRPr="00D23C75">
        <w:rPr>
          <w:rFonts w:ascii="Arial" w:hAnsi="Arial" w:cs="Arial"/>
          <w:b/>
          <w:i/>
          <w:spacing w:val="-5"/>
        </w:rPr>
        <w:t xml:space="preserve"> </w:t>
      </w:r>
      <w:r w:rsidRPr="00D23C75">
        <w:rPr>
          <w:rFonts w:ascii="Arial" w:hAnsi="Arial" w:cs="Arial"/>
          <w:b/>
        </w:rPr>
        <w:t>Efficacy</w:t>
      </w:r>
      <w:r w:rsidRPr="00D23C75">
        <w:rPr>
          <w:rFonts w:ascii="Arial" w:hAnsi="Arial" w:cs="Arial"/>
          <w:b/>
          <w:spacing w:val="-5"/>
        </w:rPr>
        <w:t xml:space="preserve"> </w:t>
      </w:r>
      <w:r w:rsidRPr="00D23C75">
        <w:rPr>
          <w:rFonts w:ascii="Arial" w:hAnsi="Arial" w:cs="Arial"/>
          <w:b/>
        </w:rPr>
        <w:t>of</w:t>
      </w:r>
      <w:r w:rsidRPr="00D23C75">
        <w:rPr>
          <w:rFonts w:ascii="Arial" w:hAnsi="Arial" w:cs="Arial"/>
          <w:b/>
          <w:spacing w:val="-5"/>
        </w:rPr>
        <w:t xml:space="preserve"> </w:t>
      </w:r>
      <w:r w:rsidRPr="00D23C75">
        <w:rPr>
          <w:rFonts w:ascii="Arial" w:hAnsi="Arial" w:cs="Arial"/>
          <w:b/>
        </w:rPr>
        <w:t>Systemic</w:t>
      </w:r>
      <w:r w:rsidRPr="00D23C75">
        <w:rPr>
          <w:rFonts w:ascii="Arial" w:hAnsi="Arial" w:cs="Arial"/>
          <w:b/>
          <w:spacing w:val="-7"/>
        </w:rPr>
        <w:t xml:space="preserve"> </w:t>
      </w:r>
      <w:r w:rsidRPr="00D23C75">
        <w:rPr>
          <w:rFonts w:ascii="Arial" w:hAnsi="Arial" w:cs="Arial"/>
          <w:b/>
        </w:rPr>
        <w:t>Fungicides</w:t>
      </w:r>
      <w:r w:rsidRPr="00D23C75">
        <w:rPr>
          <w:rFonts w:ascii="Arial" w:hAnsi="Arial" w:cs="Arial"/>
          <w:b/>
          <w:spacing w:val="-5"/>
        </w:rPr>
        <w:t xml:space="preserve"> </w:t>
      </w:r>
      <w:r w:rsidRPr="00D23C75">
        <w:rPr>
          <w:rFonts w:ascii="Arial" w:hAnsi="Arial" w:cs="Arial"/>
          <w:b/>
        </w:rPr>
        <w:t xml:space="preserve">Against </w:t>
      </w:r>
      <w:r w:rsidR="00312ABD" w:rsidRPr="00D23C75">
        <w:rPr>
          <w:rFonts w:ascii="Arial" w:hAnsi="Arial" w:cs="Arial"/>
          <w:b/>
          <w:i/>
          <w:iCs/>
        </w:rPr>
        <w:t xml:space="preserve">Alternaria </w:t>
      </w:r>
      <w:proofErr w:type="spellStart"/>
      <w:r w:rsidR="00312ABD" w:rsidRPr="00D23C75">
        <w:rPr>
          <w:rFonts w:ascii="Arial" w:hAnsi="Arial" w:cs="Arial"/>
          <w:b/>
          <w:i/>
          <w:iCs/>
        </w:rPr>
        <w:t>alternata</w:t>
      </w:r>
      <w:proofErr w:type="spellEnd"/>
      <w:r w:rsidR="00312ABD" w:rsidRPr="00D23C75">
        <w:rPr>
          <w:rFonts w:ascii="Arial" w:hAnsi="Arial" w:cs="Arial"/>
          <w:b/>
          <w:i/>
          <w:iCs/>
        </w:rPr>
        <w:t xml:space="preserve"> </w:t>
      </w:r>
      <w:r w:rsidRPr="00D23C75">
        <w:rPr>
          <w:rFonts w:ascii="Arial" w:hAnsi="Arial" w:cs="Arial"/>
          <w:b/>
          <w:i/>
        </w:rPr>
        <w:t xml:space="preserve"> </w:t>
      </w:r>
    </w:p>
    <w:p w14:paraId="5FB27CA3" w14:textId="77777777" w:rsidR="00D46366" w:rsidRPr="00D23C75" w:rsidRDefault="00100FFE" w:rsidP="00100FFE">
      <w:pPr>
        <w:ind w:left="360"/>
        <w:rPr>
          <w:rFonts w:ascii="Arial" w:hAnsi="Arial" w:cs="Arial"/>
          <w:sz w:val="20"/>
        </w:rPr>
      </w:pPr>
      <w:r w:rsidRPr="00D23C75">
        <w:rPr>
          <w:rFonts w:ascii="Arial" w:hAnsi="Arial" w:cs="Arial"/>
          <w:sz w:val="20"/>
        </w:rPr>
        <w:t xml:space="preserve">The bioefficacy of seven systemic fungicides at concentrations of 500 ppm and 1000 ppm against </w:t>
      </w:r>
      <w:r w:rsidRPr="00D23C75">
        <w:rPr>
          <w:rFonts w:ascii="Arial" w:hAnsi="Arial" w:cs="Arial"/>
          <w:i/>
          <w:sz w:val="20"/>
        </w:rPr>
        <w:t>Alternaria alternata</w:t>
      </w:r>
      <w:r w:rsidRPr="00D23C75">
        <w:rPr>
          <w:rFonts w:ascii="Arial" w:hAnsi="Arial" w:cs="Arial"/>
          <w:sz w:val="20"/>
        </w:rPr>
        <w:t xml:space="preserve"> revealed significant differences (P = 0.01) in radial mycelial growth and growth inhibition relative to the untreated control (Plate 1, Fig. 1 and Table 3).</w:t>
      </w:r>
    </w:p>
    <w:p w14:paraId="5D645826" w14:textId="77777777" w:rsidR="002A662F" w:rsidRPr="00D23C75" w:rsidRDefault="00275AFA" w:rsidP="00982588">
      <w:pPr>
        <w:ind w:left="360"/>
        <w:jc w:val="both"/>
        <w:rPr>
          <w:rFonts w:ascii="Arial" w:hAnsi="Arial" w:cs="Arial"/>
          <w:sz w:val="20"/>
        </w:rPr>
      </w:pPr>
      <w:r w:rsidRPr="00D23C75">
        <w:rPr>
          <w:rFonts w:ascii="Arial" w:hAnsi="Arial" w:cs="Arial"/>
          <w:sz w:val="20"/>
        </w:rPr>
        <w:t xml:space="preserve">The marked treatment effects observed here are consistent with earlier groundnut studies reporting strong activity of systemic triazole fungicides against Alternaria leaf blight (Chaudhary </w:t>
      </w:r>
      <w:r w:rsidRPr="00D23C75">
        <w:rPr>
          <w:rFonts w:ascii="Arial" w:hAnsi="Arial" w:cs="Arial"/>
          <w:i/>
          <w:sz w:val="20"/>
        </w:rPr>
        <w:t>et al.</w:t>
      </w:r>
      <w:r w:rsidRPr="00D23C75">
        <w:rPr>
          <w:rFonts w:ascii="Arial" w:hAnsi="Arial" w:cs="Arial"/>
          <w:sz w:val="20"/>
        </w:rPr>
        <w:t xml:space="preserve">, 2018; Purohit </w:t>
      </w:r>
      <w:r w:rsidRPr="00D23C75">
        <w:rPr>
          <w:rFonts w:ascii="Arial" w:hAnsi="Arial" w:cs="Arial"/>
          <w:i/>
          <w:sz w:val="20"/>
        </w:rPr>
        <w:t>et al.</w:t>
      </w:r>
      <w:r w:rsidRPr="00D23C75">
        <w:rPr>
          <w:rFonts w:ascii="Arial" w:hAnsi="Arial" w:cs="Arial"/>
          <w:sz w:val="20"/>
        </w:rPr>
        <w:t xml:space="preserve">, 2025). Nevertheless, the present findings demonstrate direct fungitoxicity under controlled laboratory conditions and should not be interpreted as proof of equivalent field-level disease control because canopy coverage, environmental conditions, residue persistence and pathogen population structure can influence practical efficacy (Purohit </w:t>
      </w:r>
      <w:r w:rsidRPr="00D23C75">
        <w:rPr>
          <w:rFonts w:ascii="Arial" w:hAnsi="Arial" w:cs="Arial"/>
          <w:i/>
          <w:sz w:val="20"/>
        </w:rPr>
        <w:t>et al.</w:t>
      </w:r>
      <w:r w:rsidRPr="00D23C75">
        <w:rPr>
          <w:rFonts w:ascii="Arial" w:hAnsi="Arial" w:cs="Arial"/>
          <w:sz w:val="20"/>
        </w:rPr>
        <w:t xml:space="preserve">, 2025; Yang </w:t>
      </w:r>
      <w:r w:rsidRPr="00D23C75">
        <w:rPr>
          <w:rFonts w:ascii="Arial" w:hAnsi="Arial" w:cs="Arial"/>
          <w:i/>
          <w:sz w:val="20"/>
        </w:rPr>
        <w:t>et al.</w:t>
      </w:r>
      <w:r w:rsidRPr="00D23C75">
        <w:rPr>
          <w:rFonts w:ascii="Arial" w:hAnsi="Arial" w:cs="Arial"/>
          <w:sz w:val="20"/>
        </w:rPr>
        <w:t>, 2022).</w:t>
      </w:r>
    </w:p>
    <w:p w14:paraId="6D9688F6" w14:textId="77777777" w:rsidR="00100FFE" w:rsidRPr="00D23C75" w:rsidRDefault="00100FFE" w:rsidP="00100FFE">
      <w:pPr>
        <w:pStyle w:val="BodyText"/>
        <w:spacing w:line="244" w:lineRule="auto"/>
        <w:ind w:left="360" w:right="180"/>
        <w:jc w:val="both"/>
        <w:rPr>
          <w:rFonts w:ascii="Arial" w:hAnsi="Arial" w:cs="Arial"/>
          <w:b/>
          <w:spacing w:val="-2"/>
        </w:rPr>
      </w:pPr>
      <w:r w:rsidRPr="00D23C75">
        <w:rPr>
          <w:rFonts w:ascii="Arial" w:hAnsi="Arial" w:cs="Arial"/>
          <w:b/>
        </w:rPr>
        <w:t>3.1.1</w:t>
      </w:r>
      <w:r w:rsidR="00954729" w:rsidRPr="00D23C75">
        <w:rPr>
          <w:rFonts w:ascii="Arial" w:hAnsi="Arial" w:cs="Arial"/>
          <w:b/>
        </w:rPr>
        <w:t xml:space="preserve"> </w:t>
      </w:r>
      <w:r w:rsidRPr="00D23C75">
        <w:rPr>
          <w:rFonts w:ascii="Arial" w:hAnsi="Arial" w:cs="Arial"/>
          <w:b/>
        </w:rPr>
        <w:t>Effect</w:t>
      </w:r>
      <w:r w:rsidRPr="00D23C75">
        <w:rPr>
          <w:rFonts w:ascii="Arial" w:hAnsi="Arial" w:cs="Arial"/>
          <w:b/>
          <w:spacing w:val="-4"/>
        </w:rPr>
        <w:t xml:space="preserve"> </w:t>
      </w:r>
      <w:r w:rsidRPr="00D23C75">
        <w:rPr>
          <w:rFonts w:ascii="Arial" w:hAnsi="Arial" w:cs="Arial"/>
          <w:b/>
        </w:rPr>
        <w:t>on</w:t>
      </w:r>
      <w:r w:rsidRPr="00D23C75">
        <w:rPr>
          <w:rFonts w:ascii="Arial" w:hAnsi="Arial" w:cs="Arial"/>
          <w:b/>
          <w:spacing w:val="-4"/>
        </w:rPr>
        <w:t xml:space="preserve"> </w:t>
      </w:r>
      <w:r w:rsidRPr="00D23C75">
        <w:rPr>
          <w:rFonts w:ascii="Arial" w:hAnsi="Arial" w:cs="Arial"/>
          <w:b/>
        </w:rPr>
        <w:t>Mycelial</w:t>
      </w:r>
      <w:r w:rsidRPr="00D23C75">
        <w:rPr>
          <w:rFonts w:ascii="Arial" w:hAnsi="Arial" w:cs="Arial"/>
          <w:b/>
          <w:spacing w:val="-2"/>
        </w:rPr>
        <w:t xml:space="preserve"> Growth </w:t>
      </w:r>
    </w:p>
    <w:p w14:paraId="4311396E" w14:textId="77777777" w:rsidR="00100FFE" w:rsidRPr="00D23C75" w:rsidRDefault="00100FFE" w:rsidP="00100FFE">
      <w:pPr>
        <w:pStyle w:val="BodyText"/>
        <w:spacing w:line="244" w:lineRule="auto"/>
        <w:ind w:left="360" w:right="180"/>
        <w:jc w:val="both"/>
        <w:rPr>
          <w:rFonts w:ascii="Arial" w:hAnsi="Arial" w:cs="Arial"/>
        </w:rPr>
      </w:pPr>
      <w:r w:rsidRPr="00D23C75">
        <w:rPr>
          <w:rFonts w:ascii="Arial" w:hAnsi="Arial" w:cs="Arial"/>
        </w:rPr>
        <w:t xml:space="preserve">All systemic fungicides significantly restricted the radial growth of </w:t>
      </w:r>
      <w:r w:rsidRPr="00D23C75">
        <w:rPr>
          <w:rFonts w:ascii="Arial" w:hAnsi="Arial" w:cs="Arial"/>
          <w:i/>
        </w:rPr>
        <w:t>Alternaria alternata</w:t>
      </w:r>
      <w:r w:rsidRPr="00D23C75">
        <w:rPr>
          <w:rFonts w:ascii="Arial" w:hAnsi="Arial" w:cs="Arial"/>
        </w:rPr>
        <w:t xml:space="preserve"> at both test concentrations compared with the untreated control (90.00 mm).</w:t>
      </w:r>
    </w:p>
    <w:p w14:paraId="06D518BE" w14:textId="77777777" w:rsidR="00100FFE" w:rsidRPr="00D23C75" w:rsidRDefault="00100FFE" w:rsidP="00100FFE">
      <w:pPr>
        <w:pStyle w:val="BodyText"/>
        <w:spacing w:line="244" w:lineRule="auto"/>
        <w:ind w:left="360" w:right="180"/>
        <w:jc w:val="both"/>
        <w:rPr>
          <w:rFonts w:ascii="Arial" w:hAnsi="Arial" w:cs="Arial"/>
        </w:rPr>
      </w:pPr>
      <w:r w:rsidRPr="00D23C75">
        <w:rPr>
          <w:rFonts w:ascii="Arial" w:hAnsi="Arial" w:cs="Arial"/>
        </w:rPr>
        <w:t xml:space="preserve">At 500 ppm, radial mycelial growth ranged from 0.00 to 49.26 mm, compared with 90.00 mm in the untreated control. No mycelial growth was observed in T₂: Tebuconazole 25.9% EC, T₄: Propiconazole 25% EC, T₅: Hexaconazole 5% EC and T₇: Difenoconazole 25% EC. Among the remaining treatments, T₆: Pyraclostrobin </w:t>
      </w:r>
      <w:r w:rsidRPr="00D23C75">
        <w:rPr>
          <w:rFonts w:ascii="Arial" w:hAnsi="Arial" w:cs="Arial"/>
        </w:rPr>
        <w:lastRenderedPageBreak/>
        <w:t>20% WG recorded 45.50 mm, followed by T₁: Carbendazim 50% WP (48.69 mm) and T₃: Thiophanate methyl 70% WP (49.26 mm).</w:t>
      </w:r>
    </w:p>
    <w:p w14:paraId="3822D417" w14:textId="77777777" w:rsidR="00100FFE" w:rsidRPr="00D23C75" w:rsidRDefault="00100FFE" w:rsidP="00100FFE">
      <w:pPr>
        <w:pStyle w:val="BodyText"/>
        <w:spacing w:line="244" w:lineRule="auto"/>
        <w:ind w:left="360" w:right="180"/>
        <w:jc w:val="both"/>
        <w:rPr>
          <w:rFonts w:ascii="Arial" w:hAnsi="Arial" w:cs="Arial"/>
        </w:rPr>
      </w:pPr>
      <w:r w:rsidRPr="00D23C75">
        <w:rPr>
          <w:rFonts w:ascii="Arial" w:hAnsi="Arial" w:cs="Arial"/>
        </w:rPr>
        <w:t>At 1000 ppm, radial mycelial growth ranged from 0.00 to 48.50 mm, compared with 90.00 mm in the untreated control. No mycelial growth was observed in T₂: Tebuconazole 25.9% EC, T₄: Propiconazole 25% EC, T₅: Hexaconazole 5% EC and T₇: Difenoconazole 25% EC. Among the other treatments, T₆: Pyraclostrobin 20% WG recorded 40.00 mm, followed by T₁: Carbendazim 50% WP (45.00 mm) and T₃: Thiophanate methyl 70% WP (48.50 mm).</w:t>
      </w:r>
    </w:p>
    <w:p w14:paraId="2B2F507F" w14:textId="77777777" w:rsidR="00100FFE" w:rsidRPr="00D23C75" w:rsidRDefault="00100FFE" w:rsidP="00100FFE">
      <w:pPr>
        <w:pStyle w:val="BodyText"/>
        <w:spacing w:line="244" w:lineRule="auto"/>
        <w:ind w:left="360" w:right="180"/>
        <w:jc w:val="both"/>
        <w:rPr>
          <w:rFonts w:ascii="Arial" w:hAnsi="Arial" w:cs="Arial"/>
        </w:rPr>
      </w:pPr>
      <w:r w:rsidRPr="00D23C75">
        <w:rPr>
          <w:rFonts w:ascii="Arial" w:hAnsi="Arial" w:cs="Arial"/>
        </w:rPr>
        <w:t>The average radial mycelial growth across both concentrations ranged from 0.00 to 48.88 mm, compared with 90.00 mm in the untreated control. Tebuconazole 25.9% EC, Propiconazole 25% EC, Hexaconazole 5% EC and Difenoconazole 25% EC recorded an average mycelial growth of 0.00 mm, while Pyraclostrobin 20% WG recorded 42.75 mm, followed by Carbendazim 50% WP (46.84 mm) and Thiophanate methyl 70% WP (48.88 mm) (Chaudhary et al., 2018; Purohit et al., 2025).</w:t>
      </w:r>
    </w:p>
    <w:p w14:paraId="512FDF51" w14:textId="77777777" w:rsidR="002A662F" w:rsidRPr="00D23C75" w:rsidRDefault="00275AFA" w:rsidP="00982588">
      <w:pPr>
        <w:pStyle w:val="BodyText"/>
        <w:ind w:left="360"/>
        <w:jc w:val="both"/>
        <w:rPr>
          <w:rFonts w:ascii="Arial" w:hAnsi="Arial" w:cs="Arial"/>
        </w:rPr>
      </w:pPr>
      <w:r w:rsidRPr="00D23C75">
        <w:rPr>
          <w:rFonts w:ascii="Arial" w:hAnsi="Arial" w:cs="Arial"/>
        </w:rPr>
        <w:t xml:space="preserve">The complete suppression of colony growth by several demethylation-inhibiting fungicides is biologically plausible because triazoles interfere with fungal sterol biosynthesis, and </w:t>
      </w:r>
      <w:r w:rsidRPr="00D23C75">
        <w:rPr>
          <w:rFonts w:ascii="Arial" w:hAnsi="Arial" w:cs="Arial"/>
          <w:i/>
        </w:rPr>
        <w:t>A. alternata</w:t>
      </w:r>
      <w:r w:rsidRPr="00D23C75">
        <w:rPr>
          <w:rFonts w:ascii="Arial" w:hAnsi="Arial" w:cs="Arial"/>
        </w:rPr>
        <w:t xml:space="preserve"> populations can show measurable variation in triazole susceptibility (Yang </w:t>
      </w:r>
      <w:r w:rsidRPr="00D23C75">
        <w:rPr>
          <w:rFonts w:ascii="Arial" w:hAnsi="Arial" w:cs="Arial"/>
          <w:i/>
        </w:rPr>
        <w:t>et al.</w:t>
      </w:r>
      <w:r w:rsidRPr="00D23C75">
        <w:rPr>
          <w:rFonts w:ascii="Arial" w:hAnsi="Arial" w:cs="Arial"/>
        </w:rPr>
        <w:t xml:space="preserve">, 2022). Comparable groundnut studies have also reported strong inhibition or disease suppression with propiconazole, hexaconazole, tebuconazole and related systemic fungicides (Chaudhary </w:t>
      </w:r>
      <w:r w:rsidRPr="00D23C75">
        <w:rPr>
          <w:rFonts w:ascii="Arial" w:hAnsi="Arial" w:cs="Arial"/>
          <w:i/>
        </w:rPr>
        <w:t>et al.</w:t>
      </w:r>
      <w:r w:rsidRPr="00D23C75">
        <w:rPr>
          <w:rFonts w:ascii="Arial" w:hAnsi="Arial" w:cs="Arial"/>
        </w:rPr>
        <w:t xml:space="preserve">, 2018; Purohit </w:t>
      </w:r>
      <w:r w:rsidRPr="00D23C75">
        <w:rPr>
          <w:rFonts w:ascii="Arial" w:hAnsi="Arial" w:cs="Arial"/>
          <w:i/>
        </w:rPr>
        <w:t>et al.</w:t>
      </w:r>
      <w:r w:rsidRPr="00D23C75">
        <w:rPr>
          <w:rFonts w:ascii="Arial" w:hAnsi="Arial" w:cs="Arial"/>
        </w:rPr>
        <w:t>, 2025). Because several treatments produced 0.00 mm growth at both tested concentrations, a broader concentration-response assay would be required to estimate EC50 values and discriminate intrinsic potency among these highly active fungicides.</w:t>
      </w:r>
    </w:p>
    <w:p w14:paraId="349715B2" w14:textId="77777777" w:rsidR="004B583B" w:rsidRPr="00D23C75" w:rsidRDefault="004B583B" w:rsidP="00982588">
      <w:pPr>
        <w:pStyle w:val="BodyText"/>
        <w:ind w:left="360"/>
        <w:jc w:val="both"/>
        <w:rPr>
          <w:rFonts w:ascii="Arial" w:hAnsi="Arial" w:cs="Arial"/>
        </w:rPr>
      </w:pPr>
    </w:p>
    <w:p w14:paraId="23281D64" w14:textId="77777777" w:rsidR="00100FFE" w:rsidRPr="00D23C75" w:rsidRDefault="00100FFE" w:rsidP="00100FFE">
      <w:pPr>
        <w:pStyle w:val="Heading2"/>
        <w:tabs>
          <w:tab w:val="left" w:pos="987"/>
        </w:tabs>
        <w:ind w:right="180"/>
      </w:pPr>
      <w:r w:rsidRPr="00D23C75">
        <w:t>3.1.2 Effect</w:t>
      </w:r>
      <w:r w:rsidRPr="00D23C75">
        <w:rPr>
          <w:spacing w:val="-2"/>
        </w:rPr>
        <w:t xml:space="preserve"> </w:t>
      </w:r>
      <w:r w:rsidRPr="00D23C75">
        <w:t>on</w:t>
      </w:r>
      <w:r w:rsidRPr="00D23C75">
        <w:rPr>
          <w:spacing w:val="-3"/>
        </w:rPr>
        <w:t xml:space="preserve"> </w:t>
      </w:r>
      <w:r w:rsidRPr="00D23C75">
        <w:t>Mycelial</w:t>
      </w:r>
      <w:r w:rsidRPr="00D23C75">
        <w:rPr>
          <w:spacing w:val="-2"/>
        </w:rPr>
        <w:t xml:space="preserve"> </w:t>
      </w:r>
      <w:r w:rsidRPr="00D23C75">
        <w:t>Growth</w:t>
      </w:r>
      <w:r w:rsidRPr="00D23C75">
        <w:rPr>
          <w:spacing w:val="-3"/>
        </w:rPr>
        <w:t xml:space="preserve"> </w:t>
      </w:r>
      <w:r w:rsidRPr="00D23C75">
        <w:rPr>
          <w:spacing w:val="-2"/>
        </w:rPr>
        <w:t>Inhibition</w:t>
      </w:r>
    </w:p>
    <w:p w14:paraId="54FC42FE" w14:textId="77777777" w:rsidR="00100FFE" w:rsidRPr="00D23C75" w:rsidRDefault="00100FFE" w:rsidP="00100FFE">
      <w:pPr>
        <w:pStyle w:val="BodyText"/>
        <w:spacing w:before="43"/>
        <w:ind w:left="360" w:right="180"/>
        <w:jc w:val="both"/>
        <w:rPr>
          <w:rFonts w:ascii="Arial" w:hAnsi="Arial" w:cs="Arial"/>
        </w:rPr>
      </w:pPr>
      <w:r w:rsidRPr="00D23C75">
        <w:rPr>
          <w:rFonts w:ascii="Arial" w:hAnsi="Arial" w:cs="Arial"/>
        </w:rPr>
        <w:t>The per cent inhibition of mycelial growth varied significantly among the systemic fungicides. At 500 ppm, the per cent inhibition ranged from 45.26 to 100.00 per cent. Complete inhibition (100.00%) was recorded with T₂: Tebuconazole 25.9% EC, T₄: Propiconazole 25% EC, T₅: Hexaconazole 5% EC and T₇: Difenoconazole 25% EC. Among the remaining fungicides, T₆: Pyraclostrobin 20% WG recorded 49.44 per cent inhibition, followed by T₁: Carbendazim 50% WP (45.90%) and T₃: Thiophanate methyl 70% WP (45.26%).</w:t>
      </w:r>
    </w:p>
    <w:p w14:paraId="6CA2F6EB" w14:textId="77777777" w:rsidR="00100FFE" w:rsidRPr="00D23C75" w:rsidRDefault="00100FFE" w:rsidP="00100FFE">
      <w:pPr>
        <w:pStyle w:val="BodyText"/>
        <w:ind w:left="360" w:right="180"/>
        <w:jc w:val="both"/>
        <w:rPr>
          <w:rFonts w:ascii="Arial" w:hAnsi="Arial" w:cs="Arial"/>
        </w:rPr>
      </w:pPr>
      <w:r w:rsidRPr="00D23C75">
        <w:rPr>
          <w:rFonts w:ascii="Arial" w:hAnsi="Arial" w:cs="Arial"/>
        </w:rPr>
        <w:t xml:space="preserve">At a concentration of 1000 ppm, the per cent inhibition of </w:t>
      </w:r>
      <w:r w:rsidRPr="00D23C75">
        <w:rPr>
          <w:rFonts w:ascii="Arial" w:hAnsi="Arial" w:cs="Arial"/>
          <w:i/>
        </w:rPr>
        <w:t>Alternaria alternata</w:t>
      </w:r>
      <w:r w:rsidRPr="00D23C75">
        <w:rPr>
          <w:rFonts w:ascii="Arial" w:hAnsi="Arial" w:cs="Arial"/>
        </w:rPr>
        <w:t xml:space="preserve"> ranged from 46.11 to 100.00 per cent compared with the untreated control. Complete inhibition of mycelial growth (100.00%) was recorded with T₂: Tebuconazole 25.9% EC, T₄: Propiconazole 25% EC, T₅: Hexaconazole 5% EC and T₇: Difenoconazole 25% EC. Among the remaining fungicides, T₆: Pyraclostrobin 20% WG recorded 55.55 per cent inhibition, followed by T₁: Carbendazim 50% WP (50.00%) and T₃: Thiophanate methyl 70% WP (46.11%).</w:t>
      </w:r>
    </w:p>
    <w:p w14:paraId="42E77DBF" w14:textId="77777777" w:rsidR="00100FFE" w:rsidRPr="00D23C75" w:rsidRDefault="00100FFE" w:rsidP="00100FFE">
      <w:pPr>
        <w:pStyle w:val="BodyText"/>
        <w:ind w:left="360" w:right="180"/>
        <w:jc w:val="both"/>
        <w:rPr>
          <w:rFonts w:ascii="Arial" w:hAnsi="Arial" w:cs="Arial"/>
        </w:rPr>
      </w:pPr>
      <w:r w:rsidRPr="00D23C75">
        <w:rPr>
          <w:rFonts w:ascii="Arial" w:hAnsi="Arial" w:cs="Arial"/>
        </w:rPr>
        <w:t xml:space="preserve">The average per cent inhibition of </w:t>
      </w:r>
      <w:r w:rsidRPr="00D23C75">
        <w:rPr>
          <w:rFonts w:ascii="Arial" w:hAnsi="Arial" w:cs="Arial"/>
          <w:i/>
        </w:rPr>
        <w:t>Alternaria alternata</w:t>
      </w:r>
      <w:r w:rsidRPr="00D23C75">
        <w:rPr>
          <w:rFonts w:ascii="Arial" w:hAnsi="Arial" w:cs="Arial"/>
        </w:rPr>
        <w:t xml:space="preserve"> by the tested systemic fungicides ranged from 45.68 to 100.00 per cent. Tebuconazole 25.9% EC, Propiconazole 25% EC, Hexaconazole 5% EC and Difenoconazole 25% EC recorded complete inhibition (100.00%), followed by Pyraclostrobin 20% WG (52.49%), Carbendazim 50% WP (47.95%) and Thiophanate methyl 70% WP (45.68%) (Chaudhary et al., 2018; Purohit et al., 2025).</w:t>
      </w:r>
    </w:p>
    <w:p w14:paraId="45CFE346" w14:textId="77777777" w:rsidR="002A662F" w:rsidRPr="00D23C75" w:rsidRDefault="00275AFA" w:rsidP="00982588">
      <w:pPr>
        <w:pStyle w:val="BodyText"/>
        <w:ind w:left="360"/>
        <w:jc w:val="both"/>
        <w:rPr>
          <w:rFonts w:ascii="Arial" w:hAnsi="Arial" w:cs="Arial"/>
        </w:rPr>
      </w:pPr>
      <w:r w:rsidRPr="00D23C75">
        <w:rPr>
          <w:rFonts w:ascii="Arial" w:hAnsi="Arial" w:cs="Arial"/>
        </w:rPr>
        <w:t xml:space="preserve">The increase in inhibition from 500 to 1000 ppm for pyraclostrobin and carbendazim suggests a concentration-dependent response, whereas the four fungicides producing 100% inhibition at both concentrations cannot be differentiated within the tested range. This ceiling effect is compatible with the high efficacy of selected systemic fungicides reported against groundnut Alternaria blight (Chaudhary </w:t>
      </w:r>
      <w:r w:rsidRPr="00D23C75">
        <w:rPr>
          <w:rFonts w:ascii="Arial" w:hAnsi="Arial" w:cs="Arial"/>
          <w:i/>
        </w:rPr>
        <w:t>et al.</w:t>
      </w:r>
      <w:r w:rsidRPr="00D23C75">
        <w:rPr>
          <w:rFonts w:ascii="Arial" w:hAnsi="Arial" w:cs="Arial"/>
        </w:rPr>
        <w:t xml:space="preserve">, 2018; Purohit </w:t>
      </w:r>
      <w:r w:rsidRPr="00D23C75">
        <w:rPr>
          <w:rFonts w:ascii="Arial" w:hAnsi="Arial" w:cs="Arial"/>
          <w:i/>
        </w:rPr>
        <w:t>et al.</w:t>
      </w:r>
      <w:r w:rsidRPr="00D23C75">
        <w:rPr>
          <w:rFonts w:ascii="Arial" w:hAnsi="Arial" w:cs="Arial"/>
        </w:rPr>
        <w:t xml:space="preserve">, 2025), but repeated reliance on single-site chemistries should be avoided because </w:t>
      </w:r>
      <w:r w:rsidRPr="00D23C75">
        <w:rPr>
          <w:rFonts w:ascii="Arial" w:hAnsi="Arial" w:cs="Arial"/>
          <w:i/>
        </w:rPr>
        <w:t>A. alternata</w:t>
      </w:r>
      <w:r w:rsidRPr="00D23C75">
        <w:rPr>
          <w:rFonts w:ascii="Arial" w:hAnsi="Arial" w:cs="Arial"/>
        </w:rPr>
        <w:t xml:space="preserve"> populations can exhibit variable triazole sensitivity (Yang </w:t>
      </w:r>
      <w:r w:rsidRPr="00D23C75">
        <w:rPr>
          <w:rFonts w:ascii="Arial" w:hAnsi="Arial" w:cs="Arial"/>
          <w:i/>
        </w:rPr>
        <w:t>et al.</w:t>
      </w:r>
      <w:r w:rsidRPr="00D23C75">
        <w:rPr>
          <w:rFonts w:ascii="Arial" w:hAnsi="Arial" w:cs="Arial"/>
        </w:rPr>
        <w:t>, 2022).</w:t>
      </w:r>
    </w:p>
    <w:p w14:paraId="534EDAEE" w14:textId="77777777" w:rsidR="00100FFE" w:rsidRPr="00D23C75" w:rsidRDefault="00100FFE" w:rsidP="00100FFE">
      <w:pPr>
        <w:pStyle w:val="BodyText"/>
        <w:ind w:left="360" w:right="180"/>
        <w:jc w:val="both"/>
        <w:rPr>
          <w:rFonts w:ascii="Arial" w:hAnsi="Arial" w:cs="Arial"/>
        </w:rPr>
      </w:pPr>
    </w:p>
    <w:p w14:paraId="1331C8E3" w14:textId="77777777" w:rsidR="00100FFE" w:rsidRPr="00D23C75" w:rsidRDefault="004B583B" w:rsidP="00100FFE">
      <w:pPr>
        <w:spacing w:before="77"/>
        <w:ind w:right="180" w:firstLine="360"/>
        <w:rPr>
          <w:rFonts w:ascii="Arial" w:hAnsi="Arial" w:cs="Arial"/>
          <w:b/>
        </w:rPr>
      </w:pPr>
      <w:r w:rsidRPr="00D23C75">
        <w:rPr>
          <w:rFonts w:ascii="Arial" w:hAnsi="Arial" w:cs="Arial"/>
          <w:b/>
          <w:i/>
          <w:noProof/>
        </w:rPr>
        <w:drawing>
          <wp:anchor distT="0" distB="0" distL="114300" distR="114300" simplePos="0" relativeHeight="251667456" behindDoc="0" locked="0" layoutInCell="1" allowOverlap="1" wp14:anchorId="3E8D3EEF" wp14:editId="4806D143">
            <wp:simplePos x="0" y="0"/>
            <wp:positionH relativeFrom="column">
              <wp:posOffset>3457576</wp:posOffset>
            </wp:positionH>
            <wp:positionV relativeFrom="paragraph">
              <wp:posOffset>325755</wp:posOffset>
            </wp:positionV>
            <wp:extent cx="2454910" cy="2514158"/>
            <wp:effectExtent l="0" t="0" r="2540" b="635"/>
            <wp:wrapNone/>
            <wp:docPr id="24" name="Picture 3">
              <a:extLst xmlns:a="http://schemas.openxmlformats.org/drawingml/2006/main">
                <a:ext uri="{FF2B5EF4-FFF2-40B4-BE49-F238E27FC236}">
                  <a16:creationId xmlns:a16="http://schemas.microsoft.com/office/drawing/2014/main" id="{024DC067-4F8E-C326-08B2-C153B5BAC8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24DC067-4F8E-C326-08B2-C153B5BAC8C7}"/>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58955" cy="2518300"/>
                    </a:xfrm>
                    <a:prstGeom prst="rect">
                      <a:avLst/>
                    </a:prstGeom>
                  </pic:spPr>
                </pic:pic>
              </a:graphicData>
            </a:graphic>
            <wp14:sizeRelH relativeFrom="margin">
              <wp14:pctWidth>0</wp14:pctWidth>
            </wp14:sizeRelH>
            <wp14:sizeRelV relativeFrom="margin">
              <wp14:pctHeight>0</wp14:pctHeight>
            </wp14:sizeRelV>
          </wp:anchor>
        </w:drawing>
      </w:r>
      <w:r w:rsidRPr="00D23C75">
        <w:rPr>
          <w:rFonts w:ascii="Arial" w:hAnsi="Arial" w:cs="Arial"/>
          <w:b/>
          <w:i/>
          <w:noProof/>
        </w:rPr>
        <w:drawing>
          <wp:anchor distT="0" distB="0" distL="114300" distR="114300" simplePos="0" relativeHeight="251665408" behindDoc="0" locked="0" layoutInCell="1" allowOverlap="1" wp14:anchorId="56D977C9" wp14:editId="7A81AEB0">
            <wp:simplePos x="0" y="0"/>
            <wp:positionH relativeFrom="column">
              <wp:posOffset>638175</wp:posOffset>
            </wp:positionH>
            <wp:positionV relativeFrom="paragraph">
              <wp:posOffset>325755</wp:posOffset>
            </wp:positionV>
            <wp:extent cx="2533650" cy="2486025"/>
            <wp:effectExtent l="0" t="0" r="0" b="9525"/>
            <wp:wrapNone/>
            <wp:docPr id="23" name="Picture 2">
              <a:extLst xmlns:a="http://schemas.openxmlformats.org/drawingml/2006/main">
                <a:ext uri="{FF2B5EF4-FFF2-40B4-BE49-F238E27FC236}">
                  <a16:creationId xmlns:a16="http://schemas.microsoft.com/office/drawing/2014/main" id="{D304B1E2-6F36-F87E-077C-D1EDB111AF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D304B1E2-6F36-F87E-077C-D1EDB111AF59}"/>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33650" cy="2486025"/>
                    </a:xfrm>
                    <a:prstGeom prst="rect">
                      <a:avLst/>
                    </a:prstGeom>
                  </pic:spPr>
                </pic:pic>
              </a:graphicData>
            </a:graphic>
            <wp14:sizeRelH relativeFrom="margin">
              <wp14:pctWidth>0</wp14:pctWidth>
            </wp14:sizeRelH>
            <wp14:sizeRelV relativeFrom="margin">
              <wp14:pctHeight>0</wp14:pctHeight>
            </wp14:sizeRelV>
          </wp:anchor>
        </w:drawing>
      </w:r>
      <w:r w:rsidR="00100FFE" w:rsidRPr="00D23C75">
        <w:rPr>
          <w:rFonts w:ascii="Arial" w:hAnsi="Arial" w:cs="Arial"/>
          <w:b/>
        </w:rPr>
        <w:t>Plate</w:t>
      </w:r>
      <w:r w:rsidR="00100FFE" w:rsidRPr="00D23C75">
        <w:rPr>
          <w:rFonts w:ascii="Arial" w:hAnsi="Arial" w:cs="Arial"/>
          <w:b/>
          <w:spacing w:val="-16"/>
        </w:rPr>
        <w:t xml:space="preserve"> </w:t>
      </w:r>
      <w:r w:rsidR="00100FFE" w:rsidRPr="00D23C75">
        <w:rPr>
          <w:rFonts w:ascii="Arial" w:hAnsi="Arial" w:cs="Arial"/>
          <w:b/>
        </w:rPr>
        <w:t>1.</w:t>
      </w:r>
      <w:r w:rsidR="00100FFE" w:rsidRPr="00D23C75">
        <w:rPr>
          <w:rFonts w:ascii="Arial" w:hAnsi="Arial" w:cs="Arial"/>
          <w:b/>
          <w:spacing w:val="-15"/>
        </w:rPr>
        <w:t xml:space="preserve"> </w:t>
      </w:r>
      <w:r w:rsidR="00100FFE" w:rsidRPr="00D23C75">
        <w:rPr>
          <w:rFonts w:ascii="Arial" w:hAnsi="Arial" w:cs="Arial"/>
          <w:b/>
          <w:i/>
        </w:rPr>
        <w:t>In</w:t>
      </w:r>
      <w:r w:rsidR="00100FFE" w:rsidRPr="00D23C75">
        <w:rPr>
          <w:rFonts w:ascii="Arial" w:hAnsi="Arial" w:cs="Arial"/>
          <w:b/>
          <w:i/>
          <w:spacing w:val="-15"/>
        </w:rPr>
        <w:t xml:space="preserve"> </w:t>
      </w:r>
      <w:r w:rsidR="00100FFE" w:rsidRPr="00D23C75">
        <w:rPr>
          <w:rFonts w:ascii="Arial" w:hAnsi="Arial" w:cs="Arial"/>
          <w:b/>
          <w:i/>
        </w:rPr>
        <w:t>vitro</w:t>
      </w:r>
      <w:r w:rsidR="00100FFE" w:rsidRPr="00D23C75">
        <w:rPr>
          <w:rFonts w:ascii="Arial" w:hAnsi="Arial" w:cs="Arial"/>
          <w:b/>
          <w:i/>
          <w:spacing w:val="-16"/>
        </w:rPr>
        <w:t xml:space="preserve"> </w:t>
      </w:r>
      <w:r w:rsidR="00100FFE" w:rsidRPr="00D23C75">
        <w:rPr>
          <w:rFonts w:ascii="Arial" w:hAnsi="Arial" w:cs="Arial"/>
          <w:b/>
        </w:rPr>
        <w:t>efficacy</w:t>
      </w:r>
      <w:r w:rsidR="00100FFE" w:rsidRPr="00D23C75">
        <w:rPr>
          <w:rFonts w:ascii="Arial" w:hAnsi="Arial" w:cs="Arial"/>
          <w:b/>
          <w:spacing w:val="-17"/>
        </w:rPr>
        <w:t xml:space="preserve"> </w:t>
      </w:r>
      <w:r w:rsidR="00100FFE" w:rsidRPr="00D23C75">
        <w:rPr>
          <w:rFonts w:ascii="Arial" w:hAnsi="Arial" w:cs="Arial"/>
          <w:b/>
        </w:rPr>
        <w:t>of</w:t>
      </w:r>
      <w:r w:rsidR="00100FFE" w:rsidRPr="00D23C75">
        <w:rPr>
          <w:rFonts w:ascii="Arial" w:hAnsi="Arial" w:cs="Arial"/>
          <w:b/>
          <w:spacing w:val="-15"/>
        </w:rPr>
        <w:t xml:space="preserve"> </w:t>
      </w:r>
      <w:r w:rsidR="00100FFE" w:rsidRPr="00D23C75">
        <w:rPr>
          <w:rFonts w:ascii="Arial" w:hAnsi="Arial" w:cs="Arial"/>
          <w:b/>
        </w:rPr>
        <w:t>systemic</w:t>
      </w:r>
      <w:r w:rsidR="00100FFE" w:rsidRPr="00D23C75">
        <w:rPr>
          <w:rFonts w:ascii="Arial" w:hAnsi="Arial" w:cs="Arial"/>
          <w:b/>
          <w:spacing w:val="-15"/>
        </w:rPr>
        <w:t xml:space="preserve"> </w:t>
      </w:r>
      <w:r w:rsidR="00100FFE" w:rsidRPr="00D23C75">
        <w:rPr>
          <w:rFonts w:ascii="Arial" w:hAnsi="Arial" w:cs="Arial"/>
          <w:b/>
        </w:rPr>
        <w:t>fungicides</w:t>
      </w:r>
      <w:r w:rsidR="00100FFE" w:rsidRPr="00D23C75">
        <w:rPr>
          <w:rFonts w:ascii="Arial" w:hAnsi="Arial" w:cs="Arial"/>
          <w:b/>
          <w:spacing w:val="-17"/>
        </w:rPr>
        <w:t xml:space="preserve"> </w:t>
      </w:r>
      <w:r w:rsidR="00100FFE" w:rsidRPr="00D23C75">
        <w:rPr>
          <w:rFonts w:ascii="Arial" w:hAnsi="Arial" w:cs="Arial"/>
          <w:b/>
        </w:rPr>
        <w:t>against</w:t>
      </w:r>
      <w:r w:rsidR="00100FFE" w:rsidRPr="00D23C75">
        <w:rPr>
          <w:rFonts w:ascii="Arial" w:hAnsi="Arial" w:cs="Arial"/>
          <w:b/>
          <w:spacing w:val="-15"/>
        </w:rPr>
        <w:t xml:space="preserve"> </w:t>
      </w:r>
      <w:r w:rsidR="00312ABD" w:rsidRPr="00D23C75">
        <w:rPr>
          <w:rFonts w:ascii="Arial" w:hAnsi="Arial" w:cs="Arial"/>
          <w:b/>
          <w:i/>
        </w:rPr>
        <w:t xml:space="preserve">Alternaria </w:t>
      </w:r>
      <w:proofErr w:type="spellStart"/>
      <w:r w:rsidR="00312ABD" w:rsidRPr="00D23C75">
        <w:rPr>
          <w:rFonts w:ascii="Arial" w:hAnsi="Arial" w:cs="Arial"/>
          <w:b/>
          <w:i/>
        </w:rPr>
        <w:t>alternata</w:t>
      </w:r>
      <w:proofErr w:type="spellEnd"/>
      <w:r w:rsidR="00312ABD" w:rsidRPr="00D23C75">
        <w:rPr>
          <w:rFonts w:ascii="Arial" w:hAnsi="Arial" w:cs="Arial"/>
          <w:b/>
          <w:i/>
        </w:rPr>
        <w:t xml:space="preserve"> </w:t>
      </w:r>
    </w:p>
    <w:p w14:paraId="77F45992" w14:textId="77777777" w:rsidR="00100FFE" w:rsidRPr="00D23C75" w:rsidRDefault="00B545D7" w:rsidP="00100FFE">
      <w:pPr>
        <w:pStyle w:val="BodyText"/>
        <w:ind w:right="180"/>
        <w:jc w:val="both"/>
        <w:rPr>
          <w:rFonts w:ascii="Arial" w:hAnsi="Arial" w:cs="Arial"/>
        </w:rPr>
      </w:pPr>
      <w:r w:rsidRPr="00D23C75">
        <w:rPr>
          <w:rFonts w:ascii="Arial" w:hAnsi="Arial" w:cs="Arial"/>
          <w:b/>
          <w:i/>
          <w:noProof/>
        </w:rPr>
        <mc:AlternateContent>
          <mc:Choice Requires="wps">
            <w:drawing>
              <wp:anchor distT="0" distB="0" distL="0" distR="0" simplePos="0" relativeHeight="251671552" behindDoc="1" locked="0" layoutInCell="1" allowOverlap="1" wp14:anchorId="615502AC" wp14:editId="15545CE0">
                <wp:simplePos x="0" y="0"/>
                <wp:positionH relativeFrom="page">
                  <wp:posOffset>5034028</wp:posOffset>
                </wp:positionH>
                <wp:positionV relativeFrom="paragraph">
                  <wp:posOffset>2547836</wp:posOffset>
                </wp:positionV>
                <wp:extent cx="1013460" cy="31242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3460" cy="312420"/>
                        </a:xfrm>
                        <a:prstGeom prst="rect">
                          <a:avLst/>
                        </a:prstGeom>
                        <a:ln w="12192">
                          <a:solidFill>
                            <a:srgbClr val="000000"/>
                          </a:solidFill>
                          <a:prstDash val="solid"/>
                        </a:ln>
                      </wps:spPr>
                      <wps:txbx>
                        <w:txbxContent>
                          <w:p w14:paraId="3BFAC2CA" w14:textId="77777777" w:rsidR="004B583B" w:rsidRDefault="004B583B" w:rsidP="00100FFE">
                            <w:pPr>
                              <w:spacing w:before="70"/>
                              <w:ind w:left="259"/>
                              <w:rPr>
                                <w:rFonts w:ascii="Trebuchet MS"/>
                                <w:b/>
                                <w:sz w:val="24"/>
                              </w:rPr>
                            </w:pPr>
                            <w:r>
                              <w:rPr>
                                <w:rFonts w:ascii="Trebuchet MS"/>
                                <w:b/>
                                <w:spacing w:val="-2"/>
                                <w:w w:val="90"/>
                                <w:sz w:val="24"/>
                              </w:rPr>
                              <w:t>1000</w:t>
                            </w:r>
                            <w:r>
                              <w:rPr>
                                <w:rFonts w:ascii="Trebuchet MS"/>
                                <w:b/>
                                <w:spacing w:val="-11"/>
                                <w:w w:val="90"/>
                                <w:sz w:val="24"/>
                              </w:rPr>
                              <w:t xml:space="preserve"> </w:t>
                            </w:r>
                            <w:r>
                              <w:rPr>
                                <w:rFonts w:ascii="Trebuchet MS"/>
                                <w:b/>
                                <w:spacing w:val="-5"/>
                                <w:w w:val="95"/>
                                <w:sz w:val="24"/>
                              </w:rPr>
                              <w:t>ppm</w:t>
                            </w:r>
                          </w:p>
                        </w:txbxContent>
                      </wps:txbx>
                      <wps:bodyPr wrap="square" lIns="0" tIns="0" rIns="0" bIns="0" rtlCol="0">
                        <a:noAutofit/>
                      </wps:bodyPr>
                    </wps:wsp>
                  </a:graphicData>
                </a:graphic>
              </wp:anchor>
            </w:drawing>
          </mc:Choice>
          <mc:Fallback>
            <w:pict>
              <v:shapetype w14:anchorId="615502AC" id="_x0000_t202" coordsize="21600,21600" o:spt="202" path="m,l,21600r21600,l21600,xe">
                <v:stroke joinstyle="miter"/>
                <v:path gradientshapeok="t" o:connecttype="rect"/>
              </v:shapetype>
              <v:shape id="Textbox 6" o:spid="_x0000_s1027" type="#_x0000_t202" style="position:absolute;left:0;text-align:left;margin-left:396.4pt;margin-top:200.6pt;width:79.8pt;height:24.6pt;z-index:-251644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dR2yAEAAIYDAAAOAAAAZHJzL2Uyb0RvYy54bWysU9uO0zAQfUfiHyy/01x2tYKo6Qq2WoS0&#10;AqRdPsBx7MbC8RiP26R/z9hN2xW8IfLgjDPj43POTNb382jZQQU04FperUrOlJPQG7dr+Y+Xx3fv&#10;OcMoXC8sONXyo0J+v3n7Zj35RtUwgO1VYATisJl8y4cYfVMUKAc1ClyBV46SGsIoIm3DruiDmAh9&#10;tEVdlnfFBKH3AaRCpK/bU5JvMr7WSsZvWqOKzLacuMW8hrx2aS02a9HsgvCDkQsN8Q8sRmEcXXqB&#10;2ooo2D6Yv6BGIwMg6LiSMBagtZEqayA1VfmHmudBeJW1kDnoLzbh/4OVXw/P/ntgcf4EMzUwi0D/&#10;BPInkjfF5LFZapKn2CBVJ6GzDmN6kwRGB8nb48VPNUcmE1pZ3dzeUUpS7qaqb+tseHE97QPGzwpG&#10;loKWB+pXZiAOTxjT/aI5l6TLrGMTwdbVh/pEFKzpH421KYlh1z3YwA4i9To/qb0Ega/LEt5W4HCq&#10;y6mlzLpF8EljUhvnbmamT8YQVPrSQX8kvyYamZbjr70IijP7xVFP0nydg3AOunMQon2APIWJrIOP&#10;+wjaZJFX3IUANTsTXwYzTdPrfa66/j6b3wAAAP//AwBQSwMEFAAGAAgAAAAhAH1hlEXhAAAACwEA&#10;AA8AAABkcnMvZG93bnJldi54bWxMj8FOwzAQRO9I/IO1SNyo3SgBEuJUqKISFQjUwgds4yWJGttR&#10;7Kbh71lOcNzZ0cybcjXbXkw0hs47DcuFAkGu9qZzjYbPj83NPYgQ0RnsvSMN3xRgVV1elFgYf3Y7&#10;mvaxERziQoEa2hiHQspQt2QxLPxAjn9ffrQY+RwbaUY8c7jtZaLUrbTYOW5ocaB1S/Vxf7IadjjH&#10;4/ZpPQ1vm9xmr8/2ZfueaH19NT8+gIg0xz8z/OIzOlTMdPAnZ4LoNdzlCaNHDalaJiDYkWdJCuLA&#10;SqZSkFUp/2+ofgAAAP//AwBQSwECLQAUAAYACAAAACEAtoM4kv4AAADhAQAAEwAAAAAAAAAAAAAA&#10;AAAAAAAAW0NvbnRlbnRfVHlwZXNdLnhtbFBLAQItABQABgAIAAAAIQA4/SH/1gAAAJQBAAALAAAA&#10;AAAAAAAAAAAAAC8BAABfcmVscy8ucmVsc1BLAQItABQABgAIAAAAIQAB3dR2yAEAAIYDAAAOAAAA&#10;AAAAAAAAAAAAAC4CAABkcnMvZTJvRG9jLnhtbFBLAQItABQABgAIAAAAIQB9YZRF4QAAAAsBAAAP&#10;AAAAAAAAAAAAAAAAACIEAABkcnMvZG93bnJldi54bWxQSwUGAAAAAAQABADzAAAAMAUAAAAA&#10;" filled="f" strokeweight=".96pt">
                <v:path arrowok="t"/>
                <v:textbox inset="0,0,0,0">
                  <w:txbxContent>
                    <w:p w14:paraId="3BFAC2CA" w14:textId="77777777" w:rsidR="004B583B" w:rsidRDefault="004B583B" w:rsidP="00100FFE">
                      <w:pPr>
                        <w:spacing w:before="70"/>
                        <w:ind w:left="259"/>
                        <w:rPr>
                          <w:rFonts w:ascii="Trebuchet MS"/>
                          <w:b/>
                          <w:sz w:val="24"/>
                        </w:rPr>
                      </w:pPr>
                      <w:r>
                        <w:rPr>
                          <w:rFonts w:ascii="Trebuchet MS"/>
                          <w:b/>
                          <w:spacing w:val="-2"/>
                          <w:w w:val="90"/>
                          <w:sz w:val="24"/>
                        </w:rPr>
                        <w:t>1000</w:t>
                      </w:r>
                      <w:r>
                        <w:rPr>
                          <w:rFonts w:ascii="Trebuchet MS"/>
                          <w:b/>
                          <w:spacing w:val="-11"/>
                          <w:w w:val="90"/>
                          <w:sz w:val="24"/>
                        </w:rPr>
                        <w:t xml:space="preserve"> </w:t>
                      </w:r>
                      <w:r>
                        <w:rPr>
                          <w:rFonts w:ascii="Trebuchet MS"/>
                          <w:b/>
                          <w:spacing w:val="-5"/>
                          <w:w w:val="95"/>
                          <w:sz w:val="24"/>
                        </w:rPr>
                        <w:t>ppm</w:t>
                      </w:r>
                    </w:p>
                  </w:txbxContent>
                </v:textbox>
                <w10:wrap type="topAndBottom" anchorx="page"/>
              </v:shape>
            </w:pict>
          </mc:Fallback>
        </mc:AlternateContent>
      </w:r>
      <w:r w:rsidRPr="00D23C75">
        <w:rPr>
          <w:rFonts w:ascii="Arial" w:hAnsi="Arial" w:cs="Arial"/>
          <w:b/>
          <w:i/>
          <w:noProof/>
        </w:rPr>
        <mc:AlternateContent>
          <mc:Choice Requires="wps">
            <w:drawing>
              <wp:anchor distT="0" distB="0" distL="0" distR="0" simplePos="0" relativeHeight="251669504" behindDoc="1" locked="0" layoutInCell="1" allowOverlap="1" wp14:anchorId="5D49B5A8" wp14:editId="138E734F">
                <wp:simplePos x="0" y="0"/>
                <wp:positionH relativeFrom="page">
                  <wp:posOffset>1962222</wp:posOffset>
                </wp:positionH>
                <wp:positionV relativeFrom="paragraph">
                  <wp:posOffset>2517775</wp:posOffset>
                </wp:positionV>
                <wp:extent cx="1013460" cy="31242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3460" cy="312420"/>
                        </a:xfrm>
                        <a:prstGeom prst="rect">
                          <a:avLst/>
                        </a:prstGeom>
                        <a:ln w="12191">
                          <a:solidFill>
                            <a:srgbClr val="000000"/>
                          </a:solidFill>
                          <a:prstDash val="solid"/>
                        </a:ln>
                      </wps:spPr>
                      <wps:txbx>
                        <w:txbxContent>
                          <w:p w14:paraId="564AFED4" w14:textId="77777777" w:rsidR="004B583B" w:rsidRDefault="004B583B" w:rsidP="00100FFE">
                            <w:pPr>
                              <w:spacing w:before="72"/>
                              <w:ind w:left="324"/>
                              <w:rPr>
                                <w:rFonts w:ascii="Trebuchet MS"/>
                                <w:b/>
                                <w:sz w:val="24"/>
                              </w:rPr>
                            </w:pPr>
                            <w:r>
                              <w:rPr>
                                <w:rFonts w:ascii="Trebuchet MS"/>
                                <w:b/>
                                <w:spacing w:val="-2"/>
                                <w:w w:val="90"/>
                                <w:sz w:val="24"/>
                              </w:rPr>
                              <w:t>500</w:t>
                            </w:r>
                            <w:r>
                              <w:rPr>
                                <w:rFonts w:ascii="Trebuchet MS"/>
                                <w:b/>
                                <w:spacing w:val="-11"/>
                                <w:w w:val="90"/>
                                <w:sz w:val="24"/>
                              </w:rPr>
                              <w:t xml:space="preserve"> </w:t>
                            </w:r>
                            <w:r>
                              <w:rPr>
                                <w:rFonts w:ascii="Trebuchet MS"/>
                                <w:b/>
                                <w:spacing w:val="-5"/>
                                <w:sz w:val="24"/>
                              </w:rPr>
                              <w:t>ppm</w:t>
                            </w:r>
                          </w:p>
                        </w:txbxContent>
                      </wps:txbx>
                      <wps:bodyPr wrap="square" lIns="0" tIns="0" rIns="0" bIns="0" rtlCol="0">
                        <a:noAutofit/>
                      </wps:bodyPr>
                    </wps:wsp>
                  </a:graphicData>
                </a:graphic>
              </wp:anchor>
            </w:drawing>
          </mc:Choice>
          <mc:Fallback>
            <w:pict>
              <v:shape w14:anchorId="5D49B5A8" id="Textbox 5" o:spid="_x0000_s1028" type="#_x0000_t202" style="position:absolute;left:0;text-align:left;margin-left:154.5pt;margin-top:198.25pt;width:79.8pt;height:24.6pt;z-index:-251646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RCJxwEAAIYDAAAOAAAAZHJzL2Uyb0RvYy54bWysU9uO0zAQfUfiHyy/01x2tYKo6Qq2WoS0&#10;AqRdPsBx7MbC8RiP26R/z9hN2xW8IfLgjDPj43POTNb382jZQQU04FperUrOlJPQG7dr+Y+Xx3fv&#10;OcMoXC8sONXyo0J+v3n7Zj35RtUwgO1VYATisJl8y4cYfVMUKAc1ClyBV46SGsIoIm3DruiDmAh9&#10;tEVdlnfFBKH3AaRCpK/bU5JvMr7WSsZvWqOKzLacuMW8hrx2aS02a9HsgvCDkQsN8Q8sRmEcXXqB&#10;2ooo2D6Yv6BGIwMg6LiSMBagtZEqayA1VfmHmudBeJW1kDnoLzbh/4OVXw/P/ntgcf4EMzUwi0D/&#10;BPInkjfF5LFZapKn2CBVJ6GzDmN6kwRGB8nb48VPNUcmE1pZ3dzeUUpS7qaqb+tseHE97QPGzwpG&#10;loKWB+pXZiAOTxjT/aI5l6TLrGMTwdbVh4UoWNM/GmtTEsOue7CBHUTqdX5SewkCX5clvK3A4VSX&#10;U0uZdYvgk8akNs7dzEzf8jrVpC8d9Efya6KRaTn+2ougOLNfHPUkzdc5COegOwch2gfIU5jIOvi4&#10;j6BNFnnFXQhQszPxZTDTNL3e56rr77P5DQAA//8DAFBLAwQUAAYACAAAACEATkC1kOEAAAALAQAA&#10;DwAAAGRycy9kb3ducmV2LnhtbEyPzU7DMBCE70i8g7VI3KhNm4Y2xKkQP0JC4tDCAzjJNomI15Ht&#10;NilP3+0JbjPa0ew3+WayvTiiD50jDfczBQKpcnVHjYbvr7e7FYgQDdWmd4QaThhgU1xf5Sar3Uhb&#10;PO5iI7iEQmY0tDEOmZShatGaMHMDEt/2zlsT2fpG1t6MXG57OVcqldZ0xB9aM+Bzi9XP7mA1bE/x&#10;04/hNflVH3O/d+XiRcp3rW9vpqdHEBGn+BeGCz6jQ8FMpTtQHUSvYaHWvCWyWKdLEJxI0lUKomSR&#10;LB9AFrn8v6E4AwAA//8DAFBLAQItABQABgAIAAAAIQC2gziS/gAAAOEBAAATAAAAAAAAAAAAAAAA&#10;AAAAAABbQ29udGVudF9UeXBlc10ueG1sUEsBAi0AFAAGAAgAAAAhADj9If/WAAAAlAEAAAsAAAAA&#10;AAAAAAAAAAAALwEAAF9yZWxzLy5yZWxzUEsBAi0AFAAGAAgAAAAhABTNEInHAQAAhgMAAA4AAAAA&#10;AAAAAAAAAAAALgIAAGRycy9lMm9Eb2MueG1sUEsBAi0AFAAGAAgAAAAhAE5AtZDhAAAACwEAAA8A&#10;AAAAAAAAAAAAAAAAIQQAAGRycy9kb3ducmV2LnhtbFBLBQYAAAAABAAEAPMAAAAvBQAAAAA=&#10;" filled="f" strokeweight=".33864mm">
                <v:path arrowok="t"/>
                <v:textbox inset="0,0,0,0">
                  <w:txbxContent>
                    <w:p w14:paraId="564AFED4" w14:textId="77777777" w:rsidR="004B583B" w:rsidRDefault="004B583B" w:rsidP="00100FFE">
                      <w:pPr>
                        <w:spacing w:before="72"/>
                        <w:ind w:left="324"/>
                        <w:rPr>
                          <w:rFonts w:ascii="Trebuchet MS"/>
                          <w:b/>
                          <w:sz w:val="24"/>
                        </w:rPr>
                      </w:pPr>
                      <w:r>
                        <w:rPr>
                          <w:rFonts w:ascii="Trebuchet MS"/>
                          <w:b/>
                          <w:spacing w:val="-2"/>
                          <w:w w:val="90"/>
                          <w:sz w:val="24"/>
                        </w:rPr>
                        <w:t>500</w:t>
                      </w:r>
                      <w:r>
                        <w:rPr>
                          <w:rFonts w:ascii="Trebuchet MS"/>
                          <w:b/>
                          <w:spacing w:val="-11"/>
                          <w:w w:val="90"/>
                          <w:sz w:val="24"/>
                        </w:rPr>
                        <w:t xml:space="preserve"> </w:t>
                      </w:r>
                      <w:r>
                        <w:rPr>
                          <w:rFonts w:ascii="Trebuchet MS"/>
                          <w:b/>
                          <w:spacing w:val="-5"/>
                          <w:sz w:val="24"/>
                        </w:rPr>
                        <w:t>ppm</w:t>
                      </w:r>
                    </w:p>
                  </w:txbxContent>
                </v:textbox>
                <w10:wrap type="topAndBottom" anchorx="page"/>
              </v:shape>
            </w:pict>
          </mc:Fallback>
        </mc:AlternateContent>
      </w:r>
    </w:p>
    <w:p w14:paraId="741D1D36" w14:textId="77777777" w:rsidR="00100FFE" w:rsidRPr="00D23C75" w:rsidRDefault="00100FFE" w:rsidP="00100FFE">
      <w:pPr>
        <w:pStyle w:val="BodyText"/>
        <w:ind w:right="180"/>
        <w:jc w:val="both"/>
        <w:rPr>
          <w:rFonts w:ascii="Arial" w:hAnsi="Arial" w:cs="Arial"/>
        </w:rPr>
        <w:sectPr w:rsidR="00100FFE" w:rsidRPr="00D23C75" w:rsidSect="004B583B">
          <w:headerReference w:type="even" r:id="rId9"/>
          <w:headerReference w:type="default" r:id="rId10"/>
          <w:footerReference w:type="even" r:id="rId11"/>
          <w:footerReference w:type="default" r:id="rId12"/>
          <w:headerReference w:type="first" r:id="rId13"/>
          <w:footerReference w:type="first" r:id="rId14"/>
          <w:pgSz w:w="12240" w:h="15840"/>
          <w:pgMar w:top="1360" w:right="1080" w:bottom="280" w:left="1080" w:header="720" w:footer="720" w:gutter="0"/>
          <w:cols w:space="720"/>
        </w:sectPr>
      </w:pPr>
    </w:p>
    <w:p w14:paraId="1BF6A578" w14:textId="77777777" w:rsidR="00100FFE" w:rsidRPr="00D23C75" w:rsidRDefault="00100FFE" w:rsidP="00100FFE">
      <w:pPr>
        <w:spacing w:after="57"/>
        <w:ind w:left="360" w:right="180"/>
        <w:rPr>
          <w:rFonts w:ascii="Arial" w:hAnsi="Arial" w:cs="Arial"/>
          <w:b/>
          <w:i/>
        </w:rPr>
      </w:pPr>
      <w:r w:rsidRPr="00D23C75">
        <w:rPr>
          <w:rFonts w:ascii="Arial" w:hAnsi="Arial" w:cs="Arial"/>
          <w:b/>
        </w:rPr>
        <w:lastRenderedPageBreak/>
        <w:t xml:space="preserve">Table 3. In vitro efficacy of systemic fungicides against </w:t>
      </w:r>
      <w:r w:rsidR="00312ABD" w:rsidRPr="00D23C75">
        <w:rPr>
          <w:rFonts w:ascii="Arial" w:hAnsi="Arial" w:cs="Arial"/>
          <w:b/>
          <w:i/>
        </w:rPr>
        <w:t xml:space="preserve">Alternaria </w:t>
      </w:r>
      <w:proofErr w:type="spellStart"/>
      <w:r w:rsidR="00312ABD" w:rsidRPr="00D23C75">
        <w:rPr>
          <w:rFonts w:ascii="Arial" w:hAnsi="Arial" w:cs="Arial"/>
          <w:b/>
          <w:i/>
        </w:rPr>
        <w:t>alternata</w:t>
      </w:r>
      <w:proofErr w:type="spellEnd"/>
      <w:r w:rsidR="00312ABD" w:rsidRPr="00D23C75">
        <w:rPr>
          <w:rFonts w:ascii="Arial" w:hAnsi="Arial" w:cs="Arial"/>
          <w:b/>
          <w:i/>
        </w:rPr>
        <w:t xml:space="preserve"> </w:t>
      </w:r>
      <w:r w:rsidRPr="00D23C75">
        <w:rPr>
          <w:rFonts w:ascii="Arial" w:hAnsi="Arial" w:cs="Arial"/>
          <w:b/>
        </w:rPr>
        <w:t xml:space="preserve"> </w:t>
      </w:r>
    </w:p>
    <w:tbl>
      <w:tblPr>
        <w:tblW w:w="9340" w:type="dxa"/>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2"/>
        <w:gridCol w:w="2980"/>
        <w:gridCol w:w="1103"/>
        <w:gridCol w:w="1050"/>
        <w:gridCol w:w="810"/>
        <w:gridCol w:w="911"/>
        <w:gridCol w:w="955"/>
        <w:gridCol w:w="929"/>
      </w:tblGrid>
      <w:tr w:rsidR="00100FFE" w:rsidRPr="00D23C75" w14:paraId="2887318E" w14:textId="77777777" w:rsidTr="00E026B0">
        <w:trPr>
          <w:trHeight w:val="467"/>
        </w:trPr>
        <w:tc>
          <w:tcPr>
            <w:tcW w:w="602" w:type="dxa"/>
            <w:vMerge w:val="restart"/>
          </w:tcPr>
          <w:p w14:paraId="6036A204" w14:textId="77777777" w:rsidR="00100FFE" w:rsidRPr="00D23C75" w:rsidRDefault="00100FFE" w:rsidP="004B583B">
            <w:pPr>
              <w:pStyle w:val="TableParagraph"/>
              <w:spacing w:before="130"/>
              <w:ind w:left="0" w:right="180"/>
              <w:jc w:val="left"/>
              <w:rPr>
                <w:rFonts w:ascii="Arial" w:hAnsi="Arial" w:cs="Arial"/>
                <w:b/>
                <w:i/>
                <w:sz w:val="20"/>
              </w:rPr>
            </w:pPr>
          </w:p>
          <w:p w14:paraId="2AF260DA" w14:textId="77777777" w:rsidR="00100FFE" w:rsidRPr="00D23C75" w:rsidRDefault="00100FFE" w:rsidP="004B583B">
            <w:pPr>
              <w:pStyle w:val="TableParagraph"/>
              <w:spacing w:before="0"/>
              <w:ind w:left="38" w:right="180"/>
              <w:jc w:val="left"/>
              <w:rPr>
                <w:rFonts w:ascii="Arial" w:hAnsi="Arial" w:cs="Arial"/>
                <w:sz w:val="20"/>
              </w:rPr>
            </w:pPr>
            <w:proofErr w:type="spellStart"/>
            <w:r w:rsidRPr="00D23C75">
              <w:rPr>
                <w:rFonts w:ascii="Arial" w:hAnsi="Arial" w:cs="Arial"/>
                <w:spacing w:val="-2"/>
                <w:sz w:val="20"/>
              </w:rPr>
              <w:t>Tr.No</w:t>
            </w:r>
            <w:proofErr w:type="spellEnd"/>
            <w:r w:rsidRPr="00D23C75">
              <w:rPr>
                <w:rFonts w:ascii="Arial" w:hAnsi="Arial" w:cs="Arial"/>
                <w:spacing w:val="-2"/>
                <w:sz w:val="20"/>
              </w:rPr>
              <w:t>.</w:t>
            </w:r>
          </w:p>
        </w:tc>
        <w:tc>
          <w:tcPr>
            <w:tcW w:w="2980" w:type="dxa"/>
            <w:vMerge w:val="restart"/>
          </w:tcPr>
          <w:p w14:paraId="2F7A462A" w14:textId="77777777" w:rsidR="00100FFE" w:rsidRPr="00D23C75" w:rsidRDefault="00100FFE" w:rsidP="004B583B">
            <w:pPr>
              <w:pStyle w:val="TableParagraph"/>
              <w:spacing w:before="130"/>
              <w:ind w:left="0" w:right="180"/>
              <w:jc w:val="left"/>
              <w:rPr>
                <w:rFonts w:ascii="Arial" w:hAnsi="Arial" w:cs="Arial"/>
                <w:b/>
                <w:i/>
                <w:sz w:val="20"/>
              </w:rPr>
            </w:pPr>
          </w:p>
          <w:p w14:paraId="00E2913A" w14:textId="77777777" w:rsidR="00100FFE" w:rsidRPr="00D23C75" w:rsidRDefault="00100FFE" w:rsidP="004B583B">
            <w:pPr>
              <w:pStyle w:val="TableParagraph"/>
              <w:spacing w:before="0"/>
              <w:ind w:left="993" w:right="180"/>
              <w:jc w:val="left"/>
              <w:rPr>
                <w:rFonts w:ascii="Arial" w:hAnsi="Arial" w:cs="Arial"/>
                <w:sz w:val="20"/>
              </w:rPr>
            </w:pPr>
            <w:r w:rsidRPr="00D23C75">
              <w:rPr>
                <w:rFonts w:ascii="Arial" w:hAnsi="Arial" w:cs="Arial"/>
                <w:spacing w:val="-2"/>
                <w:sz w:val="20"/>
              </w:rPr>
              <w:t>Treatments</w:t>
            </w:r>
          </w:p>
        </w:tc>
        <w:tc>
          <w:tcPr>
            <w:tcW w:w="2153" w:type="dxa"/>
            <w:gridSpan w:val="2"/>
          </w:tcPr>
          <w:p w14:paraId="0EEA1AFE" w14:textId="77777777" w:rsidR="00100FFE" w:rsidRPr="00D23C75" w:rsidRDefault="00100FFE" w:rsidP="004B583B">
            <w:pPr>
              <w:pStyle w:val="TableParagraph"/>
              <w:spacing w:before="0" w:line="230" w:lineRule="atLeast"/>
              <w:ind w:left="217" w:right="180" w:firstLine="280"/>
              <w:jc w:val="left"/>
              <w:rPr>
                <w:rFonts w:ascii="Arial" w:hAnsi="Arial" w:cs="Arial"/>
                <w:sz w:val="20"/>
              </w:rPr>
            </w:pPr>
            <w:r w:rsidRPr="00D23C75">
              <w:rPr>
                <w:rFonts w:ascii="Arial" w:hAnsi="Arial" w:cs="Arial"/>
                <w:spacing w:val="-2"/>
                <w:sz w:val="20"/>
              </w:rPr>
              <w:t xml:space="preserve">*Colony </w:t>
            </w:r>
            <w:r w:rsidRPr="00D23C75">
              <w:rPr>
                <w:rFonts w:ascii="Arial" w:hAnsi="Arial" w:cs="Arial"/>
                <w:spacing w:val="-4"/>
                <w:sz w:val="20"/>
              </w:rPr>
              <w:t>Diameter(mm)</w:t>
            </w:r>
          </w:p>
        </w:tc>
        <w:tc>
          <w:tcPr>
            <w:tcW w:w="810" w:type="dxa"/>
            <w:vMerge w:val="restart"/>
          </w:tcPr>
          <w:p w14:paraId="461A293D" w14:textId="77777777" w:rsidR="00100FFE" w:rsidRPr="00D23C75" w:rsidRDefault="00100FFE" w:rsidP="004B583B">
            <w:pPr>
              <w:pStyle w:val="TableParagraph"/>
              <w:spacing w:before="130"/>
              <w:ind w:left="0" w:right="180"/>
              <w:jc w:val="left"/>
              <w:rPr>
                <w:rFonts w:ascii="Arial" w:hAnsi="Arial" w:cs="Arial"/>
                <w:b/>
                <w:i/>
                <w:sz w:val="20"/>
              </w:rPr>
            </w:pPr>
          </w:p>
          <w:p w14:paraId="74ACD985" w14:textId="77777777" w:rsidR="00100FFE" w:rsidRPr="00D23C75" w:rsidRDefault="00100FFE" w:rsidP="004B583B">
            <w:pPr>
              <w:pStyle w:val="TableParagraph"/>
              <w:spacing w:before="0"/>
              <w:ind w:left="214" w:right="180"/>
              <w:jc w:val="left"/>
              <w:rPr>
                <w:rFonts w:ascii="Arial" w:hAnsi="Arial" w:cs="Arial"/>
                <w:sz w:val="20"/>
              </w:rPr>
            </w:pPr>
            <w:r w:rsidRPr="00D23C75">
              <w:rPr>
                <w:rFonts w:ascii="Arial" w:hAnsi="Arial" w:cs="Arial"/>
                <w:spacing w:val="-4"/>
                <w:sz w:val="20"/>
              </w:rPr>
              <w:t>Avg.</w:t>
            </w:r>
          </w:p>
        </w:tc>
        <w:tc>
          <w:tcPr>
            <w:tcW w:w="1866" w:type="dxa"/>
            <w:gridSpan w:val="2"/>
          </w:tcPr>
          <w:p w14:paraId="2621A912" w14:textId="77777777" w:rsidR="00100FFE" w:rsidRPr="00D23C75" w:rsidRDefault="00100FFE" w:rsidP="004B583B">
            <w:pPr>
              <w:pStyle w:val="TableParagraph"/>
              <w:spacing w:before="120"/>
              <w:ind w:left="431" w:right="180"/>
              <w:jc w:val="left"/>
              <w:rPr>
                <w:rFonts w:ascii="Arial" w:hAnsi="Arial" w:cs="Arial"/>
                <w:sz w:val="20"/>
              </w:rPr>
            </w:pPr>
            <w:r w:rsidRPr="00D23C75">
              <w:rPr>
                <w:rFonts w:ascii="Arial" w:hAnsi="Arial" w:cs="Arial"/>
                <w:sz w:val="20"/>
              </w:rPr>
              <w:t xml:space="preserve">% </w:t>
            </w:r>
            <w:r w:rsidRPr="00D23C75">
              <w:rPr>
                <w:rFonts w:ascii="Arial" w:hAnsi="Arial" w:cs="Arial"/>
                <w:spacing w:val="-2"/>
                <w:sz w:val="20"/>
              </w:rPr>
              <w:t>Inhibition</w:t>
            </w:r>
          </w:p>
        </w:tc>
        <w:tc>
          <w:tcPr>
            <w:tcW w:w="929" w:type="dxa"/>
            <w:vMerge w:val="restart"/>
          </w:tcPr>
          <w:p w14:paraId="745FE4CA" w14:textId="77777777" w:rsidR="00100FFE" w:rsidRPr="00D23C75" w:rsidRDefault="00100FFE" w:rsidP="004B583B">
            <w:pPr>
              <w:pStyle w:val="TableParagraph"/>
              <w:spacing w:before="130"/>
              <w:ind w:left="0" w:right="180"/>
              <w:jc w:val="left"/>
              <w:rPr>
                <w:rFonts w:ascii="Arial" w:hAnsi="Arial" w:cs="Arial"/>
                <w:b/>
                <w:i/>
                <w:sz w:val="20"/>
              </w:rPr>
            </w:pPr>
          </w:p>
          <w:p w14:paraId="1DD8FDA4" w14:textId="77777777" w:rsidR="00100FFE" w:rsidRPr="00D23C75" w:rsidRDefault="00100FFE" w:rsidP="004B583B">
            <w:pPr>
              <w:pStyle w:val="TableParagraph"/>
              <w:spacing w:before="0"/>
              <w:ind w:left="307" w:right="180"/>
              <w:jc w:val="left"/>
              <w:rPr>
                <w:rFonts w:ascii="Arial" w:hAnsi="Arial" w:cs="Arial"/>
                <w:sz w:val="20"/>
              </w:rPr>
            </w:pPr>
            <w:r w:rsidRPr="00D23C75">
              <w:rPr>
                <w:rFonts w:ascii="Arial" w:hAnsi="Arial" w:cs="Arial"/>
                <w:spacing w:val="-5"/>
                <w:sz w:val="20"/>
              </w:rPr>
              <w:t>Avg</w:t>
            </w:r>
          </w:p>
        </w:tc>
      </w:tr>
      <w:tr w:rsidR="00100FFE" w:rsidRPr="00D23C75" w14:paraId="7647ED70" w14:textId="77777777" w:rsidTr="00E026B0">
        <w:trPr>
          <w:trHeight w:val="467"/>
        </w:trPr>
        <w:tc>
          <w:tcPr>
            <w:tcW w:w="602" w:type="dxa"/>
            <w:vMerge/>
            <w:tcBorders>
              <w:top w:val="nil"/>
            </w:tcBorders>
          </w:tcPr>
          <w:p w14:paraId="6584D82B" w14:textId="77777777" w:rsidR="00100FFE" w:rsidRPr="00D23C75" w:rsidRDefault="00100FFE" w:rsidP="004B583B">
            <w:pPr>
              <w:ind w:right="180"/>
              <w:rPr>
                <w:rFonts w:ascii="Arial" w:hAnsi="Arial" w:cs="Arial"/>
                <w:sz w:val="2"/>
                <w:szCs w:val="2"/>
              </w:rPr>
            </w:pPr>
          </w:p>
        </w:tc>
        <w:tc>
          <w:tcPr>
            <w:tcW w:w="2980" w:type="dxa"/>
            <w:vMerge/>
            <w:tcBorders>
              <w:top w:val="nil"/>
            </w:tcBorders>
          </w:tcPr>
          <w:p w14:paraId="3465E3AE" w14:textId="77777777" w:rsidR="00100FFE" w:rsidRPr="00D23C75" w:rsidRDefault="00100FFE" w:rsidP="004B583B">
            <w:pPr>
              <w:ind w:right="180"/>
              <w:rPr>
                <w:rFonts w:ascii="Arial" w:hAnsi="Arial" w:cs="Arial"/>
                <w:sz w:val="2"/>
                <w:szCs w:val="2"/>
              </w:rPr>
            </w:pPr>
          </w:p>
        </w:tc>
        <w:tc>
          <w:tcPr>
            <w:tcW w:w="1103" w:type="dxa"/>
          </w:tcPr>
          <w:p w14:paraId="43DC5FEE" w14:textId="77777777" w:rsidR="00100FFE" w:rsidRPr="00D23C75" w:rsidRDefault="00100FFE" w:rsidP="004B583B">
            <w:pPr>
              <w:pStyle w:val="TableParagraph"/>
              <w:spacing w:before="125"/>
              <w:ind w:right="180"/>
              <w:rPr>
                <w:rFonts w:ascii="Arial" w:hAnsi="Arial" w:cs="Arial"/>
                <w:sz w:val="20"/>
              </w:rPr>
            </w:pPr>
            <w:r w:rsidRPr="00D23C75">
              <w:rPr>
                <w:rFonts w:ascii="Arial" w:hAnsi="Arial" w:cs="Arial"/>
                <w:spacing w:val="-5"/>
                <w:sz w:val="20"/>
              </w:rPr>
              <w:t>500</w:t>
            </w:r>
            <w:r w:rsidRPr="00D23C75">
              <w:rPr>
                <w:rFonts w:ascii="Arial" w:hAnsi="Arial" w:cs="Arial"/>
                <w:spacing w:val="-8"/>
                <w:sz w:val="20"/>
              </w:rPr>
              <w:t xml:space="preserve"> </w:t>
            </w:r>
            <w:r w:rsidRPr="00D23C75">
              <w:rPr>
                <w:rFonts w:ascii="Arial" w:hAnsi="Arial" w:cs="Arial"/>
                <w:spacing w:val="-5"/>
                <w:sz w:val="20"/>
              </w:rPr>
              <w:t>ppm</w:t>
            </w:r>
          </w:p>
        </w:tc>
        <w:tc>
          <w:tcPr>
            <w:tcW w:w="1050" w:type="dxa"/>
          </w:tcPr>
          <w:p w14:paraId="7858FF81" w14:textId="77777777" w:rsidR="00100FFE" w:rsidRPr="00D23C75" w:rsidRDefault="00100FFE" w:rsidP="004B583B">
            <w:pPr>
              <w:pStyle w:val="TableParagraph"/>
              <w:spacing w:before="125"/>
              <w:ind w:right="180"/>
              <w:rPr>
                <w:rFonts w:ascii="Arial" w:hAnsi="Arial" w:cs="Arial"/>
                <w:sz w:val="20"/>
              </w:rPr>
            </w:pPr>
            <w:r w:rsidRPr="00D23C75">
              <w:rPr>
                <w:rFonts w:ascii="Arial" w:hAnsi="Arial" w:cs="Arial"/>
                <w:spacing w:val="-4"/>
                <w:sz w:val="20"/>
              </w:rPr>
              <w:t>1000</w:t>
            </w:r>
            <w:r w:rsidRPr="00D23C75">
              <w:rPr>
                <w:rFonts w:ascii="Arial" w:hAnsi="Arial" w:cs="Arial"/>
                <w:spacing w:val="-8"/>
                <w:sz w:val="20"/>
              </w:rPr>
              <w:t xml:space="preserve"> </w:t>
            </w:r>
            <w:r w:rsidRPr="00D23C75">
              <w:rPr>
                <w:rFonts w:ascii="Arial" w:hAnsi="Arial" w:cs="Arial"/>
                <w:spacing w:val="-5"/>
                <w:sz w:val="20"/>
              </w:rPr>
              <w:t>ppm</w:t>
            </w:r>
          </w:p>
        </w:tc>
        <w:tc>
          <w:tcPr>
            <w:tcW w:w="810" w:type="dxa"/>
            <w:vMerge/>
            <w:tcBorders>
              <w:top w:val="nil"/>
            </w:tcBorders>
          </w:tcPr>
          <w:p w14:paraId="094EF419" w14:textId="77777777" w:rsidR="00100FFE" w:rsidRPr="00D23C75" w:rsidRDefault="00100FFE" w:rsidP="004B583B">
            <w:pPr>
              <w:ind w:right="180"/>
              <w:rPr>
                <w:rFonts w:ascii="Arial" w:hAnsi="Arial" w:cs="Arial"/>
                <w:sz w:val="2"/>
                <w:szCs w:val="2"/>
              </w:rPr>
            </w:pPr>
          </w:p>
        </w:tc>
        <w:tc>
          <w:tcPr>
            <w:tcW w:w="911" w:type="dxa"/>
          </w:tcPr>
          <w:p w14:paraId="34F71CDA" w14:textId="77777777" w:rsidR="00100FFE" w:rsidRPr="00D23C75" w:rsidRDefault="00100FFE" w:rsidP="004B583B">
            <w:pPr>
              <w:pStyle w:val="TableParagraph"/>
              <w:spacing w:before="125"/>
              <w:ind w:left="20" w:right="180"/>
              <w:rPr>
                <w:rFonts w:ascii="Arial" w:hAnsi="Arial" w:cs="Arial"/>
                <w:sz w:val="20"/>
              </w:rPr>
            </w:pPr>
            <w:r w:rsidRPr="00D23C75">
              <w:rPr>
                <w:rFonts w:ascii="Arial" w:hAnsi="Arial" w:cs="Arial"/>
                <w:spacing w:val="-5"/>
                <w:sz w:val="20"/>
              </w:rPr>
              <w:t>500</w:t>
            </w:r>
            <w:r w:rsidRPr="00D23C75">
              <w:rPr>
                <w:rFonts w:ascii="Arial" w:hAnsi="Arial" w:cs="Arial"/>
                <w:spacing w:val="-8"/>
                <w:sz w:val="20"/>
              </w:rPr>
              <w:t xml:space="preserve"> </w:t>
            </w:r>
            <w:r w:rsidRPr="00D23C75">
              <w:rPr>
                <w:rFonts w:ascii="Arial" w:hAnsi="Arial" w:cs="Arial"/>
                <w:spacing w:val="-5"/>
                <w:sz w:val="20"/>
              </w:rPr>
              <w:t>ppm</w:t>
            </w:r>
          </w:p>
        </w:tc>
        <w:tc>
          <w:tcPr>
            <w:tcW w:w="955" w:type="dxa"/>
            <w:vAlign w:val="center"/>
          </w:tcPr>
          <w:p w14:paraId="071AB2C3" w14:textId="77777777" w:rsidR="00100FFE" w:rsidRPr="00D23C75" w:rsidRDefault="00100FFE" w:rsidP="00E026B0">
            <w:pPr>
              <w:pStyle w:val="TableParagraph"/>
              <w:spacing w:before="10"/>
              <w:ind w:left="188" w:right="180"/>
              <w:rPr>
                <w:rFonts w:ascii="Arial" w:hAnsi="Arial" w:cs="Arial"/>
                <w:sz w:val="20"/>
              </w:rPr>
            </w:pPr>
            <w:r w:rsidRPr="00D23C75">
              <w:rPr>
                <w:rFonts w:ascii="Arial" w:hAnsi="Arial" w:cs="Arial"/>
                <w:spacing w:val="-4"/>
                <w:sz w:val="20"/>
              </w:rPr>
              <w:t>1000</w:t>
            </w:r>
          </w:p>
          <w:p w14:paraId="264894F8" w14:textId="77777777" w:rsidR="00100FFE" w:rsidRPr="00D23C75" w:rsidRDefault="00100FFE" w:rsidP="00E026B0">
            <w:pPr>
              <w:pStyle w:val="TableParagraph"/>
              <w:spacing w:before="4" w:line="207" w:lineRule="exact"/>
              <w:ind w:left="214" w:right="180"/>
              <w:rPr>
                <w:rFonts w:ascii="Arial" w:hAnsi="Arial" w:cs="Arial"/>
                <w:sz w:val="20"/>
              </w:rPr>
            </w:pPr>
            <w:r w:rsidRPr="00D23C75">
              <w:rPr>
                <w:rFonts w:ascii="Arial" w:hAnsi="Arial" w:cs="Arial"/>
                <w:spacing w:val="-5"/>
                <w:sz w:val="20"/>
              </w:rPr>
              <w:t>ppm</w:t>
            </w:r>
          </w:p>
        </w:tc>
        <w:tc>
          <w:tcPr>
            <w:tcW w:w="929" w:type="dxa"/>
            <w:vMerge/>
            <w:tcBorders>
              <w:top w:val="nil"/>
            </w:tcBorders>
          </w:tcPr>
          <w:p w14:paraId="4987B56D" w14:textId="77777777" w:rsidR="00100FFE" w:rsidRPr="00D23C75" w:rsidRDefault="00100FFE" w:rsidP="004B583B">
            <w:pPr>
              <w:ind w:right="180"/>
              <w:rPr>
                <w:rFonts w:ascii="Arial" w:hAnsi="Arial" w:cs="Arial"/>
                <w:sz w:val="2"/>
                <w:szCs w:val="2"/>
              </w:rPr>
            </w:pPr>
          </w:p>
        </w:tc>
      </w:tr>
      <w:tr w:rsidR="00100FFE" w:rsidRPr="00D23C75" w14:paraId="3A98A232" w14:textId="77777777" w:rsidTr="00E026B0">
        <w:trPr>
          <w:trHeight w:val="450"/>
        </w:trPr>
        <w:tc>
          <w:tcPr>
            <w:tcW w:w="602" w:type="dxa"/>
            <w:vAlign w:val="center"/>
          </w:tcPr>
          <w:p w14:paraId="406CCF88" w14:textId="77777777" w:rsidR="00100FFE" w:rsidRPr="00D23C75" w:rsidRDefault="00100FFE" w:rsidP="004B583B">
            <w:pPr>
              <w:pStyle w:val="TableParagraph"/>
              <w:spacing w:before="112"/>
              <w:ind w:left="120" w:right="180"/>
              <w:rPr>
                <w:rFonts w:ascii="Arial" w:hAnsi="Arial" w:cs="Arial"/>
                <w:sz w:val="13"/>
              </w:rPr>
            </w:pPr>
            <w:r w:rsidRPr="00D23C75">
              <w:rPr>
                <w:rFonts w:ascii="Arial" w:hAnsi="Arial" w:cs="Arial"/>
                <w:spacing w:val="-5"/>
                <w:position w:val="2"/>
                <w:sz w:val="20"/>
              </w:rPr>
              <w:t xml:space="preserve"> T</w:t>
            </w:r>
            <w:r w:rsidRPr="00D23C75">
              <w:rPr>
                <w:rFonts w:ascii="Arial" w:hAnsi="Arial" w:cs="Arial"/>
                <w:spacing w:val="-5"/>
                <w:sz w:val="13"/>
              </w:rPr>
              <w:t>1</w:t>
            </w:r>
          </w:p>
        </w:tc>
        <w:tc>
          <w:tcPr>
            <w:tcW w:w="2980" w:type="dxa"/>
          </w:tcPr>
          <w:p w14:paraId="29627956" w14:textId="77777777" w:rsidR="00100FFE" w:rsidRPr="00D23C75" w:rsidRDefault="00100FFE" w:rsidP="004B583B">
            <w:pPr>
              <w:pStyle w:val="TableParagraph"/>
              <w:spacing w:before="118"/>
              <w:ind w:right="180"/>
              <w:jc w:val="left"/>
              <w:rPr>
                <w:rFonts w:ascii="Arial" w:hAnsi="Arial" w:cs="Arial"/>
                <w:sz w:val="20"/>
              </w:rPr>
            </w:pPr>
            <w:r w:rsidRPr="00D23C75">
              <w:rPr>
                <w:rFonts w:ascii="Arial" w:hAnsi="Arial" w:cs="Arial"/>
                <w:sz w:val="20"/>
                <w:szCs w:val="24"/>
              </w:rPr>
              <w:t>Carbendazim 50 % WP</w:t>
            </w:r>
          </w:p>
        </w:tc>
        <w:tc>
          <w:tcPr>
            <w:tcW w:w="1103" w:type="dxa"/>
          </w:tcPr>
          <w:p w14:paraId="41D5A56B" w14:textId="77777777" w:rsidR="00100FFE" w:rsidRPr="00D23C75" w:rsidRDefault="00100FFE" w:rsidP="004B583B">
            <w:pPr>
              <w:pStyle w:val="TableParagraph"/>
              <w:spacing w:before="202"/>
              <w:ind w:right="180"/>
              <w:rPr>
                <w:rFonts w:ascii="Arial" w:hAnsi="Arial" w:cs="Arial"/>
                <w:sz w:val="20"/>
              </w:rPr>
            </w:pPr>
            <w:r w:rsidRPr="00D23C75">
              <w:rPr>
                <w:rFonts w:ascii="Arial" w:hAnsi="Arial" w:cs="Arial"/>
                <w:sz w:val="20"/>
                <w:szCs w:val="24"/>
              </w:rPr>
              <w:t>48.69</w:t>
            </w:r>
          </w:p>
        </w:tc>
        <w:tc>
          <w:tcPr>
            <w:tcW w:w="1050" w:type="dxa"/>
          </w:tcPr>
          <w:p w14:paraId="3C37D728" w14:textId="77777777" w:rsidR="00100FFE" w:rsidRPr="00D23C75" w:rsidRDefault="00100FFE" w:rsidP="004B583B">
            <w:pPr>
              <w:pStyle w:val="TableParagraph"/>
              <w:spacing w:before="202"/>
              <w:ind w:right="180"/>
              <w:rPr>
                <w:rFonts w:ascii="Arial" w:hAnsi="Arial" w:cs="Arial"/>
                <w:sz w:val="20"/>
              </w:rPr>
            </w:pPr>
            <w:r w:rsidRPr="00D23C75">
              <w:rPr>
                <w:rFonts w:ascii="Arial" w:hAnsi="Arial" w:cs="Arial"/>
                <w:sz w:val="20"/>
                <w:szCs w:val="24"/>
              </w:rPr>
              <w:t>45.00</w:t>
            </w:r>
          </w:p>
        </w:tc>
        <w:tc>
          <w:tcPr>
            <w:tcW w:w="810" w:type="dxa"/>
          </w:tcPr>
          <w:p w14:paraId="4545F8D7" w14:textId="77777777" w:rsidR="00100FFE" w:rsidRPr="00D23C75" w:rsidRDefault="00100FFE" w:rsidP="004B583B">
            <w:pPr>
              <w:pStyle w:val="TableParagraph"/>
              <w:spacing w:before="202"/>
              <w:ind w:left="21" w:right="180"/>
              <w:rPr>
                <w:rFonts w:ascii="Arial" w:hAnsi="Arial" w:cs="Arial"/>
                <w:sz w:val="20"/>
              </w:rPr>
            </w:pPr>
            <w:r w:rsidRPr="00D23C75">
              <w:rPr>
                <w:rFonts w:ascii="Arial" w:hAnsi="Arial" w:cs="Arial"/>
                <w:sz w:val="20"/>
                <w:szCs w:val="24"/>
              </w:rPr>
              <w:t>46.84</w:t>
            </w:r>
          </w:p>
        </w:tc>
        <w:tc>
          <w:tcPr>
            <w:tcW w:w="911" w:type="dxa"/>
            <w:vAlign w:val="center"/>
          </w:tcPr>
          <w:p w14:paraId="28682BBF" w14:textId="77777777" w:rsidR="00100FFE" w:rsidRPr="00D23C75" w:rsidRDefault="00100FFE" w:rsidP="004B583B">
            <w:pPr>
              <w:pStyle w:val="TableParagraph"/>
              <w:spacing w:before="118"/>
              <w:ind w:left="17" w:right="180"/>
              <w:rPr>
                <w:rFonts w:ascii="Arial" w:hAnsi="Arial" w:cs="Arial"/>
                <w:sz w:val="20"/>
                <w:szCs w:val="20"/>
              </w:rPr>
            </w:pPr>
            <w:r w:rsidRPr="00D23C75">
              <w:rPr>
                <w:rFonts w:ascii="Arial" w:hAnsi="Arial" w:cs="Arial"/>
                <w:sz w:val="20"/>
                <w:szCs w:val="20"/>
              </w:rPr>
              <w:t>45.90</w:t>
            </w:r>
          </w:p>
        </w:tc>
        <w:tc>
          <w:tcPr>
            <w:tcW w:w="955" w:type="dxa"/>
            <w:vAlign w:val="center"/>
          </w:tcPr>
          <w:p w14:paraId="3F62F77C" w14:textId="77777777" w:rsidR="00100FFE" w:rsidRPr="00D23C75" w:rsidRDefault="00100FFE" w:rsidP="004B583B">
            <w:pPr>
              <w:pStyle w:val="TableParagraph"/>
              <w:spacing w:before="118"/>
              <w:ind w:right="180"/>
              <w:rPr>
                <w:rFonts w:ascii="Arial" w:hAnsi="Arial" w:cs="Arial"/>
                <w:sz w:val="20"/>
                <w:szCs w:val="20"/>
              </w:rPr>
            </w:pPr>
            <w:r w:rsidRPr="00D23C75">
              <w:rPr>
                <w:rFonts w:ascii="Arial" w:hAnsi="Arial" w:cs="Arial"/>
                <w:sz w:val="20"/>
                <w:szCs w:val="20"/>
              </w:rPr>
              <w:t>50.00</w:t>
            </w:r>
          </w:p>
        </w:tc>
        <w:tc>
          <w:tcPr>
            <w:tcW w:w="929" w:type="dxa"/>
            <w:vAlign w:val="center"/>
          </w:tcPr>
          <w:p w14:paraId="52BD1342" w14:textId="77777777" w:rsidR="00100FFE" w:rsidRPr="00D23C75" w:rsidRDefault="00100FFE" w:rsidP="004B583B">
            <w:pPr>
              <w:pStyle w:val="TableParagraph"/>
              <w:spacing w:before="118"/>
              <w:ind w:left="21" w:right="180"/>
              <w:rPr>
                <w:rFonts w:ascii="Arial" w:hAnsi="Arial" w:cs="Arial"/>
                <w:sz w:val="20"/>
                <w:szCs w:val="20"/>
              </w:rPr>
            </w:pPr>
            <w:r w:rsidRPr="00D23C75">
              <w:rPr>
                <w:rFonts w:ascii="Arial" w:hAnsi="Arial" w:cs="Arial"/>
                <w:sz w:val="20"/>
                <w:szCs w:val="20"/>
              </w:rPr>
              <w:t>47.95</w:t>
            </w:r>
          </w:p>
        </w:tc>
      </w:tr>
      <w:tr w:rsidR="00100FFE" w:rsidRPr="00D23C75" w14:paraId="39B40FBD" w14:textId="77777777" w:rsidTr="00E026B0">
        <w:trPr>
          <w:trHeight w:val="489"/>
        </w:trPr>
        <w:tc>
          <w:tcPr>
            <w:tcW w:w="602" w:type="dxa"/>
            <w:vAlign w:val="center"/>
          </w:tcPr>
          <w:p w14:paraId="0C931C21" w14:textId="77777777" w:rsidR="00100FFE" w:rsidRPr="00D23C75" w:rsidRDefault="00100FFE" w:rsidP="004B583B">
            <w:pPr>
              <w:pStyle w:val="TableParagraph"/>
              <w:spacing w:before="129"/>
              <w:ind w:left="120" w:right="180"/>
              <w:rPr>
                <w:rFonts w:ascii="Arial" w:hAnsi="Arial" w:cs="Arial"/>
                <w:sz w:val="13"/>
              </w:rPr>
            </w:pPr>
            <w:r w:rsidRPr="00D23C75">
              <w:rPr>
                <w:rFonts w:ascii="Arial" w:hAnsi="Arial" w:cs="Arial"/>
                <w:spacing w:val="-5"/>
                <w:position w:val="2"/>
                <w:sz w:val="20"/>
              </w:rPr>
              <w:t xml:space="preserve"> T</w:t>
            </w:r>
            <w:r w:rsidRPr="00D23C75">
              <w:rPr>
                <w:rFonts w:ascii="Arial" w:hAnsi="Arial" w:cs="Arial"/>
                <w:spacing w:val="-5"/>
                <w:sz w:val="13"/>
              </w:rPr>
              <w:t>2</w:t>
            </w:r>
          </w:p>
        </w:tc>
        <w:tc>
          <w:tcPr>
            <w:tcW w:w="2980" w:type="dxa"/>
          </w:tcPr>
          <w:p w14:paraId="02AAC7CD" w14:textId="77777777" w:rsidR="00100FFE" w:rsidRPr="00D23C75" w:rsidRDefault="00100FFE" w:rsidP="004B583B">
            <w:pPr>
              <w:pStyle w:val="TableParagraph"/>
              <w:spacing w:before="134"/>
              <w:ind w:right="180"/>
              <w:jc w:val="left"/>
              <w:rPr>
                <w:rFonts w:ascii="Arial" w:hAnsi="Arial" w:cs="Arial"/>
                <w:sz w:val="20"/>
              </w:rPr>
            </w:pPr>
            <w:r w:rsidRPr="00D23C75">
              <w:rPr>
                <w:rFonts w:ascii="Arial" w:hAnsi="Arial" w:cs="Arial"/>
                <w:sz w:val="20"/>
                <w:szCs w:val="24"/>
              </w:rPr>
              <w:t>Tebuconazole 25.9 % EC</w:t>
            </w:r>
          </w:p>
        </w:tc>
        <w:tc>
          <w:tcPr>
            <w:tcW w:w="1103" w:type="dxa"/>
            <w:vAlign w:val="center"/>
          </w:tcPr>
          <w:p w14:paraId="6CBFC495" w14:textId="77777777" w:rsidR="00100FFE" w:rsidRPr="00D23C75" w:rsidRDefault="00100FFE" w:rsidP="004B583B">
            <w:pPr>
              <w:pStyle w:val="TableParagraph"/>
              <w:spacing w:before="1" w:line="207" w:lineRule="exact"/>
              <w:ind w:right="180"/>
              <w:rPr>
                <w:rFonts w:ascii="Arial" w:hAnsi="Arial" w:cs="Arial"/>
                <w:sz w:val="20"/>
              </w:rPr>
            </w:pPr>
            <w:r w:rsidRPr="00D23C75">
              <w:rPr>
                <w:rFonts w:ascii="Arial" w:hAnsi="Arial" w:cs="Arial"/>
                <w:sz w:val="20"/>
                <w:szCs w:val="24"/>
              </w:rPr>
              <w:t>00.00</w:t>
            </w:r>
          </w:p>
        </w:tc>
        <w:tc>
          <w:tcPr>
            <w:tcW w:w="1050" w:type="dxa"/>
            <w:vAlign w:val="center"/>
          </w:tcPr>
          <w:p w14:paraId="13E5826B" w14:textId="77777777" w:rsidR="00100FFE" w:rsidRPr="00D23C75" w:rsidRDefault="00100FFE" w:rsidP="004B583B">
            <w:pPr>
              <w:pStyle w:val="TableParagraph"/>
              <w:spacing w:before="1" w:line="207" w:lineRule="exact"/>
              <w:ind w:right="180"/>
              <w:rPr>
                <w:rFonts w:ascii="Arial" w:hAnsi="Arial" w:cs="Arial"/>
                <w:sz w:val="20"/>
              </w:rPr>
            </w:pPr>
            <w:r w:rsidRPr="00D23C75">
              <w:rPr>
                <w:rFonts w:ascii="Arial" w:hAnsi="Arial" w:cs="Arial"/>
                <w:sz w:val="20"/>
                <w:szCs w:val="24"/>
              </w:rPr>
              <w:t>00.00</w:t>
            </w:r>
          </w:p>
        </w:tc>
        <w:tc>
          <w:tcPr>
            <w:tcW w:w="810" w:type="dxa"/>
            <w:vAlign w:val="center"/>
          </w:tcPr>
          <w:p w14:paraId="66C8F7D8" w14:textId="77777777" w:rsidR="00100FFE" w:rsidRPr="00D23C75" w:rsidRDefault="00100FFE" w:rsidP="004B583B">
            <w:pPr>
              <w:pStyle w:val="TableParagraph"/>
              <w:spacing w:before="1" w:line="207" w:lineRule="exact"/>
              <w:ind w:left="21" w:right="180"/>
              <w:rPr>
                <w:rFonts w:ascii="Arial" w:hAnsi="Arial" w:cs="Arial"/>
                <w:sz w:val="20"/>
              </w:rPr>
            </w:pPr>
            <w:r w:rsidRPr="00D23C75">
              <w:rPr>
                <w:rFonts w:ascii="Arial" w:hAnsi="Arial" w:cs="Arial"/>
                <w:sz w:val="20"/>
                <w:szCs w:val="24"/>
              </w:rPr>
              <w:t>00.00</w:t>
            </w:r>
          </w:p>
        </w:tc>
        <w:tc>
          <w:tcPr>
            <w:tcW w:w="911" w:type="dxa"/>
            <w:vAlign w:val="center"/>
          </w:tcPr>
          <w:p w14:paraId="46D9036B" w14:textId="77777777" w:rsidR="00100FFE" w:rsidRPr="00D23C75" w:rsidRDefault="00100FFE" w:rsidP="004B583B">
            <w:pPr>
              <w:pStyle w:val="TableParagraph"/>
              <w:spacing w:before="137"/>
              <w:ind w:left="17" w:right="180"/>
              <w:rPr>
                <w:rFonts w:ascii="Arial" w:hAnsi="Arial" w:cs="Arial"/>
                <w:sz w:val="20"/>
                <w:szCs w:val="20"/>
              </w:rPr>
            </w:pPr>
            <w:r w:rsidRPr="00D23C75">
              <w:rPr>
                <w:rFonts w:ascii="Arial" w:hAnsi="Arial" w:cs="Arial"/>
                <w:sz w:val="20"/>
                <w:szCs w:val="20"/>
              </w:rPr>
              <w:t>100.00</w:t>
            </w:r>
          </w:p>
        </w:tc>
        <w:tc>
          <w:tcPr>
            <w:tcW w:w="955" w:type="dxa"/>
            <w:vAlign w:val="center"/>
          </w:tcPr>
          <w:p w14:paraId="0E64F392" w14:textId="77777777" w:rsidR="00100FFE" w:rsidRPr="00D23C75" w:rsidRDefault="00100FFE" w:rsidP="004B583B">
            <w:pPr>
              <w:pStyle w:val="TableParagraph"/>
              <w:spacing w:before="137"/>
              <w:ind w:right="180"/>
              <w:rPr>
                <w:rFonts w:ascii="Arial" w:hAnsi="Arial" w:cs="Arial"/>
                <w:sz w:val="20"/>
                <w:szCs w:val="20"/>
              </w:rPr>
            </w:pPr>
            <w:r w:rsidRPr="00D23C75">
              <w:rPr>
                <w:rFonts w:ascii="Arial" w:hAnsi="Arial" w:cs="Arial"/>
                <w:sz w:val="20"/>
                <w:szCs w:val="20"/>
              </w:rPr>
              <w:t>100.00</w:t>
            </w:r>
          </w:p>
        </w:tc>
        <w:tc>
          <w:tcPr>
            <w:tcW w:w="929" w:type="dxa"/>
            <w:vAlign w:val="center"/>
          </w:tcPr>
          <w:p w14:paraId="51E0D765" w14:textId="77777777" w:rsidR="00100FFE" w:rsidRPr="00D23C75" w:rsidRDefault="00100FFE" w:rsidP="004B583B">
            <w:pPr>
              <w:pStyle w:val="TableParagraph"/>
              <w:spacing w:before="137"/>
              <w:ind w:left="22" w:right="180"/>
              <w:rPr>
                <w:rFonts w:ascii="Arial" w:hAnsi="Arial" w:cs="Arial"/>
                <w:sz w:val="20"/>
                <w:szCs w:val="20"/>
              </w:rPr>
            </w:pPr>
            <w:r w:rsidRPr="00D23C75">
              <w:rPr>
                <w:rFonts w:ascii="Arial" w:hAnsi="Arial" w:cs="Arial"/>
                <w:sz w:val="20"/>
                <w:szCs w:val="20"/>
              </w:rPr>
              <w:t>100.00</w:t>
            </w:r>
          </w:p>
        </w:tc>
      </w:tr>
      <w:tr w:rsidR="00100FFE" w:rsidRPr="00D23C75" w14:paraId="2F2C210C" w14:textId="77777777" w:rsidTr="00E026B0">
        <w:trPr>
          <w:trHeight w:val="378"/>
        </w:trPr>
        <w:tc>
          <w:tcPr>
            <w:tcW w:w="602" w:type="dxa"/>
            <w:vAlign w:val="center"/>
          </w:tcPr>
          <w:p w14:paraId="4BCC9B87" w14:textId="77777777" w:rsidR="00100FFE" w:rsidRPr="00D23C75" w:rsidRDefault="00100FFE" w:rsidP="004B583B">
            <w:pPr>
              <w:pStyle w:val="TableParagraph"/>
              <w:spacing w:before="76"/>
              <w:ind w:left="120" w:right="180"/>
              <w:rPr>
                <w:rFonts w:ascii="Arial" w:hAnsi="Arial" w:cs="Arial"/>
                <w:sz w:val="13"/>
              </w:rPr>
            </w:pPr>
            <w:r w:rsidRPr="00D23C75">
              <w:rPr>
                <w:rFonts w:ascii="Arial" w:hAnsi="Arial" w:cs="Arial"/>
                <w:spacing w:val="-5"/>
                <w:position w:val="2"/>
                <w:sz w:val="20"/>
              </w:rPr>
              <w:t>T</w:t>
            </w:r>
            <w:r w:rsidRPr="00D23C75">
              <w:rPr>
                <w:rFonts w:ascii="Arial" w:hAnsi="Arial" w:cs="Arial"/>
                <w:spacing w:val="-5"/>
                <w:sz w:val="13"/>
              </w:rPr>
              <w:t>3</w:t>
            </w:r>
          </w:p>
        </w:tc>
        <w:tc>
          <w:tcPr>
            <w:tcW w:w="2980" w:type="dxa"/>
          </w:tcPr>
          <w:p w14:paraId="03776A08" w14:textId="77777777" w:rsidR="00100FFE" w:rsidRPr="00D23C75" w:rsidRDefault="00100FFE" w:rsidP="004B583B">
            <w:pPr>
              <w:pStyle w:val="TableParagraph"/>
              <w:spacing w:before="96"/>
              <w:ind w:right="180"/>
              <w:jc w:val="left"/>
              <w:rPr>
                <w:rFonts w:ascii="Arial" w:hAnsi="Arial" w:cs="Arial"/>
                <w:sz w:val="20"/>
              </w:rPr>
            </w:pPr>
            <w:r w:rsidRPr="00D23C75">
              <w:rPr>
                <w:rFonts w:ascii="Arial" w:hAnsi="Arial" w:cs="Arial"/>
                <w:sz w:val="20"/>
                <w:szCs w:val="24"/>
              </w:rPr>
              <w:t>Thiophanate methyl 70 % WP</w:t>
            </w:r>
          </w:p>
        </w:tc>
        <w:tc>
          <w:tcPr>
            <w:tcW w:w="1103" w:type="dxa"/>
          </w:tcPr>
          <w:p w14:paraId="172B5C2C" w14:textId="77777777" w:rsidR="00100FFE" w:rsidRPr="00D23C75" w:rsidRDefault="00100FFE" w:rsidP="004B583B">
            <w:pPr>
              <w:pStyle w:val="TableParagraph"/>
              <w:spacing w:before="151" w:line="207" w:lineRule="exact"/>
              <w:ind w:right="180"/>
              <w:rPr>
                <w:rFonts w:ascii="Arial" w:hAnsi="Arial" w:cs="Arial"/>
                <w:sz w:val="20"/>
              </w:rPr>
            </w:pPr>
            <w:r w:rsidRPr="00D23C75">
              <w:rPr>
                <w:rFonts w:ascii="Arial" w:hAnsi="Arial" w:cs="Arial"/>
                <w:sz w:val="20"/>
                <w:szCs w:val="24"/>
              </w:rPr>
              <w:t>49.26</w:t>
            </w:r>
          </w:p>
        </w:tc>
        <w:tc>
          <w:tcPr>
            <w:tcW w:w="1050" w:type="dxa"/>
          </w:tcPr>
          <w:p w14:paraId="757BBE5A" w14:textId="77777777" w:rsidR="00100FFE" w:rsidRPr="00D23C75" w:rsidRDefault="00100FFE" w:rsidP="004B583B">
            <w:pPr>
              <w:pStyle w:val="TableParagraph"/>
              <w:spacing w:before="151" w:line="207" w:lineRule="exact"/>
              <w:ind w:right="180"/>
              <w:rPr>
                <w:rFonts w:ascii="Arial" w:hAnsi="Arial" w:cs="Arial"/>
                <w:sz w:val="20"/>
              </w:rPr>
            </w:pPr>
            <w:r w:rsidRPr="00D23C75">
              <w:rPr>
                <w:rFonts w:ascii="Arial" w:hAnsi="Arial" w:cs="Arial"/>
                <w:sz w:val="20"/>
                <w:szCs w:val="24"/>
              </w:rPr>
              <w:t>48.50</w:t>
            </w:r>
          </w:p>
        </w:tc>
        <w:tc>
          <w:tcPr>
            <w:tcW w:w="810" w:type="dxa"/>
          </w:tcPr>
          <w:p w14:paraId="27426FA5" w14:textId="77777777" w:rsidR="00100FFE" w:rsidRPr="00D23C75" w:rsidRDefault="00100FFE" w:rsidP="004B583B">
            <w:pPr>
              <w:pStyle w:val="TableParagraph"/>
              <w:spacing w:before="151" w:line="207" w:lineRule="exact"/>
              <w:ind w:left="21" w:right="180"/>
              <w:rPr>
                <w:rFonts w:ascii="Arial" w:hAnsi="Arial" w:cs="Arial"/>
                <w:sz w:val="20"/>
              </w:rPr>
            </w:pPr>
            <w:r w:rsidRPr="00D23C75">
              <w:rPr>
                <w:rFonts w:ascii="Arial" w:hAnsi="Arial" w:cs="Arial"/>
                <w:sz w:val="20"/>
                <w:szCs w:val="24"/>
              </w:rPr>
              <w:t>48.88</w:t>
            </w:r>
          </w:p>
        </w:tc>
        <w:tc>
          <w:tcPr>
            <w:tcW w:w="911" w:type="dxa"/>
            <w:vAlign w:val="center"/>
          </w:tcPr>
          <w:p w14:paraId="3AC1C49D" w14:textId="77777777" w:rsidR="00100FFE" w:rsidRPr="00D23C75" w:rsidRDefault="00100FFE" w:rsidP="004B583B">
            <w:pPr>
              <w:pStyle w:val="TableParagraph"/>
              <w:spacing w:before="89"/>
              <w:ind w:left="17" w:right="180"/>
              <w:rPr>
                <w:rFonts w:ascii="Arial" w:hAnsi="Arial" w:cs="Arial"/>
                <w:sz w:val="20"/>
                <w:szCs w:val="20"/>
              </w:rPr>
            </w:pPr>
            <w:r w:rsidRPr="00D23C75">
              <w:rPr>
                <w:rFonts w:ascii="Arial" w:hAnsi="Arial" w:cs="Arial"/>
                <w:sz w:val="20"/>
                <w:szCs w:val="20"/>
              </w:rPr>
              <w:t>45.26</w:t>
            </w:r>
          </w:p>
        </w:tc>
        <w:tc>
          <w:tcPr>
            <w:tcW w:w="955" w:type="dxa"/>
            <w:vAlign w:val="center"/>
          </w:tcPr>
          <w:p w14:paraId="36A0934D" w14:textId="77777777" w:rsidR="00100FFE" w:rsidRPr="00D23C75" w:rsidRDefault="00100FFE" w:rsidP="004B583B">
            <w:pPr>
              <w:pStyle w:val="TableParagraph"/>
              <w:spacing w:before="89"/>
              <w:ind w:right="180"/>
              <w:rPr>
                <w:rFonts w:ascii="Arial" w:hAnsi="Arial" w:cs="Arial"/>
                <w:sz w:val="20"/>
                <w:szCs w:val="20"/>
              </w:rPr>
            </w:pPr>
            <w:r w:rsidRPr="00D23C75">
              <w:rPr>
                <w:rFonts w:ascii="Arial" w:hAnsi="Arial" w:cs="Arial"/>
                <w:sz w:val="20"/>
                <w:szCs w:val="20"/>
              </w:rPr>
              <w:t>46.11</w:t>
            </w:r>
          </w:p>
        </w:tc>
        <w:tc>
          <w:tcPr>
            <w:tcW w:w="929" w:type="dxa"/>
            <w:vAlign w:val="center"/>
          </w:tcPr>
          <w:p w14:paraId="493FC9C3" w14:textId="77777777" w:rsidR="00100FFE" w:rsidRPr="00D23C75" w:rsidRDefault="00100FFE" w:rsidP="004B583B">
            <w:pPr>
              <w:pStyle w:val="TableParagraph"/>
              <w:spacing w:before="89"/>
              <w:ind w:left="22" w:right="180"/>
              <w:rPr>
                <w:rFonts w:ascii="Arial" w:hAnsi="Arial" w:cs="Arial"/>
                <w:sz w:val="20"/>
                <w:szCs w:val="20"/>
              </w:rPr>
            </w:pPr>
            <w:r w:rsidRPr="00D23C75">
              <w:rPr>
                <w:rFonts w:ascii="Arial" w:hAnsi="Arial" w:cs="Arial"/>
                <w:sz w:val="20"/>
                <w:szCs w:val="20"/>
              </w:rPr>
              <w:t>45.68</w:t>
            </w:r>
          </w:p>
        </w:tc>
      </w:tr>
      <w:tr w:rsidR="00100FFE" w:rsidRPr="00D23C75" w14:paraId="6C020C10" w14:textId="77777777" w:rsidTr="00E026B0">
        <w:trPr>
          <w:trHeight w:val="323"/>
        </w:trPr>
        <w:tc>
          <w:tcPr>
            <w:tcW w:w="602" w:type="dxa"/>
            <w:vAlign w:val="center"/>
          </w:tcPr>
          <w:p w14:paraId="4AFC8FB7" w14:textId="77777777" w:rsidR="00100FFE" w:rsidRPr="00D23C75" w:rsidRDefault="00100FFE" w:rsidP="004B583B">
            <w:pPr>
              <w:pStyle w:val="TableParagraph"/>
              <w:spacing w:before="1"/>
              <w:ind w:left="0" w:right="180"/>
              <w:rPr>
                <w:rFonts w:ascii="Arial" w:hAnsi="Arial" w:cs="Arial"/>
                <w:sz w:val="13"/>
              </w:rPr>
            </w:pPr>
            <w:r w:rsidRPr="00D23C75">
              <w:rPr>
                <w:rFonts w:ascii="Arial" w:hAnsi="Arial" w:cs="Arial"/>
                <w:spacing w:val="-5"/>
                <w:position w:val="2"/>
                <w:sz w:val="20"/>
              </w:rPr>
              <w:t xml:space="preserve">   T</w:t>
            </w:r>
            <w:r w:rsidRPr="00D23C75">
              <w:rPr>
                <w:rFonts w:ascii="Arial" w:hAnsi="Arial" w:cs="Arial"/>
                <w:spacing w:val="-5"/>
                <w:sz w:val="13"/>
              </w:rPr>
              <w:t>4</w:t>
            </w:r>
          </w:p>
        </w:tc>
        <w:tc>
          <w:tcPr>
            <w:tcW w:w="2980" w:type="dxa"/>
          </w:tcPr>
          <w:p w14:paraId="56224ED3" w14:textId="77777777" w:rsidR="00100FFE" w:rsidRPr="00D23C75" w:rsidRDefault="00100FFE" w:rsidP="004B583B">
            <w:pPr>
              <w:pStyle w:val="TableParagraph"/>
              <w:spacing w:before="0" w:line="272" w:lineRule="exact"/>
              <w:ind w:right="180"/>
              <w:jc w:val="left"/>
              <w:rPr>
                <w:rFonts w:ascii="Arial" w:hAnsi="Arial" w:cs="Arial"/>
                <w:sz w:val="20"/>
              </w:rPr>
            </w:pPr>
            <w:r w:rsidRPr="00D23C75">
              <w:rPr>
                <w:rFonts w:ascii="Arial" w:hAnsi="Arial" w:cs="Arial"/>
                <w:sz w:val="20"/>
                <w:szCs w:val="24"/>
              </w:rPr>
              <w:t>Propiconazole 25 % EC</w:t>
            </w:r>
          </w:p>
        </w:tc>
        <w:tc>
          <w:tcPr>
            <w:tcW w:w="1103" w:type="dxa"/>
            <w:vAlign w:val="center"/>
          </w:tcPr>
          <w:p w14:paraId="7D36CB57" w14:textId="77777777" w:rsidR="00100FFE" w:rsidRPr="00D23C75" w:rsidRDefault="00100FFE" w:rsidP="004B583B">
            <w:pPr>
              <w:pStyle w:val="TableParagraph"/>
              <w:spacing w:before="158"/>
              <w:ind w:right="180"/>
              <w:rPr>
                <w:rFonts w:ascii="Arial" w:hAnsi="Arial" w:cs="Arial"/>
                <w:sz w:val="20"/>
                <w:szCs w:val="20"/>
              </w:rPr>
            </w:pPr>
            <w:r w:rsidRPr="00D23C75">
              <w:rPr>
                <w:rFonts w:ascii="Arial" w:hAnsi="Arial" w:cs="Arial"/>
                <w:sz w:val="20"/>
                <w:szCs w:val="20"/>
              </w:rPr>
              <w:t>00.00</w:t>
            </w:r>
          </w:p>
        </w:tc>
        <w:tc>
          <w:tcPr>
            <w:tcW w:w="1050" w:type="dxa"/>
            <w:vAlign w:val="center"/>
          </w:tcPr>
          <w:p w14:paraId="3A23CEE1" w14:textId="77777777" w:rsidR="00100FFE" w:rsidRPr="00D23C75" w:rsidRDefault="00100FFE" w:rsidP="004B583B">
            <w:pPr>
              <w:pStyle w:val="TableParagraph"/>
              <w:spacing w:before="158"/>
              <w:ind w:right="180"/>
              <w:rPr>
                <w:rFonts w:ascii="Arial" w:hAnsi="Arial" w:cs="Arial"/>
                <w:sz w:val="20"/>
                <w:szCs w:val="20"/>
              </w:rPr>
            </w:pPr>
            <w:r w:rsidRPr="00D23C75">
              <w:rPr>
                <w:rFonts w:ascii="Arial" w:hAnsi="Arial" w:cs="Arial"/>
                <w:sz w:val="20"/>
                <w:szCs w:val="20"/>
              </w:rPr>
              <w:t>00.00</w:t>
            </w:r>
          </w:p>
        </w:tc>
        <w:tc>
          <w:tcPr>
            <w:tcW w:w="810" w:type="dxa"/>
            <w:vAlign w:val="center"/>
          </w:tcPr>
          <w:p w14:paraId="0AC45466" w14:textId="77777777" w:rsidR="00100FFE" w:rsidRPr="00D23C75" w:rsidRDefault="00100FFE" w:rsidP="004B583B">
            <w:pPr>
              <w:pStyle w:val="TableParagraph"/>
              <w:spacing w:before="158"/>
              <w:ind w:left="21" w:right="180"/>
              <w:rPr>
                <w:rFonts w:ascii="Arial" w:hAnsi="Arial" w:cs="Arial"/>
                <w:sz w:val="20"/>
                <w:szCs w:val="20"/>
              </w:rPr>
            </w:pPr>
            <w:r w:rsidRPr="00D23C75">
              <w:rPr>
                <w:rFonts w:ascii="Arial" w:hAnsi="Arial" w:cs="Arial"/>
                <w:sz w:val="20"/>
                <w:szCs w:val="20"/>
              </w:rPr>
              <w:t>00.00</w:t>
            </w:r>
          </w:p>
        </w:tc>
        <w:tc>
          <w:tcPr>
            <w:tcW w:w="911" w:type="dxa"/>
            <w:vAlign w:val="center"/>
          </w:tcPr>
          <w:p w14:paraId="28E68B8C" w14:textId="77777777" w:rsidR="00100FFE" w:rsidRPr="00D23C75" w:rsidRDefault="00100FFE" w:rsidP="004B583B">
            <w:pPr>
              <w:pStyle w:val="TableParagraph"/>
              <w:spacing w:before="163"/>
              <w:ind w:left="17" w:right="180"/>
              <w:rPr>
                <w:rFonts w:ascii="Arial" w:hAnsi="Arial" w:cs="Arial"/>
                <w:sz w:val="20"/>
                <w:szCs w:val="20"/>
              </w:rPr>
            </w:pPr>
            <w:r w:rsidRPr="00D23C75">
              <w:rPr>
                <w:rFonts w:ascii="Arial" w:hAnsi="Arial" w:cs="Arial"/>
                <w:sz w:val="20"/>
                <w:szCs w:val="20"/>
              </w:rPr>
              <w:t>100.00</w:t>
            </w:r>
          </w:p>
        </w:tc>
        <w:tc>
          <w:tcPr>
            <w:tcW w:w="955" w:type="dxa"/>
            <w:vAlign w:val="center"/>
          </w:tcPr>
          <w:p w14:paraId="2F844012" w14:textId="77777777" w:rsidR="00100FFE" w:rsidRPr="00D23C75" w:rsidRDefault="00100FFE" w:rsidP="004B583B">
            <w:pPr>
              <w:pStyle w:val="TableParagraph"/>
              <w:spacing w:before="163"/>
              <w:ind w:right="180"/>
              <w:rPr>
                <w:rFonts w:ascii="Arial" w:hAnsi="Arial" w:cs="Arial"/>
                <w:sz w:val="20"/>
                <w:szCs w:val="20"/>
              </w:rPr>
            </w:pPr>
            <w:r w:rsidRPr="00D23C75">
              <w:rPr>
                <w:rFonts w:ascii="Arial" w:hAnsi="Arial" w:cs="Arial"/>
                <w:sz w:val="20"/>
                <w:szCs w:val="20"/>
              </w:rPr>
              <w:t>100.00</w:t>
            </w:r>
          </w:p>
        </w:tc>
        <w:tc>
          <w:tcPr>
            <w:tcW w:w="929" w:type="dxa"/>
            <w:vAlign w:val="center"/>
          </w:tcPr>
          <w:p w14:paraId="7F9AAD94" w14:textId="77777777" w:rsidR="00100FFE" w:rsidRPr="00D23C75" w:rsidRDefault="00100FFE" w:rsidP="004B583B">
            <w:pPr>
              <w:pStyle w:val="TableParagraph"/>
              <w:spacing w:before="163"/>
              <w:ind w:left="22" w:right="180"/>
              <w:rPr>
                <w:rFonts w:ascii="Arial" w:hAnsi="Arial" w:cs="Arial"/>
                <w:sz w:val="20"/>
                <w:szCs w:val="20"/>
              </w:rPr>
            </w:pPr>
            <w:r w:rsidRPr="00D23C75">
              <w:rPr>
                <w:rFonts w:ascii="Arial" w:hAnsi="Arial" w:cs="Arial"/>
                <w:sz w:val="20"/>
                <w:szCs w:val="20"/>
              </w:rPr>
              <w:t>100.00</w:t>
            </w:r>
          </w:p>
        </w:tc>
      </w:tr>
      <w:tr w:rsidR="00100FFE" w:rsidRPr="00D23C75" w14:paraId="5F20C4C7" w14:textId="77777777" w:rsidTr="00E026B0">
        <w:trPr>
          <w:trHeight w:val="376"/>
        </w:trPr>
        <w:tc>
          <w:tcPr>
            <w:tcW w:w="602" w:type="dxa"/>
            <w:vAlign w:val="center"/>
          </w:tcPr>
          <w:p w14:paraId="2595A10C" w14:textId="77777777" w:rsidR="00100FFE" w:rsidRPr="00D23C75" w:rsidRDefault="00100FFE" w:rsidP="004B583B">
            <w:pPr>
              <w:pStyle w:val="TableParagraph"/>
              <w:spacing w:before="72"/>
              <w:ind w:left="120" w:right="180"/>
              <w:rPr>
                <w:rFonts w:ascii="Arial" w:hAnsi="Arial" w:cs="Arial"/>
                <w:sz w:val="13"/>
              </w:rPr>
            </w:pPr>
            <w:r w:rsidRPr="00D23C75">
              <w:rPr>
                <w:rFonts w:ascii="Arial" w:hAnsi="Arial" w:cs="Arial"/>
                <w:spacing w:val="-5"/>
                <w:position w:val="2"/>
                <w:sz w:val="20"/>
              </w:rPr>
              <w:t>T</w:t>
            </w:r>
            <w:r w:rsidRPr="00D23C75">
              <w:rPr>
                <w:rFonts w:ascii="Arial" w:hAnsi="Arial" w:cs="Arial"/>
                <w:spacing w:val="-5"/>
                <w:sz w:val="13"/>
              </w:rPr>
              <w:t>5</w:t>
            </w:r>
          </w:p>
        </w:tc>
        <w:tc>
          <w:tcPr>
            <w:tcW w:w="2980" w:type="dxa"/>
          </w:tcPr>
          <w:p w14:paraId="78501E1A" w14:textId="77777777" w:rsidR="00100FFE" w:rsidRPr="00D23C75" w:rsidRDefault="00100FFE" w:rsidP="004B583B">
            <w:pPr>
              <w:pStyle w:val="TableParagraph"/>
              <w:spacing w:before="94"/>
              <w:ind w:right="180"/>
              <w:jc w:val="left"/>
              <w:rPr>
                <w:rFonts w:ascii="Arial" w:hAnsi="Arial" w:cs="Arial"/>
                <w:sz w:val="20"/>
              </w:rPr>
            </w:pPr>
            <w:r w:rsidRPr="00D23C75">
              <w:rPr>
                <w:rFonts w:ascii="Arial" w:hAnsi="Arial" w:cs="Arial"/>
                <w:sz w:val="20"/>
                <w:szCs w:val="24"/>
              </w:rPr>
              <w:t>Hexaconazole 5 % EC</w:t>
            </w:r>
          </w:p>
        </w:tc>
        <w:tc>
          <w:tcPr>
            <w:tcW w:w="1103" w:type="dxa"/>
            <w:vAlign w:val="center"/>
          </w:tcPr>
          <w:p w14:paraId="349FB5FF" w14:textId="77777777" w:rsidR="00100FFE" w:rsidRPr="00D23C75" w:rsidRDefault="00100FFE" w:rsidP="004B583B">
            <w:pPr>
              <w:pStyle w:val="TableParagraph"/>
              <w:spacing w:before="149" w:line="207" w:lineRule="exact"/>
              <w:ind w:right="180"/>
              <w:rPr>
                <w:rFonts w:ascii="Arial" w:hAnsi="Arial" w:cs="Arial"/>
                <w:sz w:val="20"/>
                <w:szCs w:val="20"/>
              </w:rPr>
            </w:pPr>
            <w:r w:rsidRPr="00D23C75">
              <w:rPr>
                <w:rFonts w:ascii="Arial" w:hAnsi="Arial" w:cs="Arial"/>
                <w:sz w:val="20"/>
                <w:szCs w:val="20"/>
              </w:rPr>
              <w:t>00.00</w:t>
            </w:r>
          </w:p>
        </w:tc>
        <w:tc>
          <w:tcPr>
            <w:tcW w:w="1050" w:type="dxa"/>
            <w:vAlign w:val="center"/>
          </w:tcPr>
          <w:p w14:paraId="6E15B680" w14:textId="77777777" w:rsidR="00100FFE" w:rsidRPr="00D23C75" w:rsidRDefault="00100FFE" w:rsidP="004B583B">
            <w:pPr>
              <w:pStyle w:val="TableParagraph"/>
              <w:spacing w:before="149" w:line="207" w:lineRule="exact"/>
              <w:ind w:right="180"/>
              <w:rPr>
                <w:rFonts w:ascii="Arial" w:hAnsi="Arial" w:cs="Arial"/>
                <w:sz w:val="20"/>
                <w:szCs w:val="20"/>
              </w:rPr>
            </w:pPr>
            <w:r w:rsidRPr="00D23C75">
              <w:rPr>
                <w:rFonts w:ascii="Arial" w:hAnsi="Arial" w:cs="Arial"/>
                <w:sz w:val="20"/>
                <w:szCs w:val="20"/>
              </w:rPr>
              <w:t>00.00</w:t>
            </w:r>
          </w:p>
        </w:tc>
        <w:tc>
          <w:tcPr>
            <w:tcW w:w="810" w:type="dxa"/>
            <w:vAlign w:val="center"/>
          </w:tcPr>
          <w:p w14:paraId="5207358C" w14:textId="77777777" w:rsidR="00100FFE" w:rsidRPr="00D23C75" w:rsidRDefault="00100FFE" w:rsidP="004B583B">
            <w:pPr>
              <w:pStyle w:val="TableParagraph"/>
              <w:spacing w:before="149" w:line="207" w:lineRule="exact"/>
              <w:ind w:left="21" w:right="180"/>
              <w:rPr>
                <w:rFonts w:ascii="Arial" w:hAnsi="Arial" w:cs="Arial"/>
                <w:sz w:val="20"/>
                <w:szCs w:val="20"/>
              </w:rPr>
            </w:pPr>
            <w:r w:rsidRPr="00D23C75">
              <w:rPr>
                <w:rFonts w:ascii="Arial" w:hAnsi="Arial" w:cs="Arial"/>
                <w:sz w:val="20"/>
                <w:szCs w:val="20"/>
              </w:rPr>
              <w:t>00.00</w:t>
            </w:r>
          </w:p>
        </w:tc>
        <w:tc>
          <w:tcPr>
            <w:tcW w:w="911" w:type="dxa"/>
            <w:vAlign w:val="center"/>
          </w:tcPr>
          <w:p w14:paraId="799E2F2C" w14:textId="77777777" w:rsidR="00100FFE" w:rsidRPr="00D23C75" w:rsidRDefault="00100FFE" w:rsidP="004B583B">
            <w:pPr>
              <w:pStyle w:val="TableParagraph"/>
              <w:spacing w:before="84"/>
              <w:ind w:left="17" w:right="180"/>
              <w:rPr>
                <w:rFonts w:ascii="Arial" w:hAnsi="Arial" w:cs="Arial"/>
                <w:sz w:val="20"/>
                <w:szCs w:val="20"/>
              </w:rPr>
            </w:pPr>
            <w:r w:rsidRPr="00D23C75">
              <w:rPr>
                <w:rFonts w:ascii="Arial" w:hAnsi="Arial" w:cs="Arial"/>
                <w:sz w:val="20"/>
                <w:szCs w:val="20"/>
              </w:rPr>
              <w:t>100.00</w:t>
            </w:r>
          </w:p>
        </w:tc>
        <w:tc>
          <w:tcPr>
            <w:tcW w:w="955" w:type="dxa"/>
            <w:vAlign w:val="center"/>
          </w:tcPr>
          <w:p w14:paraId="448499BA" w14:textId="77777777" w:rsidR="00100FFE" w:rsidRPr="00D23C75" w:rsidRDefault="00100FFE" w:rsidP="004B583B">
            <w:pPr>
              <w:pStyle w:val="TableParagraph"/>
              <w:spacing w:before="84"/>
              <w:ind w:right="180"/>
              <w:rPr>
                <w:rFonts w:ascii="Arial" w:hAnsi="Arial" w:cs="Arial"/>
                <w:sz w:val="20"/>
                <w:szCs w:val="20"/>
              </w:rPr>
            </w:pPr>
            <w:r w:rsidRPr="00D23C75">
              <w:rPr>
                <w:rFonts w:ascii="Arial" w:hAnsi="Arial" w:cs="Arial"/>
                <w:sz w:val="20"/>
                <w:szCs w:val="20"/>
              </w:rPr>
              <w:t>100.00</w:t>
            </w:r>
          </w:p>
        </w:tc>
        <w:tc>
          <w:tcPr>
            <w:tcW w:w="929" w:type="dxa"/>
            <w:vAlign w:val="center"/>
          </w:tcPr>
          <w:p w14:paraId="2E0A6065" w14:textId="77777777" w:rsidR="00100FFE" w:rsidRPr="00D23C75" w:rsidRDefault="00100FFE" w:rsidP="004B583B">
            <w:pPr>
              <w:pStyle w:val="TableParagraph"/>
              <w:spacing w:before="84"/>
              <w:ind w:left="22" w:right="180"/>
              <w:rPr>
                <w:rFonts w:ascii="Arial" w:hAnsi="Arial" w:cs="Arial"/>
                <w:sz w:val="20"/>
                <w:szCs w:val="20"/>
              </w:rPr>
            </w:pPr>
            <w:r w:rsidRPr="00D23C75">
              <w:rPr>
                <w:rFonts w:ascii="Arial" w:hAnsi="Arial" w:cs="Arial"/>
                <w:sz w:val="20"/>
                <w:szCs w:val="20"/>
              </w:rPr>
              <w:t>100.00</w:t>
            </w:r>
          </w:p>
        </w:tc>
      </w:tr>
      <w:tr w:rsidR="00100FFE" w:rsidRPr="00D23C75" w14:paraId="33CDAAA7" w14:textId="77777777" w:rsidTr="00E026B0">
        <w:trPr>
          <w:trHeight w:val="400"/>
        </w:trPr>
        <w:tc>
          <w:tcPr>
            <w:tcW w:w="602" w:type="dxa"/>
            <w:vAlign w:val="center"/>
          </w:tcPr>
          <w:p w14:paraId="0729E814" w14:textId="77777777" w:rsidR="00100FFE" w:rsidRPr="00D23C75" w:rsidRDefault="00100FFE" w:rsidP="004B583B">
            <w:pPr>
              <w:pStyle w:val="TableParagraph"/>
              <w:spacing w:before="86"/>
              <w:ind w:left="120" w:right="180"/>
              <w:rPr>
                <w:rFonts w:ascii="Arial" w:hAnsi="Arial" w:cs="Arial"/>
                <w:sz w:val="13"/>
              </w:rPr>
            </w:pPr>
            <w:r w:rsidRPr="00D23C75">
              <w:rPr>
                <w:rFonts w:ascii="Arial" w:hAnsi="Arial" w:cs="Arial"/>
                <w:spacing w:val="-5"/>
                <w:position w:val="2"/>
                <w:sz w:val="20"/>
              </w:rPr>
              <w:t>T</w:t>
            </w:r>
            <w:r w:rsidRPr="00D23C75">
              <w:rPr>
                <w:rFonts w:ascii="Arial" w:hAnsi="Arial" w:cs="Arial"/>
                <w:spacing w:val="-5"/>
                <w:sz w:val="13"/>
              </w:rPr>
              <w:t>6</w:t>
            </w:r>
          </w:p>
        </w:tc>
        <w:tc>
          <w:tcPr>
            <w:tcW w:w="2980" w:type="dxa"/>
          </w:tcPr>
          <w:p w14:paraId="6DB8FC50" w14:textId="77777777" w:rsidR="00100FFE" w:rsidRPr="00D23C75" w:rsidRDefault="00100FFE" w:rsidP="004B583B">
            <w:pPr>
              <w:pStyle w:val="TableParagraph"/>
              <w:spacing w:before="91"/>
              <w:ind w:right="180"/>
              <w:jc w:val="left"/>
              <w:rPr>
                <w:rFonts w:ascii="Arial" w:hAnsi="Arial" w:cs="Arial"/>
                <w:sz w:val="20"/>
              </w:rPr>
            </w:pPr>
            <w:proofErr w:type="spellStart"/>
            <w:r w:rsidRPr="00D23C75">
              <w:rPr>
                <w:rFonts w:ascii="Arial" w:hAnsi="Arial" w:cs="Arial"/>
                <w:sz w:val="20"/>
                <w:szCs w:val="24"/>
              </w:rPr>
              <w:t>Pyraclostrobin</w:t>
            </w:r>
            <w:proofErr w:type="spellEnd"/>
            <w:r w:rsidRPr="00D23C75">
              <w:rPr>
                <w:rFonts w:ascii="Arial" w:hAnsi="Arial" w:cs="Arial"/>
                <w:sz w:val="20"/>
                <w:szCs w:val="24"/>
              </w:rPr>
              <w:t xml:space="preserve"> 20 % WG</w:t>
            </w:r>
          </w:p>
        </w:tc>
        <w:tc>
          <w:tcPr>
            <w:tcW w:w="1103" w:type="dxa"/>
            <w:vAlign w:val="center"/>
          </w:tcPr>
          <w:p w14:paraId="6CB479FA" w14:textId="77777777" w:rsidR="00100FFE" w:rsidRPr="00D23C75" w:rsidRDefault="00100FFE" w:rsidP="004B583B">
            <w:pPr>
              <w:pStyle w:val="TableParagraph"/>
              <w:spacing w:before="173" w:line="207" w:lineRule="exact"/>
              <w:ind w:right="180"/>
              <w:rPr>
                <w:rFonts w:ascii="Arial" w:hAnsi="Arial" w:cs="Arial"/>
                <w:sz w:val="20"/>
                <w:szCs w:val="20"/>
              </w:rPr>
            </w:pPr>
            <w:r w:rsidRPr="00D23C75">
              <w:rPr>
                <w:rFonts w:ascii="Arial" w:hAnsi="Arial" w:cs="Arial"/>
                <w:sz w:val="20"/>
                <w:szCs w:val="20"/>
              </w:rPr>
              <w:t>45.50</w:t>
            </w:r>
          </w:p>
        </w:tc>
        <w:tc>
          <w:tcPr>
            <w:tcW w:w="1050" w:type="dxa"/>
            <w:vAlign w:val="center"/>
          </w:tcPr>
          <w:p w14:paraId="62B861D5" w14:textId="77777777" w:rsidR="00100FFE" w:rsidRPr="00D23C75" w:rsidRDefault="00100FFE" w:rsidP="004B583B">
            <w:pPr>
              <w:pStyle w:val="TableParagraph"/>
              <w:spacing w:before="173" w:line="207" w:lineRule="exact"/>
              <w:ind w:right="180"/>
              <w:rPr>
                <w:rFonts w:ascii="Arial" w:hAnsi="Arial" w:cs="Arial"/>
                <w:sz w:val="20"/>
                <w:szCs w:val="20"/>
              </w:rPr>
            </w:pPr>
            <w:r w:rsidRPr="00D23C75">
              <w:rPr>
                <w:rFonts w:ascii="Arial" w:hAnsi="Arial" w:cs="Arial"/>
                <w:sz w:val="20"/>
                <w:szCs w:val="20"/>
              </w:rPr>
              <w:t>40.00</w:t>
            </w:r>
          </w:p>
        </w:tc>
        <w:tc>
          <w:tcPr>
            <w:tcW w:w="810" w:type="dxa"/>
            <w:vAlign w:val="center"/>
          </w:tcPr>
          <w:p w14:paraId="568E0584" w14:textId="77777777" w:rsidR="00100FFE" w:rsidRPr="00D23C75" w:rsidRDefault="00100FFE" w:rsidP="004B583B">
            <w:pPr>
              <w:pStyle w:val="TableParagraph"/>
              <w:spacing w:before="173" w:line="207" w:lineRule="exact"/>
              <w:ind w:left="21" w:right="180"/>
              <w:rPr>
                <w:rFonts w:ascii="Arial" w:hAnsi="Arial" w:cs="Arial"/>
                <w:sz w:val="20"/>
                <w:szCs w:val="20"/>
              </w:rPr>
            </w:pPr>
            <w:r w:rsidRPr="00D23C75">
              <w:rPr>
                <w:rFonts w:ascii="Arial" w:hAnsi="Arial" w:cs="Arial"/>
                <w:sz w:val="20"/>
                <w:szCs w:val="20"/>
              </w:rPr>
              <w:t>42.75</w:t>
            </w:r>
          </w:p>
        </w:tc>
        <w:tc>
          <w:tcPr>
            <w:tcW w:w="911" w:type="dxa"/>
            <w:vAlign w:val="center"/>
          </w:tcPr>
          <w:p w14:paraId="21766A54" w14:textId="77777777" w:rsidR="00100FFE" w:rsidRPr="00D23C75" w:rsidRDefault="00100FFE" w:rsidP="004B583B">
            <w:pPr>
              <w:pStyle w:val="TableParagraph"/>
              <w:spacing w:before="94"/>
              <w:ind w:left="17" w:right="180"/>
              <w:rPr>
                <w:rFonts w:ascii="Arial" w:hAnsi="Arial" w:cs="Arial"/>
                <w:sz w:val="20"/>
                <w:szCs w:val="20"/>
              </w:rPr>
            </w:pPr>
            <w:r w:rsidRPr="00D23C75">
              <w:rPr>
                <w:rFonts w:ascii="Arial" w:hAnsi="Arial" w:cs="Arial"/>
                <w:sz w:val="20"/>
                <w:szCs w:val="20"/>
              </w:rPr>
              <w:t>49.44</w:t>
            </w:r>
          </w:p>
        </w:tc>
        <w:tc>
          <w:tcPr>
            <w:tcW w:w="955" w:type="dxa"/>
            <w:vAlign w:val="center"/>
          </w:tcPr>
          <w:p w14:paraId="56D9D608" w14:textId="77777777" w:rsidR="00100FFE" w:rsidRPr="00D23C75" w:rsidRDefault="00100FFE" w:rsidP="004B583B">
            <w:pPr>
              <w:pStyle w:val="TableParagraph"/>
              <w:spacing w:before="94"/>
              <w:ind w:right="180"/>
              <w:rPr>
                <w:rFonts w:ascii="Arial" w:hAnsi="Arial" w:cs="Arial"/>
                <w:sz w:val="20"/>
                <w:szCs w:val="20"/>
              </w:rPr>
            </w:pPr>
            <w:r w:rsidRPr="00D23C75">
              <w:rPr>
                <w:rFonts w:ascii="Arial" w:hAnsi="Arial" w:cs="Arial"/>
                <w:sz w:val="20"/>
                <w:szCs w:val="20"/>
              </w:rPr>
              <w:t>55.55</w:t>
            </w:r>
          </w:p>
        </w:tc>
        <w:tc>
          <w:tcPr>
            <w:tcW w:w="929" w:type="dxa"/>
            <w:vAlign w:val="center"/>
          </w:tcPr>
          <w:p w14:paraId="7DF4CF9D" w14:textId="77777777" w:rsidR="00100FFE" w:rsidRPr="00D23C75" w:rsidRDefault="00100FFE" w:rsidP="004B583B">
            <w:pPr>
              <w:pStyle w:val="TableParagraph"/>
              <w:spacing w:before="94"/>
              <w:ind w:left="22" w:right="180"/>
              <w:rPr>
                <w:rFonts w:ascii="Arial" w:hAnsi="Arial" w:cs="Arial"/>
                <w:sz w:val="20"/>
                <w:szCs w:val="20"/>
              </w:rPr>
            </w:pPr>
            <w:r w:rsidRPr="00D23C75">
              <w:rPr>
                <w:rFonts w:ascii="Arial" w:hAnsi="Arial" w:cs="Arial"/>
                <w:sz w:val="20"/>
                <w:szCs w:val="20"/>
              </w:rPr>
              <w:t>52.49</w:t>
            </w:r>
          </w:p>
        </w:tc>
      </w:tr>
      <w:tr w:rsidR="00100FFE" w:rsidRPr="00D23C75" w14:paraId="1E7A62BD" w14:textId="77777777" w:rsidTr="00E026B0">
        <w:trPr>
          <w:trHeight w:val="383"/>
        </w:trPr>
        <w:tc>
          <w:tcPr>
            <w:tcW w:w="602" w:type="dxa"/>
            <w:vAlign w:val="center"/>
          </w:tcPr>
          <w:p w14:paraId="7418A2CE" w14:textId="77777777" w:rsidR="00100FFE" w:rsidRPr="00D23C75" w:rsidRDefault="00100FFE" w:rsidP="004B583B">
            <w:pPr>
              <w:pStyle w:val="TableParagraph"/>
              <w:spacing w:before="76"/>
              <w:ind w:left="120" w:right="180"/>
              <w:rPr>
                <w:rFonts w:ascii="Arial" w:hAnsi="Arial" w:cs="Arial"/>
                <w:sz w:val="13"/>
              </w:rPr>
            </w:pPr>
            <w:r w:rsidRPr="00D23C75">
              <w:rPr>
                <w:rFonts w:ascii="Arial" w:hAnsi="Arial" w:cs="Arial"/>
                <w:spacing w:val="-5"/>
                <w:position w:val="2"/>
                <w:sz w:val="20"/>
              </w:rPr>
              <w:t>T</w:t>
            </w:r>
            <w:r w:rsidRPr="00D23C75">
              <w:rPr>
                <w:rFonts w:ascii="Arial" w:hAnsi="Arial" w:cs="Arial"/>
                <w:spacing w:val="-5"/>
                <w:sz w:val="13"/>
              </w:rPr>
              <w:t>7</w:t>
            </w:r>
          </w:p>
        </w:tc>
        <w:tc>
          <w:tcPr>
            <w:tcW w:w="2980" w:type="dxa"/>
          </w:tcPr>
          <w:p w14:paraId="702AA661" w14:textId="77777777" w:rsidR="00100FFE" w:rsidRPr="00D23C75" w:rsidRDefault="00100FFE" w:rsidP="004B583B">
            <w:pPr>
              <w:pStyle w:val="TableParagraph"/>
              <w:spacing w:before="98"/>
              <w:ind w:right="180"/>
              <w:jc w:val="left"/>
              <w:rPr>
                <w:rFonts w:ascii="Arial" w:hAnsi="Arial" w:cs="Arial"/>
                <w:sz w:val="20"/>
              </w:rPr>
            </w:pPr>
            <w:r w:rsidRPr="00D23C75">
              <w:rPr>
                <w:rFonts w:ascii="Arial" w:hAnsi="Arial" w:cs="Arial"/>
                <w:sz w:val="20"/>
                <w:szCs w:val="24"/>
              </w:rPr>
              <w:t>Difenoconazole 25 % EC</w:t>
            </w:r>
          </w:p>
        </w:tc>
        <w:tc>
          <w:tcPr>
            <w:tcW w:w="1103" w:type="dxa"/>
            <w:vAlign w:val="center"/>
          </w:tcPr>
          <w:p w14:paraId="2F3DC6A8" w14:textId="77777777" w:rsidR="00100FFE" w:rsidRPr="00D23C75" w:rsidRDefault="00100FFE" w:rsidP="004B583B">
            <w:pPr>
              <w:pStyle w:val="TableParagraph"/>
              <w:spacing w:before="154" w:line="210" w:lineRule="exact"/>
              <w:ind w:right="180"/>
              <w:rPr>
                <w:rFonts w:ascii="Arial" w:hAnsi="Arial" w:cs="Arial"/>
                <w:sz w:val="20"/>
                <w:szCs w:val="20"/>
              </w:rPr>
            </w:pPr>
            <w:r w:rsidRPr="00D23C75">
              <w:rPr>
                <w:rFonts w:ascii="Arial" w:hAnsi="Arial" w:cs="Arial"/>
                <w:sz w:val="20"/>
                <w:szCs w:val="20"/>
              </w:rPr>
              <w:t>00.00</w:t>
            </w:r>
          </w:p>
        </w:tc>
        <w:tc>
          <w:tcPr>
            <w:tcW w:w="1050" w:type="dxa"/>
            <w:vAlign w:val="center"/>
          </w:tcPr>
          <w:p w14:paraId="6FFAF8C4" w14:textId="77777777" w:rsidR="00100FFE" w:rsidRPr="00D23C75" w:rsidRDefault="00100FFE" w:rsidP="004B583B">
            <w:pPr>
              <w:pStyle w:val="TableParagraph"/>
              <w:spacing w:before="154" w:line="210" w:lineRule="exact"/>
              <w:ind w:right="180"/>
              <w:rPr>
                <w:rFonts w:ascii="Arial" w:hAnsi="Arial" w:cs="Arial"/>
                <w:sz w:val="20"/>
                <w:szCs w:val="20"/>
              </w:rPr>
            </w:pPr>
            <w:r w:rsidRPr="00D23C75">
              <w:rPr>
                <w:rFonts w:ascii="Arial" w:hAnsi="Arial" w:cs="Arial"/>
                <w:sz w:val="20"/>
                <w:szCs w:val="20"/>
              </w:rPr>
              <w:t>00.00</w:t>
            </w:r>
          </w:p>
        </w:tc>
        <w:tc>
          <w:tcPr>
            <w:tcW w:w="810" w:type="dxa"/>
            <w:vAlign w:val="center"/>
          </w:tcPr>
          <w:p w14:paraId="0A2659F6" w14:textId="77777777" w:rsidR="00100FFE" w:rsidRPr="00D23C75" w:rsidRDefault="00100FFE" w:rsidP="004B583B">
            <w:pPr>
              <w:pStyle w:val="TableParagraph"/>
              <w:spacing w:before="154" w:line="210" w:lineRule="exact"/>
              <w:ind w:left="21" w:right="180"/>
              <w:rPr>
                <w:rFonts w:ascii="Arial" w:hAnsi="Arial" w:cs="Arial"/>
                <w:sz w:val="20"/>
                <w:szCs w:val="20"/>
              </w:rPr>
            </w:pPr>
            <w:r w:rsidRPr="00D23C75">
              <w:rPr>
                <w:rFonts w:ascii="Arial" w:hAnsi="Arial" w:cs="Arial"/>
                <w:sz w:val="20"/>
                <w:szCs w:val="20"/>
              </w:rPr>
              <w:t>00.00</w:t>
            </w:r>
          </w:p>
        </w:tc>
        <w:tc>
          <w:tcPr>
            <w:tcW w:w="911" w:type="dxa"/>
            <w:vAlign w:val="center"/>
          </w:tcPr>
          <w:p w14:paraId="7C55F56D" w14:textId="77777777" w:rsidR="00100FFE" w:rsidRPr="00D23C75" w:rsidRDefault="00100FFE" w:rsidP="004B583B">
            <w:pPr>
              <w:pStyle w:val="TableParagraph"/>
              <w:spacing w:before="89"/>
              <w:ind w:left="17" w:right="180"/>
              <w:rPr>
                <w:rFonts w:ascii="Arial" w:hAnsi="Arial" w:cs="Arial"/>
                <w:sz w:val="20"/>
                <w:szCs w:val="20"/>
              </w:rPr>
            </w:pPr>
            <w:r w:rsidRPr="00D23C75">
              <w:rPr>
                <w:rFonts w:ascii="Arial" w:hAnsi="Arial" w:cs="Arial"/>
                <w:sz w:val="20"/>
                <w:szCs w:val="20"/>
              </w:rPr>
              <w:t>100.00</w:t>
            </w:r>
          </w:p>
        </w:tc>
        <w:tc>
          <w:tcPr>
            <w:tcW w:w="955" w:type="dxa"/>
            <w:vAlign w:val="center"/>
          </w:tcPr>
          <w:p w14:paraId="08B5463F" w14:textId="77777777" w:rsidR="00100FFE" w:rsidRPr="00D23C75" w:rsidRDefault="00100FFE" w:rsidP="004B583B">
            <w:pPr>
              <w:pStyle w:val="TableParagraph"/>
              <w:spacing w:before="89"/>
              <w:ind w:right="180"/>
              <w:rPr>
                <w:rFonts w:ascii="Arial" w:hAnsi="Arial" w:cs="Arial"/>
                <w:sz w:val="20"/>
                <w:szCs w:val="20"/>
              </w:rPr>
            </w:pPr>
            <w:r w:rsidRPr="00D23C75">
              <w:rPr>
                <w:rFonts w:ascii="Arial" w:hAnsi="Arial" w:cs="Arial"/>
                <w:sz w:val="20"/>
                <w:szCs w:val="20"/>
              </w:rPr>
              <w:t>100.00</w:t>
            </w:r>
          </w:p>
        </w:tc>
        <w:tc>
          <w:tcPr>
            <w:tcW w:w="929" w:type="dxa"/>
            <w:vAlign w:val="center"/>
          </w:tcPr>
          <w:p w14:paraId="2D5484E0" w14:textId="77777777" w:rsidR="00100FFE" w:rsidRPr="00D23C75" w:rsidRDefault="00100FFE" w:rsidP="004B583B">
            <w:pPr>
              <w:pStyle w:val="TableParagraph"/>
              <w:spacing w:before="89"/>
              <w:ind w:left="22" w:right="180"/>
              <w:rPr>
                <w:rFonts w:ascii="Arial" w:hAnsi="Arial" w:cs="Arial"/>
                <w:sz w:val="20"/>
                <w:szCs w:val="20"/>
              </w:rPr>
            </w:pPr>
            <w:r w:rsidRPr="00D23C75">
              <w:rPr>
                <w:rFonts w:ascii="Arial" w:hAnsi="Arial" w:cs="Arial"/>
                <w:sz w:val="20"/>
                <w:szCs w:val="20"/>
              </w:rPr>
              <w:t>100.00</w:t>
            </w:r>
          </w:p>
        </w:tc>
      </w:tr>
      <w:tr w:rsidR="00100FFE" w:rsidRPr="00D23C75" w14:paraId="440BB1AC" w14:textId="77777777" w:rsidTr="00E026B0">
        <w:trPr>
          <w:trHeight w:val="374"/>
        </w:trPr>
        <w:tc>
          <w:tcPr>
            <w:tcW w:w="602" w:type="dxa"/>
            <w:vAlign w:val="center"/>
          </w:tcPr>
          <w:p w14:paraId="582AAC93" w14:textId="77777777" w:rsidR="00100FFE" w:rsidRPr="00D23C75" w:rsidRDefault="00100FFE" w:rsidP="004B583B">
            <w:pPr>
              <w:pStyle w:val="TableParagraph"/>
              <w:spacing w:before="71"/>
              <w:ind w:left="120" w:right="180"/>
              <w:rPr>
                <w:rFonts w:ascii="Arial" w:hAnsi="Arial" w:cs="Arial"/>
                <w:sz w:val="13"/>
              </w:rPr>
            </w:pPr>
            <w:r w:rsidRPr="00D23C75">
              <w:rPr>
                <w:rFonts w:ascii="Arial" w:hAnsi="Arial" w:cs="Arial"/>
                <w:spacing w:val="-5"/>
                <w:position w:val="2"/>
                <w:sz w:val="20"/>
              </w:rPr>
              <w:t>T</w:t>
            </w:r>
            <w:r w:rsidRPr="00D23C75">
              <w:rPr>
                <w:rFonts w:ascii="Arial" w:hAnsi="Arial" w:cs="Arial"/>
                <w:spacing w:val="-5"/>
                <w:sz w:val="13"/>
              </w:rPr>
              <w:t>8</w:t>
            </w:r>
          </w:p>
        </w:tc>
        <w:tc>
          <w:tcPr>
            <w:tcW w:w="2980" w:type="dxa"/>
          </w:tcPr>
          <w:p w14:paraId="782B5AEA" w14:textId="77777777" w:rsidR="00100FFE" w:rsidRPr="00D23C75" w:rsidRDefault="00100FFE" w:rsidP="004B583B">
            <w:pPr>
              <w:pStyle w:val="TableParagraph"/>
              <w:spacing w:before="94"/>
              <w:ind w:right="180"/>
              <w:jc w:val="left"/>
              <w:rPr>
                <w:rFonts w:ascii="Arial" w:hAnsi="Arial" w:cs="Arial"/>
                <w:sz w:val="20"/>
              </w:rPr>
            </w:pPr>
            <w:r w:rsidRPr="00D23C75">
              <w:rPr>
                <w:rFonts w:ascii="Arial" w:hAnsi="Arial" w:cs="Arial"/>
                <w:sz w:val="20"/>
              </w:rPr>
              <w:t>Control</w:t>
            </w:r>
            <w:r w:rsidRPr="00D23C75">
              <w:rPr>
                <w:rFonts w:ascii="Arial" w:hAnsi="Arial" w:cs="Arial"/>
                <w:spacing w:val="-11"/>
                <w:sz w:val="20"/>
              </w:rPr>
              <w:t xml:space="preserve"> </w:t>
            </w:r>
            <w:r w:rsidRPr="00D23C75">
              <w:rPr>
                <w:rFonts w:ascii="Arial" w:hAnsi="Arial" w:cs="Arial"/>
                <w:spacing w:val="-2"/>
                <w:sz w:val="20"/>
              </w:rPr>
              <w:t>(untreated)</w:t>
            </w:r>
          </w:p>
        </w:tc>
        <w:tc>
          <w:tcPr>
            <w:tcW w:w="1103" w:type="dxa"/>
            <w:vAlign w:val="center"/>
          </w:tcPr>
          <w:p w14:paraId="324BC935" w14:textId="77777777" w:rsidR="00100FFE" w:rsidRPr="00D23C75" w:rsidRDefault="00100FFE" w:rsidP="004B583B">
            <w:pPr>
              <w:pStyle w:val="TableParagraph"/>
              <w:spacing w:before="146" w:line="207" w:lineRule="exact"/>
              <w:ind w:right="180"/>
              <w:rPr>
                <w:rFonts w:ascii="Arial" w:hAnsi="Arial" w:cs="Arial"/>
                <w:sz w:val="20"/>
                <w:szCs w:val="20"/>
              </w:rPr>
            </w:pPr>
            <w:r w:rsidRPr="00D23C75">
              <w:rPr>
                <w:rFonts w:ascii="Arial" w:hAnsi="Arial" w:cs="Arial"/>
                <w:spacing w:val="-2"/>
                <w:sz w:val="20"/>
                <w:szCs w:val="20"/>
              </w:rPr>
              <w:t>90.00</w:t>
            </w:r>
          </w:p>
        </w:tc>
        <w:tc>
          <w:tcPr>
            <w:tcW w:w="1050" w:type="dxa"/>
            <w:vAlign w:val="center"/>
          </w:tcPr>
          <w:p w14:paraId="2072B605" w14:textId="77777777" w:rsidR="00100FFE" w:rsidRPr="00D23C75" w:rsidRDefault="00100FFE" w:rsidP="004B583B">
            <w:pPr>
              <w:pStyle w:val="TableParagraph"/>
              <w:spacing w:before="146" w:line="207" w:lineRule="exact"/>
              <w:ind w:right="180"/>
              <w:rPr>
                <w:rFonts w:ascii="Arial" w:hAnsi="Arial" w:cs="Arial"/>
                <w:sz w:val="20"/>
                <w:szCs w:val="20"/>
              </w:rPr>
            </w:pPr>
            <w:r w:rsidRPr="00D23C75">
              <w:rPr>
                <w:rFonts w:ascii="Arial" w:hAnsi="Arial" w:cs="Arial"/>
                <w:spacing w:val="-2"/>
                <w:sz w:val="20"/>
                <w:szCs w:val="20"/>
              </w:rPr>
              <w:t>90.00</w:t>
            </w:r>
          </w:p>
        </w:tc>
        <w:tc>
          <w:tcPr>
            <w:tcW w:w="810" w:type="dxa"/>
            <w:vAlign w:val="center"/>
          </w:tcPr>
          <w:p w14:paraId="6BBDA765" w14:textId="77777777" w:rsidR="00100FFE" w:rsidRPr="00D23C75" w:rsidRDefault="00100FFE" w:rsidP="004B583B">
            <w:pPr>
              <w:pStyle w:val="TableParagraph"/>
              <w:spacing w:before="146" w:line="207" w:lineRule="exact"/>
              <w:ind w:left="21" w:right="180"/>
              <w:rPr>
                <w:rFonts w:ascii="Arial" w:hAnsi="Arial" w:cs="Arial"/>
                <w:sz w:val="20"/>
                <w:szCs w:val="20"/>
              </w:rPr>
            </w:pPr>
            <w:r w:rsidRPr="00D23C75">
              <w:rPr>
                <w:rFonts w:ascii="Arial" w:hAnsi="Arial" w:cs="Arial"/>
                <w:spacing w:val="-4"/>
                <w:sz w:val="20"/>
                <w:szCs w:val="20"/>
              </w:rPr>
              <w:t>90.00</w:t>
            </w:r>
          </w:p>
        </w:tc>
        <w:tc>
          <w:tcPr>
            <w:tcW w:w="911" w:type="dxa"/>
            <w:vAlign w:val="center"/>
          </w:tcPr>
          <w:p w14:paraId="65CBB5C4" w14:textId="77777777" w:rsidR="00100FFE" w:rsidRPr="00D23C75" w:rsidRDefault="00100FFE" w:rsidP="004B583B">
            <w:pPr>
              <w:pStyle w:val="TableParagraph"/>
              <w:spacing w:before="146" w:line="207" w:lineRule="exact"/>
              <w:ind w:left="25" w:right="180"/>
              <w:rPr>
                <w:rFonts w:ascii="Arial" w:hAnsi="Arial" w:cs="Arial"/>
                <w:sz w:val="20"/>
                <w:szCs w:val="20"/>
              </w:rPr>
            </w:pPr>
            <w:r w:rsidRPr="00D23C75">
              <w:rPr>
                <w:rFonts w:ascii="Arial" w:hAnsi="Arial" w:cs="Arial"/>
                <w:sz w:val="20"/>
                <w:szCs w:val="20"/>
              </w:rPr>
              <w:t>-</w:t>
            </w:r>
          </w:p>
        </w:tc>
        <w:tc>
          <w:tcPr>
            <w:tcW w:w="955" w:type="dxa"/>
            <w:vAlign w:val="center"/>
          </w:tcPr>
          <w:p w14:paraId="53090595" w14:textId="77777777" w:rsidR="00100FFE" w:rsidRPr="00D23C75" w:rsidRDefault="00100FFE" w:rsidP="004B583B">
            <w:pPr>
              <w:pStyle w:val="TableParagraph"/>
              <w:spacing w:before="146" w:line="207" w:lineRule="exact"/>
              <w:ind w:left="32" w:right="180"/>
              <w:rPr>
                <w:rFonts w:ascii="Arial" w:hAnsi="Arial" w:cs="Arial"/>
                <w:sz w:val="20"/>
                <w:szCs w:val="20"/>
              </w:rPr>
            </w:pPr>
            <w:r w:rsidRPr="00D23C75">
              <w:rPr>
                <w:rFonts w:ascii="Arial" w:hAnsi="Arial" w:cs="Arial"/>
                <w:sz w:val="20"/>
                <w:szCs w:val="20"/>
              </w:rPr>
              <w:t>-</w:t>
            </w:r>
          </w:p>
        </w:tc>
        <w:tc>
          <w:tcPr>
            <w:tcW w:w="929" w:type="dxa"/>
            <w:vAlign w:val="center"/>
          </w:tcPr>
          <w:p w14:paraId="1C27F5C1" w14:textId="77777777" w:rsidR="00100FFE" w:rsidRPr="00D23C75" w:rsidRDefault="00100FFE" w:rsidP="004B583B">
            <w:pPr>
              <w:pStyle w:val="TableParagraph"/>
              <w:spacing w:before="146" w:line="207" w:lineRule="exact"/>
              <w:ind w:left="34" w:right="180"/>
              <w:rPr>
                <w:rFonts w:ascii="Arial" w:hAnsi="Arial" w:cs="Arial"/>
                <w:sz w:val="20"/>
              </w:rPr>
            </w:pPr>
            <w:r w:rsidRPr="00D23C75">
              <w:rPr>
                <w:rFonts w:ascii="Arial" w:hAnsi="Arial" w:cs="Arial"/>
                <w:sz w:val="24"/>
                <w:szCs w:val="24"/>
              </w:rPr>
              <w:t>-</w:t>
            </w:r>
          </w:p>
        </w:tc>
      </w:tr>
      <w:tr w:rsidR="00100FFE" w:rsidRPr="00D23C75" w14:paraId="5915D54B" w14:textId="77777777" w:rsidTr="00E026B0">
        <w:trPr>
          <w:trHeight w:val="359"/>
        </w:trPr>
        <w:tc>
          <w:tcPr>
            <w:tcW w:w="3582" w:type="dxa"/>
            <w:gridSpan w:val="2"/>
          </w:tcPr>
          <w:p w14:paraId="0FABF50B" w14:textId="77777777" w:rsidR="00100FFE" w:rsidRPr="00D23C75" w:rsidRDefault="00100FFE" w:rsidP="004B583B">
            <w:pPr>
              <w:pStyle w:val="TableParagraph"/>
              <w:spacing w:before="113"/>
              <w:ind w:left="12" w:right="180"/>
              <w:rPr>
                <w:rFonts w:ascii="Arial" w:hAnsi="Arial" w:cs="Arial"/>
                <w:sz w:val="20"/>
              </w:rPr>
            </w:pPr>
            <w:r w:rsidRPr="00D23C75">
              <w:rPr>
                <w:rFonts w:ascii="Arial" w:hAnsi="Arial" w:cs="Arial"/>
                <w:spacing w:val="-5"/>
                <w:sz w:val="20"/>
              </w:rPr>
              <w:t>SE±</w:t>
            </w:r>
          </w:p>
        </w:tc>
        <w:tc>
          <w:tcPr>
            <w:tcW w:w="1103" w:type="dxa"/>
          </w:tcPr>
          <w:p w14:paraId="52E46D81" w14:textId="77777777" w:rsidR="00100FFE" w:rsidRPr="00D23C75" w:rsidRDefault="00100FFE" w:rsidP="004B583B">
            <w:pPr>
              <w:pStyle w:val="TableParagraph"/>
              <w:spacing w:before="120" w:line="219" w:lineRule="exact"/>
              <w:ind w:right="180"/>
              <w:rPr>
                <w:rFonts w:ascii="Arial" w:hAnsi="Arial" w:cs="Arial"/>
                <w:sz w:val="20"/>
                <w:szCs w:val="20"/>
              </w:rPr>
            </w:pPr>
            <w:r w:rsidRPr="00D23C75">
              <w:rPr>
                <w:rFonts w:ascii="Arial" w:hAnsi="Arial" w:cs="Arial"/>
                <w:b/>
                <w:spacing w:val="-4"/>
                <w:sz w:val="20"/>
                <w:szCs w:val="20"/>
              </w:rPr>
              <w:t>0.50</w:t>
            </w:r>
          </w:p>
        </w:tc>
        <w:tc>
          <w:tcPr>
            <w:tcW w:w="1050" w:type="dxa"/>
          </w:tcPr>
          <w:p w14:paraId="2049C4C8" w14:textId="77777777" w:rsidR="00100FFE" w:rsidRPr="00D23C75" w:rsidRDefault="00100FFE" w:rsidP="004B583B">
            <w:pPr>
              <w:pStyle w:val="TableParagraph"/>
              <w:spacing w:before="120" w:line="219" w:lineRule="exact"/>
              <w:ind w:right="180"/>
              <w:rPr>
                <w:rFonts w:ascii="Arial" w:hAnsi="Arial" w:cs="Arial"/>
                <w:sz w:val="20"/>
                <w:szCs w:val="20"/>
              </w:rPr>
            </w:pPr>
            <w:r w:rsidRPr="00D23C75">
              <w:rPr>
                <w:rFonts w:ascii="Arial" w:hAnsi="Arial" w:cs="Arial"/>
                <w:b/>
                <w:bCs/>
                <w:color w:val="000000" w:themeColor="dark1"/>
                <w:spacing w:val="-4"/>
                <w:kern w:val="24"/>
                <w:sz w:val="20"/>
                <w:szCs w:val="20"/>
              </w:rPr>
              <w:t>0.30</w:t>
            </w:r>
          </w:p>
        </w:tc>
        <w:tc>
          <w:tcPr>
            <w:tcW w:w="810" w:type="dxa"/>
            <w:vAlign w:val="center"/>
          </w:tcPr>
          <w:p w14:paraId="490EFB1B" w14:textId="77777777" w:rsidR="00100FFE" w:rsidRPr="00D23C75" w:rsidRDefault="00100FFE" w:rsidP="004B583B">
            <w:pPr>
              <w:pStyle w:val="TableParagraph"/>
              <w:spacing w:before="120" w:line="219" w:lineRule="exact"/>
              <w:ind w:left="21" w:right="180"/>
              <w:rPr>
                <w:rFonts w:ascii="Arial" w:hAnsi="Arial" w:cs="Arial"/>
                <w:sz w:val="20"/>
                <w:szCs w:val="20"/>
              </w:rPr>
            </w:pPr>
            <w:r w:rsidRPr="00D23C75">
              <w:rPr>
                <w:rFonts w:ascii="Arial" w:hAnsi="Arial" w:cs="Arial"/>
                <w:sz w:val="20"/>
                <w:szCs w:val="20"/>
              </w:rPr>
              <w:t>-</w:t>
            </w:r>
          </w:p>
        </w:tc>
        <w:tc>
          <w:tcPr>
            <w:tcW w:w="911" w:type="dxa"/>
            <w:vAlign w:val="center"/>
          </w:tcPr>
          <w:p w14:paraId="5EC41B77" w14:textId="77777777" w:rsidR="00100FFE" w:rsidRPr="00D23C75" w:rsidRDefault="00100FFE" w:rsidP="004B583B">
            <w:pPr>
              <w:pStyle w:val="TableParagraph"/>
              <w:spacing w:before="0"/>
              <w:ind w:left="0" w:right="180"/>
              <w:rPr>
                <w:rFonts w:ascii="Arial" w:hAnsi="Arial" w:cs="Arial"/>
                <w:sz w:val="20"/>
                <w:szCs w:val="20"/>
              </w:rPr>
            </w:pPr>
            <w:r w:rsidRPr="00D23C75">
              <w:rPr>
                <w:rFonts w:ascii="Arial" w:hAnsi="Arial" w:cs="Arial"/>
                <w:sz w:val="20"/>
                <w:szCs w:val="20"/>
              </w:rPr>
              <w:t>-</w:t>
            </w:r>
          </w:p>
        </w:tc>
        <w:tc>
          <w:tcPr>
            <w:tcW w:w="955" w:type="dxa"/>
            <w:vAlign w:val="center"/>
          </w:tcPr>
          <w:p w14:paraId="245E8A36" w14:textId="77777777" w:rsidR="00100FFE" w:rsidRPr="00D23C75" w:rsidRDefault="00100FFE" w:rsidP="004B583B">
            <w:pPr>
              <w:pStyle w:val="TableParagraph"/>
              <w:spacing w:before="0"/>
              <w:ind w:left="0" w:right="180"/>
              <w:rPr>
                <w:rFonts w:ascii="Arial" w:hAnsi="Arial" w:cs="Arial"/>
                <w:sz w:val="20"/>
                <w:szCs w:val="20"/>
              </w:rPr>
            </w:pPr>
            <w:r w:rsidRPr="00D23C75">
              <w:rPr>
                <w:rFonts w:ascii="Arial" w:hAnsi="Arial" w:cs="Arial"/>
                <w:sz w:val="20"/>
                <w:szCs w:val="20"/>
              </w:rPr>
              <w:t>-</w:t>
            </w:r>
          </w:p>
        </w:tc>
        <w:tc>
          <w:tcPr>
            <w:tcW w:w="929" w:type="dxa"/>
            <w:vAlign w:val="center"/>
          </w:tcPr>
          <w:p w14:paraId="59E8F542" w14:textId="77777777" w:rsidR="00100FFE" w:rsidRPr="00D23C75" w:rsidRDefault="00100FFE" w:rsidP="004B583B">
            <w:pPr>
              <w:pStyle w:val="TableParagraph"/>
              <w:spacing w:before="0"/>
              <w:ind w:left="0" w:right="180"/>
              <w:rPr>
                <w:rFonts w:ascii="Arial" w:hAnsi="Arial" w:cs="Arial"/>
                <w:b/>
                <w:sz w:val="20"/>
              </w:rPr>
            </w:pPr>
            <w:r w:rsidRPr="00D23C75">
              <w:rPr>
                <w:rFonts w:ascii="Arial" w:hAnsi="Arial" w:cs="Arial"/>
                <w:b/>
                <w:sz w:val="24"/>
                <w:szCs w:val="24"/>
              </w:rPr>
              <w:t>-</w:t>
            </w:r>
          </w:p>
        </w:tc>
      </w:tr>
      <w:tr w:rsidR="00100FFE" w:rsidRPr="00D23C75" w14:paraId="6E3F0D51" w14:textId="77777777" w:rsidTr="00E026B0">
        <w:trPr>
          <w:trHeight w:val="333"/>
        </w:trPr>
        <w:tc>
          <w:tcPr>
            <w:tcW w:w="3582" w:type="dxa"/>
            <w:gridSpan w:val="2"/>
          </w:tcPr>
          <w:p w14:paraId="35A482CD" w14:textId="77777777" w:rsidR="00100FFE" w:rsidRPr="00D23C75" w:rsidRDefault="00100FFE" w:rsidP="004B583B">
            <w:pPr>
              <w:pStyle w:val="TableParagraph"/>
              <w:spacing w:before="94" w:line="219" w:lineRule="exact"/>
              <w:ind w:left="1701" w:right="180"/>
              <w:jc w:val="left"/>
              <w:rPr>
                <w:rFonts w:ascii="Arial" w:hAnsi="Arial" w:cs="Arial"/>
                <w:sz w:val="20"/>
              </w:rPr>
            </w:pPr>
            <w:r w:rsidRPr="00D23C75">
              <w:rPr>
                <w:rFonts w:ascii="Arial" w:hAnsi="Arial" w:cs="Arial"/>
                <w:sz w:val="20"/>
              </w:rPr>
              <w:t>CD</w:t>
            </w:r>
            <w:r w:rsidRPr="00D23C75">
              <w:rPr>
                <w:rFonts w:ascii="Arial" w:hAnsi="Arial" w:cs="Arial"/>
                <w:spacing w:val="-1"/>
                <w:sz w:val="20"/>
              </w:rPr>
              <w:t xml:space="preserve"> </w:t>
            </w:r>
            <w:r w:rsidRPr="00D23C75">
              <w:rPr>
                <w:rFonts w:ascii="Arial" w:hAnsi="Arial" w:cs="Arial"/>
                <w:sz w:val="20"/>
              </w:rPr>
              <w:t xml:space="preserve">at </w:t>
            </w:r>
            <w:r w:rsidRPr="00D23C75">
              <w:rPr>
                <w:rFonts w:ascii="Arial" w:hAnsi="Arial" w:cs="Arial"/>
                <w:spacing w:val="-5"/>
                <w:sz w:val="20"/>
              </w:rPr>
              <w:t>1%</w:t>
            </w:r>
          </w:p>
        </w:tc>
        <w:tc>
          <w:tcPr>
            <w:tcW w:w="1103" w:type="dxa"/>
          </w:tcPr>
          <w:p w14:paraId="033AC32D" w14:textId="77777777" w:rsidR="00100FFE" w:rsidRPr="00D23C75" w:rsidRDefault="00100FFE" w:rsidP="004B583B">
            <w:pPr>
              <w:pStyle w:val="TableParagraph"/>
              <w:spacing w:before="94" w:line="219" w:lineRule="exact"/>
              <w:ind w:right="180"/>
              <w:rPr>
                <w:rFonts w:ascii="Arial" w:hAnsi="Arial" w:cs="Arial"/>
                <w:sz w:val="20"/>
                <w:szCs w:val="20"/>
              </w:rPr>
            </w:pPr>
            <w:r w:rsidRPr="00D23C75">
              <w:rPr>
                <w:rFonts w:ascii="Arial" w:hAnsi="Arial" w:cs="Arial"/>
                <w:b/>
                <w:spacing w:val="-4"/>
                <w:sz w:val="20"/>
                <w:szCs w:val="20"/>
              </w:rPr>
              <w:t>2.09</w:t>
            </w:r>
          </w:p>
        </w:tc>
        <w:tc>
          <w:tcPr>
            <w:tcW w:w="1050" w:type="dxa"/>
          </w:tcPr>
          <w:p w14:paraId="005E3A84" w14:textId="77777777" w:rsidR="00100FFE" w:rsidRPr="00D23C75" w:rsidRDefault="00100FFE" w:rsidP="004B583B">
            <w:pPr>
              <w:pStyle w:val="TableParagraph"/>
              <w:spacing w:before="94" w:line="219" w:lineRule="exact"/>
              <w:ind w:right="180"/>
              <w:rPr>
                <w:rFonts w:ascii="Arial" w:hAnsi="Arial" w:cs="Arial"/>
                <w:sz w:val="20"/>
                <w:szCs w:val="20"/>
              </w:rPr>
            </w:pPr>
            <w:r w:rsidRPr="00D23C75">
              <w:rPr>
                <w:rFonts w:ascii="Arial" w:hAnsi="Arial" w:cs="Arial"/>
                <w:b/>
                <w:bCs/>
                <w:color w:val="000000" w:themeColor="dark1"/>
                <w:spacing w:val="-4"/>
                <w:kern w:val="24"/>
                <w:sz w:val="20"/>
                <w:szCs w:val="20"/>
              </w:rPr>
              <w:t>1.26</w:t>
            </w:r>
          </w:p>
        </w:tc>
        <w:tc>
          <w:tcPr>
            <w:tcW w:w="810" w:type="dxa"/>
            <w:vAlign w:val="center"/>
          </w:tcPr>
          <w:p w14:paraId="39F79107" w14:textId="77777777" w:rsidR="00100FFE" w:rsidRPr="00D23C75" w:rsidRDefault="00100FFE" w:rsidP="004B583B">
            <w:pPr>
              <w:pStyle w:val="TableParagraph"/>
              <w:spacing w:before="94" w:line="219" w:lineRule="exact"/>
              <w:ind w:left="21" w:right="180"/>
              <w:rPr>
                <w:rFonts w:ascii="Arial" w:hAnsi="Arial" w:cs="Arial"/>
                <w:sz w:val="20"/>
                <w:szCs w:val="20"/>
              </w:rPr>
            </w:pPr>
            <w:r w:rsidRPr="00D23C75">
              <w:rPr>
                <w:rFonts w:ascii="Arial" w:hAnsi="Arial" w:cs="Arial"/>
                <w:sz w:val="20"/>
                <w:szCs w:val="20"/>
              </w:rPr>
              <w:t>-</w:t>
            </w:r>
          </w:p>
        </w:tc>
        <w:tc>
          <w:tcPr>
            <w:tcW w:w="911" w:type="dxa"/>
            <w:vAlign w:val="center"/>
          </w:tcPr>
          <w:p w14:paraId="6983976C" w14:textId="77777777" w:rsidR="00100FFE" w:rsidRPr="00D23C75" w:rsidRDefault="00100FFE" w:rsidP="004B583B">
            <w:pPr>
              <w:pStyle w:val="TableParagraph"/>
              <w:spacing w:before="0"/>
              <w:ind w:left="0" w:right="180"/>
              <w:rPr>
                <w:rFonts w:ascii="Arial" w:hAnsi="Arial" w:cs="Arial"/>
                <w:sz w:val="20"/>
                <w:szCs w:val="20"/>
              </w:rPr>
            </w:pPr>
            <w:r w:rsidRPr="00D23C75">
              <w:rPr>
                <w:rFonts w:ascii="Arial" w:hAnsi="Arial" w:cs="Arial"/>
                <w:sz w:val="20"/>
                <w:szCs w:val="20"/>
              </w:rPr>
              <w:t>-</w:t>
            </w:r>
          </w:p>
        </w:tc>
        <w:tc>
          <w:tcPr>
            <w:tcW w:w="955" w:type="dxa"/>
            <w:vAlign w:val="center"/>
          </w:tcPr>
          <w:p w14:paraId="7854EAAA" w14:textId="77777777" w:rsidR="00100FFE" w:rsidRPr="00D23C75" w:rsidRDefault="00100FFE" w:rsidP="004B583B">
            <w:pPr>
              <w:pStyle w:val="TableParagraph"/>
              <w:spacing w:before="0"/>
              <w:ind w:left="0" w:right="180"/>
              <w:rPr>
                <w:rFonts w:ascii="Arial" w:hAnsi="Arial" w:cs="Arial"/>
                <w:sz w:val="20"/>
                <w:szCs w:val="20"/>
              </w:rPr>
            </w:pPr>
            <w:r w:rsidRPr="00D23C75">
              <w:rPr>
                <w:rFonts w:ascii="Arial" w:hAnsi="Arial" w:cs="Arial"/>
                <w:sz w:val="20"/>
                <w:szCs w:val="20"/>
              </w:rPr>
              <w:t>-</w:t>
            </w:r>
          </w:p>
        </w:tc>
        <w:tc>
          <w:tcPr>
            <w:tcW w:w="929" w:type="dxa"/>
            <w:vAlign w:val="center"/>
          </w:tcPr>
          <w:p w14:paraId="6CBB7331" w14:textId="77777777" w:rsidR="00100FFE" w:rsidRPr="00D23C75" w:rsidRDefault="00100FFE" w:rsidP="004B583B">
            <w:pPr>
              <w:pStyle w:val="TableParagraph"/>
              <w:spacing w:before="0"/>
              <w:ind w:left="0" w:right="180"/>
              <w:rPr>
                <w:rFonts w:ascii="Arial" w:hAnsi="Arial" w:cs="Arial"/>
                <w:b/>
                <w:sz w:val="20"/>
              </w:rPr>
            </w:pPr>
            <w:r w:rsidRPr="00D23C75">
              <w:rPr>
                <w:rFonts w:ascii="Arial" w:hAnsi="Arial" w:cs="Arial"/>
                <w:b/>
                <w:sz w:val="24"/>
                <w:szCs w:val="24"/>
              </w:rPr>
              <w:t>-</w:t>
            </w:r>
          </w:p>
        </w:tc>
      </w:tr>
    </w:tbl>
    <w:p w14:paraId="03EED9A3" w14:textId="77777777" w:rsidR="00E026B0" w:rsidRPr="00D23C75" w:rsidRDefault="00E026B0" w:rsidP="00E026B0">
      <w:pPr>
        <w:pStyle w:val="BodyText"/>
        <w:spacing w:before="8"/>
        <w:ind w:left="360" w:right="180"/>
        <w:rPr>
          <w:rFonts w:ascii="Arial" w:hAnsi="Arial" w:cs="Arial"/>
        </w:rPr>
      </w:pPr>
      <w:r w:rsidRPr="00D23C75">
        <w:rPr>
          <w:rFonts w:ascii="Arial" w:hAnsi="Arial" w:cs="Arial"/>
        </w:rPr>
        <w:t>*Mean</w:t>
      </w:r>
      <w:r w:rsidRPr="00D23C75">
        <w:rPr>
          <w:rFonts w:ascii="Arial" w:hAnsi="Arial" w:cs="Arial"/>
          <w:spacing w:val="-3"/>
        </w:rPr>
        <w:t xml:space="preserve"> </w:t>
      </w:r>
      <w:r w:rsidRPr="00D23C75">
        <w:rPr>
          <w:rFonts w:ascii="Arial" w:hAnsi="Arial" w:cs="Arial"/>
        </w:rPr>
        <w:t>of</w:t>
      </w:r>
      <w:r w:rsidRPr="00D23C75">
        <w:rPr>
          <w:rFonts w:ascii="Arial" w:hAnsi="Arial" w:cs="Arial"/>
          <w:spacing w:val="-2"/>
        </w:rPr>
        <w:t xml:space="preserve"> </w:t>
      </w:r>
      <w:r w:rsidRPr="00D23C75">
        <w:rPr>
          <w:rFonts w:ascii="Arial" w:hAnsi="Arial" w:cs="Arial"/>
        </w:rPr>
        <w:t>three</w:t>
      </w:r>
      <w:r w:rsidRPr="00D23C75">
        <w:rPr>
          <w:rFonts w:ascii="Arial" w:hAnsi="Arial" w:cs="Arial"/>
          <w:spacing w:val="-2"/>
        </w:rPr>
        <w:t xml:space="preserve"> replications</w:t>
      </w:r>
    </w:p>
    <w:p w14:paraId="7D1FE368" w14:textId="77777777" w:rsidR="00100FFE" w:rsidRPr="00D23C75" w:rsidRDefault="00100FFE" w:rsidP="00100FFE">
      <w:pPr>
        <w:pStyle w:val="Heading2"/>
        <w:tabs>
          <w:tab w:val="left" w:pos="923"/>
        </w:tabs>
        <w:spacing w:before="4" w:line="252" w:lineRule="exact"/>
        <w:ind w:left="360" w:right="180" w:firstLine="0"/>
      </w:pPr>
    </w:p>
    <w:p w14:paraId="4B63F887" w14:textId="77777777" w:rsidR="00100FFE" w:rsidRPr="00D23C75" w:rsidRDefault="00E026B0" w:rsidP="00100FFE">
      <w:pPr>
        <w:pStyle w:val="ListParagraph"/>
        <w:rPr>
          <w:rFonts w:ascii="Arial" w:eastAsia="Arial" w:hAnsi="Arial" w:cs="Arial"/>
          <w:b/>
          <w:bCs/>
          <w:sz w:val="20"/>
        </w:rPr>
      </w:pPr>
      <w:r w:rsidRPr="00D23C75">
        <w:rPr>
          <w:rFonts w:ascii="Arial" w:hAnsi="Arial" w:cs="Arial"/>
          <w:noProof/>
        </w:rPr>
        <w:drawing>
          <wp:anchor distT="0" distB="0" distL="114300" distR="114300" simplePos="0" relativeHeight="251673600" behindDoc="0" locked="0" layoutInCell="1" allowOverlap="1" wp14:anchorId="6F687FD1" wp14:editId="16FC5D87">
            <wp:simplePos x="0" y="0"/>
            <wp:positionH relativeFrom="column">
              <wp:posOffset>258792</wp:posOffset>
            </wp:positionH>
            <wp:positionV relativeFrom="paragraph">
              <wp:posOffset>12293</wp:posOffset>
            </wp:positionV>
            <wp:extent cx="5874589" cy="2501265"/>
            <wp:effectExtent l="0" t="0" r="12065" b="13335"/>
            <wp:wrapNone/>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14:paraId="554234AC" w14:textId="77777777" w:rsidR="00F11EBD" w:rsidRPr="00D23C75" w:rsidRDefault="00F11EBD" w:rsidP="00F11EBD">
      <w:pPr>
        <w:rPr>
          <w:rFonts w:ascii="Arial" w:eastAsia="Arial" w:hAnsi="Arial" w:cs="Arial"/>
          <w:b/>
          <w:bCs/>
        </w:rPr>
      </w:pPr>
    </w:p>
    <w:p w14:paraId="67EB9E52" w14:textId="77777777" w:rsidR="00E026B0" w:rsidRPr="00D23C75" w:rsidRDefault="00E026B0" w:rsidP="00F11EBD">
      <w:pPr>
        <w:rPr>
          <w:rFonts w:ascii="Arial" w:eastAsia="Arial" w:hAnsi="Arial" w:cs="Arial"/>
          <w:b/>
          <w:bCs/>
        </w:rPr>
      </w:pPr>
    </w:p>
    <w:p w14:paraId="5525A8F2" w14:textId="77777777" w:rsidR="00E026B0" w:rsidRPr="00D23C75" w:rsidRDefault="00E026B0" w:rsidP="00F11EBD">
      <w:pPr>
        <w:rPr>
          <w:rFonts w:ascii="Arial" w:eastAsia="Arial" w:hAnsi="Arial" w:cs="Arial"/>
          <w:b/>
          <w:bCs/>
        </w:rPr>
      </w:pPr>
    </w:p>
    <w:p w14:paraId="20CF411B" w14:textId="77777777" w:rsidR="00E026B0" w:rsidRPr="00D23C75" w:rsidRDefault="00E026B0" w:rsidP="00F11EBD">
      <w:pPr>
        <w:rPr>
          <w:rFonts w:ascii="Arial" w:eastAsia="Arial" w:hAnsi="Arial" w:cs="Arial"/>
          <w:b/>
          <w:bCs/>
        </w:rPr>
      </w:pPr>
    </w:p>
    <w:p w14:paraId="4A015F95" w14:textId="77777777" w:rsidR="00E026B0" w:rsidRPr="00D23C75" w:rsidRDefault="00E026B0" w:rsidP="00F11EBD">
      <w:pPr>
        <w:rPr>
          <w:rFonts w:ascii="Arial" w:eastAsia="Arial" w:hAnsi="Arial" w:cs="Arial"/>
          <w:b/>
          <w:bCs/>
        </w:rPr>
      </w:pPr>
    </w:p>
    <w:p w14:paraId="31BCA881" w14:textId="77777777" w:rsidR="00E026B0" w:rsidRPr="00D23C75" w:rsidRDefault="00E026B0" w:rsidP="00F11EBD">
      <w:pPr>
        <w:rPr>
          <w:rFonts w:ascii="Arial" w:eastAsia="Arial" w:hAnsi="Arial" w:cs="Arial"/>
          <w:b/>
          <w:bCs/>
        </w:rPr>
      </w:pPr>
    </w:p>
    <w:p w14:paraId="2D991A62" w14:textId="77777777" w:rsidR="00E026B0" w:rsidRPr="00D23C75" w:rsidRDefault="00E026B0" w:rsidP="00F11EBD">
      <w:pPr>
        <w:rPr>
          <w:rFonts w:ascii="Arial" w:eastAsia="Arial" w:hAnsi="Arial" w:cs="Arial"/>
          <w:b/>
          <w:bCs/>
        </w:rPr>
      </w:pPr>
    </w:p>
    <w:p w14:paraId="6595D9F2" w14:textId="77777777" w:rsidR="00E026B0" w:rsidRPr="00D23C75" w:rsidRDefault="00E026B0" w:rsidP="00F11EBD">
      <w:pPr>
        <w:rPr>
          <w:rFonts w:ascii="Arial" w:eastAsia="Arial" w:hAnsi="Arial" w:cs="Arial"/>
          <w:b/>
          <w:bCs/>
        </w:rPr>
      </w:pPr>
    </w:p>
    <w:p w14:paraId="40D70988" w14:textId="77777777" w:rsidR="00E026B0" w:rsidRPr="00D23C75" w:rsidRDefault="00E026B0" w:rsidP="00F11EBD">
      <w:pPr>
        <w:rPr>
          <w:rFonts w:ascii="Arial" w:eastAsia="Arial" w:hAnsi="Arial" w:cs="Arial"/>
          <w:b/>
          <w:bCs/>
        </w:rPr>
      </w:pPr>
    </w:p>
    <w:tbl>
      <w:tblPr>
        <w:tblW w:w="0" w:type="auto"/>
        <w:tblInd w:w="3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039"/>
        <w:gridCol w:w="3187"/>
        <w:gridCol w:w="900"/>
        <w:gridCol w:w="3240"/>
      </w:tblGrid>
      <w:tr w:rsidR="00E026B0" w:rsidRPr="00D23C75" w14:paraId="383DE13D" w14:textId="77777777" w:rsidTr="004B583B">
        <w:trPr>
          <w:trHeight w:val="254"/>
        </w:trPr>
        <w:tc>
          <w:tcPr>
            <w:tcW w:w="1039" w:type="dxa"/>
          </w:tcPr>
          <w:p w14:paraId="14958079" w14:textId="77777777" w:rsidR="00E026B0" w:rsidRPr="00D23C75" w:rsidRDefault="00E026B0" w:rsidP="004B583B">
            <w:pPr>
              <w:pStyle w:val="TableParagraph"/>
              <w:spacing w:line="231" w:lineRule="exact"/>
              <w:ind w:left="107" w:right="180"/>
              <w:jc w:val="left"/>
              <w:rPr>
                <w:rFonts w:ascii="Arial" w:hAnsi="Arial" w:cs="Arial"/>
              </w:rPr>
            </w:pPr>
            <w:r w:rsidRPr="00D23C75">
              <w:rPr>
                <w:rFonts w:ascii="Arial" w:hAnsi="Arial" w:cs="Arial"/>
              </w:rPr>
              <w:t>Tr.</w:t>
            </w:r>
            <w:r w:rsidRPr="00D23C75">
              <w:rPr>
                <w:rFonts w:ascii="Arial" w:hAnsi="Arial" w:cs="Arial"/>
                <w:spacing w:val="2"/>
              </w:rPr>
              <w:t xml:space="preserve"> </w:t>
            </w:r>
            <w:r w:rsidRPr="00D23C75">
              <w:rPr>
                <w:rFonts w:ascii="Arial" w:hAnsi="Arial" w:cs="Arial"/>
                <w:spacing w:val="-5"/>
              </w:rPr>
              <w:t>No.</w:t>
            </w:r>
          </w:p>
        </w:tc>
        <w:tc>
          <w:tcPr>
            <w:tcW w:w="3187" w:type="dxa"/>
          </w:tcPr>
          <w:p w14:paraId="466E622C" w14:textId="77777777" w:rsidR="00E026B0" w:rsidRPr="00D23C75" w:rsidRDefault="00E026B0" w:rsidP="004B583B">
            <w:pPr>
              <w:pStyle w:val="TableParagraph"/>
              <w:spacing w:line="231" w:lineRule="exact"/>
              <w:ind w:left="106" w:right="180"/>
              <w:jc w:val="left"/>
              <w:rPr>
                <w:rFonts w:ascii="Arial" w:hAnsi="Arial" w:cs="Arial"/>
              </w:rPr>
            </w:pPr>
            <w:r w:rsidRPr="00D23C75">
              <w:rPr>
                <w:rFonts w:ascii="Arial" w:hAnsi="Arial" w:cs="Arial"/>
                <w:spacing w:val="-2"/>
              </w:rPr>
              <w:t>Treatments</w:t>
            </w:r>
          </w:p>
        </w:tc>
        <w:tc>
          <w:tcPr>
            <w:tcW w:w="900" w:type="dxa"/>
          </w:tcPr>
          <w:p w14:paraId="13B8FF04" w14:textId="77777777" w:rsidR="00E026B0" w:rsidRPr="00D23C75" w:rsidRDefault="00E026B0" w:rsidP="004B583B">
            <w:pPr>
              <w:pStyle w:val="TableParagraph"/>
              <w:spacing w:line="231" w:lineRule="exact"/>
              <w:ind w:left="103" w:right="180"/>
              <w:jc w:val="left"/>
              <w:rPr>
                <w:rFonts w:ascii="Arial" w:hAnsi="Arial" w:cs="Arial"/>
              </w:rPr>
            </w:pPr>
            <w:r w:rsidRPr="00D23C75">
              <w:rPr>
                <w:rFonts w:ascii="Arial" w:hAnsi="Arial" w:cs="Arial"/>
              </w:rPr>
              <w:t>Tr.</w:t>
            </w:r>
            <w:r w:rsidRPr="00D23C75">
              <w:rPr>
                <w:rFonts w:ascii="Arial" w:hAnsi="Arial" w:cs="Arial"/>
                <w:spacing w:val="2"/>
              </w:rPr>
              <w:t xml:space="preserve"> </w:t>
            </w:r>
            <w:r w:rsidRPr="00D23C75">
              <w:rPr>
                <w:rFonts w:ascii="Arial" w:hAnsi="Arial" w:cs="Arial"/>
                <w:spacing w:val="-5"/>
              </w:rPr>
              <w:t>No.</w:t>
            </w:r>
          </w:p>
        </w:tc>
        <w:tc>
          <w:tcPr>
            <w:tcW w:w="3240" w:type="dxa"/>
          </w:tcPr>
          <w:p w14:paraId="3B1BE571" w14:textId="77777777" w:rsidR="00E026B0" w:rsidRPr="00D23C75" w:rsidRDefault="00E026B0" w:rsidP="004B583B">
            <w:pPr>
              <w:pStyle w:val="TableParagraph"/>
              <w:spacing w:line="231" w:lineRule="exact"/>
              <w:ind w:left="105" w:right="180"/>
              <w:jc w:val="left"/>
              <w:rPr>
                <w:rFonts w:ascii="Arial" w:hAnsi="Arial" w:cs="Arial"/>
              </w:rPr>
            </w:pPr>
            <w:r w:rsidRPr="00D23C75">
              <w:rPr>
                <w:rFonts w:ascii="Arial" w:hAnsi="Arial" w:cs="Arial"/>
                <w:spacing w:val="-2"/>
              </w:rPr>
              <w:t>Treatments</w:t>
            </w:r>
          </w:p>
        </w:tc>
      </w:tr>
      <w:tr w:rsidR="00E026B0" w:rsidRPr="00D23C75" w14:paraId="23CEA0BD" w14:textId="77777777" w:rsidTr="004B583B">
        <w:trPr>
          <w:trHeight w:val="251"/>
        </w:trPr>
        <w:tc>
          <w:tcPr>
            <w:tcW w:w="1039" w:type="dxa"/>
          </w:tcPr>
          <w:p w14:paraId="38F6BC0D" w14:textId="77777777" w:rsidR="00E026B0" w:rsidRPr="00D23C75" w:rsidRDefault="00E026B0" w:rsidP="004B583B">
            <w:pPr>
              <w:pStyle w:val="TableParagraph"/>
              <w:spacing w:before="2" w:line="229" w:lineRule="exact"/>
              <w:ind w:left="107" w:right="180"/>
              <w:jc w:val="left"/>
              <w:rPr>
                <w:rFonts w:ascii="Arial" w:hAnsi="Arial" w:cs="Arial"/>
                <w:sz w:val="14"/>
              </w:rPr>
            </w:pPr>
            <w:r w:rsidRPr="00D23C75">
              <w:rPr>
                <w:rFonts w:ascii="Arial" w:hAnsi="Arial" w:cs="Arial"/>
                <w:spacing w:val="-5"/>
                <w:position w:val="2"/>
              </w:rPr>
              <w:t>T</w:t>
            </w:r>
            <w:r w:rsidRPr="00D23C75">
              <w:rPr>
                <w:rFonts w:ascii="Arial" w:hAnsi="Arial" w:cs="Arial"/>
                <w:spacing w:val="-5"/>
                <w:sz w:val="14"/>
              </w:rPr>
              <w:t>1</w:t>
            </w:r>
          </w:p>
        </w:tc>
        <w:tc>
          <w:tcPr>
            <w:tcW w:w="3187" w:type="dxa"/>
          </w:tcPr>
          <w:p w14:paraId="6C98FEDC" w14:textId="77777777" w:rsidR="00E026B0" w:rsidRPr="00D23C75" w:rsidRDefault="00E026B0" w:rsidP="004B583B">
            <w:pPr>
              <w:pStyle w:val="TableParagraph"/>
              <w:spacing w:line="228" w:lineRule="exact"/>
              <w:ind w:left="108" w:right="180"/>
              <w:jc w:val="left"/>
              <w:rPr>
                <w:rFonts w:ascii="Arial" w:hAnsi="Arial" w:cs="Arial"/>
                <w:sz w:val="20"/>
              </w:rPr>
            </w:pPr>
            <w:r w:rsidRPr="00D23C75">
              <w:rPr>
                <w:rFonts w:ascii="Arial" w:hAnsi="Arial" w:cs="Arial"/>
                <w:color w:val="000000" w:themeColor="dark1"/>
                <w:kern w:val="24"/>
                <w:sz w:val="20"/>
              </w:rPr>
              <w:t>Carbendazim 50 % WP</w:t>
            </w:r>
          </w:p>
        </w:tc>
        <w:tc>
          <w:tcPr>
            <w:tcW w:w="900" w:type="dxa"/>
          </w:tcPr>
          <w:p w14:paraId="44762A58" w14:textId="77777777" w:rsidR="00E026B0" w:rsidRPr="00D23C75" w:rsidRDefault="00E026B0" w:rsidP="004B583B">
            <w:pPr>
              <w:pStyle w:val="TableParagraph"/>
              <w:spacing w:before="2" w:line="229" w:lineRule="exact"/>
              <w:ind w:left="105" w:right="180"/>
              <w:jc w:val="left"/>
              <w:rPr>
                <w:rFonts w:ascii="Arial" w:hAnsi="Arial" w:cs="Arial"/>
                <w:sz w:val="14"/>
              </w:rPr>
            </w:pPr>
            <w:r w:rsidRPr="00D23C75">
              <w:rPr>
                <w:rFonts w:ascii="Arial" w:hAnsi="Arial" w:cs="Arial"/>
                <w:spacing w:val="-5"/>
                <w:position w:val="2"/>
              </w:rPr>
              <w:t>T</w:t>
            </w:r>
            <w:r w:rsidRPr="00D23C75">
              <w:rPr>
                <w:rFonts w:ascii="Arial" w:hAnsi="Arial" w:cs="Arial"/>
                <w:spacing w:val="-5"/>
                <w:sz w:val="14"/>
              </w:rPr>
              <w:t>5</w:t>
            </w:r>
          </w:p>
        </w:tc>
        <w:tc>
          <w:tcPr>
            <w:tcW w:w="3240" w:type="dxa"/>
          </w:tcPr>
          <w:p w14:paraId="04434585" w14:textId="77777777" w:rsidR="00E026B0" w:rsidRPr="00D23C75" w:rsidRDefault="00E026B0" w:rsidP="004B583B">
            <w:pPr>
              <w:pStyle w:val="TableParagraph"/>
              <w:spacing w:line="228" w:lineRule="exact"/>
              <w:ind w:left="105" w:right="180"/>
              <w:jc w:val="left"/>
              <w:rPr>
                <w:rFonts w:ascii="Arial" w:hAnsi="Arial" w:cs="Arial"/>
                <w:sz w:val="20"/>
              </w:rPr>
            </w:pPr>
            <w:r w:rsidRPr="00D23C75">
              <w:rPr>
                <w:rFonts w:ascii="Arial" w:hAnsi="Arial" w:cs="Arial"/>
                <w:color w:val="000000" w:themeColor="dark1"/>
                <w:kern w:val="24"/>
                <w:sz w:val="20"/>
              </w:rPr>
              <w:t>Hexaconazole 5 % EC</w:t>
            </w:r>
          </w:p>
        </w:tc>
      </w:tr>
      <w:tr w:rsidR="00E026B0" w:rsidRPr="00D23C75" w14:paraId="37B9927D" w14:textId="77777777" w:rsidTr="004B583B">
        <w:trPr>
          <w:trHeight w:val="254"/>
        </w:trPr>
        <w:tc>
          <w:tcPr>
            <w:tcW w:w="1039" w:type="dxa"/>
          </w:tcPr>
          <w:p w14:paraId="48F92696" w14:textId="77777777" w:rsidR="00E026B0" w:rsidRPr="00D23C75" w:rsidRDefault="00E026B0" w:rsidP="004B583B">
            <w:pPr>
              <w:pStyle w:val="TableParagraph"/>
              <w:spacing w:before="2" w:line="231" w:lineRule="exact"/>
              <w:ind w:left="107" w:right="180"/>
              <w:jc w:val="left"/>
              <w:rPr>
                <w:rFonts w:ascii="Arial" w:hAnsi="Arial" w:cs="Arial"/>
                <w:sz w:val="14"/>
              </w:rPr>
            </w:pPr>
            <w:r w:rsidRPr="00D23C75">
              <w:rPr>
                <w:rFonts w:ascii="Arial" w:hAnsi="Arial" w:cs="Arial"/>
                <w:spacing w:val="-5"/>
                <w:position w:val="2"/>
              </w:rPr>
              <w:t>T</w:t>
            </w:r>
            <w:r w:rsidRPr="00D23C75">
              <w:rPr>
                <w:rFonts w:ascii="Arial" w:hAnsi="Arial" w:cs="Arial"/>
                <w:spacing w:val="-5"/>
                <w:sz w:val="14"/>
              </w:rPr>
              <w:t>2</w:t>
            </w:r>
          </w:p>
        </w:tc>
        <w:tc>
          <w:tcPr>
            <w:tcW w:w="3187" w:type="dxa"/>
          </w:tcPr>
          <w:p w14:paraId="194A1D9D" w14:textId="77777777" w:rsidR="00E026B0" w:rsidRPr="00D23C75" w:rsidRDefault="00E026B0" w:rsidP="004B583B">
            <w:pPr>
              <w:pStyle w:val="TableParagraph"/>
              <w:spacing w:line="231" w:lineRule="exact"/>
              <w:ind w:left="108" w:right="180"/>
              <w:jc w:val="left"/>
              <w:rPr>
                <w:rFonts w:ascii="Arial" w:hAnsi="Arial" w:cs="Arial"/>
                <w:sz w:val="20"/>
              </w:rPr>
            </w:pPr>
            <w:r w:rsidRPr="00D23C75">
              <w:rPr>
                <w:rFonts w:ascii="Arial" w:hAnsi="Arial" w:cs="Arial"/>
                <w:color w:val="000000" w:themeColor="dark1"/>
                <w:kern w:val="24"/>
                <w:sz w:val="20"/>
              </w:rPr>
              <w:t>Tebuconazole 25.9 % EC</w:t>
            </w:r>
          </w:p>
        </w:tc>
        <w:tc>
          <w:tcPr>
            <w:tcW w:w="900" w:type="dxa"/>
          </w:tcPr>
          <w:p w14:paraId="4B5ED0B3" w14:textId="77777777" w:rsidR="00E026B0" w:rsidRPr="00D23C75" w:rsidRDefault="00E026B0" w:rsidP="004B583B">
            <w:pPr>
              <w:pStyle w:val="TableParagraph"/>
              <w:spacing w:before="2" w:line="231" w:lineRule="exact"/>
              <w:ind w:left="101" w:right="180"/>
              <w:jc w:val="left"/>
              <w:rPr>
                <w:rFonts w:ascii="Arial" w:hAnsi="Arial" w:cs="Arial"/>
                <w:sz w:val="14"/>
              </w:rPr>
            </w:pPr>
            <w:r w:rsidRPr="00D23C75">
              <w:rPr>
                <w:rFonts w:ascii="Arial" w:hAnsi="Arial" w:cs="Arial"/>
                <w:spacing w:val="-5"/>
                <w:position w:val="2"/>
              </w:rPr>
              <w:t>T</w:t>
            </w:r>
            <w:r w:rsidRPr="00D23C75">
              <w:rPr>
                <w:rFonts w:ascii="Arial" w:hAnsi="Arial" w:cs="Arial"/>
                <w:spacing w:val="-5"/>
                <w:sz w:val="14"/>
              </w:rPr>
              <w:t>6</w:t>
            </w:r>
          </w:p>
        </w:tc>
        <w:tc>
          <w:tcPr>
            <w:tcW w:w="3240" w:type="dxa"/>
          </w:tcPr>
          <w:p w14:paraId="0F793381" w14:textId="77777777" w:rsidR="00E026B0" w:rsidRPr="00D23C75" w:rsidRDefault="00E026B0" w:rsidP="004B583B">
            <w:pPr>
              <w:pStyle w:val="TableParagraph"/>
              <w:spacing w:line="231" w:lineRule="exact"/>
              <w:ind w:left="106" w:right="180"/>
              <w:jc w:val="left"/>
              <w:rPr>
                <w:rFonts w:ascii="Arial" w:hAnsi="Arial" w:cs="Arial"/>
                <w:sz w:val="20"/>
              </w:rPr>
            </w:pPr>
            <w:proofErr w:type="spellStart"/>
            <w:r w:rsidRPr="00D23C75">
              <w:rPr>
                <w:rFonts w:ascii="Arial" w:hAnsi="Arial" w:cs="Arial"/>
                <w:color w:val="000000" w:themeColor="dark1"/>
                <w:kern w:val="24"/>
                <w:sz w:val="20"/>
              </w:rPr>
              <w:t>Pyraclostrobin</w:t>
            </w:r>
            <w:proofErr w:type="spellEnd"/>
            <w:r w:rsidRPr="00D23C75">
              <w:rPr>
                <w:rFonts w:ascii="Arial" w:hAnsi="Arial" w:cs="Arial"/>
                <w:color w:val="000000" w:themeColor="dark1"/>
                <w:kern w:val="24"/>
                <w:sz w:val="20"/>
              </w:rPr>
              <w:t xml:space="preserve"> 20 % WG</w:t>
            </w:r>
          </w:p>
        </w:tc>
      </w:tr>
      <w:tr w:rsidR="00E026B0" w:rsidRPr="00D23C75" w14:paraId="1E52869F" w14:textId="77777777" w:rsidTr="004B583B">
        <w:trPr>
          <w:trHeight w:val="251"/>
        </w:trPr>
        <w:tc>
          <w:tcPr>
            <w:tcW w:w="1039" w:type="dxa"/>
          </w:tcPr>
          <w:p w14:paraId="653588D8" w14:textId="77777777" w:rsidR="00E026B0" w:rsidRPr="00D23C75" w:rsidRDefault="00E026B0" w:rsidP="004B583B">
            <w:pPr>
              <w:pStyle w:val="TableParagraph"/>
              <w:spacing w:before="2" w:line="229" w:lineRule="exact"/>
              <w:ind w:left="107" w:right="180"/>
              <w:jc w:val="left"/>
              <w:rPr>
                <w:rFonts w:ascii="Arial" w:hAnsi="Arial" w:cs="Arial"/>
                <w:sz w:val="14"/>
              </w:rPr>
            </w:pPr>
            <w:r w:rsidRPr="00D23C75">
              <w:rPr>
                <w:rFonts w:ascii="Arial" w:hAnsi="Arial" w:cs="Arial"/>
                <w:spacing w:val="-5"/>
                <w:position w:val="2"/>
              </w:rPr>
              <w:t>T</w:t>
            </w:r>
            <w:r w:rsidRPr="00D23C75">
              <w:rPr>
                <w:rFonts w:ascii="Arial" w:hAnsi="Arial" w:cs="Arial"/>
                <w:spacing w:val="-5"/>
                <w:sz w:val="14"/>
              </w:rPr>
              <w:t>3</w:t>
            </w:r>
          </w:p>
        </w:tc>
        <w:tc>
          <w:tcPr>
            <w:tcW w:w="3187" w:type="dxa"/>
          </w:tcPr>
          <w:p w14:paraId="51CFB297" w14:textId="77777777" w:rsidR="00E026B0" w:rsidRPr="00D23C75" w:rsidRDefault="00E026B0" w:rsidP="004B583B">
            <w:pPr>
              <w:pStyle w:val="TableParagraph"/>
              <w:spacing w:line="228" w:lineRule="exact"/>
              <w:ind w:left="108" w:right="180"/>
              <w:jc w:val="left"/>
              <w:rPr>
                <w:rFonts w:ascii="Arial" w:hAnsi="Arial" w:cs="Arial"/>
                <w:sz w:val="20"/>
              </w:rPr>
            </w:pPr>
            <w:r w:rsidRPr="00D23C75">
              <w:rPr>
                <w:rFonts w:ascii="Arial" w:hAnsi="Arial" w:cs="Arial"/>
                <w:color w:val="000000" w:themeColor="dark1"/>
                <w:kern w:val="24"/>
                <w:sz w:val="20"/>
              </w:rPr>
              <w:t>Thiophanate methyl 70 % WP</w:t>
            </w:r>
          </w:p>
        </w:tc>
        <w:tc>
          <w:tcPr>
            <w:tcW w:w="900" w:type="dxa"/>
          </w:tcPr>
          <w:p w14:paraId="280328D1" w14:textId="77777777" w:rsidR="00E026B0" w:rsidRPr="00D23C75" w:rsidRDefault="00E026B0" w:rsidP="004B583B">
            <w:pPr>
              <w:pStyle w:val="TableParagraph"/>
              <w:spacing w:before="2" w:line="229" w:lineRule="exact"/>
              <w:ind w:left="105" w:right="180"/>
              <w:jc w:val="left"/>
              <w:rPr>
                <w:rFonts w:ascii="Arial" w:hAnsi="Arial" w:cs="Arial"/>
                <w:sz w:val="14"/>
              </w:rPr>
            </w:pPr>
            <w:r w:rsidRPr="00D23C75">
              <w:rPr>
                <w:rFonts w:ascii="Arial" w:hAnsi="Arial" w:cs="Arial"/>
                <w:spacing w:val="-5"/>
                <w:position w:val="2"/>
              </w:rPr>
              <w:t>T</w:t>
            </w:r>
            <w:r w:rsidRPr="00D23C75">
              <w:rPr>
                <w:rFonts w:ascii="Arial" w:hAnsi="Arial" w:cs="Arial"/>
                <w:spacing w:val="-5"/>
                <w:sz w:val="14"/>
              </w:rPr>
              <w:t>7</w:t>
            </w:r>
          </w:p>
        </w:tc>
        <w:tc>
          <w:tcPr>
            <w:tcW w:w="3240" w:type="dxa"/>
          </w:tcPr>
          <w:p w14:paraId="1C41AB3A" w14:textId="77777777" w:rsidR="00E026B0" w:rsidRPr="00D23C75" w:rsidRDefault="00E026B0" w:rsidP="004B583B">
            <w:pPr>
              <w:pStyle w:val="TableParagraph"/>
              <w:spacing w:line="228" w:lineRule="exact"/>
              <w:ind w:left="105" w:right="180"/>
              <w:jc w:val="left"/>
              <w:rPr>
                <w:rFonts w:ascii="Arial" w:hAnsi="Arial" w:cs="Arial"/>
                <w:sz w:val="20"/>
              </w:rPr>
            </w:pPr>
            <w:proofErr w:type="spellStart"/>
            <w:r w:rsidRPr="00D23C75">
              <w:rPr>
                <w:rFonts w:ascii="Arial" w:hAnsi="Arial" w:cs="Arial"/>
                <w:color w:val="000000" w:themeColor="dark1"/>
                <w:kern w:val="24"/>
                <w:sz w:val="20"/>
              </w:rPr>
              <w:t>Difenconazole</w:t>
            </w:r>
            <w:proofErr w:type="spellEnd"/>
            <w:r w:rsidRPr="00D23C75">
              <w:rPr>
                <w:rFonts w:ascii="Arial" w:hAnsi="Arial" w:cs="Arial"/>
                <w:color w:val="000000" w:themeColor="dark1"/>
                <w:kern w:val="24"/>
                <w:sz w:val="20"/>
              </w:rPr>
              <w:t xml:space="preserve"> 25 % EC</w:t>
            </w:r>
          </w:p>
        </w:tc>
      </w:tr>
      <w:tr w:rsidR="00E026B0" w:rsidRPr="00D23C75" w14:paraId="15E344C8" w14:textId="77777777" w:rsidTr="004B583B">
        <w:trPr>
          <w:trHeight w:val="253"/>
        </w:trPr>
        <w:tc>
          <w:tcPr>
            <w:tcW w:w="1039" w:type="dxa"/>
          </w:tcPr>
          <w:p w14:paraId="5F033E3A" w14:textId="77777777" w:rsidR="00E026B0" w:rsidRPr="00D23C75" w:rsidRDefault="00E026B0" w:rsidP="004B583B">
            <w:pPr>
              <w:pStyle w:val="TableParagraph"/>
              <w:spacing w:before="2" w:line="232" w:lineRule="exact"/>
              <w:ind w:left="107" w:right="180"/>
              <w:jc w:val="left"/>
              <w:rPr>
                <w:rFonts w:ascii="Arial" w:hAnsi="Arial" w:cs="Arial"/>
                <w:i/>
              </w:rPr>
            </w:pPr>
            <w:r w:rsidRPr="00D23C75">
              <w:rPr>
                <w:rFonts w:ascii="Arial" w:hAnsi="Arial" w:cs="Arial"/>
                <w:i/>
                <w:spacing w:val="-5"/>
              </w:rPr>
              <w:t>T4</w:t>
            </w:r>
          </w:p>
        </w:tc>
        <w:tc>
          <w:tcPr>
            <w:tcW w:w="3187" w:type="dxa"/>
          </w:tcPr>
          <w:p w14:paraId="1A772751" w14:textId="77777777" w:rsidR="00E026B0" w:rsidRPr="00D23C75" w:rsidRDefault="00E026B0" w:rsidP="004B583B">
            <w:pPr>
              <w:pStyle w:val="TableParagraph"/>
              <w:spacing w:before="2" w:line="232" w:lineRule="exact"/>
              <w:ind w:left="108" w:right="180"/>
              <w:jc w:val="left"/>
              <w:rPr>
                <w:rFonts w:ascii="Arial" w:hAnsi="Arial" w:cs="Arial"/>
                <w:i/>
                <w:sz w:val="20"/>
              </w:rPr>
            </w:pPr>
            <w:r w:rsidRPr="00D23C75">
              <w:rPr>
                <w:rFonts w:ascii="Arial" w:hAnsi="Arial" w:cs="Arial"/>
                <w:color w:val="000000" w:themeColor="dark1"/>
                <w:kern w:val="24"/>
                <w:sz w:val="20"/>
              </w:rPr>
              <w:t>Propiconazole 25 % EC</w:t>
            </w:r>
          </w:p>
        </w:tc>
        <w:tc>
          <w:tcPr>
            <w:tcW w:w="900" w:type="dxa"/>
          </w:tcPr>
          <w:p w14:paraId="682C05A5" w14:textId="77777777" w:rsidR="00E026B0" w:rsidRPr="00D23C75" w:rsidRDefault="00E026B0" w:rsidP="004B583B">
            <w:pPr>
              <w:pStyle w:val="TableParagraph"/>
              <w:spacing w:before="2" w:line="232" w:lineRule="exact"/>
              <w:ind w:left="105" w:right="180"/>
              <w:jc w:val="left"/>
              <w:rPr>
                <w:rFonts w:ascii="Arial" w:hAnsi="Arial" w:cs="Arial"/>
                <w:i/>
              </w:rPr>
            </w:pPr>
            <w:r w:rsidRPr="00D23C75">
              <w:rPr>
                <w:rFonts w:ascii="Arial" w:hAnsi="Arial" w:cs="Arial"/>
                <w:i/>
                <w:spacing w:val="-5"/>
              </w:rPr>
              <w:t>T8</w:t>
            </w:r>
          </w:p>
        </w:tc>
        <w:tc>
          <w:tcPr>
            <w:tcW w:w="3240" w:type="dxa"/>
          </w:tcPr>
          <w:p w14:paraId="7BE1861F" w14:textId="77777777" w:rsidR="00E026B0" w:rsidRPr="00D23C75" w:rsidRDefault="00E026B0" w:rsidP="004B583B">
            <w:pPr>
              <w:pStyle w:val="TableParagraph"/>
              <w:spacing w:before="2" w:line="232" w:lineRule="exact"/>
              <w:ind w:left="105" w:right="180"/>
              <w:jc w:val="left"/>
              <w:rPr>
                <w:rFonts w:ascii="Arial" w:hAnsi="Arial" w:cs="Arial"/>
                <w:i/>
                <w:sz w:val="20"/>
              </w:rPr>
            </w:pPr>
            <w:r w:rsidRPr="00D23C75">
              <w:rPr>
                <w:rFonts w:ascii="Arial" w:hAnsi="Arial" w:cs="Arial"/>
                <w:color w:val="000000" w:themeColor="dark1"/>
                <w:kern w:val="24"/>
                <w:sz w:val="20"/>
              </w:rPr>
              <w:t>Control (untreated)</w:t>
            </w:r>
          </w:p>
        </w:tc>
      </w:tr>
    </w:tbl>
    <w:p w14:paraId="4AD26753" w14:textId="77777777" w:rsidR="00E026B0" w:rsidRPr="00D23C75" w:rsidRDefault="00E026B0" w:rsidP="00E026B0">
      <w:pPr>
        <w:rPr>
          <w:rFonts w:ascii="Arial" w:hAnsi="Arial" w:cs="Arial"/>
          <w:b/>
          <w:i/>
          <w:sz w:val="20"/>
        </w:rPr>
      </w:pPr>
      <w:r w:rsidRPr="00D23C75">
        <w:rPr>
          <w:rFonts w:ascii="Arial" w:hAnsi="Arial" w:cs="Arial"/>
          <w:b/>
          <w:sz w:val="20"/>
        </w:rPr>
        <w:t xml:space="preserve">        Fig.</w:t>
      </w:r>
      <w:r w:rsidRPr="00D23C75">
        <w:rPr>
          <w:rFonts w:ascii="Arial" w:hAnsi="Arial" w:cs="Arial"/>
          <w:b/>
          <w:spacing w:val="-2"/>
          <w:sz w:val="20"/>
        </w:rPr>
        <w:t xml:space="preserve"> </w:t>
      </w:r>
      <w:r w:rsidRPr="00D23C75">
        <w:rPr>
          <w:rFonts w:ascii="Arial" w:hAnsi="Arial" w:cs="Arial"/>
          <w:b/>
          <w:sz w:val="20"/>
        </w:rPr>
        <w:t>1:</w:t>
      </w:r>
      <w:r w:rsidRPr="00D23C75">
        <w:rPr>
          <w:rFonts w:ascii="Arial" w:hAnsi="Arial" w:cs="Arial"/>
          <w:b/>
          <w:spacing w:val="-3"/>
          <w:sz w:val="20"/>
        </w:rPr>
        <w:t xml:space="preserve"> </w:t>
      </w:r>
      <w:r w:rsidRPr="00D23C75">
        <w:rPr>
          <w:rFonts w:ascii="Arial" w:hAnsi="Arial" w:cs="Arial"/>
          <w:b/>
          <w:sz w:val="20"/>
        </w:rPr>
        <w:t>In</w:t>
      </w:r>
      <w:r w:rsidRPr="00D23C75">
        <w:rPr>
          <w:rFonts w:ascii="Arial" w:hAnsi="Arial" w:cs="Arial"/>
          <w:b/>
          <w:spacing w:val="-2"/>
          <w:sz w:val="20"/>
        </w:rPr>
        <w:t xml:space="preserve"> </w:t>
      </w:r>
      <w:r w:rsidRPr="00D23C75">
        <w:rPr>
          <w:rFonts w:ascii="Arial" w:hAnsi="Arial" w:cs="Arial"/>
          <w:b/>
          <w:sz w:val="20"/>
        </w:rPr>
        <w:t>vitro</w:t>
      </w:r>
      <w:r w:rsidRPr="00D23C75">
        <w:rPr>
          <w:rFonts w:ascii="Arial" w:hAnsi="Arial" w:cs="Arial"/>
          <w:b/>
          <w:spacing w:val="-3"/>
          <w:sz w:val="20"/>
        </w:rPr>
        <w:t xml:space="preserve"> </w:t>
      </w:r>
      <w:r w:rsidRPr="00D23C75">
        <w:rPr>
          <w:rFonts w:ascii="Arial" w:hAnsi="Arial" w:cs="Arial"/>
          <w:b/>
          <w:sz w:val="20"/>
        </w:rPr>
        <w:t>efficacy</w:t>
      </w:r>
      <w:r w:rsidRPr="00D23C75">
        <w:rPr>
          <w:rFonts w:ascii="Arial" w:hAnsi="Arial" w:cs="Arial"/>
          <w:b/>
          <w:spacing w:val="-5"/>
          <w:sz w:val="20"/>
        </w:rPr>
        <w:t xml:space="preserve"> </w:t>
      </w:r>
      <w:r w:rsidRPr="00D23C75">
        <w:rPr>
          <w:rFonts w:ascii="Arial" w:hAnsi="Arial" w:cs="Arial"/>
          <w:b/>
          <w:sz w:val="20"/>
        </w:rPr>
        <w:t>of</w:t>
      </w:r>
      <w:r w:rsidRPr="00D23C75">
        <w:rPr>
          <w:rFonts w:ascii="Arial" w:hAnsi="Arial" w:cs="Arial"/>
          <w:b/>
          <w:spacing w:val="-2"/>
          <w:sz w:val="20"/>
        </w:rPr>
        <w:t xml:space="preserve"> </w:t>
      </w:r>
      <w:r w:rsidRPr="00D23C75">
        <w:rPr>
          <w:rFonts w:ascii="Arial" w:hAnsi="Arial" w:cs="Arial"/>
          <w:b/>
          <w:sz w:val="20"/>
        </w:rPr>
        <w:t>systemic</w:t>
      </w:r>
      <w:r w:rsidRPr="00D23C75">
        <w:rPr>
          <w:rFonts w:ascii="Arial" w:hAnsi="Arial" w:cs="Arial"/>
          <w:b/>
          <w:spacing w:val="-2"/>
          <w:sz w:val="20"/>
        </w:rPr>
        <w:t xml:space="preserve"> </w:t>
      </w:r>
      <w:r w:rsidRPr="00D23C75">
        <w:rPr>
          <w:rFonts w:ascii="Arial" w:hAnsi="Arial" w:cs="Arial"/>
          <w:b/>
          <w:sz w:val="20"/>
        </w:rPr>
        <w:t>fungicides</w:t>
      </w:r>
      <w:r w:rsidRPr="00D23C75">
        <w:rPr>
          <w:rFonts w:ascii="Arial" w:hAnsi="Arial" w:cs="Arial"/>
          <w:b/>
          <w:spacing w:val="-5"/>
          <w:sz w:val="20"/>
        </w:rPr>
        <w:t xml:space="preserve"> </w:t>
      </w:r>
      <w:r w:rsidRPr="00D23C75">
        <w:rPr>
          <w:rFonts w:ascii="Arial" w:hAnsi="Arial" w:cs="Arial"/>
          <w:b/>
          <w:sz w:val="20"/>
        </w:rPr>
        <w:t>against</w:t>
      </w:r>
      <w:r w:rsidRPr="00D23C75">
        <w:rPr>
          <w:rFonts w:ascii="Arial" w:hAnsi="Arial" w:cs="Arial"/>
          <w:b/>
          <w:spacing w:val="-4"/>
          <w:sz w:val="20"/>
        </w:rPr>
        <w:t xml:space="preserve"> </w:t>
      </w:r>
      <w:r w:rsidR="00312ABD" w:rsidRPr="00D23C75">
        <w:rPr>
          <w:rFonts w:ascii="Arial" w:hAnsi="Arial" w:cs="Arial"/>
          <w:b/>
          <w:i/>
          <w:iCs/>
          <w:sz w:val="20"/>
        </w:rPr>
        <w:t xml:space="preserve">Alternaria </w:t>
      </w:r>
      <w:proofErr w:type="spellStart"/>
      <w:r w:rsidR="00312ABD" w:rsidRPr="00D23C75">
        <w:rPr>
          <w:rFonts w:ascii="Arial" w:hAnsi="Arial" w:cs="Arial"/>
          <w:b/>
          <w:i/>
          <w:iCs/>
          <w:sz w:val="20"/>
        </w:rPr>
        <w:t>alternata</w:t>
      </w:r>
      <w:proofErr w:type="spellEnd"/>
      <w:r w:rsidR="00312ABD" w:rsidRPr="00D23C75">
        <w:rPr>
          <w:rFonts w:ascii="Arial" w:hAnsi="Arial" w:cs="Arial"/>
          <w:b/>
          <w:i/>
          <w:iCs/>
          <w:sz w:val="20"/>
        </w:rPr>
        <w:t xml:space="preserve"> </w:t>
      </w:r>
      <w:r w:rsidRPr="00D23C75">
        <w:rPr>
          <w:rFonts w:ascii="Arial" w:hAnsi="Arial" w:cs="Arial"/>
          <w:b/>
          <w:i/>
          <w:sz w:val="20"/>
        </w:rPr>
        <w:t xml:space="preserve"> </w:t>
      </w:r>
    </w:p>
    <w:p w14:paraId="04D2BD9D" w14:textId="77777777" w:rsidR="00E026B0" w:rsidRPr="00D23C75" w:rsidRDefault="00E026B0" w:rsidP="00E026B0">
      <w:pPr>
        <w:pStyle w:val="BodyText"/>
        <w:ind w:left="450"/>
        <w:rPr>
          <w:rFonts w:ascii="Arial" w:hAnsi="Arial" w:cs="Arial"/>
          <w:b/>
        </w:rPr>
      </w:pPr>
    </w:p>
    <w:p w14:paraId="23C0D713" w14:textId="77777777" w:rsidR="00E026B0" w:rsidRPr="00D23C75" w:rsidRDefault="00E026B0" w:rsidP="00E026B0">
      <w:pPr>
        <w:pStyle w:val="BodyText"/>
        <w:ind w:left="450"/>
        <w:rPr>
          <w:rFonts w:ascii="Arial" w:hAnsi="Arial" w:cs="Arial"/>
          <w:b/>
        </w:rPr>
      </w:pPr>
    </w:p>
    <w:p w14:paraId="3807BFBB" w14:textId="77777777" w:rsidR="00E026B0" w:rsidRPr="00D23C75" w:rsidRDefault="00E026B0" w:rsidP="00E026B0">
      <w:pPr>
        <w:pStyle w:val="BodyText"/>
        <w:ind w:left="450"/>
        <w:rPr>
          <w:rFonts w:ascii="Arial" w:hAnsi="Arial" w:cs="Arial"/>
          <w:b/>
        </w:rPr>
      </w:pPr>
    </w:p>
    <w:p w14:paraId="1C533BE2" w14:textId="77777777" w:rsidR="00E026B0" w:rsidRPr="00D23C75" w:rsidRDefault="00E026B0" w:rsidP="00E026B0">
      <w:pPr>
        <w:pStyle w:val="BodyText"/>
        <w:ind w:left="450"/>
        <w:jc w:val="both"/>
        <w:rPr>
          <w:rFonts w:ascii="Arial" w:hAnsi="Arial" w:cs="Arial"/>
          <w:b/>
        </w:rPr>
      </w:pPr>
      <w:r w:rsidRPr="00D23C75">
        <w:rPr>
          <w:rFonts w:ascii="Arial" w:hAnsi="Arial" w:cs="Arial"/>
          <w:b/>
        </w:rPr>
        <w:lastRenderedPageBreak/>
        <w:t>3.2 In</w:t>
      </w:r>
      <w:r w:rsidRPr="00D23C75">
        <w:rPr>
          <w:rFonts w:ascii="Arial" w:hAnsi="Arial" w:cs="Arial"/>
          <w:b/>
          <w:spacing w:val="-3"/>
        </w:rPr>
        <w:t xml:space="preserve"> </w:t>
      </w:r>
      <w:r w:rsidRPr="00D23C75">
        <w:rPr>
          <w:rFonts w:ascii="Arial" w:hAnsi="Arial" w:cs="Arial"/>
          <w:b/>
        </w:rPr>
        <w:t>Vitro</w:t>
      </w:r>
      <w:r w:rsidRPr="00D23C75">
        <w:rPr>
          <w:rFonts w:ascii="Arial" w:hAnsi="Arial" w:cs="Arial"/>
          <w:b/>
          <w:spacing w:val="-2"/>
        </w:rPr>
        <w:t xml:space="preserve"> </w:t>
      </w:r>
      <w:r w:rsidRPr="00D23C75">
        <w:rPr>
          <w:rFonts w:ascii="Arial" w:hAnsi="Arial" w:cs="Arial"/>
          <w:b/>
        </w:rPr>
        <w:t>Efficacy</w:t>
      </w:r>
      <w:r w:rsidRPr="00D23C75">
        <w:rPr>
          <w:rFonts w:ascii="Arial" w:hAnsi="Arial" w:cs="Arial"/>
          <w:b/>
          <w:spacing w:val="-5"/>
        </w:rPr>
        <w:t xml:space="preserve"> </w:t>
      </w:r>
      <w:r w:rsidRPr="00D23C75">
        <w:rPr>
          <w:rFonts w:ascii="Arial" w:hAnsi="Arial" w:cs="Arial"/>
          <w:b/>
        </w:rPr>
        <w:t>of</w:t>
      </w:r>
      <w:r w:rsidRPr="00D23C75">
        <w:rPr>
          <w:rFonts w:ascii="Arial" w:hAnsi="Arial" w:cs="Arial"/>
          <w:b/>
          <w:spacing w:val="-2"/>
        </w:rPr>
        <w:t xml:space="preserve"> </w:t>
      </w:r>
      <w:r w:rsidRPr="00D23C75">
        <w:rPr>
          <w:rFonts w:ascii="Arial" w:hAnsi="Arial" w:cs="Arial"/>
          <w:b/>
        </w:rPr>
        <w:t>Bio-Agents</w:t>
      </w:r>
      <w:r w:rsidRPr="00D23C75">
        <w:rPr>
          <w:rFonts w:ascii="Arial" w:hAnsi="Arial" w:cs="Arial"/>
          <w:b/>
          <w:spacing w:val="-2"/>
        </w:rPr>
        <w:t xml:space="preserve"> </w:t>
      </w:r>
      <w:r w:rsidRPr="00D23C75">
        <w:rPr>
          <w:rFonts w:ascii="Arial" w:hAnsi="Arial" w:cs="Arial"/>
          <w:b/>
        </w:rPr>
        <w:t>Against</w:t>
      </w:r>
      <w:r w:rsidRPr="00D23C75">
        <w:rPr>
          <w:rFonts w:ascii="Arial" w:hAnsi="Arial" w:cs="Arial"/>
          <w:b/>
          <w:spacing w:val="-2"/>
        </w:rPr>
        <w:t xml:space="preserve"> </w:t>
      </w:r>
      <w:r w:rsidR="00312ABD" w:rsidRPr="00D23C75">
        <w:rPr>
          <w:rFonts w:ascii="Arial" w:hAnsi="Arial" w:cs="Arial"/>
          <w:b/>
          <w:i/>
          <w:iCs/>
        </w:rPr>
        <w:t xml:space="preserve">Alternaria </w:t>
      </w:r>
      <w:proofErr w:type="spellStart"/>
      <w:r w:rsidR="00312ABD" w:rsidRPr="00D23C75">
        <w:rPr>
          <w:rFonts w:ascii="Arial" w:hAnsi="Arial" w:cs="Arial"/>
          <w:b/>
          <w:i/>
          <w:iCs/>
        </w:rPr>
        <w:t>alternata</w:t>
      </w:r>
      <w:proofErr w:type="spellEnd"/>
      <w:r w:rsidR="00312ABD" w:rsidRPr="00D23C75">
        <w:rPr>
          <w:rFonts w:ascii="Arial" w:hAnsi="Arial" w:cs="Arial"/>
          <w:b/>
          <w:i/>
          <w:iCs/>
        </w:rPr>
        <w:t xml:space="preserve"> </w:t>
      </w:r>
      <w:r w:rsidRPr="00D23C75">
        <w:rPr>
          <w:rFonts w:ascii="Arial" w:hAnsi="Arial" w:cs="Arial"/>
          <w:b/>
        </w:rPr>
        <w:t xml:space="preserve"> </w:t>
      </w:r>
    </w:p>
    <w:p w14:paraId="402D0380" w14:textId="77777777" w:rsidR="00E026B0" w:rsidRPr="00D23C75" w:rsidRDefault="00E026B0" w:rsidP="00E026B0">
      <w:pPr>
        <w:ind w:left="450"/>
        <w:jc w:val="both"/>
        <w:rPr>
          <w:rFonts w:ascii="Arial" w:hAnsi="Arial" w:cs="Arial"/>
        </w:rPr>
      </w:pPr>
      <w:r w:rsidRPr="00D23C75">
        <w:rPr>
          <w:rFonts w:ascii="Arial" w:hAnsi="Arial" w:cs="Arial"/>
        </w:rPr>
        <w:t xml:space="preserve">Screening seven biocontrol agents using the dual-culture technique demonstrated significant inhibition (P = 0.01) of </w:t>
      </w:r>
      <w:r w:rsidRPr="00D23C75">
        <w:rPr>
          <w:rFonts w:ascii="Arial" w:hAnsi="Arial" w:cs="Arial"/>
          <w:i/>
        </w:rPr>
        <w:t>Alternaria alternata</w:t>
      </w:r>
      <w:r w:rsidRPr="00D23C75">
        <w:rPr>
          <w:rFonts w:ascii="Arial" w:hAnsi="Arial" w:cs="Arial"/>
        </w:rPr>
        <w:t xml:space="preserve"> mycelial growth relative to the control (Plate 2, Table 4 and Fig. 2).</w:t>
      </w:r>
    </w:p>
    <w:p w14:paraId="19EC1A65" w14:textId="77777777" w:rsidR="002A662F" w:rsidRPr="00D23C75" w:rsidRDefault="00275AFA" w:rsidP="008A645C">
      <w:pPr>
        <w:ind w:left="360"/>
        <w:rPr>
          <w:rFonts w:ascii="Arial" w:hAnsi="Arial" w:cs="Arial"/>
          <w:sz w:val="20"/>
        </w:rPr>
      </w:pPr>
      <w:r w:rsidRPr="00D23C75">
        <w:rPr>
          <w:rFonts w:ascii="Arial" w:hAnsi="Arial" w:cs="Arial"/>
          <w:sz w:val="20"/>
        </w:rPr>
        <w:t xml:space="preserve">The significant antagonism recorded in dual culture agrees with the established capacity of Trichoderma spp. to restrict fungal pathogens through rapid competitive growth, mycoparasitism, hydrolytic enzymes and antifungal metabolites (Harman </w:t>
      </w:r>
      <w:r w:rsidRPr="00D23C75">
        <w:rPr>
          <w:rFonts w:ascii="Arial" w:hAnsi="Arial" w:cs="Arial"/>
          <w:i/>
          <w:sz w:val="20"/>
        </w:rPr>
        <w:t>et al.</w:t>
      </w:r>
      <w:r w:rsidRPr="00D23C75">
        <w:rPr>
          <w:rFonts w:ascii="Arial" w:hAnsi="Arial" w:cs="Arial"/>
          <w:sz w:val="20"/>
        </w:rPr>
        <w:t xml:space="preserve">, 2004; Kumar </w:t>
      </w:r>
      <w:r w:rsidRPr="00D23C75">
        <w:rPr>
          <w:rFonts w:ascii="Arial" w:hAnsi="Arial" w:cs="Arial"/>
          <w:i/>
          <w:sz w:val="20"/>
        </w:rPr>
        <w:t>et al.</w:t>
      </w:r>
      <w:r w:rsidRPr="00D23C75">
        <w:rPr>
          <w:rFonts w:ascii="Arial" w:hAnsi="Arial" w:cs="Arial"/>
          <w:sz w:val="20"/>
        </w:rPr>
        <w:t xml:space="preserve">, 2026). Recent experimental work with </w:t>
      </w:r>
      <w:r w:rsidRPr="00D23C75">
        <w:rPr>
          <w:rFonts w:ascii="Arial" w:hAnsi="Arial" w:cs="Arial"/>
          <w:i/>
          <w:sz w:val="20"/>
        </w:rPr>
        <w:t>A. alternata</w:t>
      </w:r>
      <w:r w:rsidRPr="00D23C75">
        <w:rPr>
          <w:rFonts w:ascii="Arial" w:hAnsi="Arial" w:cs="Arial"/>
          <w:sz w:val="20"/>
        </w:rPr>
        <w:t xml:space="preserve"> also demonstrates substantial inhibition by Trichoderma metabolites and dual-culture interactions, supporting the biological plausibility of the present screening results (Philip </w:t>
      </w:r>
      <w:r w:rsidRPr="00D23C75">
        <w:rPr>
          <w:rFonts w:ascii="Arial" w:hAnsi="Arial" w:cs="Arial"/>
          <w:i/>
          <w:sz w:val="20"/>
        </w:rPr>
        <w:t>et al.</w:t>
      </w:r>
      <w:r w:rsidRPr="00D23C75">
        <w:rPr>
          <w:rFonts w:ascii="Arial" w:hAnsi="Arial" w:cs="Arial"/>
          <w:sz w:val="20"/>
        </w:rPr>
        <w:t>, 2024).</w:t>
      </w:r>
    </w:p>
    <w:p w14:paraId="11BD66D1" w14:textId="77777777" w:rsidR="00E026B0" w:rsidRPr="00D23C75" w:rsidRDefault="00E026B0" w:rsidP="00E026B0">
      <w:pPr>
        <w:pStyle w:val="Heading2"/>
        <w:tabs>
          <w:tab w:val="left" w:pos="987"/>
        </w:tabs>
        <w:ind w:left="360" w:right="180" w:firstLine="0"/>
        <w:rPr>
          <w:spacing w:val="-2"/>
        </w:rPr>
      </w:pPr>
      <w:r w:rsidRPr="00D23C75">
        <w:t>3.2.1</w:t>
      </w:r>
      <w:r w:rsidR="00954729" w:rsidRPr="00D23C75">
        <w:t xml:space="preserve"> </w:t>
      </w:r>
      <w:r w:rsidRPr="00D23C75">
        <w:t>Effect</w:t>
      </w:r>
      <w:r w:rsidRPr="00D23C75">
        <w:rPr>
          <w:spacing w:val="-3"/>
        </w:rPr>
        <w:t xml:space="preserve"> </w:t>
      </w:r>
      <w:r w:rsidRPr="00D23C75">
        <w:t>on</w:t>
      </w:r>
      <w:r w:rsidRPr="00D23C75">
        <w:rPr>
          <w:spacing w:val="-3"/>
        </w:rPr>
        <w:t xml:space="preserve"> </w:t>
      </w:r>
      <w:r w:rsidRPr="00D23C75">
        <w:t>Pathogen</w:t>
      </w:r>
      <w:r w:rsidRPr="00D23C75">
        <w:rPr>
          <w:spacing w:val="-5"/>
        </w:rPr>
        <w:t xml:space="preserve"> </w:t>
      </w:r>
      <w:r w:rsidRPr="00D23C75">
        <w:t>Mycelial</w:t>
      </w:r>
      <w:r w:rsidRPr="00D23C75">
        <w:rPr>
          <w:spacing w:val="-2"/>
        </w:rPr>
        <w:t xml:space="preserve"> Growth and </w:t>
      </w:r>
      <w:r w:rsidRPr="00D23C75">
        <w:t>Per Cent</w:t>
      </w:r>
      <w:r w:rsidRPr="00D23C75">
        <w:rPr>
          <w:spacing w:val="-6"/>
        </w:rPr>
        <w:t xml:space="preserve"> </w:t>
      </w:r>
      <w:r w:rsidRPr="00D23C75">
        <w:t>Growth</w:t>
      </w:r>
      <w:r w:rsidRPr="00D23C75">
        <w:rPr>
          <w:spacing w:val="-4"/>
        </w:rPr>
        <w:t xml:space="preserve"> </w:t>
      </w:r>
      <w:r w:rsidRPr="00D23C75">
        <w:rPr>
          <w:spacing w:val="-2"/>
        </w:rPr>
        <w:t>Inhibition</w:t>
      </w:r>
    </w:p>
    <w:p w14:paraId="2A1E1666" w14:textId="77777777" w:rsidR="00E026B0" w:rsidRPr="00D23C75" w:rsidRDefault="00E026B0" w:rsidP="00E026B0">
      <w:pPr>
        <w:pStyle w:val="Heading2"/>
        <w:tabs>
          <w:tab w:val="left" w:pos="987"/>
        </w:tabs>
        <w:ind w:left="360" w:right="180" w:firstLine="0"/>
        <w:jc w:val="both"/>
        <w:rPr>
          <w:rFonts w:eastAsia="Microsoft Sans Serif"/>
          <w:b w:val="0"/>
          <w:bCs w:val="0"/>
          <w:sz w:val="20"/>
        </w:rPr>
      </w:pPr>
      <w:r w:rsidRPr="00D23C75">
        <w:rPr>
          <w:rFonts w:eastAsia="Microsoft Sans Serif"/>
          <w:b w:val="0"/>
          <w:bCs w:val="0"/>
          <w:sz w:val="20"/>
        </w:rPr>
        <w:t xml:space="preserve">All tested biocontrol agents significantly restricted pathogen radial expansion compared with the untreated control (90.00 mm). Among the seven bioagents, </w:t>
      </w:r>
      <w:r w:rsidRPr="00D23C75">
        <w:rPr>
          <w:rFonts w:eastAsia="Microsoft Sans Serif"/>
          <w:b w:val="0"/>
          <w:bCs w:val="0"/>
          <w:i/>
          <w:sz w:val="20"/>
        </w:rPr>
        <w:t>Trichoderma asperellum</w:t>
      </w:r>
      <w:r w:rsidRPr="00D23C75">
        <w:rPr>
          <w:rFonts w:eastAsia="Microsoft Sans Serif"/>
          <w:b w:val="0"/>
          <w:bCs w:val="0"/>
          <w:sz w:val="20"/>
        </w:rPr>
        <w:t xml:space="preserve"> recorded the lowest radial mycelial growth (20.16 mm) and the highest mycelial growth inhibition (77.60%), followed by </w:t>
      </w:r>
      <w:r w:rsidRPr="00D23C75">
        <w:rPr>
          <w:rFonts w:eastAsia="Microsoft Sans Serif"/>
          <w:b w:val="0"/>
          <w:bCs w:val="0"/>
          <w:i/>
          <w:sz w:val="20"/>
        </w:rPr>
        <w:t>T. harzianum</w:t>
      </w:r>
      <w:r w:rsidRPr="00D23C75">
        <w:rPr>
          <w:rFonts w:eastAsia="Microsoft Sans Serif"/>
          <w:b w:val="0"/>
          <w:bCs w:val="0"/>
          <w:sz w:val="20"/>
        </w:rPr>
        <w:t xml:space="preserve"> (21.16 mm and 76.48%), </w:t>
      </w:r>
      <w:r w:rsidRPr="00D23C75">
        <w:rPr>
          <w:rFonts w:eastAsia="Microsoft Sans Serif"/>
          <w:b w:val="0"/>
          <w:bCs w:val="0"/>
          <w:i/>
          <w:sz w:val="20"/>
        </w:rPr>
        <w:t>Aspergillus niger</w:t>
      </w:r>
      <w:r w:rsidRPr="00D23C75">
        <w:rPr>
          <w:rFonts w:eastAsia="Microsoft Sans Serif"/>
          <w:b w:val="0"/>
          <w:bCs w:val="0"/>
          <w:sz w:val="20"/>
        </w:rPr>
        <w:t xml:space="preserve"> (23.50 mm and 73.88%), </w:t>
      </w:r>
      <w:r w:rsidRPr="00D23C75">
        <w:rPr>
          <w:rFonts w:eastAsia="Microsoft Sans Serif"/>
          <w:b w:val="0"/>
          <w:bCs w:val="0"/>
          <w:i/>
          <w:sz w:val="20"/>
        </w:rPr>
        <w:t>T. koningii</w:t>
      </w:r>
      <w:r w:rsidRPr="00D23C75">
        <w:rPr>
          <w:rFonts w:eastAsia="Microsoft Sans Serif"/>
          <w:b w:val="0"/>
          <w:bCs w:val="0"/>
          <w:sz w:val="20"/>
        </w:rPr>
        <w:t xml:space="preserve"> (24.33 mm and 72.96%), </w:t>
      </w:r>
      <w:r w:rsidRPr="00D23C75">
        <w:rPr>
          <w:rFonts w:eastAsia="Microsoft Sans Serif"/>
          <w:b w:val="0"/>
          <w:bCs w:val="0"/>
          <w:i/>
          <w:sz w:val="20"/>
        </w:rPr>
        <w:t>T. hamatum</w:t>
      </w:r>
      <w:r w:rsidRPr="00D23C75">
        <w:rPr>
          <w:rFonts w:eastAsia="Microsoft Sans Serif"/>
          <w:b w:val="0"/>
          <w:bCs w:val="0"/>
          <w:sz w:val="20"/>
        </w:rPr>
        <w:t xml:space="preserve"> (29.66 mm and 67.04%), </w:t>
      </w:r>
      <w:r w:rsidRPr="00D23C75">
        <w:rPr>
          <w:rFonts w:eastAsia="Microsoft Sans Serif"/>
          <w:b w:val="0"/>
          <w:bCs w:val="0"/>
          <w:i/>
          <w:sz w:val="20"/>
        </w:rPr>
        <w:t>Bacillus subtilis</w:t>
      </w:r>
      <w:r w:rsidRPr="00D23C75">
        <w:rPr>
          <w:rFonts w:eastAsia="Microsoft Sans Serif"/>
          <w:b w:val="0"/>
          <w:bCs w:val="0"/>
          <w:sz w:val="20"/>
        </w:rPr>
        <w:t xml:space="preserve"> (44.33 mm and 50.74%) and </w:t>
      </w:r>
      <w:r w:rsidRPr="00D23C75">
        <w:rPr>
          <w:rFonts w:eastAsia="Microsoft Sans Serif"/>
          <w:b w:val="0"/>
          <w:bCs w:val="0"/>
          <w:i/>
          <w:sz w:val="20"/>
        </w:rPr>
        <w:t>Pseudomonas fluorescens</w:t>
      </w:r>
      <w:r w:rsidRPr="00D23C75">
        <w:rPr>
          <w:rFonts w:eastAsia="Microsoft Sans Serif"/>
          <w:b w:val="0"/>
          <w:bCs w:val="0"/>
          <w:sz w:val="20"/>
        </w:rPr>
        <w:t xml:space="preserve"> (48.33 mm and 46.30%) (Bhosale et al., 2018; Chitra et al., 2025; Chaudhary et al., 2018).</w:t>
      </w:r>
    </w:p>
    <w:p w14:paraId="5F4E22EA" w14:textId="77777777" w:rsidR="002A662F" w:rsidRPr="00D23C75" w:rsidRDefault="00275AFA" w:rsidP="00982588">
      <w:pPr>
        <w:ind w:left="360"/>
        <w:jc w:val="both"/>
        <w:rPr>
          <w:rFonts w:ascii="Arial" w:hAnsi="Arial" w:cs="Arial"/>
          <w:sz w:val="20"/>
        </w:rPr>
      </w:pPr>
      <w:r w:rsidRPr="00D23C75">
        <w:rPr>
          <w:rFonts w:ascii="Arial" w:hAnsi="Arial" w:cs="Arial"/>
          <w:sz w:val="20"/>
        </w:rPr>
        <w:t xml:space="preserve">The comparatively high inhibition by </w:t>
      </w:r>
      <w:r w:rsidRPr="00D23C75">
        <w:rPr>
          <w:rFonts w:ascii="Arial" w:hAnsi="Arial" w:cs="Arial"/>
          <w:i/>
          <w:sz w:val="20"/>
        </w:rPr>
        <w:t>T. asperellum</w:t>
      </w:r>
      <w:r w:rsidRPr="00D23C75">
        <w:rPr>
          <w:rFonts w:ascii="Arial" w:hAnsi="Arial" w:cs="Arial"/>
          <w:sz w:val="20"/>
        </w:rPr>
        <w:t xml:space="preserve"> and </w:t>
      </w:r>
      <w:r w:rsidRPr="00D23C75">
        <w:rPr>
          <w:rFonts w:ascii="Arial" w:hAnsi="Arial" w:cs="Arial"/>
          <w:i/>
          <w:sz w:val="20"/>
        </w:rPr>
        <w:t>T. harzianum</w:t>
      </w:r>
      <w:r w:rsidRPr="00D23C75">
        <w:rPr>
          <w:rFonts w:ascii="Arial" w:hAnsi="Arial" w:cs="Arial"/>
          <w:sz w:val="20"/>
        </w:rPr>
        <w:t xml:space="preserve"> is consistent with the multifunctional antagonistic behaviour widely reported for Trichoderma species (Harman </w:t>
      </w:r>
      <w:r w:rsidRPr="00D23C75">
        <w:rPr>
          <w:rFonts w:ascii="Arial" w:hAnsi="Arial" w:cs="Arial"/>
          <w:i/>
          <w:sz w:val="20"/>
        </w:rPr>
        <w:t>et al.</w:t>
      </w:r>
      <w:r w:rsidRPr="00D23C75">
        <w:rPr>
          <w:rFonts w:ascii="Arial" w:hAnsi="Arial" w:cs="Arial"/>
          <w:sz w:val="20"/>
        </w:rPr>
        <w:t xml:space="preserve">, 2004; Kumar </w:t>
      </w:r>
      <w:r w:rsidRPr="00D23C75">
        <w:rPr>
          <w:rFonts w:ascii="Arial" w:hAnsi="Arial" w:cs="Arial"/>
          <w:i/>
          <w:sz w:val="20"/>
        </w:rPr>
        <w:t>et al.</w:t>
      </w:r>
      <w:r w:rsidRPr="00D23C75">
        <w:rPr>
          <w:rFonts w:ascii="Arial" w:hAnsi="Arial" w:cs="Arial"/>
          <w:sz w:val="20"/>
        </w:rPr>
        <w:t xml:space="preserve">, 2026). The activity of </w:t>
      </w:r>
      <w:r w:rsidRPr="00D23C75">
        <w:rPr>
          <w:rFonts w:ascii="Arial" w:hAnsi="Arial" w:cs="Arial"/>
          <w:i/>
          <w:sz w:val="20"/>
        </w:rPr>
        <w:t>B. subtilis</w:t>
      </w:r>
      <w:r w:rsidRPr="00D23C75">
        <w:rPr>
          <w:rFonts w:ascii="Arial" w:hAnsi="Arial" w:cs="Arial"/>
          <w:sz w:val="20"/>
        </w:rPr>
        <w:t xml:space="preserve"> is also mechanistically credible because Bacillus lipopeptides can exert direct antifungal effects against </w:t>
      </w:r>
      <w:r w:rsidRPr="00D23C75">
        <w:rPr>
          <w:rFonts w:ascii="Arial" w:hAnsi="Arial" w:cs="Arial"/>
          <w:i/>
          <w:sz w:val="20"/>
        </w:rPr>
        <w:t>A. alternata</w:t>
      </w:r>
      <w:r w:rsidRPr="00D23C75">
        <w:rPr>
          <w:rFonts w:ascii="Arial" w:hAnsi="Arial" w:cs="Arial"/>
          <w:sz w:val="20"/>
        </w:rPr>
        <w:t xml:space="preserve"> (Harish </w:t>
      </w:r>
      <w:r w:rsidRPr="00D23C75">
        <w:rPr>
          <w:rFonts w:ascii="Arial" w:hAnsi="Arial" w:cs="Arial"/>
          <w:i/>
          <w:sz w:val="20"/>
        </w:rPr>
        <w:t>et al.</w:t>
      </w:r>
      <w:r w:rsidRPr="00D23C75">
        <w:rPr>
          <w:rFonts w:ascii="Arial" w:hAnsi="Arial" w:cs="Arial"/>
          <w:sz w:val="20"/>
        </w:rPr>
        <w:t>, 2023), while recent Trichoderma-</w:t>
      </w:r>
      <w:r w:rsidRPr="00D23C75">
        <w:rPr>
          <w:rFonts w:ascii="Arial" w:hAnsi="Arial" w:cs="Arial"/>
          <w:i/>
          <w:sz w:val="20"/>
        </w:rPr>
        <w:t>A. alternata</w:t>
      </w:r>
      <w:r w:rsidRPr="00D23C75">
        <w:rPr>
          <w:rFonts w:ascii="Arial" w:hAnsi="Arial" w:cs="Arial"/>
          <w:sz w:val="20"/>
        </w:rPr>
        <w:t xml:space="preserve"> work has documented inhibition near the magnitude observed in the present assay (Philip </w:t>
      </w:r>
      <w:r w:rsidRPr="00D23C75">
        <w:rPr>
          <w:rFonts w:ascii="Arial" w:hAnsi="Arial" w:cs="Arial"/>
          <w:i/>
          <w:sz w:val="20"/>
        </w:rPr>
        <w:t>et al.</w:t>
      </w:r>
      <w:r w:rsidRPr="00D23C75">
        <w:rPr>
          <w:rFonts w:ascii="Arial" w:hAnsi="Arial" w:cs="Arial"/>
          <w:sz w:val="20"/>
        </w:rPr>
        <w:t xml:space="preserve">, 2024). Because antagonistic efficacy is strain- and environment-dependent, these </w:t>
      </w:r>
      <w:r w:rsidRPr="00D23C75">
        <w:rPr>
          <w:rFonts w:ascii="Arial" w:hAnsi="Arial" w:cs="Arial"/>
          <w:i/>
          <w:sz w:val="20"/>
        </w:rPr>
        <w:t>in vitro</w:t>
      </w:r>
      <w:r w:rsidRPr="00D23C75">
        <w:rPr>
          <w:rFonts w:ascii="Arial" w:hAnsi="Arial" w:cs="Arial"/>
          <w:sz w:val="20"/>
        </w:rPr>
        <w:t xml:space="preserve"> rankings should be treated as a basis for further compatibility, formulation, greenhouse and field testing rather than as definitive evidence of disease control under farm conditions.</w:t>
      </w:r>
    </w:p>
    <w:p w14:paraId="539E5F5F" w14:textId="77777777" w:rsidR="00E026B0" w:rsidRPr="00D23C75" w:rsidRDefault="00E026B0" w:rsidP="00E026B0">
      <w:pPr>
        <w:pStyle w:val="Heading2"/>
        <w:tabs>
          <w:tab w:val="left" w:pos="987"/>
        </w:tabs>
        <w:ind w:left="360" w:right="180" w:firstLine="0"/>
      </w:pPr>
      <w:r w:rsidRPr="00D23C75">
        <w:rPr>
          <w:noProof/>
        </w:rPr>
        <w:drawing>
          <wp:anchor distT="0" distB="0" distL="114300" distR="114300" simplePos="0" relativeHeight="251675648" behindDoc="0" locked="0" layoutInCell="1" allowOverlap="1" wp14:anchorId="5C146494" wp14:editId="6C9A153B">
            <wp:simplePos x="0" y="0"/>
            <wp:positionH relativeFrom="margin">
              <wp:align>center</wp:align>
            </wp:positionH>
            <wp:positionV relativeFrom="paragraph">
              <wp:posOffset>73025</wp:posOffset>
            </wp:positionV>
            <wp:extent cx="2914650" cy="3236478"/>
            <wp:effectExtent l="0" t="0" r="0" b="2540"/>
            <wp:wrapNone/>
            <wp:docPr id="8" name="Picture 7">
              <a:extLst xmlns:a="http://schemas.openxmlformats.org/drawingml/2006/main">
                <a:ext uri="{FF2B5EF4-FFF2-40B4-BE49-F238E27FC236}">
                  <a16:creationId xmlns:a16="http://schemas.microsoft.com/office/drawing/2014/main" id="{63B829F4-6FDB-4562-D355-E48A48ADA3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63B829F4-6FDB-4562-D355-E48A48ADA3B6}"/>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14650" cy="3236478"/>
                    </a:xfrm>
                    <a:prstGeom prst="rect">
                      <a:avLst/>
                    </a:prstGeom>
                  </pic:spPr>
                </pic:pic>
              </a:graphicData>
            </a:graphic>
            <wp14:sizeRelH relativeFrom="margin">
              <wp14:pctWidth>0</wp14:pctWidth>
            </wp14:sizeRelH>
            <wp14:sizeRelV relativeFrom="margin">
              <wp14:pctHeight>0</wp14:pctHeight>
            </wp14:sizeRelV>
          </wp:anchor>
        </w:drawing>
      </w:r>
    </w:p>
    <w:p w14:paraId="7DBD9CB8" w14:textId="77777777" w:rsidR="00E026B0" w:rsidRPr="00D23C75" w:rsidRDefault="00E026B0" w:rsidP="00E026B0">
      <w:pPr>
        <w:ind w:left="450"/>
        <w:rPr>
          <w:rFonts w:ascii="Arial" w:eastAsia="Arial" w:hAnsi="Arial" w:cs="Arial"/>
          <w:b/>
          <w:bCs/>
          <w:sz w:val="20"/>
        </w:rPr>
      </w:pPr>
    </w:p>
    <w:p w14:paraId="6E323D8C" w14:textId="77777777" w:rsidR="00E026B0" w:rsidRPr="00D23C75" w:rsidRDefault="00E026B0" w:rsidP="00E026B0">
      <w:pPr>
        <w:ind w:left="450"/>
        <w:rPr>
          <w:rFonts w:ascii="Arial" w:eastAsia="Arial" w:hAnsi="Arial" w:cs="Arial"/>
          <w:b/>
          <w:bCs/>
          <w:sz w:val="20"/>
        </w:rPr>
      </w:pPr>
    </w:p>
    <w:p w14:paraId="187003B2" w14:textId="77777777" w:rsidR="00E026B0" w:rsidRPr="00D23C75" w:rsidRDefault="00E026B0" w:rsidP="00E026B0">
      <w:pPr>
        <w:ind w:left="450"/>
        <w:rPr>
          <w:rFonts w:ascii="Arial" w:eastAsia="Arial" w:hAnsi="Arial" w:cs="Arial"/>
          <w:b/>
          <w:bCs/>
          <w:sz w:val="20"/>
        </w:rPr>
      </w:pPr>
    </w:p>
    <w:p w14:paraId="1C4A836E" w14:textId="77777777" w:rsidR="00E026B0" w:rsidRPr="00D23C75" w:rsidRDefault="00E026B0" w:rsidP="00E026B0">
      <w:pPr>
        <w:ind w:left="450"/>
        <w:rPr>
          <w:rFonts w:ascii="Arial" w:eastAsia="Arial" w:hAnsi="Arial" w:cs="Arial"/>
          <w:b/>
          <w:bCs/>
          <w:sz w:val="20"/>
        </w:rPr>
      </w:pPr>
    </w:p>
    <w:p w14:paraId="71A0DC8A" w14:textId="77777777" w:rsidR="00E026B0" w:rsidRPr="00D23C75" w:rsidRDefault="00E026B0" w:rsidP="00E026B0">
      <w:pPr>
        <w:ind w:left="450"/>
        <w:rPr>
          <w:rFonts w:ascii="Arial" w:eastAsia="Arial" w:hAnsi="Arial" w:cs="Arial"/>
          <w:b/>
          <w:bCs/>
          <w:sz w:val="20"/>
        </w:rPr>
      </w:pPr>
    </w:p>
    <w:p w14:paraId="43398235" w14:textId="77777777" w:rsidR="00E026B0" w:rsidRPr="00D23C75" w:rsidRDefault="00E026B0" w:rsidP="00E026B0">
      <w:pPr>
        <w:ind w:left="450"/>
        <w:rPr>
          <w:rFonts w:ascii="Arial" w:eastAsia="Arial" w:hAnsi="Arial" w:cs="Arial"/>
          <w:b/>
          <w:bCs/>
          <w:sz w:val="20"/>
        </w:rPr>
      </w:pPr>
    </w:p>
    <w:p w14:paraId="104510A3" w14:textId="77777777" w:rsidR="00E026B0" w:rsidRPr="00D23C75" w:rsidRDefault="00E026B0" w:rsidP="00E026B0">
      <w:pPr>
        <w:rPr>
          <w:rFonts w:ascii="Arial" w:eastAsia="Arial" w:hAnsi="Arial" w:cs="Arial"/>
          <w:b/>
          <w:bCs/>
          <w:sz w:val="20"/>
        </w:rPr>
      </w:pPr>
    </w:p>
    <w:p w14:paraId="449BE779" w14:textId="77777777" w:rsidR="004B583B" w:rsidRPr="00D23C75" w:rsidRDefault="004B583B" w:rsidP="00E026B0">
      <w:pPr>
        <w:rPr>
          <w:rFonts w:ascii="Arial" w:eastAsia="Arial" w:hAnsi="Arial" w:cs="Arial"/>
          <w:b/>
          <w:bCs/>
          <w:sz w:val="20"/>
        </w:rPr>
      </w:pPr>
    </w:p>
    <w:p w14:paraId="2C0BF7E2" w14:textId="77777777" w:rsidR="004B583B" w:rsidRPr="00D23C75" w:rsidRDefault="004B583B" w:rsidP="00E026B0">
      <w:pPr>
        <w:rPr>
          <w:rFonts w:ascii="Arial" w:eastAsia="Arial" w:hAnsi="Arial" w:cs="Arial"/>
          <w:b/>
          <w:bCs/>
          <w:sz w:val="20"/>
        </w:rPr>
      </w:pPr>
    </w:p>
    <w:p w14:paraId="6231544B" w14:textId="77777777" w:rsidR="004B583B" w:rsidRPr="00D23C75" w:rsidRDefault="004B583B" w:rsidP="00E026B0">
      <w:pPr>
        <w:rPr>
          <w:rFonts w:ascii="Arial" w:eastAsia="Arial" w:hAnsi="Arial" w:cs="Arial"/>
          <w:b/>
          <w:bCs/>
          <w:sz w:val="20"/>
        </w:rPr>
      </w:pPr>
    </w:p>
    <w:p w14:paraId="197BAE1F" w14:textId="77777777" w:rsidR="00E026B0" w:rsidRPr="00D23C75" w:rsidRDefault="00E026B0" w:rsidP="00E026B0">
      <w:pPr>
        <w:rPr>
          <w:rFonts w:ascii="Arial" w:eastAsia="Arial" w:hAnsi="Arial" w:cs="Arial"/>
          <w:b/>
          <w:bCs/>
          <w:sz w:val="20"/>
        </w:rPr>
      </w:pPr>
      <w:r w:rsidRPr="00D23C75">
        <w:rPr>
          <w:rFonts w:ascii="Arial" w:eastAsia="Arial" w:hAnsi="Arial" w:cs="Arial"/>
          <w:b/>
          <w:bCs/>
          <w:sz w:val="20"/>
        </w:rPr>
        <w:br/>
      </w:r>
    </w:p>
    <w:p w14:paraId="38D38BD1" w14:textId="77777777" w:rsidR="00E026B0" w:rsidRPr="00D23C75" w:rsidRDefault="00E026B0" w:rsidP="00E026B0">
      <w:pPr>
        <w:rPr>
          <w:rFonts w:ascii="Arial" w:eastAsia="Arial" w:hAnsi="Arial" w:cs="Arial"/>
          <w:b/>
          <w:bCs/>
          <w:sz w:val="20"/>
        </w:rPr>
      </w:pPr>
    </w:p>
    <w:p w14:paraId="26A79F61" w14:textId="77777777" w:rsidR="00E026B0" w:rsidRPr="00D23C75" w:rsidRDefault="00E026B0" w:rsidP="00E026B0">
      <w:pPr>
        <w:ind w:left="360" w:right="180"/>
        <w:jc w:val="both"/>
        <w:rPr>
          <w:rFonts w:ascii="Arial" w:hAnsi="Arial" w:cs="Arial"/>
          <w:b/>
          <w:i/>
        </w:rPr>
      </w:pPr>
      <w:r w:rsidRPr="00D23C75">
        <w:rPr>
          <w:rFonts w:ascii="Arial" w:hAnsi="Arial" w:cs="Arial"/>
          <w:b/>
        </w:rPr>
        <w:t>Plate</w:t>
      </w:r>
      <w:r w:rsidRPr="00D23C75">
        <w:rPr>
          <w:rFonts w:ascii="Arial" w:hAnsi="Arial" w:cs="Arial"/>
          <w:b/>
          <w:spacing w:val="-3"/>
        </w:rPr>
        <w:t xml:space="preserve"> </w:t>
      </w:r>
      <w:r w:rsidRPr="00D23C75">
        <w:rPr>
          <w:rFonts w:ascii="Arial" w:hAnsi="Arial" w:cs="Arial"/>
          <w:b/>
        </w:rPr>
        <w:t>2:</w:t>
      </w:r>
      <w:r w:rsidRPr="00D23C75">
        <w:rPr>
          <w:rFonts w:ascii="Arial" w:hAnsi="Arial" w:cs="Arial"/>
          <w:b/>
          <w:spacing w:val="-2"/>
        </w:rPr>
        <w:t xml:space="preserve"> </w:t>
      </w:r>
      <w:r w:rsidRPr="00D23C75">
        <w:rPr>
          <w:rFonts w:ascii="Arial" w:hAnsi="Arial" w:cs="Arial"/>
          <w:b/>
        </w:rPr>
        <w:t>In</w:t>
      </w:r>
      <w:r w:rsidRPr="00D23C75">
        <w:rPr>
          <w:rFonts w:ascii="Arial" w:hAnsi="Arial" w:cs="Arial"/>
          <w:b/>
          <w:spacing w:val="-4"/>
        </w:rPr>
        <w:t xml:space="preserve"> </w:t>
      </w:r>
      <w:r w:rsidRPr="00D23C75">
        <w:rPr>
          <w:rFonts w:ascii="Arial" w:hAnsi="Arial" w:cs="Arial"/>
          <w:b/>
        </w:rPr>
        <w:t>vitro</w:t>
      </w:r>
      <w:r w:rsidRPr="00D23C75">
        <w:rPr>
          <w:rFonts w:ascii="Arial" w:hAnsi="Arial" w:cs="Arial"/>
          <w:b/>
          <w:spacing w:val="-2"/>
        </w:rPr>
        <w:t xml:space="preserve"> </w:t>
      </w:r>
      <w:r w:rsidRPr="00D23C75">
        <w:rPr>
          <w:rFonts w:ascii="Arial" w:hAnsi="Arial" w:cs="Arial"/>
          <w:b/>
        </w:rPr>
        <w:t>efficacy</w:t>
      </w:r>
      <w:r w:rsidRPr="00D23C75">
        <w:rPr>
          <w:rFonts w:ascii="Arial" w:hAnsi="Arial" w:cs="Arial"/>
          <w:b/>
          <w:spacing w:val="-4"/>
        </w:rPr>
        <w:t xml:space="preserve"> </w:t>
      </w:r>
      <w:r w:rsidRPr="00D23C75">
        <w:rPr>
          <w:rFonts w:ascii="Arial" w:hAnsi="Arial" w:cs="Arial"/>
          <w:b/>
        </w:rPr>
        <w:t>of</w:t>
      </w:r>
      <w:r w:rsidRPr="00D23C75">
        <w:rPr>
          <w:rFonts w:ascii="Arial" w:hAnsi="Arial" w:cs="Arial"/>
          <w:b/>
          <w:spacing w:val="-3"/>
        </w:rPr>
        <w:t xml:space="preserve"> </w:t>
      </w:r>
      <w:r w:rsidRPr="00D23C75">
        <w:rPr>
          <w:rFonts w:ascii="Arial" w:hAnsi="Arial" w:cs="Arial"/>
          <w:b/>
        </w:rPr>
        <w:t>bioagents</w:t>
      </w:r>
      <w:r w:rsidRPr="00D23C75">
        <w:rPr>
          <w:rFonts w:ascii="Arial" w:hAnsi="Arial" w:cs="Arial"/>
          <w:b/>
          <w:spacing w:val="-2"/>
        </w:rPr>
        <w:t xml:space="preserve"> </w:t>
      </w:r>
      <w:r w:rsidRPr="00D23C75">
        <w:rPr>
          <w:rFonts w:ascii="Arial" w:hAnsi="Arial" w:cs="Arial"/>
          <w:b/>
        </w:rPr>
        <w:t>against</w:t>
      </w:r>
      <w:r w:rsidRPr="00D23C75">
        <w:rPr>
          <w:rFonts w:ascii="Arial" w:hAnsi="Arial" w:cs="Arial"/>
          <w:b/>
          <w:spacing w:val="-1"/>
        </w:rPr>
        <w:t xml:space="preserve"> </w:t>
      </w:r>
      <w:r w:rsidR="00312ABD" w:rsidRPr="00D23C75">
        <w:rPr>
          <w:rFonts w:ascii="Arial" w:hAnsi="Arial" w:cs="Arial"/>
          <w:b/>
          <w:i/>
        </w:rPr>
        <w:t xml:space="preserve">Alternaria </w:t>
      </w:r>
      <w:proofErr w:type="spellStart"/>
      <w:r w:rsidR="00312ABD" w:rsidRPr="00D23C75">
        <w:rPr>
          <w:rFonts w:ascii="Arial" w:hAnsi="Arial" w:cs="Arial"/>
          <w:b/>
          <w:i/>
        </w:rPr>
        <w:t>alternata</w:t>
      </w:r>
      <w:proofErr w:type="spellEnd"/>
      <w:r w:rsidR="00312ABD" w:rsidRPr="00D23C75">
        <w:rPr>
          <w:rFonts w:ascii="Arial" w:hAnsi="Arial" w:cs="Arial"/>
          <w:b/>
          <w:i/>
        </w:rPr>
        <w:t xml:space="preserve"> </w:t>
      </w:r>
      <w:r w:rsidRPr="00D23C75">
        <w:rPr>
          <w:rFonts w:ascii="Arial" w:hAnsi="Arial" w:cs="Arial"/>
          <w:b/>
          <w:i/>
        </w:rPr>
        <w:t xml:space="preserve"> </w:t>
      </w:r>
    </w:p>
    <w:p w14:paraId="079A0689" w14:textId="77777777" w:rsidR="00982588" w:rsidRPr="00D23C75" w:rsidRDefault="00982588" w:rsidP="004B583B">
      <w:pPr>
        <w:rPr>
          <w:rFonts w:ascii="Arial" w:eastAsia="Arial" w:hAnsi="Arial" w:cs="Arial"/>
          <w:b/>
          <w:bCs/>
          <w:sz w:val="20"/>
        </w:rPr>
      </w:pPr>
    </w:p>
    <w:p w14:paraId="3AF97562" w14:textId="77777777" w:rsidR="00E026B0" w:rsidRPr="00D23C75" w:rsidRDefault="00E026B0" w:rsidP="004B583B">
      <w:pPr>
        <w:rPr>
          <w:rFonts w:ascii="Arial" w:eastAsia="Arial" w:hAnsi="Arial" w:cs="Arial"/>
          <w:b/>
          <w:bCs/>
          <w:sz w:val="20"/>
        </w:rPr>
      </w:pPr>
      <w:r w:rsidRPr="00D23C75">
        <w:rPr>
          <w:rFonts w:ascii="Arial" w:hAnsi="Arial" w:cs="Arial"/>
          <w:b/>
          <w:i/>
          <w:noProof/>
        </w:rPr>
        <w:lastRenderedPageBreak/>
        <w:drawing>
          <wp:anchor distT="0" distB="0" distL="114300" distR="114300" simplePos="0" relativeHeight="251677696" behindDoc="0" locked="0" layoutInCell="1" allowOverlap="1" wp14:anchorId="64B26134" wp14:editId="2A47FF67">
            <wp:simplePos x="0" y="0"/>
            <wp:positionH relativeFrom="margin">
              <wp:posOffset>335184</wp:posOffset>
            </wp:positionH>
            <wp:positionV relativeFrom="paragraph">
              <wp:posOffset>118122</wp:posOffset>
            </wp:positionV>
            <wp:extent cx="4753155" cy="2372264"/>
            <wp:effectExtent l="0" t="0" r="9525" b="9525"/>
            <wp:wrapNone/>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p>
    <w:p w14:paraId="0F19129C" w14:textId="77777777" w:rsidR="00E026B0" w:rsidRPr="00D23C75" w:rsidRDefault="00E026B0" w:rsidP="00E026B0">
      <w:pPr>
        <w:ind w:left="450"/>
        <w:rPr>
          <w:rFonts w:ascii="Arial" w:eastAsia="Arial" w:hAnsi="Arial" w:cs="Arial"/>
          <w:b/>
          <w:bCs/>
          <w:sz w:val="20"/>
        </w:rPr>
      </w:pPr>
    </w:p>
    <w:p w14:paraId="4FEBB4A0" w14:textId="77777777" w:rsidR="00E026B0" w:rsidRPr="00D23C75" w:rsidRDefault="00E026B0" w:rsidP="00E026B0">
      <w:pPr>
        <w:ind w:left="450"/>
        <w:rPr>
          <w:rFonts w:ascii="Arial" w:eastAsia="Arial" w:hAnsi="Arial" w:cs="Arial"/>
          <w:b/>
          <w:bCs/>
        </w:rPr>
      </w:pPr>
    </w:p>
    <w:p w14:paraId="207D42AE" w14:textId="77777777" w:rsidR="00E026B0" w:rsidRPr="00D23C75" w:rsidRDefault="00E026B0" w:rsidP="00E026B0">
      <w:pPr>
        <w:ind w:left="450"/>
        <w:rPr>
          <w:rFonts w:ascii="Arial" w:eastAsia="Arial" w:hAnsi="Arial" w:cs="Arial"/>
          <w:b/>
          <w:bCs/>
          <w:sz w:val="20"/>
        </w:rPr>
      </w:pPr>
    </w:p>
    <w:p w14:paraId="0073DDEA" w14:textId="77777777" w:rsidR="00E026B0" w:rsidRPr="00D23C75" w:rsidRDefault="00E026B0" w:rsidP="00E026B0">
      <w:pPr>
        <w:ind w:left="450"/>
        <w:rPr>
          <w:rFonts w:ascii="Arial" w:eastAsia="Arial" w:hAnsi="Arial" w:cs="Arial"/>
          <w:b/>
          <w:bCs/>
          <w:sz w:val="20"/>
        </w:rPr>
      </w:pPr>
    </w:p>
    <w:p w14:paraId="7814FF2B" w14:textId="77777777" w:rsidR="00E026B0" w:rsidRPr="00D23C75" w:rsidRDefault="00E026B0" w:rsidP="00E026B0">
      <w:pPr>
        <w:ind w:left="450"/>
        <w:rPr>
          <w:rFonts w:ascii="Arial" w:eastAsia="Arial" w:hAnsi="Arial" w:cs="Arial"/>
          <w:b/>
          <w:bCs/>
          <w:sz w:val="20"/>
        </w:rPr>
      </w:pPr>
    </w:p>
    <w:p w14:paraId="588E186C" w14:textId="77777777" w:rsidR="00E026B0" w:rsidRPr="00D23C75" w:rsidRDefault="00E026B0" w:rsidP="00E026B0">
      <w:pPr>
        <w:ind w:left="450"/>
        <w:rPr>
          <w:rFonts w:ascii="Arial" w:eastAsia="Arial" w:hAnsi="Arial" w:cs="Arial"/>
          <w:b/>
          <w:bCs/>
          <w:sz w:val="20"/>
        </w:rPr>
      </w:pPr>
    </w:p>
    <w:p w14:paraId="5E4BB9BB" w14:textId="77777777" w:rsidR="00E026B0" w:rsidRPr="00D23C75" w:rsidRDefault="00E026B0" w:rsidP="00E026B0">
      <w:pPr>
        <w:ind w:left="450"/>
        <w:rPr>
          <w:rFonts w:ascii="Arial" w:eastAsia="Arial" w:hAnsi="Arial" w:cs="Arial"/>
          <w:b/>
          <w:bCs/>
          <w:sz w:val="20"/>
        </w:rPr>
      </w:pPr>
    </w:p>
    <w:p w14:paraId="1A211440" w14:textId="77777777" w:rsidR="00E026B0" w:rsidRPr="00D23C75" w:rsidRDefault="00E026B0" w:rsidP="00E026B0">
      <w:pPr>
        <w:ind w:left="450"/>
        <w:rPr>
          <w:rFonts w:ascii="Arial" w:hAnsi="Arial" w:cs="Arial"/>
          <w:b/>
        </w:rPr>
      </w:pPr>
    </w:p>
    <w:p w14:paraId="0212A283" w14:textId="77777777" w:rsidR="00E026B0" w:rsidRPr="00D23C75" w:rsidRDefault="00E026B0" w:rsidP="00E026B0">
      <w:pPr>
        <w:ind w:left="450"/>
        <w:rPr>
          <w:rFonts w:ascii="Arial" w:hAnsi="Arial" w:cs="Arial"/>
          <w:b/>
        </w:rPr>
      </w:pPr>
    </w:p>
    <w:p w14:paraId="1FF1251A" w14:textId="77777777" w:rsidR="00E026B0" w:rsidRPr="00D23C75" w:rsidRDefault="00E026B0" w:rsidP="00982588">
      <w:pPr>
        <w:ind w:left="450"/>
        <w:rPr>
          <w:rFonts w:ascii="Arial" w:hAnsi="Arial" w:cs="Arial"/>
          <w:b/>
          <w:i/>
        </w:rPr>
      </w:pPr>
      <w:r w:rsidRPr="00D23C75">
        <w:rPr>
          <w:rFonts w:ascii="Arial" w:hAnsi="Arial" w:cs="Arial"/>
          <w:b/>
        </w:rPr>
        <w:t>Fig.</w:t>
      </w:r>
      <w:r w:rsidRPr="00D23C75">
        <w:rPr>
          <w:rFonts w:ascii="Arial" w:hAnsi="Arial" w:cs="Arial"/>
          <w:b/>
          <w:spacing w:val="-2"/>
        </w:rPr>
        <w:t xml:space="preserve"> </w:t>
      </w:r>
      <w:r w:rsidRPr="00D23C75">
        <w:rPr>
          <w:rFonts w:ascii="Arial" w:hAnsi="Arial" w:cs="Arial"/>
          <w:b/>
        </w:rPr>
        <w:t>2:</w:t>
      </w:r>
      <w:r w:rsidRPr="00D23C75">
        <w:rPr>
          <w:rFonts w:ascii="Arial" w:hAnsi="Arial" w:cs="Arial"/>
          <w:b/>
          <w:spacing w:val="-2"/>
        </w:rPr>
        <w:t xml:space="preserve"> </w:t>
      </w:r>
      <w:r w:rsidRPr="00D23C75">
        <w:rPr>
          <w:rFonts w:ascii="Arial" w:hAnsi="Arial" w:cs="Arial"/>
          <w:b/>
          <w:i/>
        </w:rPr>
        <w:t>In</w:t>
      </w:r>
      <w:r w:rsidRPr="00D23C75">
        <w:rPr>
          <w:rFonts w:ascii="Arial" w:hAnsi="Arial" w:cs="Arial"/>
          <w:b/>
          <w:i/>
          <w:spacing w:val="-2"/>
        </w:rPr>
        <w:t xml:space="preserve"> </w:t>
      </w:r>
      <w:r w:rsidRPr="00D23C75">
        <w:rPr>
          <w:rFonts w:ascii="Arial" w:hAnsi="Arial" w:cs="Arial"/>
          <w:b/>
          <w:i/>
        </w:rPr>
        <w:t>vitro</w:t>
      </w:r>
      <w:r w:rsidRPr="00D23C75">
        <w:rPr>
          <w:rFonts w:ascii="Arial" w:hAnsi="Arial" w:cs="Arial"/>
          <w:b/>
          <w:i/>
          <w:spacing w:val="-3"/>
        </w:rPr>
        <w:t xml:space="preserve"> </w:t>
      </w:r>
      <w:r w:rsidRPr="00D23C75">
        <w:rPr>
          <w:rFonts w:ascii="Arial" w:hAnsi="Arial" w:cs="Arial"/>
          <w:b/>
        </w:rPr>
        <w:t>efficacy</w:t>
      </w:r>
      <w:r w:rsidRPr="00D23C75">
        <w:rPr>
          <w:rFonts w:ascii="Arial" w:hAnsi="Arial" w:cs="Arial"/>
          <w:b/>
          <w:spacing w:val="-4"/>
        </w:rPr>
        <w:t xml:space="preserve"> </w:t>
      </w:r>
      <w:r w:rsidRPr="00D23C75">
        <w:rPr>
          <w:rFonts w:ascii="Arial" w:hAnsi="Arial" w:cs="Arial"/>
          <w:b/>
        </w:rPr>
        <w:t>of</w:t>
      </w:r>
      <w:r w:rsidRPr="00D23C75">
        <w:rPr>
          <w:rFonts w:ascii="Arial" w:hAnsi="Arial" w:cs="Arial"/>
          <w:b/>
          <w:spacing w:val="-1"/>
        </w:rPr>
        <w:t xml:space="preserve"> </w:t>
      </w:r>
      <w:r w:rsidRPr="00D23C75">
        <w:rPr>
          <w:rFonts w:ascii="Arial" w:hAnsi="Arial" w:cs="Arial"/>
          <w:b/>
        </w:rPr>
        <w:t>bioagents</w:t>
      </w:r>
      <w:r w:rsidRPr="00D23C75">
        <w:rPr>
          <w:rFonts w:ascii="Arial" w:hAnsi="Arial" w:cs="Arial"/>
          <w:b/>
          <w:spacing w:val="-3"/>
        </w:rPr>
        <w:t xml:space="preserve"> </w:t>
      </w:r>
      <w:r w:rsidRPr="00D23C75">
        <w:rPr>
          <w:rFonts w:ascii="Arial" w:hAnsi="Arial" w:cs="Arial"/>
          <w:b/>
        </w:rPr>
        <w:t xml:space="preserve">against </w:t>
      </w:r>
      <w:r w:rsidR="00312ABD" w:rsidRPr="00D23C75">
        <w:rPr>
          <w:rFonts w:ascii="Arial" w:hAnsi="Arial" w:cs="Arial"/>
          <w:b/>
          <w:i/>
        </w:rPr>
        <w:t xml:space="preserve">Alternaria </w:t>
      </w:r>
      <w:proofErr w:type="spellStart"/>
      <w:r w:rsidR="00312ABD" w:rsidRPr="00D23C75">
        <w:rPr>
          <w:rFonts w:ascii="Arial" w:hAnsi="Arial" w:cs="Arial"/>
          <w:b/>
          <w:i/>
        </w:rPr>
        <w:t>alternata</w:t>
      </w:r>
      <w:proofErr w:type="spellEnd"/>
      <w:r w:rsidR="00312ABD" w:rsidRPr="00D23C75">
        <w:rPr>
          <w:rFonts w:ascii="Arial" w:hAnsi="Arial" w:cs="Arial"/>
          <w:b/>
          <w:i/>
        </w:rPr>
        <w:t xml:space="preserve"> </w:t>
      </w:r>
      <w:r w:rsidRPr="00D23C75">
        <w:rPr>
          <w:rFonts w:ascii="Arial" w:hAnsi="Arial" w:cs="Arial"/>
          <w:b/>
          <w:i/>
        </w:rPr>
        <w:t xml:space="preserve"> </w:t>
      </w:r>
    </w:p>
    <w:p w14:paraId="0129220E" w14:textId="77777777" w:rsidR="00E026B0" w:rsidRPr="00D23C75" w:rsidRDefault="00E026B0" w:rsidP="00E026B0">
      <w:pPr>
        <w:ind w:left="360" w:right="180"/>
        <w:rPr>
          <w:rFonts w:ascii="Arial" w:hAnsi="Arial" w:cs="Arial"/>
          <w:b/>
          <w:i/>
          <w:sz w:val="20"/>
        </w:rPr>
      </w:pPr>
      <w:r w:rsidRPr="00D23C75">
        <w:rPr>
          <w:rFonts w:ascii="Arial" w:hAnsi="Arial" w:cs="Arial"/>
          <w:b/>
        </w:rPr>
        <w:t xml:space="preserve">Table 4: In vitro efficacy of bio-agents against </w:t>
      </w:r>
      <w:r w:rsidR="00312ABD" w:rsidRPr="00D23C75">
        <w:rPr>
          <w:rFonts w:ascii="Arial" w:hAnsi="Arial" w:cs="Arial"/>
          <w:b/>
          <w:i/>
        </w:rPr>
        <w:t xml:space="preserve">Alternaria </w:t>
      </w:r>
      <w:proofErr w:type="spellStart"/>
      <w:r w:rsidR="00312ABD" w:rsidRPr="00D23C75">
        <w:rPr>
          <w:rFonts w:ascii="Arial" w:hAnsi="Arial" w:cs="Arial"/>
          <w:b/>
          <w:i/>
        </w:rPr>
        <w:t>alternata</w:t>
      </w:r>
      <w:proofErr w:type="spellEnd"/>
      <w:r w:rsidR="00312ABD" w:rsidRPr="00D23C75">
        <w:rPr>
          <w:rFonts w:ascii="Arial" w:hAnsi="Arial" w:cs="Arial"/>
          <w:b/>
          <w:i/>
        </w:rPr>
        <w:t xml:space="preserve"> </w:t>
      </w:r>
      <w:r w:rsidRPr="00D23C75">
        <w:rPr>
          <w:rFonts w:ascii="Arial" w:hAnsi="Arial" w:cs="Arial"/>
          <w:b/>
        </w:rPr>
        <w:t xml:space="preserve"> </w:t>
      </w: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6"/>
        <w:gridCol w:w="4200"/>
        <w:gridCol w:w="2386"/>
        <w:gridCol w:w="1719"/>
      </w:tblGrid>
      <w:tr w:rsidR="00E026B0" w:rsidRPr="00D23C75" w14:paraId="60C7D0CC" w14:textId="77777777" w:rsidTr="004B583B">
        <w:trPr>
          <w:trHeight w:val="506"/>
        </w:trPr>
        <w:tc>
          <w:tcPr>
            <w:tcW w:w="1046" w:type="dxa"/>
          </w:tcPr>
          <w:p w14:paraId="220C21C5" w14:textId="77777777" w:rsidR="00E026B0" w:rsidRPr="00D23C75" w:rsidRDefault="00E026B0" w:rsidP="004B583B">
            <w:pPr>
              <w:pStyle w:val="TableParagraph"/>
              <w:spacing w:before="130"/>
              <w:ind w:left="5" w:right="180"/>
              <w:rPr>
                <w:rFonts w:ascii="Arial" w:hAnsi="Arial" w:cs="Arial"/>
              </w:rPr>
            </w:pPr>
            <w:r w:rsidRPr="00D23C75">
              <w:rPr>
                <w:rFonts w:ascii="Arial" w:hAnsi="Arial" w:cs="Arial"/>
                <w:spacing w:val="-2"/>
              </w:rPr>
              <w:t>Tr.</w:t>
            </w:r>
            <w:r w:rsidRPr="00D23C75">
              <w:rPr>
                <w:rFonts w:ascii="Arial" w:hAnsi="Arial" w:cs="Arial"/>
                <w:spacing w:val="-10"/>
              </w:rPr>
              <w:t xml:space="preserve"> </w:t>
            </w:r>
            <w:r w:rsidRPr="00D23C75">
              <w:rPr>
                <w:rFonts w:ascii="Arial" w:hAnsi="Arial" w:cs="Arial"/>
                <w:spacing w:val="-5"/>
              </w:rPr>
              <w:t>No.</w:t>
            </w:r>
          </w:p>
        </w:tc>
        <w:tc>
          <w:tcPr>
            <w:tcW w:w="4200" w:type="dxa"/>
          </w:tcPr>
          <w:p w14:paraId="46783C43" w14:textId="77777777" w:rsidR="00E026B0" w:rsidRPr="00D23C75" w:rsidRDefault="00E026B0" w:rsidP="004B583B">
            <w:pPr>
              <w:pStyle w:val="TableParagraph"/>
              <w:spacing w:before="130"/>
              <w:ind w:left="6" w:right="180"/>
              <w:rPr>
                <w:rFonts w:ascii="Arial" w:hAnsi="Arial" w:cs="Arial"/>
              </w:rPr>
            </w:pPr>
            <w:r w:rsidRPr="00D23C75">
              <w:rPr>
                <w:rFonts w:ascii="Arial" w:hAnsi="Arial" w:cs="Arial"/>
                <w:spacing w:val="-2"/>
              </w:rPr>
              <w:t>Treatments</w:t>
            </w:r>
          </w:p>
        </w:tc>
        <w:tc>
          <w:tcPr>
            <w:tcW w:w="2386" w:type="dxa"/>
          </w:tcPr>
          <w:p w14:paraId="0DACB670" w14:textId="77777777" w:rsidR="00E026B0" w:rsidRPr="00D23C75" w:rsidRDefault="00E026B0" w:rsidP="004B583B">
            <w:pPr>
              <w:pStyle w:val="TableParagraph"/>
              <w:spacing w:before="0" w:line="254" w:lineRule="exact"/>
              <w:ind w:left="432" w:right="180" w:hanging="185"/>
              <w:jc w:val="left"/>
              <w:rPr>
                <w:rFonts w:ascii="Arial" w:hAnsi="Arial" w:cs="Arial"/>
              </w:rPr>
            </w:pPr>
            <w:r w:rsidRPr="00D23C75">
              <w:rPr>
                <w:rFonts w:ascii="Arial" w:hAnsi="Arial" w:cs="Arial"/>
              </w:rPr>
              <w:t>Colony</w:t>
            </w:r>
            <w:r w:rsidRPr="00D23C75">
              <w:rPr>
                <w:rFonts w:ascii="Arial" w:hAnsi="Arial" w:cs="Arial"/>
                <w:spacing w:val="-15"/>
              </w:rPr>
              <w:t xml:space="preserve"> </w:t>
            </w:r>
            <w:r w:rsidRPr="00D23C75">
              <w:rPr>
                <w:rFonts w:ascii="Arial" w:hAnsi="Arial" w:cs="Arial"/>
              </w:rPr>
              <w:t>Diameter</w:t>
            </w:r>
            <w:r w:rsidRPr="00D23C75">
              <w:rPr>
                <w:rFonts w:ascii="Arial" w:hAnsi="Arial" w:cs="Arial"/>
                <w:spacing w:val="-15"/>
              </w:rPr>
              <w:t xml:space="preserve"> </w:t>
            </w:r>
            <w:r w:rsidRPr="00D23C75">
              <w:rPr>
                <w:rFonts w:ascii="Arial" w:hAnsi="Arial" w:cs="Arial"/>
              </w:rPr>
              <w:t>of Pathogen (mm)</w:t>
            </w:r>
          </w:p>
        </w:tc>
        <w:tc>
          <w:tcPr>
            <w:tcW w:w="1719" w:type="dxa"/>
          </w:tcPr>
          <w:p w14:paraId="35DFAB9F" w14:textId="77777777" w:rsidR="00E026B0" w:rsidRPr="00D23C75" w:rsidRDefault="00E026B0" w:rsidP="004B583B">
            <w:pPr>
              <w:pStyle w:val="TableParagraph"/>
              <w:spacing w:before="130"/>
              <w:ind w:left="7" w:right="180"/>
              <w:rPr>
                <w:rFonts w:ascii="Arial" w:hAnsi="Arial" w:cs="Arial"/>
              </w:rPr>
            </w:pPr>
            <w:r w:rsidRPr="00D23C75">
              <w:rPr>
                <w:rFonts w:ascii="Arial" w:hAnsi="Arial" w:cs="Arial"/>
              </w:rPr>
              <w:t>%</w:t>
            </w:r>
            <w:r w:rsidRPr="00D23C75">
              <w:rPr>
                <w:rFonts w:ascii="Arial" w:hAnsi="Arial" w:cs="Arial"/>
                <w:spacing w:val="1"/>
              </w:rPr>
              <w:t xml:space="preserve"> </w:t>
            </w:r>
            <w:r w:rsidRPr="00D23C75">
              <w:rPr>
                <w:rFonts w:ascii="Arial" w:hAnsi="Arial" w:cs="Arial"/>
                <w:spacing w:val="-2"/>
              </w:rPr>
              <w:t>Inhibition</w:t>
            </w:r>
          </w:p>
        </w:tc>
      </w:tr>
      <w:tr w:rsidR="00E026B0" w:rsidRPr="00D23C75" w14:paraId="1FE6843B" w14:textId="77777777" w:rsidTr="004B583B">
        <w:trPr>
          <w:trHeight w:val="345"/>
        </w:trPr>
        <w:tc>
          <w:tcPr>
            <w:tcW w:w="1046" w:type="dxa"/>
            <w:vAlign w:val="center"/>
          </w:tcPr>
          <w:p w14:paraId="6CA1FA5F" w14:textId="77777777" w:rsidR="00E026B0" w:rsidRPr="00D23C75" w:rsidRDefault="00E026B0" w:rsidP="004B583B">
            <w:pPr>
              <w:pStyle w:val="TableParagraph"/>
              <w:spacing w:before="48"/>
              <w:ind w:left="5" w:right="180"/>
              <w:rPr>
                <w:rFonts w:ascii="Arial" w:hAnsi="Arial" w:cs="Arial"/>
                <w:sz w:val="14"/>
              </w:rPr>
            </w:pPr>
            <w:r w:rsidRPr="00D23C75">
              <w:rPr>
                <w:rFonts w:ascii="Arial" w:hAnsi="Arial" w:cs="Arial"/>
                <w:spacing w:val="-5"/>
                <w:position w:val="2"/>
              </w:rPr>
              <w:t>T</w:t>
            </w:r>
            <w:r w:rsidRPr="00D23C75">
              <w:rPr>
                <w:rFonts w:ascii="Arial" w:hAnsi="Arial" w:cs="Arial"/>
                <w:spacing w:val="-5"/>
                <w:sz w:val="14"/>
              </w:rPr>
              <w:t>1</w:t>
            </w:r>
          </w:p>
        </w:tc>
        <w:tc>
          <w:tcPr>
            <w:tcW w:w="4200" w:type="dxa"/>
            <w:vAlign w:val="center"/>
          </w:tcPr>
          <w:p w14:paraId="1D0F0DAB" w14:textId="77777777" w:rsidR="00E026B0" w:rsidRPr="00D23C75" w:rsidRDefault="00312ABD" w:rsidP="004B583B">
            <w:pPr>
              <w:pStyle w:val="TableParagraph"/>
              <w:spacing w:before="46"/>
              <w:ind w:left="6" w:right="180"/>
              <w:rPr>
                <w:rFonts w:ascii="Arial" w:hAnsi="Arial" w:cs="Arial"/>
                <w:i/>
                <w:sz w:val="20"/>
              </w:rPr>
            </w:pPr>
            <w:r w:rsidRPr="00D23C75">
              <w:rPr>
                <w:rFonts w:ascii="Arial" w:hAnsi="Arial" w:cs="Arial"/>
                <w:i/>
                <w:sz w:val="20"/>
                <w:szCs w:val="24"/>
              </w:rPr>
              <w:t>Trichoderma</w:t>
            </w:r>
            <w:r w:rsidR="00E026B0" w:rsidRPr="00D23C75">
              <w:rPr>
                <w:rFonts w:ascii="Arial" w:hAnsi="Arial" w:cs="Arial"/>
                <w:i/>
                <w:sz w:val="20"/>
                <w:szCs w:val="24"/>
              </w:rPr>
              <w:t xml:space="preserve"> </w:t>
            </w:r>
            <w:proofErr w:type="spellStart"/>
            <w:r w:rsidR="00E026B0" w:rsidRPr="00D23C75">
              <w:rPr>
                <w:rFonts w:ascii="Arial" w:hAnsi="Arial" w:cs="Arial"/>
                <w:i/>
                <w:sz w:val="20"/>
                <w:szCs w:val="24"/>
              </w:rPr>
              <w:t>asperellum</w:t>
            </w:r>
            <w:proofErr w:type="spellEnd"/>
          </w:p>
        </w:tc>
        <w:tc>
          <w:tcPr>
            <w:tcW w:w="2386" w:type="dxa"/>
            <w:vAlign w:val="center"/>
          </w:tcPr>
          <w:p w14:paraId="658C1609" w14:textId="77777777" w:rsidR="00E026B0" w:rsidRPr="00D23C75" w:rsidRDefault="00E026B0" w:rsidP="004B583B">
            <w:pPr>
              <w:pStyle w:val="TableParagraph"/>
              <w:spacing w:before="49"/>
              <w:ind w:left="8" w:right="180"/>
              <w:rPr>
                <w:rFonts w:ascii="Arial" w:hAnsi="Arial" w:cs="Arial"/>
                <w:sz w:val="20"/>
              </w:rPr>
            </w:pPr>
            <w:r w:rsidRPr="00D23C75">
              <w:rPr>
                <w:rFonts w:ascii="Arial" w:hAnsi="Arial" w:cs="Arial"/>
                <w:sz w:val="20"/>
                <w:szCs w:val="24"/>
              </w:rPr>
              <w:t>20.16</w:t>
            </w:r>
          </w:p>
        </w:tc>
        <w:tc>
          <w:tcPr>
            <w:tcW w:w="1719" w:type="dxa"/>
            <w:vAlign w:val="center"/>
          </w:tcPr>
          <w:p w14:paraId="4A364AF5" w14:textId="77777777" w:rsidR="00E026B0" w:rsidRPr="00D23C75" w:rsidRDefault="00E026B0" w:rsidP="004B583B">
            <w:pPr>
              <w:pStyle w:val="TableParagraph"/>
              <w:spacing w:before="49"/>
              <w:ind w:left="8" w:right="180"/>
              <w:rPr>
                <w:rFonts w:ascii="Arial" w:hAnsi="Arial" w:cs="Arial"/>
                <w:sz w:val="20"/>
              </w:rPr>
            </w:pPr>
            <w:r w:rsidRPr="00D23C75">
              <w:rPr>
                <w:rFonts w:ascii="Arial" w:hAnsi="Arial" w:cs="Arial"/>
                <w:sz w:val="20"/>
                <w:szCs w:val="24"/>
              </w:rPr>
              <w:t>77.60</w:t>
            </w:r>
          </w:p>
        </w:tc>
      </w:tr>
      <w:tr w:rsidR="00E026B0" w:rsidRPr="00D23C75" w14:paraId="25878945" w14:textId="77777777" w:rsidTr="004B583B">
        <w:trPr>
          <w:trHeight w:val="254"/>
        </w:trPr>
        <w:tc>
          <w:tcPr>
            <w:tcW w:w="1046" w:type="dxa"/>
            <w:vAlign w:val="center"/>
          </w:tcPr>
          <w:p w14:paraId="696B7C23" w14:textId="77777777" w:rsidR="00E026B0" w:rsidRPr="00D23C75" w:rsidRDefault="00E026B0" w:rsidP="004B583B">
            <w:pPr>
              <w:pStyle w:val="TableParagraph"/>
              <w:spacing w:before="2" w:line="231" w:lineRule="exact"/>
              <w:ind w:left="5" w:right="180"/>
              <w:rPr>
                <w:rFonts w:ascii="Arial" w:hAnsi="Arial" w:cs="Arial"/>
                <w:sz w:val="14"/>
              </w:rPr>
            </w:pPr>
            <w:r w:rsidRPr="00D23C75">
              <w:rPr>
                <w:rFonts w:ascii="Arial" w:hAnsi="Arial" w:cs="Arial"/>
                <w:spacing w:val="-5"/>
                <w:position w:val="2"/>
              </w:rPr>
              <w:t>T</w:t>
            </w:r>
            <w:r w:rsidRPr="00D23C75">
              <w:rPr>
                <w:rFonts w:ascii="Arial" w:hAnsi="Arial" w:cs="Arial"/>
                <w:spacing w:val="-5"/>
                <w:sz w:val="14"/>
              </w:rPr>
              <w:t>2</w:t>
            </w:r>
          </w:p>
        </w:tc>
        <w:tc>
          <w:tcPr>
            <w:tcW w:w="4200" w:type="dxa"/>
            <w:vAlign w:val="center"/>
          </w:tcPr>
          <w:p w14:paraId="5B86271A" w14:textId="77777777" w:rsidR="00E026B0" w:rsidRPr="00D23C75" w:rsidRDefault="00E026B0" w:rsidP="004B583B">
            <w:pPr>
              <w:pStyle w:val="TableParagraph"/>
              <w:spacing w:before="0" w:line="234" w:lineRule="exact"/>
              <w:ind w:left="6" w:right="180"/>
              <w:rPr>
                <w:rFonts w:ascii="Arial" w:hAnsi="Arial" w:cs="Arial"/>
                <w:i/>
                <w:sz w:val="20"/>
              </w:rPr>
            </w:pPr>
            <w:r w:rsidRPr="00D23C75">
              <w:rPr>
                <w:rFonts w:ascii="Arial" w:hAnsi="Arial" w:cs="Arial"/>
                <w:i/>
                <w:sz w:val="20"/>
                <w:szCs w:val="24"/>
              </w:rPr>
              <w:t xml:space="preserve">T. </w:t>
            </w:r>
            <w:proofErr w:type="spellStart"/>
            <w:r w:rsidRPr="00D23C75">
              <w:rPr>
                <w:rFonts w:ascii="Arial" w:hAnsi="Arial" w:cs="Arial"/>
                <w:i/>
                <w:sz w:val="20"/>
                <w:szCs w:val="24"/>
              </w:rPr>
              <w:t>harzianum</w:t>
            </w:r>
            <w:proofErr w:type="spellEnd"/>
          </w:p>
        </w:tc>
        <w:tc>
          <w:tcPr>
            <w:tcW w:w="2386" w:type="dxa"/>
            <w:vAlign w:val="center"/>
          </w:tcPr>
          <w:p w14:paraId="4496E8DC" w14:textId="77777777" w:rsidR="00E026B0" w:rsidRPr="00D23C75" w:rsidRDefault="00E026B0" w:rsidP="004B583B">
            <w:pPr>
              <w:pStyle w:val="TableParagraph"/>
              <w:spacing w:line="231" w:lineRule="exact"/>
              <w:ind w:left="8" w:right="180"/>
              <w:rPr>
                <w:rFonts w:ascii="Arial" w:hAnsi="Arial" w:cs="Arial"/>
                <w:sz w:val="20"/>
              </w:rPr>
            </w:pPr>
            <w:r w:rsidRPr="00D23C75">
              <w:rPr>
                <w:rFonts w:ascii="Arial" w:hAnsi="Arial" w:cs="Arial"/>
                <w:sz w:val="20"/>
                <w:szCs w:val="24"/>
              </w:rPr>
              <w:t>21.16</w:t>
            </w:r>
          </w:p>
        </w:tc>
        <w:tc>
          <w:tcPr>
            <w:tcW w:w="1719" w:type="dxa"/>
            <w:vAlign w:val="center"/>
          </w:tcPr>
          <w:p w14:paraId="6C7026A5" w14:textId="77777777" w:rsidR="00E026B0" w:rsidRPr="00D23C75" w:rsidRDefault="00E026B0" w:rsidP="004B583B">
            <w:pPr>
              <w:pStyle w:val="TableParagraph"/>
              <w:spacing w:line="231" w:lineRule="exact"/>
              <w:ind w:left="8" w:right="180"/>
              <w:rPr>
                <w:rFonts w:ascii="Arial" w:hAnsi="Arial" w:cs="Arial"/>
                <w:sz w:val="20"/>
              </w:rPr>
            </w:pPr>
            <w:r w:rsidRPr="00D23C75">
              <w:rPr>
                <w:rFonts w:ascii="Arial" w:hAnsi="Arial" w:cs="Arial"/>
                <w:sz w:val="20"/>
                <w:szCs w:val="24"/>
              </w:rPr>
              <w:t>76.48</w:t>
            </w:r>
          </w:p>
        </w:tc>
      </w:tr>
      <w:tr w:rsidR="00E026B0" w:rsidRPr="00D23C75" w14:paraId="5D35C597" w14:textId="77777777" w:rsidTr="004B583B">
        <w:trPr>
          <w:trHeight w:val="251"/>
        </w:trPr>
        <w:tc>
          <w:tcPr>
            <w:tcW w:w="1046" w:type="dxa"/>
            <w:vAlign w:val="center"/>
          </w:tcPr>
          <w:p w14:paraId="5BA9E352" w14:textId="77777777" w:rsidR="00E026B0" w:rsidRPr="00D23C75" w:rsidRDefault="00E026B0" w:rsidP="004B583B">
            <w:pPr>
              <w:pStyle w:val="TableParagraph"/>
              <w:spacing w:before="2" w:line="229" w:lineRule="exact"/>
              <w:ind w:left="5" w:right="180"/>
              <w:rPr>
                <w:rFonts w:ascii="Arial" w:hAnsi="Arial" w:cs="Arial"/>
                <w:sz w:val="14"/>
              </w:rPr>
            </w:pPr>
            <w:r w:rsidRPr="00D23C75">
              <w:rPr>
                <w:rFonts w:ascii="Arial" w:hAnsi="Arial" w:cs="Arial"/>
                <w:spacing w:val="-5"/>
                <w:position w:val="2"/>
              </w:rPr>
              <w:t>T</w:t>
            </w:r>
            <w:r w:rsidRPr="00D23C75">
              <w:rPr>
                <w:rFonts w:ascii="Arial" w:hAnsi="Arial" w:cs="Arial"/>
                <w:spacing w:val="-5"/>
                <w:sz w:val="14"/>
              </w:rPr>
              <w:t>3</w:t>
            </w:r>
          </w:p>
        </w:tc>
        <w:tc>
          <w:tcPr>
            <w:tcW w:w="4200" w:type="dxa"/>
            <w:vAlign w:val="center"/>
          </w:tcPr>
          <w:p w14:paraId="1F82B707" w14:textId="77777777" w:rsidR="00E026B0" w:rsidRPr="00D23C75" w:rsidRDefault="00E026B0" w:rsidP="004B583B">
            <w:pPr>
              <w:pStyle w:val="TableParagraph"/>
              <w:spacing w:before="0" w:line="232" w:lineRule="exact"/>
              <w:ind w:left="6" w:right="180"/>
              <w:rPr>
                <w:rFonts w:ascii="Arial" w:hAnsi="Arial" w:cs="Arial"/>
                <w:i/>
                <w:sz w:val="20"/>
              </w:rPr>
            </w:pPr>
            <w:r w:rsidRPr="00D23C75">
              <w:rPr>
                <w:rFonts w:ascii="Arial" w:hAnsi="Arial" w:cs="Arial"/>
                <w:i/>
                <w:sz w:val="20"/>
                <w:szCs w:val="24"/>
              </w:rPr>
              <w:t xml:space="preserve">Aspergillus </w:t>
            </w:r>
            <w:proofErr w:type="spellStart"/>
            <w:r w:rsidRPr="00D23C75">
              <w:rPr>
                <w:rFonts w:ascii="Arial" w:hAnsi="Arial" w:cs="Arial"/>
                <w:i/>
                <w:sz w:val="20"/>
                <w:szCs w:val="24"/>
              </w:rPr>
              <w:t>niger</w:t>
            </w:r>
            <w:proofErr w:type="spellEnd"/>
          </w:p>
        </w:tc>
        <w:tc>
          <w:tcPr>
            <w:tcW w:w="2386" w:type="dxa"/>
            <w:vAlign w:val="center"/>
          </w:tcPr>
          <w:p w14:paraId="74B45325" w14:textId="77777777" w:rsidR="00E026B0" w:rsidRPr="00D23C75" w:rsidRDefault="00E026B0" w:rsidP="004B583B">
            <w:pPr>
              <w:pStyle w:val="TableParagraph"/>
              <w:spacing w:line="228" w:lineRule="exact"/>
              <w:ind w:left="8" w:right="180"/>
              <w:rPr>
                <w:rFonts w:ascii="Arial" w:hAnsi="Arial" w:cs="Arial"/>
                <w:sz w:val="20"/>
              </w:rPr>
            </w:pPr>
            <w:r w:rsidRPr="00D23C75">
              <w:rPr>
                <w:rFonts w:ascii="Arial" w:hAnsi="Arial" w:cs="Arial"/>
                <w:sz w:val="20"/>
                <w:szCs w:val="24"/>
              </w:rPr>
              <w:t>23.5</w:t>
            </w:r>
          </w:p>
        </w:tc>
        <w:tc>
          <w:tcPr>
            <w:tcW w:w="1719" w:type="dxa"/>
            <w:vAlign w:val="center"/>
          </w:tcPr>
          <w:p w14:paraId="44E696D8" w14:textId="77777777" w:rsidR="00E026B0" w:rsidRPr="00D23C75" w:rsidRDefault="00E026B0" w:rsidP="004B583B">
            <w:pPr>
              <w:pStyle w:val="TableParagraph"/>
              <w:spacing w:line="228" w:lineRule="exact"/>
              <w:ind w:left="8" w:right="180"/>
              <w:rPr>
                <w:rFonts w:ascii="Arial" w:hAnsi="Arial" w:cs="Arial"/>
                <w:sz w:val="20"/>
              </w:rPr>
            </w:pPr>
            <w:r w:rsidRPr="00D23C75">
              <w:rPr>
                <w:rFonts w:ascii="Arial" w:hAnsi="Arial" w:cs="Arial"/>
                <w:sz w:val="20"/>
                <w:szCs w:val="24"/>
              </w:rPr>
              <w:t>73.88</w:t>
            </w:r>
          </w:p>
        </w:tc>
      </w:tr>
      <w:tr w:rsidR="00E026B0" w:rsidRPr="00D23C75" w14:paraId="326D7AF2" w14:textId="77777777" w:rsidTr="004B583B">
        <w:trPr>
          <w:trHeight w:val="253"/>
        </w:trPr>
        <w:tc>
          <w:tcPr>
            <w:tcW w:w="1046" w:type="dxa"/>
            <w:vAlign w:val="center"/>
          </w:tcPr>
          <w:p w14:paraId="72EA2BFC" w14:textId="77777777" w:rsidR="00E026B0" w:rsidRPr="00D23C75" w:rsidRDefault="00E026B0" w:rsidP="004B583B">
            <w:pPr>
              <w:pStyle w:val="TableParagraph"/>
              <w:spacing w:before="2" w:line="231" w:lineRule="exact"/>
              <w:ind w:left="5" w:right="180"/>
              <w:rPr>
                <w:rFonts w:ascii="Arial" w:hAnsi="Arial" w:cs="Arial"/>
                <w:sz w:val="14"/>
              </w:rPr>
            </w:pPr>
            <w:r w:rsidRPr="00D23C75">
              <w:rPr>
                <w:rFonts w:ascii="Arial" w:hAnsi="Arial" w:cs="Arial"/>
                <w:spacing w:val="-5"/>
                <w:position w:val="2"/>
              </w:rPr>
              <w:t>T</w:t>
            </w:r>
            <w:r w:rsidRPr="00D23C75">
              <w:rPr>
                <w:rFonts w:ascii="Arial" w:hAnsi="Arial" w:cs="Arial"/>
                <w:spacing w:val="-5"/>
                <w:sz w:val="14"/>
              </w:rPr>
              <w:t>4</w:t>
            </w:r>
          </w:p>
        </w:tc>
        <w:tc>
          <w:tcPr>
            <w:tcW w:w="4200" w:type="dxa"/>
            <w:vAlign w:val="center"/>
          </w:tcPr>
          <w:p w14:paraId="1CA66599" w14:textId="77777777" w:rsidR="00E026B0" w:rsidRPr="00D23C75" w:rsidRDefault="00E026B0" w:rsidP="004B583B">
            <w:pPr>
              <w:pStyle w:val="TableParagraph"/>
              <w:spacing w:before="0" w:line="234" w:lineRule="exact"/>
              <w:ind w:left="6" w:right="180"/>
              <w:rPr>
                <w:rFonts w:ascii="Arial" w:hAnsi="Arial" w:cs="Arial"/>
                <w:i/>
                <w:sz w:val="20"/>
              </w:rPr>
            </w:pPr>
            <w:r w:rsidRPr="00D23C75">
              <w:rPr>
                <w:rFonts w:ascii="Arial" w:hAnsi="Arial" w:cs="Arial"/>
                <w:i/>
                <w:sz w:val="20"/>
                <w:szCs w:val="24"/>
              </w:rPr>
              <w:t>T. hamatum</w:t>
            </w:r>
          </w:p>
        </w:tc>
        <w:tc>
          <w:tcPr>
            <w:tcW w:w="2386" w:type="dxa"/>
            <w:vAlign w:val="center"/>
          </w:tcPr>
          <w:p w14:paraId="36946C95" w14:textId="77777777" w:rsidR="00E026B0" w:rsidRPr="00D23C75" w:rsidRDefault="00E026B0" w:rsidP="004B583B">
            <w:pPr>
              <w:pStyle w:val="TableParagraph"/>
              <w:spacing w:line="231" w:lineRule="exact"/>
              <w:ind w:left="8" w:right="180"/>
              <w:rPr>
                <w:rFonts w:ascii="Arial" w:hAnsi="Arial" w:cs="Arial"/>
                <w:sz w:val="20"/>
              </w:rPr>
            </w:pPr>
            <w:r w:rsidRPr="00D23C75">
              <w:rPr>
                <w:rFonts w:ascii="Arial" w:hAnsi="Arial" w:cs="Arial"/>
                <w:sz w:val="20"/>
                <w:szCs w:val="24"/>
              </w:rPr>
              <w:t>29.66</w:t>
            </w:r>
          </w:p>
        </w:tc>
        <w:tc>
          <w:tcPr>
            <w:tcW w:w="1719" w:type="dxa"/>
            <w:vAlign w:val="center"/>
          </w:tcPr>
          <w:p w14:paraId="77166D56" w14:textId="77777777" w:rsidR="00E026B0" w:rsidRPr="00D23C75" w:rsidRDefault="00E026B0" w:rsidP="004B583B">
            <w:pPr>
              <w:pStyle w:val="TableParagraph"/>
              <w:spacing w:line="231" w:lineRule="exact"/>
              <w:ind w:left="8" w:right="180"/>
              <w:rPr>
                <w:rFonts w:ascii="Arial" w:hAnsi="Arial" w:cs="Arial"/>
                <w:sz w:val="20"/>
              </w:rPr>
            </w:pPr>
            <w:r w:rsidRPr="00D23C75">
              <w:rPr>
                <w:rFonts w:ascii="Arial" w:hAnsi="Arial" w:cs="Arial"/>
                <w:sz w:val="20"/>
                <w:szCs w:val="24"/>
              </w:rPr>
              <w:t>67.04</w:t>
            </w:r>
          </w:p>
        </w:tc>
      </w:tr>
      <w:tr w:rsidR="00E026B0" w:rsidRPr="00D23C75" w14:paraId="5A3B7FC8" w14:textId="77777777" w:rsidTr="004B583B">
        <w:trPr>
          <w:trHeight w:val="251"/>
        </w:trPr>
        <w:tc>
          <w:tcPr>
            <w:tcW w:w="1046" w:type="dxa"/>
            <w:vAlign w:val="center"/>
          </w:tcPr>
          <w:p w14:paraId="2D1275C0" w14:textId="77777777" w:rsidR="00E026B0" w:rsidRPr="00D23C75" w:rsidRDefault="00E026B0" w:rsidP="004B583B">
            <w:pPr>
              <w:pStyle w:val="TableParagraph"/>
              <w:spacing w:before="2" w:line="229" w:lineRule="exact"/>
              <w:ind w:left="5" w:right="180"/>
              <w:rPr>
                <w:rFonts w:ascii="Arial" w:hAnsi="Arial" w:cs="Arial"/>
                <w:sz w:val="14"/>
              </w:rPr>
            </w:pPr>
            <w:r w:rsidRPr="00D23C75">
              <w:rPr>
                <w:rFonts w:ascii="Arial" w:hAnsi="Arial" w:cs="Arial"/>
                <w:spacing w:val="-5"/>
                <w:position w:val="2"/>
              </w:rPr>
              <w:t>T</w:t>
            </w:r>
            <w:r w:rsidRPr="00D23C75">
              <w:rPr>
                <w:rFonts w:ascii="Arial" w:hAnsi="Arial" w:cs="Arial"/>
                <w:spacing w:val="-5"/>
                <w:sz w:val="14"/>
              </w:rPr>
              <w:t>5</w:t>
            </w:r>
          </w:p>
        </w:tc>
        <w:tc>
          <w:tcPr>
            <w:tcW w:w="4200" w:type="dxa"/>
            <w:vAlign w:val="center"/>
          </w:tcPr>
          <w:p w14:paraId="383C0671" w14:textId="77777777" w:rsidR="00E026B0" w:rsidRPr="00D23C75" w:rsidRDefault="00E026B0" w:rsidP="004B583B">
            <w:pPr>
              <w:pStyle w:val="TableParagraph"/>
              <w:spacing w:before="0" w:line="232" w:lineRule="exact"/>
              <w:ind w:left="6" w:right="180"/>
              <w:rPr>
                <w:rFonts w:ascii="Arial" w:hAnsi="Arial" w:cs="Arial"/>
                <w:i/>
                <w:sz w:val="20"/>
              </w:rPr>
            </w:pPr>
            <w:r w:rsidRPr="00D23C75">
              <w:rPr>
                <w:rFonts w:ascii="Arial" w:hAnsi="Arial" w:cs="Arial"/>
                <w:i/>
                <w:sz w:val="20"/>
                <w:szCs w:val="24"/>
              </w:rPr>
              <w:t xml:space="preserve">T. </w:t>
            </w:r>
            <w:proofErr w:type="spellStart"/>
            <w:r w:rsidRPr="00D23C75">
              <w:rPr>
                <w:rFonts w:ascii="Arial" w:hAnsi="Arial" w:cs="Arial"/>
                <w:i/>
                <w:sz w:val="20"/>
                <w:szCs w:val="24"/>
              </w:rPr>
              <w:t>koningii</w:t>
            </w:r>
            <w:proofErr w:type="spellEnd"/>
          </w:p>
        </w:tc>
        <w:tc>
          <w:tcPr>
            <w:tcW w:w="2386" w:type="dxa"/>
            <w:vAlign w:val="center"/>
          </w:tcPr>
          <w:p w14:paraId="71CFDFA9" w14:textId="77777777" w:rsidR="00E026B0" w:rsidRPr="00D23C75" w:rsidRDefault="00E026B0" w:rsidP="004B583B">
            <w:pPr>
              <w:pStyle w:val="TableParagraph"/>
              <w:spacing w:line="228" w:lineRule="exact"/>
              <w:ind w:left="8" w:right="180"/>
              <w:rPr>
                <w:rFonts w:ascii="Arial" w:hAnsi="Arial" w:cs="Arial"/>
                <w:sz w:val="20"/>
              </w:rPr>
            </w:pPr>
            <w:r w:rsidRPr="00D23C75">
              <w:rPr>
                <w:rFonts w:ascii="Arial" w:hAnsi="Arial" w:cs="Arial"/>
                <w:sz w:val="20"/>
                <w:szCs w:val="24"/>
              </w:rPr>
              <w:t>24.33</w:t>
            </w:r>
          </w:p>
        </w:tc>
        <w:tc>
          <w:tcPr>
            <w:tcW w:w="1719" w:type="dxa"/>
            <w:vAlign w:val="center"/>
          </w:tcPr>
          <w:p w14:paraId="4EC44297" w14:textId="77777777" w:rsidR="00E026B0" w:rsidRPr="00D23C75" w:rsidRDefault="00E026B0" w:rsidP="004B583B">
            <w:pPr>
              <w:pStyle w:val="TableParagraph"/>
              <w:spacing w:line="228" w:lineRule="exact"/>
              <w:ind w:left="8" w:right="180"/>
              <w:rPr>
                <w:rFonts w:ascii="Arial" w:hAnsi="Arial" w:cs="Arial"/>
                <w:sz w:val="20"/>
              </w:rPr>
            </w:pPr>
            <w:r w:rsidRPr="00D23C75">
              <w:rPr>
                <w:rFonts w:ascii="Arial" w:hAnsi="Arial" w:cs="Arial"/>
                <w:sz w:val="20"/>
                <w:szCs w:val="24"/>
              </w:rPr>
              <w:t>72.96</w:t>
            </w:r>
          </w:p>
        </w:tc>
      </w:tr>
      <w:tr w:rsidR="00E026B0" w:rsidRPr="00D23C75" w14:paraId="6E346405" w14:textId="77777777" w:rsidTr="004B583B">
        <w:trPr>
          <w:trHeight w:val="254"/>
        </w:trPr>
        <w:tc>
          <w:tcPr>
            <w:tcW w:w="1046" w:type="dxa"/>
            <w:vAlign w:val="center"/>
          </w:tcPr>
          <w:p w14:paraId="37A20F32" w14:textId="77777777" w:rsidR="00E026B0" w:rsidRPr="00D23C75" w:rsidRDefault="00E026B0" w:rsidP="004B583B">
            <w:pPr>
              <w:pStyle w:val="TableParagraph"/>
              <w:spacing w:before="5" w:line="229" w:lineRule="exact"/>
              <w:ind w:left="5" w:right="180"/>
              <w:rPr>
                <w:rFonts w:ascii="Arial" w:hAnsi="Arial" w:cs="Arial"/>
                <w:sz w:val="14"/>
              </w:rPr>
            </w:pPr>
            <w:r w:rsidRPr="00D23C75">
              <w:rPr>
                <w:rFonts w:ascii="Arial" w:hAnsi="Arial" w:cs="Arial"/>
                <w:spacing w:val="-5"/>
                <w:position w:val="2"/>
              </w:rPr>
              <w:t>T</w:t>
            </w:r>
            <w:r w:rsidRPr="00D23C75">
              <w:rPr>
                <w:rFonts w:ascii="Arial" w:hAnsi="Arial" w:cs="Arial"/>
                <w:spacing w:val="-5"/>
                <w:sz w:val="14"/>
              </w:rPr>
              <w:t>6</w:t>
            </w:r>
          </w:p>
        </w:tc>
        <w:tc>
          <w:tcPr>
            <w:tcW w:w="4200" w:type="dxa"/>
            <w:vAlign w:val="center"/>
          </w:tcPr>
          <w:p w14:paraId="5F2DCE73" w14:textId="77777777" w:rsidR="00E026B0" w:rsidRPr="00D23C75" w:rsidRDefault="00E026B0" w:rsidP="004B583B">
            <w:pPr>
              <w:pStyle w:val="TableParagraph"/>
              <w:spacing w:before="2" w:line="232" w:lineRule="exact"/>
              <w:ind w:left="6" w:right="180"/>
              <w:rPr>
                <w:rFonts w:ascii="Arial" w:hAnsi="Arial" w:cs="Arial"/>
                <w:i/>
                <w:sz w:val="20"/>
              </w:rPr>
            </w:pPr>
            <w:r w:rsidRPr="00D23C75">
              <w:rPr>
                <w:rFonts w:ascii="Arial" w:hAnsi="Arial" w:cs="Arial"/>
                <w:i/>
                <w:sz w:val="20"/>
                <w:szCs w:val="24"/>
              </w:rPr>
              <w:t>Pseudomonas fluorescens</w:t>
            </w:r>
          </w:p>
        </w:tc>
        <w:tc>
          <w:tcPr>
            <w:tcW w:w="2386" w:type="dxa"/>
            <w:vAlign w:val="center"/>
          </w:tcPr>
          <w:p w14:paraId="7B55F115" w14:textId="77777777" w:rsidR="00E026B0" w:rsidRPr="00D23C75" w:rsidRDefault="00E026B0" w:rsidP="004B583B">
            <w:pPr>
              <w:pStyle w:val="TableParagraph"/>
              <w:spacing w:before="5" w:line="228" w:lineRule="exact"/>
              <w:ind w:left="8" w:right="180"/>
              <w:rPr>
                <w:rFonts w:ascii="Arial" w:hAnsi="Arial" w:cs="Arial"/>
                <w:sz w:val="20"/>
              </w:rPr>
            </w:pPr>
            <w:r w:rsidRPr="00D23C75">
              <w:rPr>
                <w:rFonts w:ascii="Arial" w:hAnsi="Arial" w:cs="Arial"/>
                <w:sz w:val="20"/>
                <w:szCs w:val="24"/>
              </w:rPr>
              <w:t>48.33</w:t>
            </w:r>
          </w:p>
        </w:tc>
        <w:tc>
          <w:tcPr>
            <w:tcW w:w="1719" w:type="dxa"/>
            <w:vAlign w:val="center"/>
          </w:tcPr>
          <w:p w14:paraId="2B0EB4A2" w14:textId="77777777" w:rsidR="00E026B0" w:rsidRPr="00D23C75" w:rsidRDefault="00E026B0" w:rsidP="004B583B">
            <w:pPr>
              <w:pStyle w:val="TableParagraph"/>
              <w:spacing w:before="5" w:line="228" w:lineRule="exact"/>
              <w:ind w:left="8" w:right="180"/>
              <w:rPr>
                <w:rFonts w:ascii="Arial" w:hAnsi="Arial" w:cs="Arial"/>
                <w:sz w:val="20"/>
              </w:rPr>
            </w:pPr>
            <w:r w:rsidRPr="00D23C75">
              <w:rPr>
                <w:rFonts w:ascii="Arial" w:hAnsi="Arial" w:cs="Arial"/>
                <w:sz w:val="20"/>
                <w:szCs w:val="24"/>
              </w:rPr>
              <w:t>46.30</w:t>
            </w:r>
          </w:p>
        </w:tc>
      </w:tr>
      <w:tr w:rsidR="00E026B0" w:rsidRPr="00D23C75" w14:paraId="3D6FDFF5" w14:textId="77777777" w:rsidTr="004B583B">
        <w:trPr>
          <w:trHeight w:val="254"/>
        </w:trPr>
        <w:tc>
          <w:tcPr>
            <w:tcW w:w="1046" w:type="dxa"/>
            <w:vAlign w:val="center"/>
          </w:tcPr>
          <w:p w14:paraId="6AEE045B" w14:textId="77777777" w:rsidR="00E026B0" w:rsidRPr="00D23C75" w:rsidRDefault="00E026B0" w:rsidP="004B583B">
            <w:pPr>
              <w:pStyle w:val="TableParagraph"/>
              <w:spacing w:before="2" w:line="231" w:lineRule="exact"/>
              <w:ind w:left="5" w:right="180"/>
              <w:rPr>
                <w:rFonts w:ascii="Arial" w:hAnsi="Arial" w:cs="Arial"/>
                <w:sz w:val="14"/>
              </w:rPr>
            </w:pPr>
            <w:r w:rsidRPr="00D23C75">
              <w:rPr>
                <w:rFonts w:ascii="Arial" w:hAnsi="Arial" w:cs="Arial"/>
                <w:spacing w:val="-5"/>
                <w:position w:val="2"/>
              </w:rPr>
              <w:t>T</w:t>
            </w:r>
            <w:r w:rsidRPr="00D23C75">
              <w:rPr>
                <w:rFonts w:ascii="Arial" w:hAnsi="Arial" w:cs="Arial"/>
                <w:spacing w:val="-5"/>
                <w:sz w:val="14"/>
              </w:rPr>
              <w:t>7</w:t>
            </w:r>
          </w:p>
        </w:tc>
        <w:tc>
          <w:tcPr>
            <w:tcW w:w="4200" w:type="dxa"/>
            <w:vAlign w:val="center"/>
          </w:tcPr>
          <w:p w14:paraId="482A10AB" w14:textId="77777777" w:rsidR="00E026B0" w:rsidRPr="00D23C75" w:rsidRDefault="00E026B0" w:rsidP="004B583B">
            <w:pPr>
              <w:pStyle w:val="TableParagraph"/>
              <w:spacing w:before="0" w:line="234" w:lineRule="exact"/>
              <w:ind w:left="6" w:right="180"/>
              <w:rPr>
                <w:rFonts w:ascii="Arial" w:hAnsi="Arial" w:cs="Arial"/>
                <w:i/>
                <w:sz w:val="20"/>
              </w:rPr>
            </w:pPr>
            <w:r w:rsidRPr="00D23C75">
              <w:rPr>
                <w:rFonts w:ascii="Arial" w:hAnsi="Arial" w:cs="Arial"/>
                <w:i/>
                <w:sz w:val="20"/>
                <w:szCs w:val="24"/>
              </w:rPr>
              <w:t>Bacillus subtilis</w:t>
            </w:r>
          </w:p>
        </w:tc>
        <w:tc>
          <w:tcPr>
            <w:tcW w:w="2386" w:type="dxa"/>
            <w:vAlign w:val="center"/>
          </w:tcPr>
          <w:p w14:paraId="10CE4278" w14:textId="77777777" w:rsidR="00E026B0" w:rsidRPr="00D23C75" w:rsidRDefault="00E026B0" w:rsidP="004B583B">
            <w:pPr>
              <w:pStyle w:val="TableParagraph"/>
              <w:spacing w:line="231" w:lineRule="exact"/>
              <w:ind w:left="8" w:right="180"/>
              <w:rPr>
                <w:rFonts w:ascii="Arial" w:hAnsi="Arial" w:cs="Arial"/>
                <w:sz w:val="20"/>
              </w:rPr>
            </w:pPr>
            <w:r w:rsidRPr="00D23C75">
              <w:rPr>
                <w:rFonts w:ascii="Arial" w:hAnsi="Arial" w:cs="Arial"/>
                <w:sz w:val="20"/>
                <w:szCs w:val="24"/>
              </w:rPr>
              <w:t>44.33</w:t>
            </w:r>
          </w:p>
        </w:tc>
        <w:tc>
          <w:tcPr>
            <w:tcW w:w="1719" w:type="dxa"/>
            <w:vAlign w:val="center"/>
          </w:tcPr>
          <w:p w14:paraId="53D8C0F9" w14:textId="77777777" w:rsidR="00E026B0" w:rsidRPr="00D23C75" w:rsidRDefault="00E026B0" w:rsidP="004B583B">
            <w:pPr>
              <w:pStyle w:val="TableParagraph"/>
              <w:spacing w:line="231" w:lineRule="exact"/>
              <w:ind w:left="8" w:right="180"/>
              <w:rPr>
                <w:rFonts w:ascii="Arial" w:hAnsi="Arial" w:cs="Arial"/>
                <w:sz w:val="20"/>
              </w:rPr>
            </w:pPr>
            <w:r w:rsidRPr="00D23C75">
              <w:rPr>
                <w:rFonts w:ascii="Arial" w:hAnsi="Arial" w:cs="Arial"/>
                <w:sz w:val="20"/>
                <w:szCs w:val="24"/>
              </w:rPr>
              <w:t>50.74</w:t>
            </w:r>
          </w:p>
        </w:tc>
      </w:tr>
      <w:tr w:rsidR="00E026B0" w:rsidRPr="00D23C75" w14:paraId="728F9C46" w14:textId="77777777" w:rsidTr="004B583B">
        <w:trPr>
          <w:trHeight w:val="259"/>
        </w:trPr>
        <w:tc>
          <w:tcPr>
            <w:tcW w:w="1046" w:type="dxa"/>
            <w:vAlign w:val="center"/>
          </w:tcPr>
          <w:p w14:paraId="07EF8922" w14:textId="77777777" w:rsidR="00E026B0" w:rsidRPr="00D23C75" w:rsidRDefault="00E026B0" w:rsidP="004B583B">
            <w:pPr>
              <w:pStyle w:val="TableParagraph"/>
              <w:spacing w:before="2" w:line="229" w:lineRule="exact"/>
              <w:ind w:left="5" w:right="180"/>
              <w:rPr>
                <w:rFonts w:ascii="Arial" w:hAnsi="Arial" w:cs="Arial"/>
                <w:sz w:val="14"/>
              </w:rPr>
            </w:pPr>
            <w:r w:rsidRPr="00D23C75">
              <w:rPr>
                <w:rFonts w:ascii="Arial" w:hAnsi="Arial" w:cs="Arial"/>
                <w:spacing w:val="-5"/>
                <w:position w:val="2"/>
              </w:rPr>
              <w:t>T</w:t>
            </w:r>
            <w:r w:rsidRPr="00D23C75">
              <w:rPr>
                <w:rFonts w:ascii="Arial" w:hAnsi="Arial" w:cs="Arial"/>
                <w:spacing w:val="-5"/>
                <w:sz w:val="14"/>
              </w:rPr>
              <w:t>8</w:t>
            </w:r>
          </w:p>
        </w:tc>
        <w:tc>
          <w:tcPr>
            <w:tcW w:w="4200" w:type="dxa"/>
            <w:vAlign w:val="center"/>
          </w:tcPr>
          <w:p w14:paraId="0B6C89A3" w14:textId="77777777" w:rsidR="00E026B0" w:rsidRPr="00D23C75" w:rsidRDefault="00E026B0" w:rsidP="004B583B">
            <w:pPr>
              <w:pStyle w:val="TableParagraph"/>
              <w:spacing w:line="228" w:lineRule="exact"/>
              <w:ind w:left="6" w:right="180"/>
              <w:rPr>
                <w:rFonts w:ascii="Arial" w:hAnsi="Arial" w:cs="Arial"/>
              </w:rPr>
            </w:pPr>
            <w:r w:rsidRPr="00D23C75">
              <w:rPr>
                <w:rFonts w:ascii="Arial" w:hAnsi="Arial" w:cs="Arial"/>
                <w:spacing w:val="-2"/>
              </w:rPr>
              <w:t>Control</w:t>
            </w:r>
          </w:p>
        </w:tc>
        <w:tc>
          <w:tcPr>
            <w:tcW w:w="2386" w:type="dxa"/>
            <w:vAlign w:val="center"/>
          </w:tcPr>
          <w:p w14:paraId="5DE8F31A" w14:textId="77777777" w:rsidR="00E026B0" w:rsidRPr="00D23C75" w:rsidRDefault="00E026B0" w:rsidP="004B583B">
            <w:pPr>
              <w:pStyle w:val="TableParagraph"/>
              <w:spacing w:line="228" w:lineRule="exact"/>
              <w:ind w:left="8" w:right="180"/>
              <w:rPr>
                <w:rFonts w:ascii="Arial" w:hAnsi="Arial" w:cs="Arial"/>
                <w:sz w:val="20"/>
              </w:rPr>
            </w:pPr>
            <w:r w:rsidRPr="00D23C75">
              <w:rPr>
                <w:rFonts w:ascii="Arial" w:hAnsi="Arial" w:cs="Arial"/>
                <w:spacing w:val="-2"/>
                <w:sz w:val="20"/>
                <w:szCs w:val="24"/>
              </w:rPr>
              <w:t>90.00</w:t>
            </w:r>
          </w:p>
        </w:tc>
        <w:tc>
          <w:tcPr>
            <w:tcW w:w="1719" w:type="dxa"/>
            <w:vAlign w:val="center"/>
          </w:tcPr>
          <w:p w14:paraId="4CC311D3" w14:textId="77777777" w:rsidR="00E026B0" w:rsidRPr="00D23C75" w:rsidRDefault="00E026B0" w:rsidP="004B583B">
            <w:pPr>
              <w:pStyle w:val="TableParagraph"/>
              <w:spacing w:line="268" w:lineRule="exact"/>
              <w:ind w:left="11" w:right="180"/>
              <w:rPr>
                <w:rFonts w:ascii="Arial" w:hAnsi="Arial" w:cs="Arial"/>
                <w:sz w:val="20"/>
                <w:szCs w:val="24"/>
              </w:rPr>
            </w:pPr>
            <w:r w:rsidRPr="00D23C75">
              <w:rPr>
                <w:rFonts w:ascii="Arial" w:hAnsi="Arial" w:cs="Arial"/>
                <w:spacing w:val="-2"/>
                <w:sz w:val="20"/>
                <w:szCs w:val="24"/>
              </w:rPr>
              <w:t>00.00</w:t>
            </w:r>
          </w:p>
        </w:tc>
      </w:tr>
      <w:tr w:rsidR="00E026B0" w:rsidRPr="00D23C75" w14:paraId="1DAEDD5E" w14:textId="77777777" w:rsidTr="004B583B">
        <w:trPr>
          <w:trHeight w:val="292"/>
        </w:trPr>
        <w:tc>
          <w:tcPr>
            <w:tcW w:w="1046" w:type="dxa"/>
            <w:vMerge w:val="restart"/>
            <w:vAlign w:val="center"/>
          </w:tcPr>
          <w:p w14:paraId="0A6B145B" w14:textId="77777777" w:rsidR="00E026B0" w:rsidRPr="00D23C75" w:rsidRDefault="00E026B0" w:rsidP="004B583B">
            <w:pPr>
              <w:pStyle w:val="TableParagraph"/>
              <w:spacing w:before="0"/>
              <w:ind w:left="0" w:right="180"/>
              <w:rPr>
                <w:rFonts w:ascii="Arial" w:hAnsi="Arial" w:cs="Arial"/>
                <w:sz w:val="20"/>
              </w:rPr>
            </w:pPr>
          </w:p>
        </w:tc>
        <w:tc>
          <w:tcPr>
            <w:tcW w:w="4200" w:type="dxa"/>
            <w:vAlign w:val="center"/>
          </w:tcPr>
          <w:p w14:paraId="48F8A254" w14:textId="77777777" w:rsidR="00E026B0" w:rsidRPr="00D23C75" w:rsidRDefault="00E026B0" w:rsidP="004B583B">
            <w:pPr>
              <w:pStyle w:val="TableParagraph"/>
              <w:spacing w:before="25" w:line="247" w:lineRule="exact"/>
              <w:ind w:left="6" w:right="180"/>
              <w:rPr>
                <w:rFonts w:ascii="Arial" w:hAnsi="Arial" w:cs="Arial"/>
              </w:rPr>
            </w:pPr>
            <w:r w:rsidRPr="00D23C75">
              <w:rPr>
                <w:rFonts w:ascii="Arial" w:hAnsi="Arial" w:cs="Arial"/>
                <w:spacing w:val="-2"/>
              </w:rPr>
              <w:t>S.E.±</w:t>
            </w:r>
          </w:p>
        </w:tc>
        <w:tc>
          <w:tcPr>
            <w:tcW w:w="2386" w:type="dxa"/>
            <w:vAlign w:val="center"/>
          </w:tcPr>
          <w:p w14:paraId="05783DFF" w14:textId="77777777" w:rsidR="00E026B0" w:rsidRPr="00D23C75" w:rsidRDefault="00E026B0" w:rsidP="004B583B">
            <w:pPr>
              <w:pStyle w:val="TableParagraph"/>
              <w:spacing w:before="25" w:line="247" w:lineRule="exact"/>
              <w:ind w:left="8" w:right="180"/>
              <w:rPr>
                <w:rFonts w:ascii="Arial" w:hAnsi="Arial" w:cs="Arial"/>
                <w:sz w:val="20"/>
              </w:rPr>
            </w:pPr>
            <w:r w:rsidRPr="00D23C75">
              <w:rPr>
                <w:rFonts w:ascii="Arial" w:hAnsi="Arial" w:cs="Arial"/>
                <w:b/>
                <w:spacing w:val="-4"/>
                <w:sz w:val="20"/>
                <w:szCs w:val="24"/>
              </w:rPr>
              <w:t>0.55</w:t>
            </w:r>
          </w:p>
        </w:tc>
        <w:tc>
          <w:tcPr>
            <w:tcW w:w="1719" w:type="dxa"/>
            <w:vAlign w:val="center"/>
          </w:tcPr>
          <w:p w14:paraId="70EF0C11" w14:textId="77777777" w:rsidR="00E026B0" w:rsidRPr="00D23C75" w:rsidRDefault="00E026B0" w:rsidP="004B583B">
            <w:pPr>
              <w:pStyle w:val="TableParagraph"/>
              <w:spacing w:before="0"/>
              <w:ind w:left="0" w:right="180"/>
              <w:rPr>
                <w:rFonts w:ascii="Arial" w:hAnsi="Arial" w:cs="Arial"/>
                <w:sz w:val="20"/>
              </w:rPr>
            </w:pPr>
          </w:p>
        </w:tc>
      </w:tr>
      <w:tr w:rsidR="00E026B0" w:rsidRPr="00D23C75" w14:paraId="4B25E78F" w14:textId="77777777" w:rsidTr="004B583B">
        <w:trPr>
          <w:trHeight w:val="294"/>
        </w:trPr>
        <w:tc>
          <w:tcPr>
            <w:tcW w:w="1046" w:type="dxa"/>
            <w:vMerge/>
            <w:tcBorders>
              <w:top w:val="nil"/>
            </w:tcBorders>
            <w:vAlign w:val="center"/>
          </w:tcPr>
          <w:p w14:paraId="586F15EB" w14:textId="77777777" w:rsidR="00E026B0" w:rsidRPr="00D23C75" w:rsidRDefault="00E026B0" w:rsidP="004B583B">
            <w:pPr>
              <w:ind w:right="180"/>
              <w:jc w:val="center"/>
              <w:rPr>
                <w:rFonts w:ascii="Arial" w:hAnsi="Arial" w:cs="Arial"/>
                <w:sz w:val="2"/>
                <w:szCs w:val="2"/>
              </w:rPr>
            </w:pPr>
          </w:p>
        </w:tc>
        <w:tc>
          <w:tcPr>
            <w:tcW w:w="4200" w:type="dxa"/>
            <w:vAlign w:val="center"/>
          </w:tcPr>
          <w:p w14:paraId="38A8D01B" w14:textId="77777777" w:rsidR="00E026B0" w:rsidRPr="00D23C75" w:rsidRDefault="00E026B0" w:rsidP="004B583B">
            <w:pPr>
              <w:pStyle w:val="TableParagraph"/>
              <w:spacing w:before="25"/>
              <w:ind w:left="6" w:right="180"/>
              <w:rPr>
                <w:rFonts w:ascii="Arial" w:hAnsi="Arial" w:cs="Arial"/>
              </w:rPr>
            </w:pPr>
            <w:r w:rsidRPr="00D23C75">
              <w:rPr>
                <w:rFonts w:ascii="Arial" w:hAnsi="Arial" w:cs="Arial"/>
              </w:rPr>
              <w:t>C.D.at</w:t>
            </w:r>
            <w:r w:rsidRPr="00D23C75">
              <w:rPr>
                <w:rFonts w:ascii="Arial" w:hAnsi="Arial" w:cs="Arial"/>
                <w:spacing w:val="1"/>
              </w:rPr>
              <w:t xml:space="preserve"> </w:t>
            </w:r>
            <w:r w:rsidRPr="00D23C75">
              <w:rPr>
                <w:rFonts w:ascii="Arial" w:hAnsi="Arial" w:cs="Arial"/>
                <w:spacing w:val="-5"/>
              </w:rPr>
              <w:t>1%</w:t>
            </w:r>
          </w:p>
        </w:tc>
        <w:tc>
          <w:tcPr>
            <w:tcW w:w="2386" w:type="dxa"/>
            <w:vAlign w:val="center"/>
          </w:tcPr>
          <w:p w14:paraId="3F447FB0" w14:textId="77777777" w:rsidR="00E026B0" w:rsidRPr="00D23C75" w:rsidRDefault="00E026B0" w:rsidP="004B583B">
            <w:pPr>
              <w:pStyle w:val="TableParagraph"/>
              <w:spacing w:before="25"/>
              <w:ind w:left="8" w:right="180"/>
              <w:rPr>
                <w:rFonts w:ascii="Arial" w:hAnsi="Arial" w:cs="Arial"/>
                <w:sz w:val="20"/>
              </w:rPr>
            </w:pPr>
            <w:r w:rsidRPr="00D23C75">
              <w:rPr>
                <w:rFonts w:ascii="Arial" w:hAnsi="Arial" w:cs="Arial"/>
                <w:b/>
                <w:spacing w:val="-4"/>
                <w:sz w:val="20"/>
                <w:szCs w:val="24"/>
              </w:rPr>
              <w:t>2.30</w:t>
            </w:r>
          </w:p>
        </w:tc>
        <w:tc>
          <w:tcPr>
            <w:tcW w:w="1719" w:type="dxa"/>
            <w:vAlign w:val="center"/>
          </w:tcPr>
          <w:p w14:paraId="41E361A6" w14:textId="77777777" w:rsidR="00E026B0" w:rsidRPr="00D23C75" w:rsidRDefault="00E026B0" w:rsidP="004B583B">
            <w:pPr>
              <w:pStyle w:val="TableParagraph"/>
              <w:spacing w:before="0"/>
              <w:ind w:left="0" w:right="180"/>
              <w:rPr>
                <w:rFonts w:ascii="Arial" w:hAnsi="Arial" w:cs="Arial"/>
                <w:sz w:val="20"/>
              </w:rPr>
            </w:pPr>
          </w:p>
        </w:tc>
      </w:tr>
    </w:tbl>
    <w:p w14:paraId="08313304" w14:textId="77777777" w:rsidR="004B583B" w:rsidRPr="00D23C75" w:rsidRDefault="004B583B" w:rsidP="004B583B">
      <w:pPr>
        <w:rPr>
          <w:rFonts w:ascii="Arial" w:eastAsia="Arial" w:hAnsi="Arial" w:cs="Arial"/>
          <w:b/>
          <w:bCs/>
          <w:sz w:val="20"/>
        </w:rPr>
      </w:pPr>
    </w:p>
    <w:p w14:paraId="627EE0AA" w14:textId="77777777" w:rsidR="00E026B0" w:rsidRPr="00D23C75" w:rsidRDefault="004B583B" w:rsidP="004B583B">
      <w:pPr>
        <w:pStyle w:val="ListParagraph"/>
        <w:numPr>
          <w:ilvl w:val="0"/>
          <w:numId w:val="7"/>
        </w:numPr>
        <w:rPr>
          <w:rFonts w:ascii="Arial" w:eastAsia="Arial" w:hAnsi="Arial" w:cs="Arial"/>
          <w:b/>
          <w:bCs/>
        </w:rPr>
      </w:pPr>
      <w:r w:rsidRPr="00D23C75">
        <w:rPr>
          <w:rFonts w:ascii="Arial" w:eastAsia="Arial" w:hAnsi="Arial" w:cs="Arial"/>
          <w:b/>
          <w:bCs/>
        </w:rPr>
        <w:t>CONCLUSION</w:t>
      </w:r>
    </w:p>
    <w:p w14:paraId="387DCD26" w14:textId="77777777" w:rsidR="00E026B0" w:rsidRPr="00D23C75" w:rsidRDefault="00E026B0" w:rsidP="00E026B0">
      <w:pPr>
        <w:pStyle w:val="BodyText"/>
        <w:spacing w:line="244" w:lineRule="auto"/>
        <w:ind w:left="360" w:right="180"/>
        <w:jc w:val="both"/>
        <w:rPr>
          <w:rFonts w:ascii="Arial" w:hAnsi="Arial" w:cs="Arial"/>
        </w:rPr>
      </w:pPr>
      <w:r w:rsidRPr="00D23C75">
        <w:rPr>
          <w:rFonts w:ascii="Arial" w:hAnsi="Arial" w:cs="Arial"/>
        </w:rPr>
        <w:t xml:space="preserve">The present </w:t>
      </w:r>
      <w:r w:rsidRPr="00D23C75">
        <w:rPr>
          <w:rFonts w:ascii="Arial" w:hAnsi="Arial" w:cs="Arial"/>
          <w:i/>
        </w:rPr>
        <w:t>in vitro</w:t>
      </w:r>
      <w:r w:rsidRPr="00D23C75">
        <w:rPr>
          <w:rFonts w:ascii="Arial" w:hAnsi="Arial" w:cs="Arial"/>
        </w:rPr>
        <w:t xml:space="preserve"> investigation demonstrates the high fungitoxic and antagonistic potential of specific systemic fungicides and biological control agents, respectively, against </w:t>
      </w:r>
      <w:r w:rsidRPr="00D23C75">
        <w:rPr>
          <w:rFonts w:ascii="Arial" w:hAnsi="Arial" w:cs="Arial"/>
          <w:i/>
        </w:rPr>
        <w:t>Alternaria alternata</w:t>
      </w:r>
      <w:r w:rsidRPr="00D23C75">
        <w:rPr>
          <w:rFonts w:ascii="Arial" w:hAnsi="Arial" w:cs="Arial"/>
        </w:rPr>
        <w:t>. Among the chemical treatments, Tebuconazole 25.9% EC, Propiconazole 25% EC, Hexaconazole 5% EC and Difenoconazole 25% EC recorded complete inhibition (100.00%) of mycelial growth, followed by average inhibition values of 52.49% for Pyraclostrobin 20% WG, 47.95% for Carbendazim 50% WP and 45.68% for Thiophanate methyl 70% WP.</w:t>
      </w:r>
    </w:p>
    <w:p w14:paraId="4D33FA27" w14:textId="77777777" w:rsidR="0069385D" w:rsidRPr="00D23C75" w:rsidRDefault="00E026B0" w:rsidP="0069385D">
      <w:pPr>
        <w:pStyle w:val="BodyText"/>
        <w:spacing w:before="43" w:line="242" w:lineRule="auto"/>
        <w:ind w:left="360" w:right="180"/>
        <w:jc w:val="both"/>
        <w:rPr>
          <w:rFonts w:ascii="Arial" w:hAnsi="Arial" w:cs="Arial"/>
        </w:rPr>
      </w:pPr>
      <w:r w:rsidRPr="00D23C75">
        <w:rPr>
          <w:rFonts w:ascii="Arial" w:hAnsi="Arial" w:cs="Arial"/>
        </w:rPr>
        <w:t xml:space="preserve">Among the biological control agents, </w:t>
      </w:r>
      <w:r w:rsidRPr="00D23C75">
        <w:rPr>
          <w:rFonts w:ascii="Arial" w:hAnsi="Arial" w:cs="Arial"/>
          <w:i/>
        </w:rPr>
        <w:t>Trichoderma asperellum</w:t>
      </w:r>
      <w:r w:rsidRPr="00D23C75">
        <w:rPr>
          <w:rFonts w:ascii="Arial" w:hAnsi="Arial" w:cs="Arial"/>
        </w:rPr>
        <w:t xml:space="preserve"> recorded the lowest radial mycelial growth of 20.16 mm and the highest mycelial growth inhibition of 77.60%, followed by </w:t>
      </w:r>
      <w:r w:rsidRPr="00D23C75">
        <w:rPr>
          <w:rFonts w:ascii="Arial" w:hAnsi="Arial" w:cs="Arial"/>
          <w:i/>
        </w:rPr>
        <w:t>T. harzianum</w:t>
      </w:r>
      <w:r w:rsidRPr="00D23C75">
        <w:rPr>
          <w:rFonts w:ascii="Arial" w:hAnsi="Arial" w:cs="Arial"/>
        </w:rPr>
        <w:t xml:space="preserve"> (21.16 mm and 76.48%), </w:t>
      </w:r>
      <w:r w:rsidRPr="00D23C75">
        <w:rPr>
          <w:rFonts w:ascii="Arial" w:hAnsi="Arial" w:cs="Arial"/>
          <w:i/>
        </w:rPr>
        <w:t>Aspergillus niger</w:t>
      </w:r>
      <w:r w:rsidRPr="00D23C75">
        <w:rPr>
          <w:rFonts w:ascii="Arial" w:hAnsi="Arial" w:cs="Arial"/>
        </w:rPr>
        <w:t xml:space="preserve"> (23.50 mm and 73.88%), </w:t>
      </w:r>
      <w:r w:rsidRPr="00D23C75">
        <w:rPr>
          <w:rFonts w:ascii="Arial" w:hAnsi="Arial" w:cs="Arial"/>
          <w:i/>
        </w:rPr>
        <w:t>T. hamatum</w:t>
      </w:r>
      <w:r w:rsidRPr="00D23C75">
        <w:rPr>
          <w:rFonts w:ascii="Arial" w:hAnsi="Arial" w:cs="Arial"/>
        </w:rPr>
        <w:t xml:space="preserve"> (29.66 mm and 67.04%), </w:t>
      </w:r>
      <w:r w:rsidRPr="00D23C75">
        <w:rPr>
          <w:rFonts w:ascii="Arial" w:hAnsi="Arial" w:cs="Arial"/>
          <w:i/>
        </w:rPr>
        <w:t>T. koningii</w:t>
      </w:r>
      <w:r w:rsidRPr="00D23C75">
        <w:rPr>
          <w:rFonts w:ascii="Arial" w:hAnsi="Arial" w:cs="Arial"/>
        </w:rPr>
        <w:t xml:space="preserve"> (24.33 mm and 72.96%), </w:t>
      </w:r>
      <w:r w:rsidRPr="00D23C75">
        <w:rPr>
          <w:rFonts w:ascii="Arial" w:hAnsi="Arial" w:cs="Arial"/>
          <w:i/>
        </w:rPr>
        <w:t>Bacillus subtilis</w:t>
      </w:r>
      <w:r w:rsidRPr="00D23C75">
        <w:rPr>
          <w:rFonts w:ascii="Arial" w:hAnsi="Arial" w:cs="Arial"/>
        </w:rPr>
        <w:t xml:space="preserve"> (44.33 mm and 50.74%) and </w:t>
      </w:r>
      <w:r w:rsidRPr="00D23C75">
        <w:rPr>
          <w:rFonts w:ascii="Arial" w:hAnsi="Arial" w:cs="Arial"/>
          <w:i/>
        </w:rPr>
        <w:t>Pseudomonas fluorescens</w:t>
      </w:r>
      <w:r w:rsidRPr="00D23C75">
        <w:rPr>
          <w:rFonts w:ascii="Arial" w:hAnsi="Arial" w:cs="Arial"/>
        </w:rPr>
        <w:t xml:space="preserve"> (48.33 mm and 46.30%), respectively. Among the chemical treatments, Tebuconazole 25.9% EC, Propiconazole 25% EC, Hexaconazole 5% EC and Difenoconazole 25% EC, together with </w:t>
      </w:r>
      <w:r w:rsidRPr="00D23C75">
        <w:rPr>
          <w:rFonts w:ascii="Arial" w:hAnsi="Arial" w:cs="Arial"/>
          <w:i/>
        </w:rPr>
        <w:t>Trichoderma asperellum</w:t>
      </w:r>
      <w:r w:rsidRPr="00D23C75">
        <w:rPr>
          <w:rFonts w:ascii="Arial" w:hAnsi="Arial" w:cs="Arial"/>
        </w:rPr>
        <w:t xml:space="preserve"> among the biocontrol agents, represent promising candidates for further evaluation and possible incorporation into integrated management strategies against Alternaria leaf blight of groundnut.</w:t>
      </w:r>
    </w:p>
    <w:p w14:paraId="5E1091B8" w14:textId="77777777" w:rsidR="00E026B0" w:rsidRDefault="004B583B" w:rsidP="0069385D">
      <w:pPr>
        <w:pStyle w:val="BodyText"/>
        <w:spacing w:before="43" w:line="242" w:lineRule="auto"/>
        <w:ind w:left="360" w:right="180"/>
        <w:jc w:val="both"/>
        <w:rPr>
          <w:rFonts w:ascii="Arial" w:hAnsi="Arial" w:cs="Arial"/>
        </w:rPr>
      </w:pPr>
      <w:r w:rsidRPr="00D23C75">
        <w:rPr>
          <w:rFonts w:ascii="Arial" w:hAnsi="Arial" w:cs="Arial"/>
        </w:rPr>
        <w:lastRenderedPageBreak/>
        <w:t>The Department of Plant Pathology, College of Agriculture, Latur, provided the necessary laboratory facilities and equipment to conduct this research.</w:t>
      </w:r>
    </w:p>
    <w:p w14:paraId="0EC99C85" w14:textId="1273C74D" w:rsidR="00AF4C06" w:rsidRDefault="00AF4C06" w:rsidP="0069385D">
      <w:pPr>
        <w:pStyle w:val="BodyText"/>
        <w:spacing w:before="43" w:line="242" w:lineRule="auto"/>
        <w:ind w:left="360" w:right="180"/>
        <w:jc w:val="both"/>
        <w:rPr>
          <w:rFonts w:ascii="Arial" w:hAnsi="Arial" w:cs="Arial"/>
          <w:b/>
          <w:bCs/>
        </w:rPr>
      </w:pPr>
      <w:r w:rsidRPr="00AF4C06">
        <w:rPr>
          <w:rFonts w:ascii="Arial" w:hAnsi="Arial" w:cs="Arial"/>
          <w:b/>
          <w:bCs/>
        </w:rPr>
        <w:t>Limitation</w:t>
      </w:r>
    </w:p>
    <w:p w14:paraId="0BB3CE77" w14:textId="3DAE0EE9" w:rsidR="00AF4C06" w:rsidRPr="00AF4C06" w:rsidRDefault="00AF4C06" w:rsidP="0069385D">
      <w:pPr>
        <w:pStyle w:val="BodyText"/>
        <w:spacing w:before="43" w:line="242" w:lineRule="auto"/>
        <w:ind w:left="360" w:right="180"/>
        <w:jc w:val="both"/>
        <w:rPr>
          <w:rFonts w:ascii="Arial" w:hAnsi="Arial" w:cs="Arial"/>
        </w:rPr>
      </w:pPr>
      <w:r w:rsidRPr="00AF4C06">
        <w:rPr>
          <w:rFonts w:ascii="Arial" w:hAnsi="Arial" w:cs="Arial"/>
        </w:rPr>
        <w:t xml:space="preserve">The study was conducted under controlled </w:t>
      </w:r>
      <w:r w:rsidRPr="00AF4C06">
        <w:rPr>
          <w:rFonts w:ascii="Arial" w:hAnsi="Arial" w:cs="Arial"/>
          <w:i/>
          <w:iCs/>
        </w:rPr>
        <w:t>in vitro</w:t>
      </w:r>
      <w:r w:rsidRPr="00AF4C06">
        <w:rPr>
          <w:rFonts w:ascii="Arial" w:hAnsi="Arial" w:cs="Arial"/>
        </w:rPr>
        <w:t xml:space="preserve"> conditions using a single groundnut isolate of </w:t>
      </w:r>
      <w:r w:rsidRPr="00AF4C06">
        <w:rPr>
          <w:rFonts w:ascii="Arial" w:hAnsi="Arial" w:cs="Arial"/>
          <w:i/>
          <w:iCs/>
        </w:rPr>
        <w:t xml:space="preserve">Alternaria </w:t>
      </w:r>
      <w:proofErr w:type="spellStart"/>
      <w:r w:rsidRPr="00AF4C06">
        <w:rPr>
          <w:rFonts w:ascii="Arial" w:hAnsi="Arial" w:cs="Arial"/>
          <w:i/>
          <w:iCs/>
        </w:rPr>
        <w:t>alternata</w:t>
      </w:r>
      <w:proofErr w:type="spellEnd"/>
      <w:r w:rsidRPr="00AF4C06">
        <w:rPr>
          <w:rFonts w:ascii="Arial" w:hAnsi="Arial" w:cs="Arial"/>
        </w:rPr>
        <w:t xml:space="preserve"> and fixed fungicide concentrations. The results therefore describe laboratory inhibition rather than field-level disease control. Bioagent performance may also vary with strain characteristics and environmental conditions. The concentration range did not permit estimation of dose-response parameters for fungicides that produced complete inhibition at both tested concentrations. Further work should evaluate additional pathogen isolates, broader concentration ranges, treatment compatibility, formulation stability, and performance under greenhouse and field conditions.</w:t>
      </w:r>
    </w:p>
    <w:p w14:paraId="3CB31ABB" w14:textId="77777777" w:rsidR="004328DD" w:rsidRPr="00D23C75" w:rsidRDefault="004328DD" w:rsidP="004328DD">
      <w:pPr>
        <w:pStyle w:val="Heading1"/>
        <w:spacing w:before="80"/>
        <w:ind w:right="180" w:firstLine="360"/>
        <w:rPr>
          <w:rFonts w:ascii="Arial" w:hAnsi="Arial" w:cs="Arial"/>
          <w:b/>
          <w:color w:val="auto"/>
          <w:sz w:val="20"/>
        </w:rPr>
      </w:pPr>
      <w:r w:rsidRPr="00D23C75">
        <w:rPr>
          <w:rFonts w:ascii="Arial" w:hAnsi="Arial" w:cs="Arial"/>
          <w:b/>
          <w:color w:val="auto"/>
          <w:sz w:val="20"/>
        </w:rPr>
        <w:t>COMPETING</w:t>
      </w:r>
      <w:r w:rsidRPr="00D23C75">
        <w:rPr>
          <w:rFonts w:ascii="Arial" w:hAnsi="Arial" w:cs="Arial"/>
          <w:b/>
          <w:color w:val="auto"/>
          <w:spacing w:val="-4"/>
          <w:sz w:val="20"/>
        </w:rPr>
        <w:t xml:space="preserve"> </w:t>
      </w:r>
      <w:r w:rsidRPr="00D23C75">
        <w:rPr>
          <w:rFonts w:ascii="Arial" w:hAnsi="Arial" w:cs="Arial"/>
          <w:b/>
          <w:color w:val="auto"/>
          <w:spacing w:val="-2"/>
          <w:sz w:val="20"/>
        </w:rPr>
        <w:t>INTERESTS</w:t>
      </w:r>
    </w:p>
    <w:p w14:paraId="3E155E70" w14:textId="77777777" w:rsidR="006601C3" w:rsidRPr="00D23C75" w:rsidRDefault="004328DD" w:rsidP="00736175">
      <w:pPr>
        <w:pStyle w:val="BodyText"/>
        <w:spacing w:before="42"/>
        <w:ind w:left="360" w:right="180"/>
        <w:rPr>
          <w:rFonts w:ascii="Arial" w:hAnsi="Arial" w:cs="Arial"/>
          <w:spacing w:val="-4"/>
        </w:rPr>
      </w:pPr>
      <w:r w:rsidRPr="00D23C75">
        <w:rPr>
          <w:rFonts w:ascii="Arial" w:hAnsi="Arial" w:cs="Arial"/>
        </w:rPr>
        <w:t>Authors</w:t>
      </w:r>
      <w:r w:rsidRPr="00D23C75">
        <w:rPr>
          <w:rFonts w:ascii="Arial" w:hAnsi="Arial" w:cs="Arial"/>
          <w:spacing w:val="-3"/>
        </w:rPr>
        <w:t xml:space="preserve"> </w:t>
      </w:r>
      <w:r w:rsidRPr="00D23C75">
        <w:rPr>
          <w:rFonts w:ascii="Arial" w:hAnsi="Arial" w:cs="Arial"/>
        </w:rPr>
        <w:t>have</w:t>
      </w:r>
      <w:r w:rsidRPr="00D23C75">
        <w:rPr>
          <w:rFonts w:ascii="Arial" w:hAnsi="Arial" w:cs="Arial"/>
          <w:spacing w:val="-4"/>
        </w:rPr>
        <w:t xml:space="preserve"> </w:t>
      </w:r>
      <w:r w:rsidRPr="00D23C75">
        <w:rPr>
          <w:rFonts w:ascii="Arial" w:hAnsi="Arial" w:cs="Arial"/>
        </w:rPr>
        <w:t>declared</w:t>
      </w:r>
      <w:r w:rsidRPr="00D23C75">
        <w:rPr>
          <w:rFonts w:ascii="Arial" w:hAnsi="Arial" w:cs="Arial"/>
          <w:spacing w:val="-5"/>
        </w:rPr>
        <w:t xml:space="preserve"> </w:t>
      </w:r>
      <w:r w:rsidRPr="00D23C75">
        <w:rPr>
          <w:rFonts w:ascii="Arial" w:hAnsi="Arial" w:cs="Arial"/>
        </w:rPr>
        <w:t>that</w:t>
      </w:r>
      <w:r w:rsidRPr="00D23C75">
        <w:rPr>
          <w:rFonts w:ascii="Arial" w:hAnsi="Arial" w:cs="Arial"/>
          <w:spacing w:val="-3"/>
        </w:rPr>
        <w:t xml:space="preserve"> </w:t>
      </w:r>
      <w:r w:rsidRPr="00D23C75">
        <w:rPr>
          <w:rFonts w:ascii="Arial" w:hAnsi="Arial" w:cs="Arial"/>
        </w:rPr>
        <w:t>no</w:t>
      </w:r>
      <w:r w:rsidRPr="00D23C75">
        <w:rPr>
          <w:rFonts w:ascii="Arial" w:hAnsi="Arial" w:cs="Arial"/>
          <w:spacing w:val="-5"/>
        </w:rPr>
        <w:t xml:space="preserve"> </w:t>
      </w:r>
      <w:r w:rsidRPr="00D23C75">
        <w:rPr>
          <w:rFonts w:ascii="Arial" w:hAnsi="Arial" w:cs="Arial"/>
        </w:rPr>
        <w:t>competing</w:t>
      </w:r>
      <w:r w:rsidRPr="00D23C75">
        <w:rPr>
          <w:rFonts w:ascii="Arial" w:hAnsi="Arial" w:cs="Arial"/>
          <w:spacing w:val="-3"/>
        </w:rPr>
        <w:t xml:space="preserve"> </w:t>
      </w:r>
      <w:r w:rsidRPr="00D23C75">
        <w:rPr>
          <w:rFonts w:ascii="Arial" w:hAnsi="Arial" w:cs="Arial"/>
        </w:rPr>
        <w:t>interests</w:t>
      </w:r>
      <w:r w:rsidRPr="00D23C75">
        <w:rPr>
          <w:rFonts w:ascii="Arial" w:hAnsi="Arial" w:cs="Arial"/>
          <w:spacing w:val="-3"/>
        </w:rPr>
        <w:t xml:space="preserve"> </w:t>
      </w:r>
      <w:r w:rsidRPr="00D23C75">
        <w:rPr>
          <w:rFonts w:ascii="Arial" w:hAnsi="Arial" w:cs="Arial"/>
          <w:spacing w:val="-4"/>
        </w:rPr>
        <w:t>exist</w:t>
      </w:r>
    </w:p>
    <w:p w14:paraId="54D4B4BF" w14:textId="77777777" w:rsidR="004B583B" w:rsidRPr="00D23C75" w:rsidRDefault="004B583B" w:rsidP="00736175">
      <w:pPr>
        <w:pStyle w:val="BodyText"/>
        <w:spacing w:before="42"/>
        <w:ind w:left="360" w:right="180"/>
        <w:rPr>
          <w:rFonts w:ascii="Arial" w:hAnsi="Arial" w:cs="Arial"/>
        </w:rPr>
      </w:pPr>
    </w:p>
    <w:p w14:paraId="7F26D6DA" w14:textId="77777777" w:rsidR="004328DD" w:rsidRPr="00D23C75" w:rsidRDefault="004328DD" w:rsidP="004328DD">
      <w:pPr>
        <w:pStyle w:val="BodyText"/>
        <w:spacing w:before="43" w:line="285" w:lineRule="auto"/>
        <w:ind w:left="360" w:right="180"/>
        <w:jc w:val="both"/>
        <w:rPr>
          <w:rFonts w:ascii="Arial" w:hAnsi="Arial" w:cs="Arial"/>
          <w:b/>
        </w:rPr>
      </w:pPr>
      <w:r w:rsidRPr="00D23C75">
        <w:rPr>
          <w:rFonts w:ascii="Arial" w:hAnsi="Arial" w:cs="Arial"/>
          <w:b/>
          <w:spacing w:val="-2"/>
        </w:rPr>
        <w:t>CONSENT</w:t>
      </w:r>
    </w:p>
    <w:p w14:paraId="100D76BD" w14:textId="54C3FAE0" w:rsidR="006601C3" w:rsidRPr="00D23C75" w:rsidRDefault="004328DD" w:rsidP="004B583B">
      <w:pPr>
        <w:pStyle w:val="BodyText"/>
        <w:spacing w:before="42"/>
        <w:ind w:left="360" w:right="180"/>
        <w:rPr>
          <w:rFonts w:ascii="Arial" w:hAnsi="Arial" w:cs="Arial"/>
          <w:spacing w:val="-2"/>
        </w:rPr>
      </w:pPr>
      <w:r w:rsidRPr="00D23C75">
        <w:rPr>
          <w:rFonts w:ascii="Arial" w:hAnsi="Arial" w:cs="Arial"/>
        </w:rPr>
        <w:t>Not</w:t>
      </w:r>
      <w:r w:rsidRPr="00D23C75">
        <w:rPr>
          <w:rFonts w:ascii="Arial" w:hAnsi="Arial" w:cs="Arial"/>
          <w:spacing w:val="-4"/>
        </w:rPr>
        <w:t xml:space="preserve"> </w:t>
      </w:r>
      <w:r w:rsidRPr="00D23C75">
        <w:rPr>
          <w:rFonts w:ascii="Arial" w:hAnsi="Arial" w:cs="Arial"/>
        </w:rPr>
        <w:t>applicable</w:t>
      </w:r>
      <w:r w:rsidRPr="00D23C75">
        <w:rPr>
          <w:rFonts w:ascii="Arial" w:hAnsi="Arial" w:cs="Arial"/>
          <w:spacing w:val="-5"/>
        </w:rPr>
        <w:t xml:space="preserve"> </w:t>
      </w:r>
    </w:p>
    <w:p w14:paraId="6F90E8C7" w14:textId="77777777" w:rsidR="004B583B" w:rsidRPr="00D23C75" w:rsidRDefault="004B583B" w:rsidP="004B583B">
      <w:pPr>
        <w:pStyle w:val="BodyText"/>
        <w:spacing w:before="42"/>
        <w:ind w:left="360" w:right="180"/>
        <w:rPr>
          <w:rFonts w:ascii="Arial" w:hAnsi="Arial" w:cs="Arial"/>
        </w:rPr>
      </w:pPr>
    </w:p>
    <w:p w14:paraId="253F1C5F" w14:textId="77777777" w:rsidR="004328DD" w:rsidRPr="00D23C75" w:rsidRDefault="004328DD" w:rsidP="004328DD">
      <w:pPr>
        <w:pStyle w:val="Heading1"/>
        <w:spacing w:before="1"/>
        <w:ind w:right="180" w:firstLine="360"/>
        <w:rPr>
          <w:rFonts w:ascii="Arial" w:hAnsi="Arial" w:cs="Arial"/>
          <w:b/>
          <w:color w:val="auto"/>
          <w:sz w:val="20"/>
        </w:rPr>
      </w:pPr>
      <w:r w:rsidRPr="00D23C75">
        <w:rPr>
          <w:rFonts w:ascii="Arial" w:hAnsi="Arial" w:cs="Arial"/>
          <w:b/>
          <w:color w:val="auto"/>
          <w:sz w:val="20"/>
        </w:rPr>
        <w:t>ETHICAL</w:t>
      </w:r>
      <w:r w:rsidRPr="00D23C75">
        <w:rPr>
          <w:rFonts w:ascii="Arial" w:hAnsi="Arial" w:cs="Arial"/>
          <w:b/>
          <w:color w:val="auto"/>
          <w:spacing w:val="-5"/>
          <w:sz w:val="20"/>
        </w:rPr>
        <w:t xml:space="preserve"> </w:t>
      </w:r>
      <w:r w:rsidRPr="00D23C75">
        <w:rPr>
          <w:rFonts w:ascii="Arial" w:hAnsi="Arial" w:cs="Arial"/>
          <w:b/>
          <w:color w:val="auto"/>
          <w:spacing w:val="-2"/>
          <w:sz w:val="20"/>
        </w:rPr>
        <w:t>APPROVAL</w:t>
      </w:r>
    </w:p>
    <w:p w14:paraId="01302894" w14:textId="7D7C5304" w:rsidR="004328DD" w:rsidRPr="00D23C75" w:rsidRDefault="004328DD" w:rsidP="004328DD">
      <w:pPr>
        <w:pStyle w:val="BodyText"/>
        <w:spacing w:before="43" w:line="285" w:lineRule="auto"/>
        <w:ind w:left="360" w:right="180"/>
        <w:rPr>
          <w:rFonts w:ascii="Arial" w:hAnsi="Arial" w:cs="Arial"/>
        </w:rPr>
      </w:pPr>
      <w:r w:rsidRPr="00D23C75">
        <w:rPr>
          <w:rFonts w:ascii="Arial" w:hAnsi="Arial" w:cs="Arial"/>
        </w:rPr>
        <w:t>Not</w:t>
      </w:r>
      <w:r w:rsidRPr="00D23C75">
        <w:rPr>
          <w:rFonts w:ascii="Arial" w:hAnsi="Arial" w:cs="Arial"/>
          <w:spacing w:val="-4"/>
        </w:rPr>
        <w:t xml:space="preserve"> </w:t>
      </w:r>
      <w:r w:rsidRPr="00D23C75">
        <w:rPr>
          <w:rFonts w:ascii="Arial" w:hAnsi="Arial" w:cs="Arial"/>
        </w:rPr>
        <w:t>applicable.</w:t>
      </w:r>
      <w:r w:rsidRPr="00D23C75">
        <w:rPr>
          <w:rFonts w:ascii="Arial" w:hAnsi="Arial" w:cs="Arial"/>
          <w:spacing w:val="-4"/>
        </w:rPr>
        <w:t xml:space="preserve"> </w:t>
      </w:r>
    </w:p>
    <w:p w14:paraId="2F9174DB" w14:textId="77777777" w:rsidR="005469EC" w:rsidRPr="00D23C75" w:rsidRDefault="005469EC" w:rsidP="008A645C">
      <w:pPr>
        <w:ind w:firstLine="360"/>
        <w:jc w:val="both"/>
        <w:outlineLvl w:val="0"/>
        <w:rPr>
          <w:rFonts w:ascii="Arial" w:hAnsi="Arial" w:cs="Arial"/>
        </w:rPr>
      </w:pPr>
      <w:r w:rsidRPr="00D23C75">
        <w:rPr>
          <w:rFonts w:ascii="Arial" w:hAnsi="Arial" w:cs="Arial"/>
          <w:b/>
          <w:bCs/>
        </w:rPr>
        <w:t>COMPETING INTERESTS DISCLAIMER:</w:t>
      </w:r>
    </w:p>
    <w:p w14:paraId="7A3CCD26" w14:textId="77777777" w:rsidR="005469EC" w:rsidRPr="00D23C75" w:rsidRDefault="005469EC" w:rsidP="008A645C">
      <w:pPr>
        <w:ind w:left="360"/>
        <w:rPr>
          <w:rFonts w:ascii="Arial" w:hAnsi="Arial" w:cs="Arial"/>
        </w:rPr>
      </w:pPr>
      <w:r w:rsidRPr="00D23C75">
        <w:rPr>
          <w:rFonts w:ascii="Arial" w:hAnsi="Arial" w:cs="Arial"/>
        </w:rPr>
        <w:t>Authors have declared that they have no known competing financial interests OR non-financial interests OR personal relationships that could have appeared to influence the work reported in this paper.</w:t>
      </w:r>
    </w:p>
    <w:p w14:paraId="09971D1D" w14:textId="77777777" w:rsidR="004E2302" w:rsidRPr="00D23C75" w:rsidRDefault="004E2302" w:rsidP="008A645C">
      <w:pPr>
        <w:spacing w:after="0" w:line="240" w:lineRule="auto"/>
        <w:ind w:firstLine="360"/>
        <w:rPr>
          <w:rFonts w:ascii="Arial" w:hAnsi="Arial" w:cs="Arial"/>
          <w:b/>
        </w:rPr>
      </w:pPr>
      <w:r w:rsidRPr="00D23C75">
        <w:rPr>
          <w:rFonts w:ascii="Arial" w:hAnsi="Arial" w:cs="Arial"/>
          <w:b/>
        </w:rPr>
        <w:t>Declaration of AI Use</w:t>
      </w:r>
    </w:p>
    <w:p w14:paraId="0544856E" w14:textId="77777777" w:rsidR="004E2302" w:rsidRPr="00D23C75" w:rsidRDefault="008A645C" w:rsidP="004E2302">
      <w:pPr>
        <w:spacing w:after="0" w:line="240" w:lineRule="auto"/>
        <w:rPr>
          <w:rFonts w:ascii="Arial" w:hAnsi="Arial" w:cs="Arial"/>
          <w:b/>
        </w:rPr>
      </w:pPr>
      <w:r w:rsidRPr="00D23C75">
        <w:rPr>
          <w:rFonts w:ascii="Arial" w:hAnsi="Arial" w:cs="Arial"/>
          <w:b/>
        </w:rPr>
        <w:tab/>
      </w:r>
    </w:p>
    <w:p w14:paraId="30BF80AA" w14:textId="77777777" w:rsidR="004E2302" w:rsidRPr="00D23C75" w:rsidRDefault="004E2302" w:rsidP="008A645C">
      <w:pPr>
        <w:spacing w:after="0" w:line="240" w:lineRule="auto"/>
        <w:ind w:left="360"/>
        <w:rPr>
          <w:rFonts w:ascii="Arial" w:hAnsi="Arial" w:cs="Arial"/>
          <w:sz w:val="20"/>
          <w:szCs w:val="20"/>
        </w:rPr>
      </w:pPr>
      <w:r w:rsidRPr="00D23C75">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DB7B9F9" w14:textId="77777777" w:rsidR="004328DD" w:rsidRPr="00D23C75" w:rsidRDefault="004328DD" w:rsidP="004328DD">
      <w:pPr>
        <w:pStyle w:val="Heading1"/>
        <w:spacing w:line="249" w:lineRule="exact"/>
        <w:ind w:left="360" w:right="180"/>
        <w:rPr>
          <w:rFonts w:ascii="Arial" w:hAnsi="Arial" w:cs="Arial"/>
          <w:b/>
          <w:color w:val="auto"/>
          <w:spacing w:val="-2"/>
          <w:sz w:val="20"/>
        </w:rPr>
      </w:pPr>
      <w:r w:rsidRPr="00D23C75">
        <w:rPr>
          <w:rFonts w:ascii="Arial" w:hAnsi="Arial" w:cs="Arial"/>
          <w:b/>
          <w:color w:val="auto"/>
          <w:spacing w:val="-2"/>
          <w:sz w:val="20"/>
        </w:rPr>
        <w:t>REFERENCES</w:t>
      </w:r>
    </w:p>
    <w:p w14:paraId="4C66527C" w14:textId="2F4E6CDE" w:rsidR="004328DD" w:rsidRPr="00D23C75" w:rsidRDefault="004328DD" w:rsidP="004328DD">
      <w:pPr>
        <w:pStyle w:val="BodyText"/>
        <w:spacing w:before="120" w:after="120"/>
        <w:ind w:left="720" w:right="187" w:hanging="720"/>
        <w:jc w:val="both"/>
        <w:rPr>
          <w:rFonts w:ascii="Arial" w:hAnsi="Arial" w:cs="Arial"/>
        </w:rPr>
      </w:pPr>
      <w:r>
        <w:t xml:space="preserve">Balasubramanian, R. (1979). A new type of alternariosis in </w:t>
      </w:r>
      <w:r>
        <w:rPr>
          <w:i/>
        </w:rPr>
        <w:t>Arachis hypogaea</w:t>
      </w:r>
      <w:r>
        <w:t xml:space="preserve"> L. </w:t>
      </w:r>
      <w:r>
        <w:rPr>
          <w:i/>
        </w:rPr>
        <w:t>Current Science</w:t>
      </w:r>
      <w:r>
        <w:t xml:space="preserve">, </w:t>
      </w:r>
      <w:r>
        <w:rPr>
          <w:i/>
        </w:rPr>
        <w:t>48</w:t>
      </w:r>
      <w:r>
        <w:t xml:space="preserve">(2), 76–77. </w:t>
      </w:r>
    </w:p>
    <w:p w14:paraId="0C772E66" w14:textId="77777777" w:rsidR="004328DD" w:rsidRPr="00D23C75" w:rsidRDefault="004328DD" w:rsidP="004328DD">
      <w:pPr>
        <w:widowControl w:val="0"/>
        <w:autoSpaceDE w:val="0"/>
        <w:autoSpaceDN w:val="0"/>
        <w:spacing w:before="120" w:after="120" w:line="240" w:lineRule="auto"/>
        <w:ind w:left="720" w:right="187" w:hanging="720"/>
        <w:jc w:val="both"/>
        <w:rPr>
          <w:rFonts w:ascii="Arial" w:eastAsia="Times New Roman" w:hAnsi="Arial" w:cs="Arial"/>
          <w:sz w:val="20"/>
          <w:szCs w:val="24"/>
        </w:rPr>
      </w:pPr>
      <w:r>
        <w:t xml:space="preserve">Chaudhary, D. A., Nath, K., Bekriwala, T., &amp; Bala, M. (2018). Management of Alternaria leaf blight of groundnut caused by </w:t>
      </w:r>
      <w:r>
        <w:rPr>
          <w:i/>
        </w:rPr>
        <w:t>Alternaria alternata</w:t>
      </w:r>
      <w:r>
        <w:t xml:space="preserve">. </w:t>
      </w:r>
      <w:r>
        <w:rPr>
          <w:i/>
        </w:rPr>
        <w:t>Indian Phytopathology</w:t>
      </w:r>
      <w:r>
        <w:t xml:space="preserve">, </w:t>
      </w:r>
      <w:r>
        <w:rPr>
          <w:i/>
        </w:rPr>
        <w:t>71</w:t>
      </w:r>
      <w:r>
        <w:t xml:space="preserve">(4), 543–548. </w:t>
      </w:r>
      <w:hyperlink r:id="rId18">
        <w:r>
          <w:rPr>
            <w:rStyle w:val="Hyperlink"/>
          </w:rPr>
          <w:t>https://doi.org/10.1007/s42360-018-0083-2</w:t>
        </w:r>
      </w:hyperlink>
    </w:p>
    <w:p w14:paraId="533BC03E" w14:textId="77777777" w:rsidR="004328DD" w:rsidRPr="00D23C75" w:rsidRDefault="004328DD" w:rsidP="004328DD">
      <w:pPr>
        <w:pStyle w:val="BodyText"/>
        <w:spacing w:before="120" w:after="120"/>
        <w:ind w:left="720" w:right="187" w:hanging="720"/>
        <w:jc w:val="both"/>
        <w:rPr>
          <w:rFonts w:ascii="Arial" w:eastAsia="Times New Roman" w:hAnsi="Arial" w:cs="Arial"/>
          <w:i/>
          <w:szCs w:val="24"/>
        </w:rPr>
      </w:pPr>
      <w:r>
        <w:t xml:space="preserve">Dennis, C., &amp; Webster, J. (1971). Antagonistic properties of species-groups of </w:t>
      </w:r>
      <w:r>
        <w:rPr>
          <w:i/>
        </w:rPr>
        <w:t>Trichoderma</w:t>
      </w:r>
      <w:r>
        <w:t xml:space="preserve">: III. Hyphal interaction. </w:t>
      </w:r>
      <w:r>
        <w:rPr>
          <w:i/>
        </w:rPr>
        <w:t>Transactions of the British Mycological Society</w:t>
      </w:r>
      <w:r>
        <w:t xml:space="preserve">, </w:t>
      </w:r>
      <w:r>
        <w:rPr>
          <w:i/>
        </w:rPr>
        <w:t>57</w:t>
      </w:r>
      <w:r>
        <w:t xml:space="preserve">(3), 363–369. </w:t>
      </w:r>
      <w:hyperlink r:id="rId19">
        <w:r>
          <w:rPr>
            <w:rStyle w:val="Hyperlink"/>
          </w:rPr>
          <w:t>https://doi.org/10.1016/S0007-1536(71)80050-5</w:t>
        </w:r>
      </w:hyperlink>
    </w:p>
    <w:p w14:paraId="364AE56A" w14:textId="77777777" w:rsidR="004328DD" w:rsidRPr="00D23C75" w:rsidRDefault="004328DD" w:rsidP="004328DD">
      <w:pPr>
        <w:pStyle w:val="BodyText"/>
        <w:spacing w:before="120" w:after="120"/>
        <w:ind w:left="720" w:right="187" w:hanging="720"/>
        <w:jc w:val="both"/>
        <w:rPr>
          <w:rFonts w:ascii="Arial" w:hAnsi="Arial" w:cs="Arial"/>
        </w:rPr>
      </w:pPr>
      <w:r>
        <w:t xml:space="preserve">Food and Agriculture Organization of the United Nations. (2025). </w:t>
      </w:r>
      <w:r>
        <w:rPr>
          <w:i/>
        </w:rPr>
        <w:t>FAOSTAT</w:t>
      </w:r>
      <w:r>
        <w:t xml:space="preserve"> [Data set]. </w:t>
      </w:r>
      <w:hyperlink r:id="rId20">
        <w:r>
          <w:rPr>
            <w:rStyle w:val="Hyperlink"/>
          </w:rPr>
          <w:t>https://www.fao.org/faostat/en/</w:t>
        </w:r>
      </w:hyperlink>
    </w:p>
    <w:p w14:paraId="724FD3A5" w14:textId="77777777" w:rsidR="008A645C" w:rsidRPr="00D23C75" w:rsidRDefault="008A645C" w:rsidP="008A645C">
      <w:pPr>
        <w:pStyle w:val="BodyText"/>
        <w:ind w:left="720" w:right="187" w:hanging="720"/>
        <w:rPr>
          <w:rFonts w:ascii="Arial" w:hAnsi="Arial" w:cs="Arial"/>
        </w:rPr>
      </w:pPr>
      <w:r>
        <w:t xml:space="preserve">Chitra, K., Dhanalakshmi, K., Ejilane, J., Balisasikumar, C., Sivasankari Devi, T., Dineshkumar, P., Jayaseelan, C., Karthikeyani Vijayakumari, K., &amp; Ramasamy, M. (2025). Efficacy of </w:t>
      </w:r>
      <w:r>
        <w:rPr>
          <w:i/>
        </w:rPr>
        <w:t>Pseudomonas fluorescens</w:t>
      </w:r>
      <w:r>
        <w:t xml:space="preserve"> and </w:t>
      </w:r>
      <w:r>
        <w:rPr>
          <w:i/>
        </w:rPr>
        <w:t>Bacillus subtilis</w:t>
      </w:r>
      <w:r>
        <w:t xml:space="preserve"> in managing groundnut leaf blight disease caused by </w:t>
      </w:r>
      <w:r>
        <w:rPr>
          <w:i/>
        </w:rPr>
        <w:t>Alternaria alternata</w:t>
      </w:r>
      <w:r>
        <w:t xml:space="preserve">. </w:t>
      </w:r>
      <w:r>
        <w:rPr>
          <w:i/>
        </w:rPr>
        <w:t>Plant Science Today</w:t>
      </w:r>
      <w:r>
        <w:t xml:space="preserve">, </w:t>
      </w:r>
      <w:r>
        <w:rPr>
          <w:i/>
        </w:rPr>
        <w:t>12</w:t>
      </w:r>
      <w:r>
        <w:t xml:space="preserve">(2). </w:t>
      </w:r>
      <w:hyperlink r:id="rId21">
        <w:r>
          <w:rPr>
            <w:rStyle w:val="Hyperlink"/>
          </w:rPr>
          <w:t>https://doi.org/10.14719/pst.7861</w:t>
        </w:r>
      </w:hyperlink>
    </w:p>
    <w:p w14:paraId="7B774D5C" w14:textId="77777777" w:rsidR="008A645C" w:rsidRPr="00D23C75" w:rsidRDefault="004328DD" w:rsidP="0069385D">
      <w:pPr>
        <w:pStyle w:val="BodyText"/>
        <w:spacing w:before="120" w:after="120"/>
        <w:ind w:left="720" w:right="187" w:hanging="720"/>
        <w:jc w:val="both"/>
        <w:rPr>
          <w:rFonts w:ascii="Arial" w:hAnsi="Arial" w:cs="Arial"/>
        </w:rPr>
      </w:pPr>
      <w:r>
        <w:t>Noman, H. M., Rana, D. S., Choudhary, A. K., Dass, A., Rajanna, G. A., &amp; Pande, P. (2021). Improving productivity, quality and biofortification in groundnut (</w:t>
      </w:r>
      <w:r>
        <w:rPr>
          <w:i/>
        </w:rPr>
        <w:t>Arachis hypogaea</w:t>
      </w:r>
      <w:r>
        <w:t xml:space="preserve"> L.) through sulfur and </w:t>
      </w:r>
      <w:r>
        <w:lastRenderedPageBreak/>
        <w:t xml:space="preserve">zinc nutrition in alluvial soils of the semi-arid region of India. </w:t>
      </w:r>
      <w:r>
        <w:rPr>
          <w:i/>
        </w:rPr>
        <w:t>Journal of Plant Nutrition</w:t>
      </w:r>
      <w:r>
        <w:t xml:space="preserve">, </w:t>
      </w:r>
      <w:r>
        <w:rPr>
          <w:i/>
        </w:rPr>
        <w:t>44</w:t>
      </w:r>
      <w:r>
        <w:t xml:space="preserve">(8), 1151–1174. </w:t>
      </w:r>
      <w:hyperlink r:id="rId22">
        <w:r>
          <w:rPr>
            <w:rStyle w:val="Hyperlink"/>
          </w:rPr>
          <w:t>https://doi.org/10.1080/01904167.2020.1849289</w:t>
        </w:r>
      </w:hyperlink>
    </w:p>
    <w:p w14:paraId="2ADFBC55" w14:textId="77777777" w:rsidR="004328DD" w:rsidRPr="00D23C75" w:rsidRDefault="004328DD" w:rsidP="008A645C">
      <w:pPr>
        <w:pStyle w:val="BodyText"/>
        <w:spacing w:before="120" w:after="120"/>
        <w:ind w:left="720" w:right="187" w:hanging="720"/>
        <w:jc w:val="both"/>
        <w:rPr>
          <w:rFonts w:ascii="Arial" w:hAnsi="Arial" w:cs="Arial"/>
        </w:rPr>
      </w:pPr>
      <w:r>
        <w:t xml:space="preserve">Kantwa, S. L., Tetarwal, J. P., &amp; Shekhawat, K. S. (2014). In vitro effect of fungicides and phyto-extracts against </w:t>
      </w:r>
      <w:r>
        <w:rPr>
          <w:i/>
        </w:rPr>
        <w:t>Alternaria alternata</w:t>
      </w:r>
      <w:r>
        <w:t xml:space="preserve"> causing leaf blight of groundnut. </w:t>
      </w:r>
      <w:r>
        <w:rPr>
          <w:i/>
        </w:rPr>
        <w:t>IOSR Journal of Agriculture and Veterinary Science</w:t>
      </w:r>
      <w:r>
        <w:t xml:space="preserve">, </w:t>
      </w:r>
      <w:r>
        <w:rPr>
          <w:i/>
        </w:rPr>
        <w:t>7</w:t>
      </w:r>
      <w:r>
        <w:t xml:space="preserve">(6), 28–31. </w:t>
      </w:r>
      <w:hyperlink r:id="rId23">
        <w:r>
          <w:rPr>
            <w:rStyle w:val="Hyperlink"/>
          </w:rPr>
          <w:t>https://doi.org/10.9790/2380-07612831</w:t>
        </w:r>
      </w:hyperlink>
    </w:p>
    <w:p w14:paraId="6448D0BC" w14:textId="77777777" w:rsidR="004328DD" w:rsidRPr="00D23C75" w:rsidRDefault="004328DD" w:rsidP="004328DD">
      <w:pPr>
        <w:spacing w:before="120" w:after="120" w:line="240" w:lineRule="auto"/>
        <w:ind w:left="720" w:right="187" w:hanging="720"/>
        <w:jc w:val="both"/>
        <w:rPr>
          <w:rFonts w:ascii="Arial" w:eastAsia="Times New Roman" w:hAnsi="Arial" w:cs="Arial"/>
          <w:sz w:val="20"/>
          <w:szCs w:val="24"/>
        </w:rPr>
      </w:pPr>
      <w:r>
        <w:t>Kumar, N., Dutta, R., Ajay, B. C., &amp; Radhakrishnan, T. (2022). Alternaria leaf blight (</w:t>
      </w:r>
      <w:r>
        <w:rPr>
          <w:i/>
        </w:rPr>
        <w:t>Alternaria</w:t>
      </w:r>
      <w:r>
        <w:t xml:space="preserve"> spp.) - an emerging foliar fungal disease of winter-summer groundnut (</w:t>
      </w:r>
      <w:r>
        <w:rPr>
          <w:i/>
        </w:rPr>
        <w:t>Arachis hypogaea</w:t>
      </w:r>
      <w:r>
        <w:t xml:space="preserve">): A review. </w:t>
      </w:r>
      <w:r>
        <w:rPr>
          <w:i/>
        </w:rPr>
        <w:t>The Indian Journal of Agricultural Sciences</w:t>
      </w:r>
      <w:r>
        <w:t xml:space="preserve">, </w:t>
      </w:r>
      <w:r>
        <w:rPr>
          <w:i/>
        </w:rPr>
        <w:t>92</w:t>
      </w:r>
      <w:r>
        <w:t xml:space="preserve">(9), 1043–1050. </w:t>
      </w:r>
      <w:hyperlink r:id="rId24">
        <w:r>
          <w:rPr>
            <w:rStyle w:val="Hyperlink"/>
          </w:rPr>
          <w:t>https://doi.org/10.56093/ijas.v92i9.111299</w:t>
        </w:r>
      </w:hyperlink>
    </w:p>
    <w:p w14:paraId="587C9D8D" w14:textId="77777777" w:rsidR="004328DD" w:rsidRPr="00D23C75" w:rsidRDefault="00A26F4C" w:rsidP="004328DD">
      <w:pPr>
        <w:pStyle w:val="BodyText"/>
        <w:spacing w:before="120" w:after="120"/>
        <w:ind w:left="720" w:right="187" w:hanging="720"/>
        <w:jc w:val="both"/>
        <w:rPr>
          <w:rFonts w:ascii="Arial" w:hAnsi="Arial" w:cs="Arial"/>
          <w:i/>
        </w:rPr>
      </w:pPr>
      <w:r w:rsidRPr="00E86D4A">
        <w:rPr>
          <w:lang w:val="nl-BE"/>
        </w:rPr>
        <w:t xml:space="preserve">Kumar, V., Lukose, C., Bagwan, N. B., Koradia, V. G., &amp; Padavi, R. D. (2012). </w:t>
      </w:r>
      <w:r>
        <w:t xml:space="preserve">Occurrence of Alternaria leaf blight of groundnut in Gujarat and reaction of some genotypes against the disease. </w:t>
      </w:r>
      <w:r>
        <w:rPr>
          <w:i/>
        </w:rPr>
        <w:t>Indian Phytopathology</w:t>
      </w:r>
      <w:r>
        <w:t xml:space="preserve">, </w:t>
      </w:r>
      <w:r>
        <w:rPr>
          <w:i/>
        </w:rPr>
        <w:t>65</w:t>
      </w:r>
      <w:r>
        <w:t xml:space="preserve">(1), 25–30. </w:t>
      </w:r>
      <w:hyperlink r:id="rId25">
        <w:r>
          <w:rPr>
            <w:rStyle w:val="Hyperlink"/>
          </w:rPr>
          <w:t>https://epubs.icar.org.in/index.php/IPPJ/article/view/16083</w:t>
        </w:r>
      </w:hyperlink>
    </w:p>
    <w:p w14:paraId="3FB52195" w14:textId="77777777" w:rsidR="004328DD" w:rsidRPr="00D23C75" w:rsidRDefault="004328DD" w:rsidP="004328DD">
      <w:pPr>
        <w:widowControl w:val="0"/>
        <w:autoSpaceDE w:val="0"/>
        <w:autoSpaceDN w:val="0"/>
        <w:spacing w:before="120" w:after="120" w:line="240" w:lineRule="auto"/>
        <w:ind w:left="720" w:right="187" w:hanging="720"/>
        <w:jc w:val="both"/>
        <w:rPr>
          <w:rFonts w:ascii="Arial" w:eastAsia="Times New Roman" w:hAnsi="Arial" w:cs="Arial"/>
          <w:sz w:val="20"/>
          <w:szCs w:val="24"/>
        </w:rPr>
      </w:pPr>
      <w:r w:rsidRPr="00E86D4A">
        <w:rPr>
          <w:lang w:val="nl-BE"/>
        </w:rPr>
        <w:t xml:space="preserve">Reddy, V. V., Ghante, P. H., &amp; Kanase, K. M. (2019). </w:t>
      </w:r>
      <w:r>
        <w:t xml:space="preserve">Studies on morpho-cultural characters of </w:t>
      </w:r>
      <w:r>
        <w:rPr>
          <w:i/>
        </w:rPr>
        <w:t>Alternaria alternata</w:t>
      </w:r>
      <w:r>
        <w:t xml:space="preserve"> infecting groundnut crop by using various culture media. </w:t>
      </w:r>
      <w:r>
        <w:rPr>
          <w:i/>
        </w:rPr>
        <w:t>Journal of Pharmacognosy and Phytochemistry</w:t>
      </w:r>
      <w:r>
        <w:t xml:space="preserve">, </w:t>
      </w:r>
      <w:r>
        <w:rPr>
          <w:i/>
        </w:rPr>
        <w:t>8</w:t>
      </w:r>
      <w:r>
        <w:t xml:space="preserve">(2), 85–87. </w:t>
      </w:r>
      <w:hyperlink r:id="rId26">
        <w:r>
          <w:rPr>
            <w:rStyle w:val="Hyperlink"/>
          </w:rPr>
          <w:t>https://www.phytojournal.com/archives/2019.v8.i2.7323/studies-on-morpho-cultural-characters-of-ltemgtalternaria-alternateltemgt-infecting-groundnut-crop-by-using-various-culture-media</w:t>
        </w:r>
      </w:hyperlink>
    </w:p>
    <w:p w14:paraId="22D63888" w14:textId="77777777" w:rsidR="004328DD" w:rsidRPr="00D23C75" w:rsidRDefault="004328DD" w:rsidP="004328DD">
      <w:pPr>
        <w:spacing w:before="120" w:after="120" w:line="240" w:lineRule="auto"/>
        <w:ind w:left="720" w:right="187" w:hanging="720"/>
        <w:jc w:val="both"/>
        <w:rPr>
          <w:rFonts w:ascii="Arial" w:eastAsia="Times New Roman" w:hAnsi="Arial" w:cs="Arial"/>
          <w:sz w:val="20"/>
          <w:szCs w:val="24"/>
        </w:rPr>
      </w:pPr>
      <w:r>
        <w:t xml:space="preserve">Bhosale, R. P., Navgire, K. D., Rewale, K. A., &amp; Wahul, S. M. (2018). In vitro evaluation of various bioagents against detected seed mycoflora of groundnut. </w:t>
      </w:r>
      <w:r>
        <w:rPr>
          <w:i/>
        </w:rPr>
        <w:t>International Journal of Current Microbiology and Applied Sciences</w:t>
      </w:r>
      <w:r>
        <w:t xml:space="preserve">, </w:t>
      </w:r>
      <w:r>
        <w:rPr>
          <w:i/>
        </w:rPr>
        <w:t>7</w:t>
      </w:r>
      <w:r>
        <w:t xml:space="preserve">(10), 1589–1595. </w:t>
      </w:r>
      <w:hyperlink r:id="rId27">
        <w:r>
          <w:rPr>
            <w:rStyle w:val="Hyperlink"/>
          </w:rPr>
          <w:t>https://doi.org/10.20546/ijcmas.2018.710.179</w:t>
        </w:r>
      </w:hyperlink>
    </w:p>
    <w:p w14:paraId="0F43865C" w14:textId="77777777" w:rsidR="004328DD" w:rsidRPr="00D23C75" w:rsidRDefault="004328DD" w:rsidP="004328DD">
      <w:pPr>
        <w:widowControl w:val="0"/>
        <w:autoSpaceDE w:val="0"/>
        <w:autoSpaceDN w:val="0"/>
        <w:spacing w:before="120" w:after="120" w:line="240" w:lineRule="auto"/>
        <w:ind w:left="720" w:right="187" w:hanging="720"/>
        <w:jc w:val="both"/>
        <w:rPr>
          <w:rFonts w:ascii="Arial" w:eastAsia="Times New Roman" w:hAnsi="Arial" w:cs="Arial"/>
          <w:sz w:val="20"/>
          <w:szCs w:val="24"/>
        </w:rPr>
      </w:pPr>
      <w:r>
        <w:t xml:space="preserve">Vincent, J. M. (1947). Distortion of fungal hyphae in the presence of certain inhibitors. </w:t>
      </w:r>
      <w:r>
        <w:rPr>
          <w:i/>
        </w:rPr>
        <w:t>Nature</w:t>
      </w:r>
      <w:r>
        <w:t xml:space="preserve">, </w:t>
      </w:r>
      <w:r>
        <w:rPr>
          <w:i/>
        </w:rPr>
        <w:t>159</w:t>
      </w:r>
      <w:r>
        <w:t xml:space="preserve">, 850. </w:t>
      </w:r>
      <w:hyperlink r:id="rId28">
        <w:r>
          <w:rPr>
            <w:rStyle w:val="Hyperlink"/>
          </w:rPr>
          <w:t>https://doi.org/10.1038/159850b0</w:t>
        </w:r>
      </w:hyperlink>
    </w:p>
    <w:p w14:paraId="2C863FCE" w14:textId="77777777" w:rsidR="002A662F" w:rsidRPr="00D23C75" w:rsidRDefault="00275AFA" w:rsidP="008A645C">
      <w:pPr>
        <w:spacing w:before="120" w:after="120" w:line="240" w:lineRule="auto"/>
        <w:ind w:left="720" w:hanging="720"/>
        <w:jc w:val="both"/>
        <w:rPr>
          <w:rFonts w:ascii="Arial" w:hAnsi="Arial" w:cs="Arial"/>
          <w:sz w:val="20"/>
        </w:rPr>
      </w:pPr>
      <w:r>
        <w:t xml:space="preserve">Harman, G. E., Howell, C. R., Viterbo, A., Chet, I., &amp; Lorito, M. (2004). </w:t>
      </w:r>
      <w:r>
        <w:rPr>
          <w:i/>
        </w:rPr>
        <w:t>Trichoderma</w:t>
      </w:r>
      <w:r>
        <w:t xml:space="preserve"> species—opportunistic, avirulent plant symbionts. </w:t>
      </w:r>
      <w:r>
        <w:rPr>
          <w:i/>
        </w:rPr>
        <w:t>Nature Reviews Microbiology</w:t>
      </w:r>
      <w:r>
        <w:t xml:space="preserve">, </w:t>
      </w:r>
      <w:r>
        <w:rPr>
          <w:i/>
        </w:rPr>
        <w:t>2</w:t>
      </w:r>
      <w:r>
        <w:t xml:space="preserve">(1), 43–56. </w:t>
      </w:r>
      <w:hyperlink r:id="rId29">
        <w:r>
          <w:rPr>
            <w:rStyle w:val="Hyperlink"/>
          </w:rPr>
          <w:t>https://doi.org/10.1038/nrmicro797</w:t>
        </w:r>
      </w:hyperlink>
    </w:p>
    <w:p w14:paraId="354A8725" w14:textId="77777777" w:rsidR="002A662F" w:rsidRPr="00D23C75" w:rsidRDefault="00275AFA" w:rsidP="008A645C">
      <w:pPr>
        <w:spacing w:before="120" w:after="120" w:line="240" w:lineRule="auto"/>
        <w:ind w:left="720" w:hanging="720"/>
        <w:jc w:val="both"/>
        <w:rPr>
          <w:rFonts w:ascii="Arial" w:hAnsi="Arial" w:cs="Arial"/>
          <w:sz w:val="20"/>
        </w:rPr>
      </w:pPr>
      <w:r>
        <w:t xml:space="preserve">Harish, B. N., Nagesha, S. N., Ramesh, B. N., Shyamalamma, S., Nagaraj, M. S., Girish, H. C., Pradeep, C., Shiva Kumar, K. S., Tharun Kumar, K. S., Pavan, S. N., &amp; Kavan Kumar, V. (2023). Molecular characterization and antifungal activity of lipopeptides produced from </w:t>
      </w:r>
      <w:r>
        <w:rPr>
          <w:i/>
        </w:rPr>
        <w:t>Bacillus subtilis</w:t>
      </w:r>
      <w:r>
        <w:t xml:space="preserve"> against plant fungal pathogen </w:t>
      </w:r>
      <w:r>
        <w:rPr>
          <w:i/>
        </w:rPr>
        <w:t>Alternaria alternata</w:t>
      </w:r>
      <w:r>
        <w:t xml:space="preserve">. </w:t>
      </w:r>
      <w:r>
        <w:rPr>
          <w:i/>
        </w:rPr>
        <w:t>BMC Microbiology</w:t>
      </w:r>
      <w:r>
        <w:t xml:space="preserve">, </w:t>
      </w:r>
      <w:r>
        <w:rPr>
          <w:i/>
        </w:rPr>
        <w:t>23</w:t>
      </w:r>
      <w:r>
        <w:t xml:space="preserve">, 179. </w:t>
      </w:r>
      <w:hyperlink r:id="rId30">
        <w:r>
          <w:rPr>
            <w:rStyle w:val="Hyperlink"/>
          </w:rPr>
          <w:t>https://doi.org/10.1186/s12866-023-02922-w</w:t>
        </w:r>
      </w:hyperlink>
    </w:p>
    <w:p w14:paraId="072F70F5" w14:textId="77777777" w:rsidR="002A662F" w:rsidRPr="00D23C75" w:rsidRDefault="00275AFA" w:rsidP="008A645C">
      <w:pPr>
        <w:spacing w:before="120" w:after="120" w:line="240" w:lineRule="auto"/>
        <w:ind w:left="720" w:hanging="720"/>
        <w:jc w:val="both"/>
        <w:rPr>
          <w:rFonts w:ascii="Arial" w:hAnsi="Arial" w:cs="Arial"/>
          <w:sz w:val="20"/>
        </w:rPr>
      </w:pPr>
      <w:r>
        <w:t xml:space="preserve">Kumar, S., Jaiswal, S., Kumar, V., Kumari, P., &amp; Upadhyay, R. S. (2026). </w:t>
      </w:r>
      <w:r>
        <w:rPr>
          <w:i/>
        </w:rPr>
        <w:t>Trichoderma</w:t>
      </w:r>
      <w:r>
        <w:t xml:space="preserve"> species as sustainable biocontrol agents: Mechanisms, applications, and future prospects in plant disease management. </w:t>
      </w:r>
      <w:r>
        <w:rPr>
          <w:i/>
        </w:rPr>
        <w:t>Indian Phytopathology</w:t>
      </w:r>
      <w:r>
        <w:t xml:space="preserve">, </w:t>
      </w:r>
      <w:r>
        <w:rPr>
          <w:i/>
        </w:rPr>
        <w:t>79</w:t>
      </w:r>
      <w:r>
        <w:t xml:space="preserve">(2), 281–308. </w:t>
      </w:r>
      <w:hyperlink r:id="rId31">
        <w:r>
          <w:rPr>
            <w:rStyle w:val="Hyperlink"/>
          </w:rPr>
          <w:t>https://doi.org/10.1007/s42360-026-00969-z</w:t>
        </w:r>
      </w:hyperlink>
    </w:p>
    <w:p w14:paraId="420D2AAA" w14:textId="77777777" w:rsidR="002A662F" w:rsidRPr="00D23C75" w:rsidRDefault="00275AFA" w:rsidP="008A645C">
      <w:pPr>
        <w:spacing w:before="120" w:after="120" w:line="240" w:lineRule="auto"/>
        <w:ind w:left="720" w:hanging="720"/>
        <w:jc w:val="both"/>
        <w:rPr>
          <w:rFonts w:ascii="Arial" w:hAnsi="Arial" w:cs="Arial"/>
          <w:sz w:val="20"/>
        </w:rPr>
      </w:pPr>
      <w:r>
        <w:t xml:space="preserve">Philip, B., Behiry, S. I., Salem, M. Z. M., Amer, M. A., El-Samra, I. A., Abdelkhalek, A., &amp; Heflish, A. (2024). </w:t>
      </w:r>
      <w:r>
        <w:rPr>
          <w:i/>
        </w:rPr>
        <w:t>Trichoderma afroharzianum</w:t>
      </w:r>
      <w:r>
        <w:t xml:space="preserve"> TRI07 metabolites inhibit </w:t>
      </w:r>
      <w:r>
        <w:rPr>
          <w:i/>
        </w:rPr>
        <w:t>Alternaria alternata</w:t>
      </w:r>
      <w:r>
        <w:t xml:space="preserve"> growth and induce tomato defense-related enzymes. </w:t>
      </w:r>
      <w:r>
        <w:rPr>
          <w:i/>
        </w:rPr>
        <w:t>Scientific Reports</w:t>
      </w:r>
      <w:r>
        <w:t xml:space="preserve">, </w:t>
      </w:r>
      <w:r>
        <w:rPr>
          <w:i/>
        </w:rPr>
        <w:t>14</w:t>
      </w:r>
      <w:r>
        <w:t xml:space="preserve">, 1874. </w:t>
      </w:r>
      <w:hyperlink r:id="rId32">
        <w:r>
          <w:rPr>
            <w:rStyle w:val="Hyperlink"/>
          </w:rPr>
          <w:t>https://doi.org/10.1038/s41598-024-52301-2</w:t>
        </w:r>
      </w:hyperlink>
    </w:p>
    <w:p w14:paraId="0E2A966D" w14:textId="77777777" w:rsidR="002A662F" w:rsidRPr="00D23C75" w:rsidRDefault="00275AFA" w:rsidP="008A645C">
      <w:pPr>
        <w:spacing w:before="120" w:after="120" w:line="240" w:lineRule="auto"/>
        <w:ind w:left="720" w:hanging="720"/>
        <w:jc w:val="both"/>
        <w:rPr>
          <w:rFonts w:ascii="Arial" w:hAnsi="Arial" w:cs="Arial"/>
          <w:sz w:val="20"/>
        </w:rPr>
      </w:pPr>
      <w:r>
        <w:t>Purohit, J., Chattopadhyay, A., Patel, D. S., Chaudhari, S. M., &amp; Patel, K. K. (2025). Dual role of triazole fungicides in managing Alternaria blight and promoting growth in groundnut (</w:t>
      </w:r>
      <w:r>
        <w:rPr>
          <w:i/>
        </w:rPr>
        <w:t>Arachis hypogaea</w:t>
      </w:r>
      <w:r>
        <w:t xml:space="preserve"> L.). </w:t>
      </w:r>
      <w:r>
        <w:rPr>
          <w:i/>
        </w:rPr>
        <w:t>Crops</w:t>
      </w:r>
      <w:r>
        <w:t xml:space="preserve">, </w:t>
      </w:r>
      <w:r>
        <w:rPr>
          <w:i/>
        </w:rPr>
        <w:t>5</w:t>
      </w:r>
      <w:r>
        <w:t xml:space="preserve">(5), 60. </w:t>
      </w:r>
      <w:hyperlink r:id="rId33">
        <w:r>
          <w:rPr>
            <w:rStyle w:val="Hyperlink"/>
          </w:rPr>
          <w:t>https://doi.org/10.3390/crops5050060</w:t>
        </w:r>
      </w:hyperlink>
    </w:p>
    <w:p w14:paraId="12D97ED6" w14:textId="77777777" w:rsidR="002A662F" w:rsidRPr="00D23C75" w:rsidRDefault="00275AFA" w:rsidP="008A645C">
      <w:pPr>
        <w:spacing w:before="120" w:after="120" w:line="240" w:lineRule="auto"/>
        <w:ind w:left="720" w:hanging="720"/>
        <w:jc w:val="both"/>
        <w:rPr>
          <w:rFonts w:ascii="Arial" w:hAnsi="Arial" w:cs="Arial"/>
          <w:sz w:val="20"/>
        </w:rPr>
      </w:pPr>
      <w:r>
        <w:lastRenderedPageBreak/>
        <w:t xml:space="preserve">Yang, G., Cui, S., Ma, N., Song, Y., Ma, J., Huang, W., Zhang, Y., &amp; Xu, J. (2022). Genetic structure and triazole antifungal susceptibilities of </w:t>
      </w:r>
      <w:r>
        <w:rPr>
          <w:i/>
        </w:rPr>
        <w:t>Alternaria alternata</w:t>
      </w:r>
      <w:r>
        <w:t xml:space="preserve"> from greenhouses in Kunming, China. </w:t>
      </w:r>
      <w:r>
        <w:rPr>
          <w:i/>
        </w:rPr>
        <w:t>Microbiology Spectrum</w:t>
      </w:r>
      <w:r>
        <w:t xml:space="preserve">, </w:t>
      </w:r>
      <w:r>
        <w:rPr>
          <w:i/>
        </w:rPr>
        <w:t>10</w:t>
      </w:r>
      <w:r>
        <w:t xml:space="preserve">(3), e00382-22. </w:t>
      </w:r>
      <w:hyperlink r:id="rId34">
        <w:r>
          <w:rPr>
            <w:rStyle w:val="Hyperlink"/>
          </w:rPr>
          <w:t>https://doi.org/10.1128/spectrum.00382-22</w:t>
        </w:r>
      </w:hyperlink>
    </w:p>
    <w:p w14:paraId="3CE383CD" w14:textId="77777777" w:rsidR="0043263A" w:rsidRPr="00D23C75" w:rsidRDefault="00000000">
      <w:pPr>
        <w:ind w:left="720" w:hanging="720"/>
      </w:pPr>
      <w:r>
        <w:t xml:space="preserve">Balamurugan, K., Vigneshwaran, K., &amp; Livitha, R. (2026). In vitro antagonistic efficacy of </w:t>
      </w:r>
      <w:r>
        <w:rPr>
          <w:i/>
        </w:rPr>
        <w:t>Trichoderma viride</w:t>
      </w:r>
      <w:r>
        <w:t xml:space="preserve"> culture filtrates against </w:t>
      </w:r>
      <w:r>
        <w:rPr>
          <w:i/>
        </w:rPr>
        <w:t>Sclerotium rolfsii</w:t>
      </w:r>
      <w:r>
        <w:t xml:space="preserve"> Sacc., the causal agent of groundnut stem rot. </w:t>
      </w:r>
      <w:r>
        <w:rPr>
          <w:i/>
        </w:rPr>
        <w:t>Journal of Basic and Applied Research International</w:t>
      </w:r>
      <w:r>
        <w:t xml:space="preserve">, </w:t>
      </w:r>
      <w:r>
        <w:rPr>
          <w:i/>
        </w:rPr>
        <w:t>32</w:t>
      </w:r>
      <w:r>
        <w:t xml:space="preserve">(5), 20–26. </w:t>
      </w:r>
      <w:hyperlink r:id="rId35">
        <w:r w:rsidR="0043263A">
          <w:rPr>
            <w:rStyle w:val="Hyperlink"/>
          </w:rPr>
          <w:t>https://doi.org/10.56557/jobari/2026/v32i511029</w:t>
        </w:r>
      </w:hyperlink>
    </w:p>
    <w:p w14:paraId="7F4421D1" w14:textId="77777777" w:rsidR="0043263A" w:rsidRPr="00D23C75" w:rsidRDefault="00000000">
      <w:pPr>
        <w:ind w:left="720" w:hanging="720"/>
      </w:pPr>
      <w:r>
        <w:t xml:space="preserve">Wei, L., Chen, B., Li, X., Shi, H., Xie, S., Hu, H., Chen, W., Wei, L., Wang, X., &amp; Chen, C. (2024). The HOG-pathway related AaOS1 leads to dicarboximide-resistance in field strains of </w:t>
      </w:r>
      <w:r>
        <w:rPr>
          <w:i/>
        </w:rPr>
        <w:t>Alternaria alternata</w:t>
      </w:r>
      <w:r>
        <w:t xml:space="preserve"> and contributes, together with the Aafhk1, to mycotoxin production and virulence. </w:t>
      </w:r>
      <w:r>
        <w:rPr>
          <w:i/>
        </w:rPr>
        <w:t>Pest Management Science</w:t>
      </w:r>
      <w:r>
        <w:t xml:space="preserve">, </w:t>
      </w:r>
      <w:r>
        <w:rPr>
          <w:i/>
        </w:rPr>
        <w:t>80</w:t>
      </w:r>
      <w:r>
        <w:t xml:space="preserve">(6), 2937–2949. </w:t>
      </w:r>
      <w:hyperlink r:id="rId36">
        <w:r w:rsidR="0043263A">
          <w:rPr>
            <w:rStyle w:val="Hyperlink"/>
          </w:rPr>
          <w:t>https://doi.org/10.1002/ps.8002</w:t>
        </w:r>
      </w:hyperlink>
    </w:p>
    <w:p w14:paraId="73D240AA" w14:textId="77777777" w:rsidR="0043263A" w:rsidRPr="00D23C75" w:rsidRDefault="00000000">
      <w:pPr>
        <w:ind w:left="720" w:hanging="720"/>
      </w:pPr>
      <w:r>
        <w:t xml:space="preserve">Park, J., Kim, S., Jo, M., An, S., Kim, Y., Yoon, J., Jeong, M.-H., Kim, E. Y., Choi, J., Kim, Y., &amp; Park, S.-Y. (2024). Isolation and identification of </w:t>
      </w:r>
      <w:r>
        <w:rPr>
          <w:i/>
        </w:rPr>
        <w:t>Alternaria alternata</w:t>
      </w:r>
      <w:r>
        <w:t xml:space="preserve"> from potato plants affected by leaf spot disease in Korea: Selection of effective fungicides. </w:t>
      </w:r>
      <w:r>
        <w:rPr>
          <w:i/>
        </w:rPr>
        <w:t>Journal of Fungi</w:t>
      </w:r>
      <w:r>
        <w:t xml:space="preserve">, </w:t>
      </w:r>
      <w:r>
        <w:rPr>
          <w:i/>
        </w:rPr>
        <w:t>10</w:t>
      </w:r>
      <w:r>
        <w:t xml:space="preserve">(1), 53. </w:t>
      </w:r>
      <w:hyperlink r:id="rId37">
        <w:r w:rsidR="0043263A">
          <w:rPr>
            <w:rStyle w:val="Hyperlink"/>
          </w:rPr>
          <w:t>https://doi.org/10.3390/jof10010053</w:t>
        </w:r>
      </w:hyperlink>
    </w:p>
    <w:p w14:paraId="6407AFC5" w14:textId="77777777" w:rsidR="0043263A" w:rsidRPr="00D23C75" w:rsidRDefault="00000000">
      <w:pPr>
        <w:ind w:left="720" w:hanging="720"/>
      </w:pPr>
      <w:r>
        <w:t>Sairam, K., Gopal, K., Srinivasulu, B., Ruth, Ch., Rama Devi, P., Ravindra Babu, M., &amp; Padmaja, V. (2024). In vitro evaluation on efficacy of bioagents and plant extracts against early blight of tomato (</w:t>
      </w:r>
      <w:r>
        <w:rPr>
          <w:i/>
        </w:rPr>
        <w:t>Alternaria alternata</w:t>
      </w:r>
      <w:r>
        <w:t xml:space="preserve">). </w:t>
      </w:r>
      <w:r>
        <w:rPr>
          <w:i/>
        </w:rPr>
        <w:t>Journal of Advances in Biology &amp; Biotechnology</w:t>
      </w:r>
      <w:r>
        <w:t xml:space="preserve">, </w:t>
      </w:r>
      <w:r>
        <w:rPr>
          <w:i/>
        </w:rPr>
        <w:t>27</w:t>
      </w:r>
      <w:r>
        <w:t xml:space="preserve">(10), 26–36. </w:t>
      </w:r>
      <w:hyperlink r:id="rId38">
        <w:r w:rsidR="0043263A">
          <w:rPr>
            <w:rStyle w:val="Hyperlink"/>
          </w:rPr>
          <w:t>https://doi.org/10.9734/jabb/2024/v27i101426</w:t>
        </w:r>
      </w:hyperlink>
    </w:p>
    <w:p w14:paraId="15EEF5B5" w14:textId="77777777" w:rsidR="0043263A" w:rsidRDefault="00000000">
      <w:pPr>
        <w:ind w:left="720" w:hanging="720"/>
      </w:pPr>
      <w:r w:rsidRPr="00E86D4A">
        <w:rPr>
          <w:lang w:val="nl-BE"/>
        </w:rPr>
        <w:t xml:space="preserve">Xie, Y., Zhang, Y., Lu, Q., Yu, X., Zhu, J., Guo, Q., &amp; Liu, J. (2025). </w:t>
      </w:r>
      <w:r>
        <w:t xml:space="preserve">Antifungal potential of </w:t>
      </w:r>
      <w:r>
        <w:rPr>
          <w:i/>
        </w:rPr>
        <w:t>Bacillus amyloliquefaciens</w:t>
      </w:r>
      <w:r>
        <w:t xml:space="preserve"> QY-1 against </w:t>
      </w:r>
      <w:r>
        <w:rPr>
          <w:i/>
        </w:rPr>
        <w:t>Alternaria alternata</w:t>
      </w:r>
      <w:r>
        <w:t xml:space="preserve"> in peppers. </w:t>
      </w:r>
      <w:r>
        <w:rPr>
          <w:i/>
        </w:rPr>
        <w:t>Biocontrol Science and Technology</w:t>
      </w:r>
      <w:r>
        <w:t xml:space="preserve">, </w:t>
      </w:r>
      <w:r>
        <w:rPr>
          <w:i/>
        </w:rPr>
        <w:t>35</w:t>
      </w:r>
      <w:r>
        <w:t xml:space="preserve">(8), 909–926. </w:t>
      </w:r>
      <w:hyperlink r:id="rId39">
        <w:r w:rsidR="0043263A">
          <w:rPr>
            <w:rStyle w:val="Hyperlink"/>
          </w:rPr>
          <w:t>https://doi.org/10.1080/09583157.2025.2520260</w:t>
        </w:r>
      </w:hyperlink>
    </w:p>
    <w:sectPr w:rsidR="0043263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A3F0D" w14:textId="77777777" w:rsidR="00D141AF" w:rsidRDefault="00D141AF" w:rsidP="006601C3">
      <w:pPr>
        <w:spacing w:after="0" w:line="240" w:lineRule="auto"/>
      </w:pPr>
      <w:r>
        <w:separator/>
      </w:r>
    </w:p>
  </w:endnote>
  <w:endnote w:type="continuationSeparator" w:id="0">
    <w:p w14:paraId="6B00881D" w14:textId="77777777" w:rsidR="00D141AF" w:rsidRDefault="00D141AF" w:rsidP="00660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82645" w14:textId="77777777" w:rsidR="004B583B" w:rsidRDefault="004B58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25626" w14:textId="77777777" w:rsidR="004B583B" w:rsidRDefault="004B58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8B5E4" w14:textId="77777777" w:rsidR="004B583B" w:rsidRDefault="004B58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8007F" w14:textId="77777777" w:rsidR="00D141AF" w:rsidRDefault="00D141AF" w:rsidP="006601C3">
      <w:pPr>
        <w:spacing w:after="0" w:line="240" w:lineRule="auto"/>
      </w:pPr>
      <w:r>
        <w:separator/>
      </w:r>
    </w:p>
  </w:footnote>
  <w:footnote w:type="continuationSeparator" w:id="0">
    <w:p w14:paraId="5C533B3C" w14:textId="77777777" w:rsidR="00D141AF" w:rsidRDefault="00D141AF" w:rsidP="006601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BBC4" w14:textId="77777777" w:rsidR="004B583B" w:rsidRDefault="00000000">
    <w:pPr>
      <w:pStyle w:val="Header"/>
    </w:pPr>
    <w:r>
      <w:rPr>
        <w:noProof/>
      </w:rPr>
      <w:pict w14:anchorId="59BB44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658151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30C07" w14:textId="77777777" w:rsidR="004B583B" w:rsidRDefault="00000000">
    <w:pPr>
      <w:pStyle w:val="Header"/>
    </w:pPr>
    <w:r>
      <w:rPr>
        <w:noProof/>
      </w:rPr>
      <w:pict w14:anchorId="44EFBF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658151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A7AE4" w14:textId="77777777" w:rsidR="004B583B" w:rsidRDefault="00000000">
    <w:pPr>
      <w:pStyle w:val="Header"/>
    </w:pPr>
    <w:r>
      <w:rPr>
        <w:noProof/>
      </w:rPr>
      <w:pict w14:anchorId="64230E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658151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437B"/>
    <w:multiLevelType w:val="hybridMultilevel"/>
    <w:tmpl w:val="05DE8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9366FE"/>
    <w:multiLevelType w:val="multilevel"/>
    <w:tmpl w:val="D91A5FFC"/>
    <w:lvl w:ilvl="0">
      <w:start w:val="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B51F9F"/>
    <w:multiLevelType w:val="multilevel"/>
    <w:tmpl w:val="9A1A7A98"/>
    <w:lvl w:ilvl="0">
      <w:start w:val="1"/>
      <w:numFmt w:val="decimal"/>
      <w:lvlText w:val="%1."/>
      <w:lvlJc w:val="left"/>
      <w:pPr>
        <w:ind w:left="605" w:hanging="246"/>
      </w:pPr>
      <w:rPr>
        <w:rFonts w:ascii="Arial" w:eastAsia="Arial" w:hAnsi="Arial" w:cs="Arial" w:hint="default"/>
        <w:b/>
        <w:bCs/>
        <w:i w:val="0"/>
        <w:iCs w:val="0"/>
        <w:spacing w:val="0"/>
        <w:w w:val="89"/>
        <w:sz w:val="22"/>
        <w:szCs w:val="22"/>
        <w:lang w:val="en-US" w:eastAsia="en-US" w:bidi="ar-SA"/>
      </w:rPr>
    </w:lvl>
    <w:lvl w:ilvl="1">
      <w:start w:val="1"/>
      <w:numFmt w:val="decimal"/>
      <w:lvlText w:val="%1.%2"/>
      <w:lvlJc w:val="left"/>
      <w:pPr>
        <w:ind w:left="360" w:hanging="368"/>
      </w:pPr>
      <w:rPr>
        <w:rFonts w:hint="default"/>
        <w:spacing w:val="0"/>
        <w:w w:val="100"/>
        <w:lang w:val="en-US" w:eastAsia="en-US" w:bidi="ar-SA"/>
      </w:rPr>
    </w:lvl>
    <w:lvl w:ilvl="2">
      <w:start w:val="1"/>
      <w:numFmt w:val="decimal"/>
      <w:lvlText w:val="%1.%2.%3"/>
      <w:lvlJc w:val="left"/>
      <w:pPr>
        <w:ind w:left="924" w:hanging="564"/>
      </w:pPr>
      <w:rPr>
        <w:rFonts w:ascii="Arial" w:eastAsia="Arial" w:hAnsi="Arial" w:cs="Arial" w:hint="default"/>
        <w:b/>
        <w:bCs/>
        <w:i w:val="0"/>
        <w:iCs w:val="0"/>
        <w:spacing w:val="0"/>
        <w:w w:val="100"/>
        <w:sz w:val="22"/>
        <w:szCs w:val="22"/>
        <w:lang w:val="en-US" w:eastAsia="en-US" w:bidi="ar-SA"/>
      </w:rPr>
    </w:lvl>
    <w:lvl w:ilvl="3">
      <w:numFmt w:val="bullet"/>
      <w:lvlText w:val="•"/>
      <w:lvlJc w:val="left"/>
      <w:pPr>
        <w:ind w:left="920" w:hanging="564"/>
      </w:pPr>
      <w:rPr>
        <w:rFonts w:hint="default"/>
        <w:lang w:val="en-US" w:eastAsia="en-US" w:bidi="ar-SA"/>
      </w:rPr>
    </w:lvl>
    <w:lvl w:ilvl="4">
      <w:numFmt w:val="bullet"/>
      <w:lvlText w:val="•"/>
      <w:lvlJc w:val="left"/>
      <w:pPr>
        <w:ind w:left="980" w:hanging="564"/>
      </w:pPr>
      <w:rPr>
        <w:rFonts w:hint="default"/>
        <w:lang w:val="en-US" w:eastAsia="en-US" w:bidi="ar-SA"/>
      </w:rPr>
    </w:lvl>
    <w:lvl w:ilvl="5">
      <w:numFmt w:val="bullet"/>
      <w:lvlText w:val="•"/>
      <w:lvlJc w:val="left"/>
      <w:pPr>
        <w:ind w:left="2496" w:hanging="564"/>
      </w:pPr>
      <w:rPr>
        <w:rFonts w:hint="default"/>
        <w:lang w:val="en-US" w:eastAsia="en-US" w:bidi="ar-SA"/>
      </w:rPr>
    </w:lvl>
    <w:lvl w:ilvl="6">
      <w:numFmt w:val="bullet"/>
      <w:lvlText w:val="•"/>
      <w:lvlJc w:val="left"/>
      <w:pPr>
        <w:ind w:left="4013" w:hanging="564"/>
      </w:pPr>
      <w:rPr>
        <w:rFonts w:hint="default"/>
        <w:lang w:val="en-US" w:eastAsia="en-US" w:bidi="ar-SA"/>
      </w:rPr>
    </w:lvl>
    <w:lvl w:ilvl="7">
      <w:numFmt w:val="bullet"/>
      <w:lvlText w:val="•"/>
      <w:lvlJc w:val="left"/>
      <w:pPr>
        <w:ind w:left="5530" w:hanging="564"/>
      </w:pPr>
      <w:rPr>
        <w:rFonts w:hint="default"/>
        <w:lang w:val="en-US" w:eastAsia="en-US" w:bidi="ar-SA"/>
      </w:rPr>
    </w:lvl>
    <w:lvl w:ilvl="8">
      <w:numFmt w:val="bullet"/>
      <w:lvlText w:val="•"/>
      <w:lvlJc w:val="left"/>
      <w:pPr>
        <w:ind w:left="7046" w:hanging="564"/>
      </w:pPr>
      <w:rPr>
        <w:rFonts w:hint="default"/>
        <w:lang w:val="en-US" w:eastAsia="en-US" w:bidi="ar-SA"/>
      </w:rPr>
    </w:lvl>
  </w:abstractNum>
  <w:abstractNum w:abstractNumId="3" w15:restartNumberingAfterBreak="0">
    <w:nsid w:val="222A5561"/>
    <w:multiLevelType w:val="hybridMultilevel"/>
    <w:tmpl w:val="4E5A3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4E2567"/>
    <w:multiLevelType w:val="hybridMultilevel"/>
    <w:tmpl w:val="8D185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431942"/>
    <w:multiLevelType w:val="hybridMultilevel"/>
    <w:tmpl w:val="A1DC27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440CF6"/>
    <w:multiLevelType w:val="hybridMultilevel"/>
    <w:tmpl w:val="AFB079A8"/>
    <w:lvl w:ilvl="0" w:tplc="702CBC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ECF3C69"/>
    <w:multiLevelType w:val="hybridMultilevel"/>
    <w:tmpl w:val="9A760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7249F6"/>
    <w:multiLevelType w:val="multilevel"/>
    <w:tmpl w:val="6A9451D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sz w:val="22"/>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724715326">
    <w:abstractNumId w:val="2"/>
  </w:num>
  <w:num w:numId="2" w16cid:durableId="997660001">
    <w:abstractNumId w:val="3"/>
  </w:num>
  <w:num w:numId="3" w16cid:durableId="912854469">
    <w:abstractNumId w:val="0"/>
  </w:num>
  <w:num w:numId="4" w16cid:durableId="1479419216">
    <w:abstractNumId w:val="4"/>
  </w:num>
  <w:num w:numId="5" w16cid:durableId="846215617">
    <w:abstractNumId w:val="7"/>
  </w:num>
  <w:num w:numId="6" w16cid:durableId="1836147868">
    <w:abstractNumId w:val="6"/>
  </w:num>
  <w:num w:numId="7" w16cid:durableId="1351105889">
    <w:abstractNumId w:val="5"/>
  </w:num>
  <w:num w:numId="8" w16cid:durableId="2102993431">
    <w:abstractNumId w:val="1"/>
  </w:num>
  <w:num w:numId="9" w16cid:durableId="335813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EBD"/>
    <w:rsid w:val="000204A2"/>
    <w:rsid w:val="0006306E"/>
    <w:rsid w:val="00100FFE"/>
    <w:rsid w:val="00114BEB"/>
    <w:rsid w:val="0012513F"/>
    <w:rsid w:val="001673E1"/>
    <w:rsid w:val="00175216"/>
    <w:rsid w:val="00275AFA"/>
    <w:rsid w:val="002A662F"/>
    <w:rsid w:val="00312ABD"/>
    <w:rsid w:val="003205F8"/>
    <w:rsid w:val="0043263A"/>
    <w:rsid w:val="004328DD"/>
    <w:rsid w:val="004B583B"/>
    <w:rsid w:val="004E2302"/>
    <w:rsid w:val="005469EC"/>
    <w:rsid w:val="00584E6E"/>
    <w:rsid w:val="005C61A8"/>
    <w:rsid w:val="00640BC5"/>
    <w:rsid w:val="006601C3"/>
    <w:rsid w:val="00685BA7"/>
    <w:rsid w:val="0069385D"/>
    <w:rsid w:val="00736175"/>
    <w:rsid w:val="00745766"/>
    <w:rsid w:val="00777312"/>
    <w:rsid w:val="00825826"/>
    <w:rsid w:val="00896E97"/>
    <w:rsid w:val="008A645C"/>
    <w:rsid w:val="00954729"/>
    <w:rsid w:val="00982588"/>
    <w:rsid w:val="009A7421"/>
    <w:rsid w:val="009C0274"/>
    <w:rsid w:val="009E0396"/>
    <w:rsid w:val="00A26F4C"/>
    <w:rsid w:val="00AD066B"/>
    <w:rsid w:val="00AD6DC6"/>
    <w:rsid w:val="00AF4C06"/>
    <w:rsid w:val="00B21629"/>
    <w:rsid w:val="00B545D7"/>
    <w:rsid w:val="00C30DCB"/>
    <w:rsid w:val="00C9682B"/>
    <w:rsid w:val="00CF4E3A"/>
    <w:rsid w:val="00CF6CF4"/>
    <w:rsid w:val="00D141AF"/>
    <w:rsid w:val="00D23C75"/>
    <w:rsid w:val="00D33E0C"/>
    <w:rsid w:val="00D46366"/>
    <w:rsid w:val="00DD4B73"/>
    <w:rsid w:val="00E026B0"/>
    <w:rsid w:val="00E5382E"/>
    <w:rsid w:val="00E86D4A"/>
    <w:rsid w:val="00F11EBD"/>
    <w:rsid w:val="00F65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DF0405"/>
  <w15:chartTrackingRefBased/>
  <w15:docId w15:val="{6DADEDCB-A994-4341-912D-94D0365F7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366"/>
  </w:style>
  <w:style w:type="paragraph" w:styleId="Heading1">
    <w:name w:val="heading 1"/>
    <w:basedOn w:val="Normal"/>
    <w:next w:val="Normal"/>
    <w:link w:val="Heading1Char"/>
    <w:uiPriority w:val="9"/>
    <w:qFormat/>
    <w:rsid w:val="00F11E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unhideWhenUsed/>
    <w:qFormat/>
    <w:rsid w:val="00F11EBD"/>
    <w:pPr>
      <w:widowControl w:val="0"/>
      <w:autoSpaceDE w:val="0"/>
      <w:autoSpaceDN w:val="0"/>
      <w:spacing w:before="1" w:after="0" w:line="240" w:lineRule="auto"/>
      <w:ind w:left="987" w:hanging="627"/>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11EBD"/>
    <w:rPr>
      <w:rFonts w:ascii="Arial" w:eastAsia="Arial" w:hAnsi="Arial" w:cs="Arial"/>
      <w:b/>
      <w:bCs/>
    </w:rPr>
  </w:style>
  <w:style w:type="character" w:customStyle="1" w:styleId="Heading1Char">
    <w:name w:val="Heading 1 Char"/>
    <w:basedOn w:val="DefaultParagraphFont"/>
    <w:link w:val="Heading1"/>
    <w:uiPriority w:val="9"/>
    <w:rsid w:val="00F11EBD"/>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1"/>
    <w:qFormat/>
    <w:rsid w:val="00F11EBD"/>
    <w:pPr>
      <w:widowControl w:val="0"/>
      <w:autoSpaceDE w:val="0"/>
      <w:autoSpaceDN w:val="0"/>
      <w:spacing w:after="0" w:line="240" w:lineRule="auto"/>
    </w:pPr>
    <w:rPr>
      <w:rFonts w:ascii="Microsoft Sans Serif" w:eastAsia="Microsoft Sans Serif" w:hAnsi="Microsoft Sans Serif" w:cs="Microsoft Sans Serif"/>
      <w:sz w:val="20"/>
      <w:szCs w:val="20"/>
    </w:rPr>
  </w:style>
  <w:style w:type="character" w:customStyle="1" w:styleId="BodyTextChar">
    <w:name w:val="Body Text Char"/>
    <w:basedOn w:val="DefaultParagraphFont"/>
    <w:link w:val="BodyText"/>
    <w:uiPriority w:val="1"/>
    <w:rsid w:val="00F11EBD"/>
    <w:rPr>
      <w:rFonts w:ascii="Microsoft Sans Serif" w:eastAsia="Microsoft Sans Serif" w:hAnsi="Microsoft Sans Serif" w:cs="Microsoft Sans Serif"/>
      <w:sz w:val="20"/>
      <w:szCs w:val="20"/>
    </w:rPr>
  </w:style>
  <w:style w:type="paragraph" w:styleId="ListParagraph">
    <w:name w:val="List Paragraph"/>
    <w:basedOn w:val="Normal"/>
    <w:uiPriority w:val="1"/>
    <w:qFormat/>
    <w:rsid w:val="00F11EBD"/>
    <w:pPr>
      <w:ind w:left="720"/>
      <w:contextualSpacing/>
    </w:pPr>
  </w:style>
  <w:style w:type="paragraph" w:customStyle="1" w:styleId="TableParagraph">
    <w:name w:val="Table Paragraph"/>
    <w:basedOn w:val="Normal"/>
    <w:uiPriority w:val="1"/>
    <w:qFormat/>
    <w:rsid w:val="00AD066B"/>
    <w:pPr>
      <w:widowControl w:val="0"/>
      <w:autoSpaceDE w:val="0"/>
      <w:autoSpaceDN w:val="0"/>
      <w:spacing w:before="3" w:after="0" w:line="240" w:lineRule="auto"/>
      <w:ind w:left="18"/>
      <w:jc w:val="center"/>
    </w:pPr>
    <w:rPr>
      <w:rFonts w:ascii="Microsoft Sans Serif" w:eastAsia="Microsoft Sans Serif" w:hAnsi="Microsoft Sans Serif" w:cs="Microsoft Sans Serif"/>
    </w:rPr>
  </w:style>
  <w:style w:type="character" w:styleId="Emphasis">
    <w:name w:val="Emphasis"/>
    <w:basedOn w:val="DefaultParagraphFont"/>
    <w:uiPriority w:val="20"/>
    <w:qFormat/>
    <w:rsid w:val="00100FFE"/>
    <w:rPr>
      <w:i/>
      <w:iCs/>
    </w:rPr>
  </w:style>
  <w:style w:type="character" w:styleId="Hyperlink">
    <w:name w:val="Hyperlink"/>
    <w:basedOn w:val="DefaultParagraphFont"/>
    <w:uiPriority w:val="99"/>
    <w:unhideWhenUsed/>
    <w:rsid w:val="004328DD"/>
    <w:rPr>
      <w:color w:val="0000FF"/>
      <w:u w:val="single"/>
    </w:rPr>
  </w:style>
  <w:style w:type="character" w:customStyle="1" w:styleId="UnresolvedMention1">
    <w:name w:val="Unresolved Mention1"/>
    <w:basedOn w:val="DefaultParagraphFont"/>
    <w:uiPriority w:val="99"/>
    <w:semiHidden/>
    <w:unhideWhenUsed/>
    <w:rsid w:val="0006306E"/>
    <w:rPr>
      <w:color w:val="605E5C"/>
      <w:shd w:val="clear" w:color="auto" w:fill="E1DFDD"/>
    </w:rPr>
  </w:style>
  <w:style w:type="paragraph" w:styleId="Header">
    <w:name w:val="header"/>
    <w:basedOn w:val="Normal"/>
    <w:link w:val="HeaderChar"/>
    <w:uiPriority w:val="99"/>
    <w:unhideWhenUsed/>
    <w:rsid w:val="006601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01C3"/>
  </w:style>
  <w:style w:type="paragraph" w:styleId="Footer">
    <w:name w:val="footer"/>
    <w:basedOn w:val="Normal"/>
    <w:link w:val="FooterChar"/>
    <w:uiPriority w:val="99"/>
    <w:unhideWhenUsed/>
    <w:rsid w:val="006601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0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doi.org/10.1007/s42360-018-0083-2" TargetMode="External"/><Relationship Id="rId26" Type="http://schemas.openxmlformats.org/officeDocument/2006/relationships/hyperlink" Target="https://www.phytojournal.com/archives/2019.v8.i2.7323/studies-on-morpho-cultural-characters-of-ltemgtalternaria-alternateltemgt-infecting-groundnut-crop-by-using-various-culture-media" TargetMode="External"/><Relationship Id="rId39" Type="http://schemas.openxmlformats.org/officeDocument/2006/relationships/hyperlink" Target="https://doi.org/10.1080/09583157.2025.2520260" TargetMode="External"/><Relationship Id="rId21" Type="http://schemas.openxmlformats.org/officeDocument/2006/relationships/hyperlink" Target="https://doi.org/10.14719/pst.7861" TargetMode="External"/><Relationship Id="rId34" Type="http://schemas.openxmlformats.org/officeDocument/2006/relationships/hyperlink" Target="https://doi.org/10.1128/spectrum.00382-22"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hyperlink" Target="https://www.fao.org/faostat/en/" TargetMode="External"/><Relationship Id="rId29" Type="http://schemas.openxmlformats.org/officeDocument/2006/relationships/hyperlink" Target="https://doi.org/10.1038/nrmicro797"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doi.org/10.56093/ijas.v92i9.111299" TargetMode="External"/><Relationship Id="rId32" Type="http://schemas.openxmlformats.org/officeDocument/2006/relationships/hyperlink" Target="https://doi.org/10.1038/s41598-024-52301-2" TargetMode="External"/><Relationship Id="rId37" Type="http://schemas.openxmlformats.org/officeDocument/2006/relationships/hyperlink" Target="https://doi.org/10.3390/jof10010053"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hyperlink" Target="https://doi.org/10.9790/2380-07612831" TargetMode="External"/><Relationship Id="rId28" Type="http://schemas.openxmlformats.org/officeDocument/2006/relationships/hyperlink" Target="https://doi.org/10.1038/159850b0" TargetMode="External"/><Relationship Id="rId36" Type="http://schemas.openxmlformats.org/officeDocument/2006/relationships/hyperlink" Target="https://doi.org/10.1002/ps.8002" TargetMode="External"/><Relationship Id="rId10" Type="http://schemas.openxmlformats.org/officeDocument/2006/relationships/header" Target="header2.xml"/><Relationship Id="rId19" Type="http://schemas.openxmlformats.org/officeDocument/2006/relationships/hyperlink" Target="https://doi.org/10.1016/S0007-1536(71)80050-5" TargetMode="External"/><Relationship Id="rId31" Type="http://schemas.openxmlformats.org/officeDocument/2006/relationships/hyperlink" Target="https://doi.org/10.1007/s42360-026-00969-z"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doi.org/10.1080/01904167.2020.1849289" TargetMode="External"/><Relationship Id="rId27" Type="http://schemas.openxmlformats.org/officeDocument/2006/relationships/hyperlink" Target="https://doi.org/10.20546/ijcmas.2018.710.179" TargetMode="External"/><Relationship Id="rId30" Type="http://schemas.openxmlformats.org/officeDocument/2006/relationships/hyperlink" Target="https://doi.org/10.1186/s12866-023-02922-w" TargetMode="External"/><Relationship Id="rId35" Type="http://schemas.openxmlformats.org/officeDocument/2006/relationships/hyperlink" Target="https://doi.org/10.56557/jobari/2026/v32i511029" TargetMode="Externa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chart" Target="charts/chart2.xml"/><Relationship Id="rId25" Type="http://schemas.openxmlformats.org/officeDocument/2006/relationships/hyperlink" Target="https://epubs.icar.org.in/index.php/IPPJ/article/view/16083" TargetMode="External"/><Relationship Id="rId33" Type="http://schemas.openxmlformats.org/officeDocument/2006/relationships/hyperlink" Target="https://doi.org/10.3390/crops5050060" TargetMode="External"/><Relationship Id="rId38" Type="http://schemas.openxmlformats.org/officeDocument/2006/relationships/hyperlink" Target="https://doi.org/10.9734/jabb/2024/v27i101426"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0"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16009841877152"/>
          <c:y val="1.9081187024628694E-2"/>
          <c:w val="0.86783990158122848"/>
          <c:h val="0.72805827619645513"/>
        </c:manualLayout>
      </c:layout>
      <c:barChart>
        <c:barDir val="col"/>
        <c:grouping val="clustered"/>
        <c:varyColors val="0"/>
        <c:ser>
          <c:idx val="0"/>
          <c:order val="0"/>
          <c:tx>
            <c:strRef>
              <c:f>Sheet1!$B$1</c:f>
              <c:strCache>
                <c:ptCount val="1"/>
                <c:pt idx="0">
                  <c:v>500 ppm</c:v>
                </c:pt>
              </c:strCache>
            </c:strRef>
          </c:tx>
          <c:spPr>
            <a:solidFill>
              <a:schemeClr val="accent1"/>
            </a:solidFill>
            <a:ln>
              <a:noFill/>
            </a:ln>
            <a:effectLst/>
          </c:spPr>
          <c:invertIfNegative val="0"/>
          <c:cat>
            <c:strRef>
              <c:f>Sheet1!$A$2:$A$9</c:f>
              <c:strCache>
                <c:ptCount val="8"/>
                <c:pt idx="0">
                  <c:v>T1</c:v>
                </c:pt>
                <c:pt idx="1">
                  <c:v>T2</c:v>
                </c:pt>
                <c:pt idx="2">
                  <c:v>T3</c:v>
                </c:pt>
                <c:pt idx="3">
                  <c:v>T4</c:v>
                </c:pt>
                <c:pt idx="4">
                  <c:v>T5</c:v>
                </c:pt>
                <c:pt idx="5">
                  <c:v>T6</c:v>
                </c:pt>
                <c:pt idx="6">
                  <c:v>T7</c:v>
                </c:pt>
                <c:pt idx="7">
                  <c:v>T8</c:v>
                </c:pt>
              </c:strCache>
            </c:strRef>
          </c:cat>
          <c:val>
            <c:numRef>
              <c:f>Sheet1!$B$2:$B$9</c:f>
              <c:numCache>
                <c:formatCode>General</c:formatCode>
                <c:ptCount val="8"/>
                <c:pt idx="0">
                  <c:v>45.9</c:v>
                </c:pt>
                <c:pt idx="1">
                  <c:v>100</c:v>
                </c:pt>
                <c:pt idx="2">
                  <c:v>45.26</c:v>
                </c:pt>
                <c:pt idx="3">
                  <c:v>100</c:v>
                </c:pt>
                <c:pt idx="4">
                  <c:v>100</c:v>
                </c:pt>
                <c:pt idx="5">
                  <c:v>49.44</c:v>
                </c:pt>
                <c:pt idx="6">
                  <c:v>100</c:v>
                </c:pt>
                <c:pt idx="7">
                  <c:v>1</c:v>
                </c:pt>
              </c:numCache>
            </c:numRef>
          </c:val>
          <c:extLst>
            <c:ext xmlns:c16="http://schemas.microsoft.com/office/drawing/2014/chart" uri="{C3380CC4-5D6E-409C-BE32-E72D297353CC}">
              <c16:uniqueId val="{00000000-FA70-4AC0-AC71-FB8DF4E615AD}"/>
            </c:ext>
          </c:extLst>
        </c:ser>
        <c:ser>
          <c:idx val="1"/>
          <c:order val="1"/>
          <c:tx>
            <c:strRef>
              <c:f>Sheet1!$C$1</c:f>
              <c:strCache>
                <c:ptCount val="1"/>
                <c:pt idx="0">
                  <c:v>1000 ppm</c:v>
                </c:pt>
              </c:strCache>
            </c:strRef>
          </c:tx>
          <c:spPr>
            <a:solidFill>
              <a:schemeClr val="accent2"/>
            </a:solidFill>
            <a:ln>
              <a:noFill/>
            </a:ln>
            <a:effectLst/>
          </c:spPr>
          <c:invertIfNegative val="0"/>
          <c:cat>
            <c:strRef>
              <c:f>Sheet1!$A$2:$A$9</c:f>
              <c:strCache>
                <c:ptCount val="8"/>
                <c:pt idx="0">
                  <c:v>T1</c:v>
                </c:pt>
                <c:pt idx="1">
                  <c:v>T2</c:v>
                </c:pt>
                <c:pt idx="2">
                  <c:v>T3</c:v>
                </c:pt>
                <c:pt idx="3">
                  <c:v>T4</c:v>
                </c:pt>
                <c:pt idx="4">
                  <c:v>T5</c:v>
                </c:pt>
                <c:pt idx="5">
                  <c:v>T6</c:v>
                </c:pt>
                <c:pt idx="6">
                  <c:v>T7</c:v>
                </c:pt>
                <c:pt idx="7">
                  <c:v>T8</c:v>
                </c:pt>
              </c:strCache>
            </c:strRef>
          </c:cat>
          <c:val>
            <c:numRef>
              <c:f>Sheet1!$C$2:$C$9</c:f>
              <c:numCache>
                <c:formatCode>General</c:formatCode>
                <c:ptCount val="8"/>
                <c:pt idx="0">
                  <c:v>50</c:v>
                </c:pt>
                <c:pt idx="1">
                  <c:v>100</c:v>
                </c:pt>
                <c:pt idx="2">
                  <c:v>46.11</c:v>
                </c:pt>
                <c:pt idx="3">
                  <c:v>100</c:v>
                </c:pt>
                <c:pt idx="4">
                  <c:v>100</c:v>
                </c:pt>
                <c:pt idx="5">
                  <c:v>55.55</c:v>
                </c:pt>
                <c:pt idx="6">
                  <c:v>100</c:v>
                </c:pt>
                <c:pt idx="7">
                  <c:v>1</c:v>
                </c:pt>
              </c:numCache>
            </c:numRef>
          </c:val>
          <c:extLst>
            <c:ext xmlns:c16="http://schemas.microsoft.com/office/drawing/2014/chart" uri="{C3380CC4-5D6E-409C-BE32-E72D297353CC}">
              <c16:uniqueId val="{00000001-FA70-4AC0-AC71-FB8DF4E615AD}"/>
            </c:ext>
          </c:extLst>
        </c:ser>
        <c:ser>
          <c:idx val="2"/>
          <c:order val="2"/>
          <c:tx>
            <c:strRef>
              <c:f>Sheet1!$D$1</c:f>
              <c:strCache>
                <c:ptCount val="1"/>
                <c:pt idx="0">
                  <c:v>Av.Inhibition % </c:v>
                </c:pt>
              </c:strCache>
            </c:strRef>
          </c:tx>
          <c:spPr>
            <a:solidFill>
              <a:schemeClr val="accent3"/>
            </a:solidFill>
            <a:ln>
              <a:noFill/>
            </a:ln>
            <a:effectLst/>
          </c:spPr>
          <c:invertIfNegative val="0"/>
          <c:cat>
            <c:strRef>
              <c:f>Sheet1!$A$2:$A$9</c:f>
              <c:strCache>
                <c:ptCount val="8"/>
                <c:pt idx="0">
                  <c:v>T1</c:v>
                </c:pt>
                <c:pt idx="1">
                  <c:v>T2</c:v>
                </c:pt>
                <c:pt idx="2">
                  <c:v>T3</c:v>
                </c:pt>
                <c:pt idx="3">
                  <c:v>T4</c:v>
                </c:pt>
                <c:pt idx="4">
                  <c:v>T5</c:v>
                </c:pt>
                <c:pt idx="5">
                  <c:v>T6</c:v>
                </c:pt>
                <c:pt idx="6">
                  <c:v>T7</c:v>
                </c:pt>
                <c:pt idx="7">
                  <c:v>T8</c:v>
                </c:pt>
              </c:strCache>
            </c:strRef>
          </c:cat>
          <c:val>
            <c:numRef>
              <c:f>Sheet1!$D$2:$D$9</c:f>
              <c:numCache>
                <c:formatCode>General</c:formatCode>
                <c:ptCount val="8"/>
                <c:pt idx="0">
                  <c:v>47.95</c:v>
                </c:pt>
                <c:pt idx="1">
                  <c:v>100</c:v>
                </c:pt>
                <c:pt idx="2">
                  <c:v>45.68</c:v>
                </c:pt>
                <c:pt idx="3">
                  <c:v>100</c:v>
                </c:pt>
                <c:pt idx="4">
                  <c:v>100</c:v>
                </c:pt>
                <c:pt idx="5">
                  <c:v>52.49</c:v>
                </c:pt>
                <c:pt idx="6">
                  <c:v>100</c:v>
                </c:pt>
                <c:pt idx="7">
                  <c:v>1</c:v>
                </c:pt>
              </c:numCache>
            </c:numRef>
          </c:val>
          <c:extLst>
            <c:ext xmlns:c16="http://schemas.microsoft.com/office/drawing/2014/chart" uri="{C3380CC4-5D6E-409C-BE32-E72D297353CC}">
              <c16:uniqueId val="{00000002-FA70-4AC0-AC71-FB8DF4E615AD}"/>
            </c:ext>
          </c:extLst>
        </c:ser>
        <c:dLbls>
          <c:showLegendKey val="0"/>
          <c:showVal val="0"/>
          <c:showCatName val="0"/>
          <c:showSerName val="0"/>
          <c:showPercent val="0"/>
          <c:showBubbleSize val="0"/>
        </c:dLbls>
        <c:gapWidth val="219"/>
        <c:overlap val="-27"/>
        <c:axId val="417789728"/>
        <c:axId val="417790120"/>
      </c:barChart>
      <c:catAx>
        <c:axId val="4177897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1" i="0" u="none" strike="noStrike" baseline="0">
                    <a:effectLst/>
                  </a:rPr>
                  <a:t>Treatments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7790120"/>
        <c:crosses val="autoZero"/>
        <c:auto val="1"/>
        <c:lblAlgn val="ctr"/>
        <c:lblOffset val="100"/>
        <c:noMultiLvlLbl val="0"/>
      </c:catAx>
      <c:valAx>
        <c:axId val="4177901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Av.Inhibition %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778972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36097148657123"/>
          <c:y val="0.15635872656467217"/>
          <c:w val="0.83524219613331441"/>
          <c:h val="0.63868716733510089"/>
        </c:manualLayout>
      </c:layout>
      <c:barChart>
        <c:barDir val="col"/>
        <c:grouping val="clustered"/>
        <c:varyColors val="0"/>
        <c:ser>
          <c:idx val="0"/>
          <c:order val="0"/>
          <c:tx>
            <c:strRef>
              <c:f>Sheet1!$B$1</c:f>
              <c:strCache>
                <c:ptCount val="1"/>
                <c:pt idx="0">
                  <c:v>% Inhibition*</c:v>
                </c:pt>
              </c:strCache>
            </c:strRef>
          </c:tx>
          <c:spPr>
            <a:solidFill>
              <a:schemeClr val="accent1"/>
            </a:solidFill>
            <a:ln>
              <a:noFill/>
            </a:ln>
            <a:effectLst/>
          </c:spPr>
          <c:invertIfNegative val="0"/>
          <c:cat>
            <c:strRef>
              <c:f>Sheet1!$A$2:$A$9</c:f>
              <c:strCache>
                <c:ptCount val="8"/>
                <c:pt idx="0">
                  <c:v>T1</c:v>
                </c:pt>
                <c:pt idx="1">
                  <c:v>T2</c:v>
                </c:pt>
                <c:pt idx="2">
                  <c:v>T3</c:v>
                </c:pt>
                <c:pt idx="3">
                  <c:v>T4</c:v>
                </c:pt>
                <c:pt idx="4">
                  <c:v>T5</c:v>
                </c:pt>
                <c:pt idx="5">
                  <c:v>T6</c:v>
                </c:pt>
                <c:pt idx="6">
                  <c:v>T7</c:v>
                </c:pt>
                <c:pt idx="7">
                  <c:v>T8</c:v>
                </c:pt>
              </c:strCache>
            </c:strRef>
          </c:cat>
          <c:val>
            <c:numRef>
              <c:f>Sheet1!$B$2:$B$9</c:f>
              <c:numCache>
                <c:formatCode>General</c:formatCode>
                <c:ptCount val="8"/>
                <c:pt idx="0">
                  <c:v>77.599999999999994</c:v>
                </c:pt>
                <c:pt idx="1">
                  <c:v>76.48</c:v>
                </c:pt>
                <c:pt idx="2">
                  <c:v>73.88</c:v>
                </c:pt>
                <c:pt idx="3">
                  <c:v>67.040000000000006</c:v>
                </c:pt>
                <c:pt idx="4">
                  <c:v>72.959999999999994</c:v>
                </c:pt>
                <c:pt idx="5">
                  <c:v>46.3</c:v>
                </c:pt>
                <c:pt idx="6">
                  <c:v>50.74</c:v>
                </c:pt>
                <c:pt idx="7">
                  <c:v>1</c:v>
                </c:pt>
              </c:numCache>
            </c:numRef>
          </c:val>
          <c:extLst>
            <c:ext xmlns:c16="http://schemas.microsoft.com/office/drawing/2014/chart" uri="{C3380CC4-5D6E-409C-BE32-E72D297353CC}">
              <c16:uniqueId val="{00000000-EB99-4FD3-BC33-68D241C2F022}"/>
            </c:ext>
          </c:extLst>
        </c:ser>
        <c:dLbls>
          <c:showLegendKey val="0"/>
          <c:showVal val="0"/>
          <c:showCatName val="0"/>
          <c:showSerName val="0"/>
          <c:showPercent val="0"/>
          <c:showBubbleSize val="0"/>
        </c:dLbls>
        <c:gapWidth val="219"/>
        <c:overlap val="-27"/>
        <c:axId val="417787376"/>
        <c:axId val="417785024"/>
      </c:barChart>
      <c:catAx>
        <c:axId val="4177873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Tretments</a:t>
                </a:r>
              </a:p>
            </c:rich>
          </c:tx>
          <c:layout>
            <c:manualLayout>
              <c:xMode val="edge"/>
              <c:yMode val="edge"/>
              <c:x val="0.494172353455818"/>
              <c:y val="0.8786803732866724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7785024"/>
        <c:crosses val="autoZero"/>
        <c:auto val="1"/>
        <c:lblAlgn val="ctr"/>
        <c:lblOffset val="100"/>
        <c:noMultiLvlLbl val="0"/>
      </c:catAx>
      <c:valAx>
        <c:axId val="417785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Av. Inhibition %</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778737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11</Pages>
  <Words>4436</Words>
  <Characters>25286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Editor-90</cp:lastModifiedBy>
  <cp:revision>29</cp:revision>
  <dcterms:created xsi:type="dcterms:W3CDTF">2026-09-02T17:51:00Z</dcterms:created>
  <dcterms:modified xsi:type="dcterms:W3CDTF">2026-09-11T09:16:00Z</dcterms:modified>
</cp:coreProperties>
</file>