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62539" w14:textId="46BEA933" w:rsidR="00F1632A" w:rsidRDefault="00000000">
      <w:pPr>
        <w:spacing w:after="240" w:line="300" w:lineRule="auto"/>
        <w:jc w:val="center"/>
      </w:pPr>
      <w:r>
        <w:rPr>
          <w:b/>
          <w:bCs/>
          <w:color w:val="000000"/>
          <w:sz w:val="30"/>
          <w:szCs w:val="30"/>
        </w:rPr>
        <w:t>Hazard Exposure, Knowledge and Safety Practices among Healthcare Workers in Primary Healthcare Centres in Port Harcourt, Nigeria: A Cross-Sectional Study</w:t>
      </w:r>
    </w:p>
    <w:p w14:paraId="280EB7BA" w14:textId="77777777" w:rsidR="00A54E69" w:rsidRDefault="00A54E69">
      <w:pPr>
        <w:pStyle w:val="Heading1"/>
        <w:spacing w:before="280" w:after="140"/>
        <w:rPr>
          <w:b/>
          <w:bCs/>
          <w:color w:val="000000"/>
          <w:sz w:val="26"/>
          <w:szCs w:val="26"/>
        </w:rPr>
      </w:pPr>
    </w:p>
    <w:p w14:paraId="57AB2100" w14:textId="77777777" w:rsidR="00A54E69" w:rsidRDefault="00A54E69">
      <w:pPr>
        <w:pStyle w:val="Heading1"/>
        <w:spacing w:before="280" w:after="140"/>
        <w:rPr>
          <w:b/>
          <w:bCs/>
          <w:color w:val="000000"/>
          <w:sz w:val="26"/>
          <w:szCs w:val="26"/>
        </w:rPr>
      </w:pPr>
    </w:p>
    <w:p w14:paraId="5B1DF34F" w14:textId="77777777" w:rsidR="00F1632A" w:rsidRDefault="00000000">
      <w:pPr>
        <w:pStyle w:val="Heading1"/>
        <w:spacing w:before="280" w:after="140"/>
      </w:pPr>
      <w:r>
        <w:rPr>
          <w:b/>
          <w:bCs/>
          <w:color w:val="000000"/>
          <w:sz w:val="26"/>
          <w:szCs w:val="26"/>
        </w:rPr>
        <w:t>ABSTRACT</w:t>
      </w:r>
    </w:p>
    <w:p w14:paraId="56CB9473" w14:textId="77777777" w:rsidR="00133FAD" w:rsidRDefault="00133FAD">
      <w:pPr>
        <w:spacing w:after="160"/>
        <w:jc w:val="both"/>
        <w:rPr>
          <w:b/>
          <w:bCs/>
          <w:color w:val="000000"/>
        </w:rPr>
      </w:pPr>
      <w:r>
        <w:rPr>
          <w:b/>
          <w:bCs/>
          <w:color w:val="000000"/>
        </w:rPr>
        <w:t>Background :</w:t>
      </w:r>
    </w:p>
    <w:p w14:paraId="5C68FF02" w14:textId="77777777" w:rsidR="00133FAD" w:rsidRDefault="00133FAD">
      <w:pPr>
        <w:spacing w:after="160"/>
        <w:jc w:val="both"/>
      </w:pPr>
      <w:r>
        <w:t>Occupational hazards remain an important concern among healthcare workers, particularly in resource-limited primary healthcare settings where inadequate protective equipment, heavy workloads and limited occupational health support may increase exposure risks. Although healthcare workers may have good knowledge of occupational hazards, this knowledge does not always translate into consistent safety practices. Evidence on this knowledge–practice gap among primary healthcare workers in Nigeria remains limited.</w:t>
      </w:r>
    </w:p>
    <w:p w14:paraId="270C16A3" w14:textId="690ABFB2" w:rsidR="00F1632A" w:rsidRDefault="00000000">
      <w:pPr>
        <w:spacing w:after="160"/>
        <w:jc w:val="both"/>
      </w:pPr>
      <w:r>
        <w:rPr>
          <w:b/>
          <w:bCs/>
          <w:color w:val="000000"/>
        </w:rPr>
        <w:t>Aims:</w:t>
      </w:r>
      <w:r>
        <w:rPr>
          <w:color w:val="000000"/>
        </w:rPr>
        <w:t xml:space="preserve"> To assess occupational hazard exposure, knowledge of occupational hazards and safety practices among healthcare workers in primary healthcare centres, and to examine whether the level of hazard exposure was associated with the level of safety practice.</w:t>
      </w:r>
    </w:p>
    <w:p w14:paraId="15CD2523" w14:textId="77777777" w:rsidR="00F1632A" w:rsidRDefault="00000000">
      <w:pPr>
        <w:spacing w:after="160"/>
        <w:jc w:val="both"/>
      </w:pPr>
      <w:r>
        <w:rPr>
          <w:b/>
          <w:bCs/>
          <w:color w:val="000000"/>
        </w:rPr>
        <w:t>Study Design:</w:t>
      </w:r>
      <w:r>
        <w:rPr>
          <w:color w:val="000000"/>
        </w:rPr>
        <w:t xml:space="preserve"> Descriptive cross-sectional study.</w:t>
      </w:r>
    </w:p>
    <w:p w14:paraId="7A1672D9" w14:textId="77777777" w:rsidR="00F1632A" w:rsidRDefault="00000000">
      <w:pPr>
        <w:spacing w:after="160"/>
        <w:jc w:val="both"/>
      </w:pPr>
      <w:r>
        <w:rPr>
          <w:b/>
          <w:bCs/>
          <w:color w:val="000000"/>
        </w:rPr>
        <w:t>Place and Duration of Study:</w:t>
      </w:r>
      <w:r>
        <w:rPr>
          <w:color w:val="000000"/>
        </w:rPr>
        <w:t xml:space="preserve"> Two government-owned primary healthcare centres in Port Harcourt, Rivers State, Nigeria, between April 2026 and June 2026.</w:t>
      </w:r>
    </w:p>
    <w:p w14:paraId="4A40E571" w14:textId="77777777" w:rsidR="00F1632A" w:rsidRDefault="00000000">
      <w:pPr>
        <w:spacing w:after="160"/>
        <w:jc w:val="both"/>
      </w:pPr>
      <w:r>
        <w:rPr>
          <w:b/>
          <w:bCs/>
          <w:color w:val="000000"/>
        </w:rPr>
        <w:t>Methodology:</w:t>
      </w:r>
      <w:r>
        <w:rPr>
          <w:color w:val="000000"/>
        </w:rPr>
        <w:t xml:space="preserve"> A structured self-administered questionnaire was completed by 124 clinical and non-clinical healthcare workers selected by proportionate allocation and simple random sampling. Hazard exposure, knowledge and safety practice were measured on five-point Likert scales and classified from composite scores. The association between exposure level and practice level was tested with Pearson’s chi-square and the Fisher-Freeman-Halton exact test.</w:t>
      </w:r>
    </w:p>
    <w:p w14:paraId="36AF0E92" w14:textId="77777777" w:rsidR="00F1632A" w:rsidRDefault="00000000">
      <w:pPr>
        <w:spacing w:after="160"/>
        <w:jc w:val="both"/>
      </w:pPr>
      <w:r>
        <w:rPr>
          <w:b/>
          <w:bCs/>
          <w:color w:val="000000"/>
        </w:rPr>
        <w:t>Results:</w:t>
      </w:r>
      <w:r>
        <w:rPr>
          <w:color w:val="000000"/>
        </w:rPr>
        <w:t xml:space="preserve"> Most respondents were female (64.5%) and aged 45 years or older (51.6%). Exposure was reported across all hazard categories; 71.0% agreed that they had experienced a needlestick or sharps injury, 64.5% reported exposure to blood or body fluids, and 61.3% reported work-related stress. Overall, 62.1% had high hazard exposure. Knowledge was good in 97.6% of respondents, yet only 16.1% agreed that they consistently used personal protective equipment and 18.5% that they regularly practised hand hygiene. Overall, 79.0% had fair and 15.3% good safety practice. Heavy workload was the most strongly endorsed barrier (58.1% agreement). Safety practice level was not associated with hazard exposure level (χ² = 2.383, </w:t>
      </w:r>
      <w:proofErr w:type="spellStart"/>
      <w:r>
        <w:rPr>
          <w:color w:val="000000"/>
        </w:rPr>
        <w:t>df</w:t>
      </w:r>
      <w:proofErr w:type="spellEnd"/>
      <w:r>
        <w:rPr>
          <w:color w:val="000000"/>
        </w:rPr>
        <w:t xml:space="preserve"> = 2, p = 0.304; exact p = 0.316).</w:t>
      </w:r>
    </w:p>
    <w:p w14:paraId="74CECDCE" w14:textId="77777777" w:rsidR="00F1632A" w:rsidRDefault="00000000">
      <w:pPr>
        <w:spacing w:after="160"/>
        <w:jc w:val="both"/>
      </w:pPr>
      <w:r>
        <w:rPr>
          <w:b/>
          <w:bCs/>
          <w:color w:val="000000"/>
        </w:rPr>
        <w:t>Conclusion:</w:t>
      </w:r>
      <w:r>
        <w:rPr>
          <w:color w:val="000000"/>
        </w:rPr>
        <w:t xml:space="preserve"> Healthcare workers in these centres knew the risks well but did not consistently apply basic protective measures, and workers with high exposure practised no more safely than those with moderate exposure. Improving safety in primary care is therefore likely to depend on equipment supply, staffing and supportive supervision more than on further awareness training.</w:t>
      </w:r>
    </w:p>
    <w:p w14:paraId="3CBA3EB7" w14:textId="77777777" w:rsidR="00F1632A" w:rsidRDefault="00000000">
      <w:pPr>
        <w:pStyle w:val="Heading2"/>
        <w:spacing w:before="280" w:after="140"/>
      </w:pPr>
      <w:r>
        <w:rPr>
          <w:b/>
          <w:bCs/>
          <w:color w:val="000000"/>
          <w:sz w:val="24"/>
          <w:szCs w:val="24"/>
        </w:rPr>
        <w:lastRenderedPageBreak/>
        <w:t>Keywords</w:t>
      </w:r>
    </w:p>
    <w:p w14:paraId="5004B517" w14:textId="71ED6AA3" w:rsidR="00F1632A" w:rsidRDefault="00000000">
      <w:pPr>
        <w:spacing w:after="160"/>
        <w:jc w:val="both"/>
      </w:pPr>
      <w:r>
        <w:rPr>
          <w:color w:val="000000"/>
        </w:rPr>
        <w:t>Occupational hazards; safety practices; healthcare workers; primary healthcare; personal protective equipment; knowledge-practice gap</w:t>
      </w:r>
    </w:p>
    <w:p w14:paraId="5FA41F8D" w14:textId="77777777" w:rsidR="00F1632A" w:rsidRDefault="00000000">
      <w:pPr>
        <w:pStyle w:val="Heading1"/>
        <w:spacing w:before="280" w:after="140"/>
      </w:pPr>
      <w:r>
        <w:rPr>
          <w:b/>
          <w:bCs/>
          <w:color w:val="000000"/>
          <w:sz w:val="26"/>
          <w:szCs w:val="26"/>
        </w:rPr>
        <w:t>1. INTRODUCTION</w:t>
      </w:r>
    </w:p>
    <w:p w14:paraId="67122A58" w14:textId="521B60D5" w:rsidR="00756CC1" w:rsidRPr="00133FAD" w:rsidRDefault="00000000">
      <w:pPr>
        <w:spacing w:after="160"/>
        <w:jc w:val="both"/>
      </w:pPr>
      <w:r>
        <w:rPr>
          <w:color w:val="000000"/>
        </w:rPr>
        <w:t>Healthcare work carries a wide range of occupational risks. Workers handle blood and body fluids, sharp instruments and chemical disinfectants, lift and position patients, and deal with distressed or aggressive members of the public. These exposures are usually grouped as biological, chemical, physical, ergonomic and psychosocial hazards (</w:t>
      </w:r>
      <w:r>
        <w:rPr>
          <w:color w:val="000000"/>
          <w:highlight w:val="yellow"/>
        </w:rPr>
        <w:t>Lin et al., 2020</w:t>
      </w:r>
      <w:r>
        <w:rPr>
          <w:color w:val="000000"/>
        </w:rPr>
        <w:t>). Percutaneous injury alone affects a substantial share of healthcare workers worldwide (Auta et al., 2018), and the burden of occupational exposure is heavier in low- and middle-income countries, where protective equipment, waste management systems and occupational health services are often inadequate (Rai et al., 2021; Patel et al., 2021).</w:t>
      </w:r>
      <w:r w:rsidR="00133FAD">
        <w:t xml:space="preserve"> </w:t>
      </w:r>
      <w:r w:rsidRPr="00133FAD">
        <w:rPr>
          <w:bCs/>
          <w:highlight w:val="yellow"/>
        </w:rPr>
        <w:t>Recent African evidence similarly characterises occupational risk among healthcare workers as multidimensional and indicates that the implementation of safety measures remains uneven in resource-limited healthcare settings (Lyakurwa et al., 2024; Ayalew et al., 2025).</w:t>
      </w:r>
    </w:p>
    <w:p w14:paraId="55C6EC5F" w14:textId="25DA676E" w:rsidR="00756CC1" w:rsidRPr="00133FAD" w:rsidRDefault="00000000">
      <w:pPr>
        <w:spacing w:after="160"/>
        <w:jc w:val="both"/>
      </w:pPr>
      <w:r>
        <w:rPr>
          <w:color w:val="000000"/>
        </w:rPr>
        <w:t>In Africa, reviews of the evidence have documented frequent exposure to bloodborne pathogens alongside psychosocial strain, including burnout and workplace violence (Mossburg et al., 2019; Opoku et al., 2023). Nigerian studies report a similar picture, with needlestick injuries, exposure to body fluids and work-related stress among the most common problems (</w:t>
      </w:r>
      <w:proofErr w:type="spellStart"/>
      <w:r>
        <w:rPr>
          <w:color w:val="000000"/>
        </w:rPr>
        <w:t>Nwoga</w:t>
      </w:r>
      <w:proofErr w:type="spellEnd"/>
      <w:r>
        <w:rPr>
          <w:color w:val="000000"/>
        </w:rPr>
        <w:t xml:space="preserve"> et al., 2020; Innocent et al., 2022; Abiona &amp; </w:t>
      </w:r>
      <w:proofErr w:type="spellStart"/>
      <w:r>
        <w:rPr>
          <w:color w:val="000000"/>
        </w:rPr>
        <w:t>Asaolu</w:t>
      </w:r>
      <w:proofErr w:type="spellEnd"/>
      <w:r>
        <w:rPr>
          <w:color w:val="000000"/>
        </w:rPr>
        <w:t>, 2023). Primary healthcare centres are the first point of contact with the health system for most Nigerians (</w:t>
      </w:r>
      <w:proofErr w:type="spellStart"/>
      <w:r>
        <w:rPr>
          <w:color w:val="000000"/>
        </w:rPr>
        <w:t>Ekenna</w:t>
      </w:r>
      <w:proofErr w:type="spellEnd"/>
      <w:r>
        <w:rPr>
          <w:color w:val="000000"/>
        </w:rPr>
        <w:t xml:space="preserve"> et al., 2020; Ogah et al., 2024), but they frequently operate with staff shortages, heavy patient loads and limited infrastructure (Aluko et al., 2019; Okoroafor et al., 2022). These are the conditions under which occupational hazards are hardest to control.</w:t>
      </w:r>
      <w:r w:rsidR="00133FAD">
        <w:t xml:space="preserve"> </w:t>
      </w:r>
      <w:r w:rsidRPr="00133FAD">
        <w:rPr>
          <w:bCs/>
          <w:highlight w:val="yellow"/>
        </w:rPr>
        <w:t>Evidence from Port Harcourt has also linked occupational hazards among health workers with workplace risk-control factors, including personal protective equipment provision and use (Onosakponome et al., 2023).</w:t>
      </w:r>
      <w:r w:rsidR="00133FAD">
        <w:t xml:space="preserve"> </w:t>
      </w:r>
      <w:r w:rsidRPr="00133FAD">
        <w:rPr>
          <w:bCs/>
          <w:highlight w:val="yellow"/>
        </w:rPr>
        <w:t>A recent study of primary health care workers in Lagos likewise reported exposure across multiple occupational hazard domains together with inconsistent safety compliance (Deborah et al., 2026).</w:t>
      </w:r>
    </w:p>
    <w:p w14:paraId="4B66D80B" w14:textId="77777777" w:rsidR="00F1632A" w:rsidRDefault="00000000">
      <w:pPr>
        <w:spacing w:after="160"/>
        <w:jc w:val="both"/>
      </w:pPr>
      <w:r>
        <w:rPr>
          <w:color w:val="000000"/>
        </w:rPr>
        <w:t xml:space="preserve">Two gaps in the existing evidence motivated this study. First, most Nigerian research on occupational hazards has been conducted in tertiary and secondary facilities (Innocent et al., 2022), and findings from teaching hospitals may not transfer to primary care, where staffing, supplies and supervision differ considerably. Second, studies elsewhere have shown that healthcare workers can be well informed about occupational risks without practising safely (Obono et al., 2019; Alhumaid et al., 2021), but the size of this gap among primary healthcare workers, </w:t>
      </w:r>
      <w:r>
        <w:rPr>
          <w:color w:val="000000"/>
          <w:highlight w:val="yellow"/>
        </w:rPr>
        <w:t>and whether workers who face more hazards practise more safely have received little attention</w:t>
      </w:r>
      <w:r>
        <w:rPr>
          <w:color w:val="000000"/>
        </w:rPr>
        <w:t xml:space="preserve"> in Nigeria.</w:t>
      </w:r>
    </w:p>
    <w:p w14:paraId="437B0E8A" w14:textId="77777777" w:rsidR="00F1632A" w:rsidRDefault="00000000">
      <w:pPr>
        <w:spacing w:after="160"/>
        <w:jc w:val="both"/>
      </w:pPr>
      <w:r>
        <w:rPr>
          <w:color w:val="000000"/>
        </w:rPr>
        <w:t>This study therefore assessed occupational hazard exposure, knowledge of occupational hazards and safety practices among healthcare workers in two primary healthcare centres in Port Harcourt, Nigeria. It also described the factors that workers perceived as influencing their safety practice and examined whether the level of hazard exposure was associated with the level of safety practice.</w:t>
      </w:r>
    </w:p>
    <w:p w14:paraId="62E9973A" w14:textId="77777777" w:rsidR="00F1632A" w:rsidRDefault="00000000">
      <w:pPr>
        <w:pStyle w:val="Heading1"/>
        <w:spacing w:before="280" w:after="140"/>
      </w:pPr>
      <w:r>
        <w:rPr>
          <w:b/>
          <w:bCs/>
          <w:color w:val="000000"/>
          <w:sz w:val="26"/>
          <w:szCs w:val="26"/>
        </w:rPr>
        <w:t>2. MATERIALS AND METHODS</w:t>
      </w:r>
    </w:p>
    <w:p w14:paraId="365B76C5" w14:textId="77777777" w:rsidR="00F1632A" w:rsidRDefault="00000000">
      <w:pPr>
        <w:pStyle w:val="Heading2"/>
        <w:spacing w:before="280" w:after="140"/>
      </w:pPr>
      <w:r>
        <w:rPr>
          <w:b/>
          <w:bCs/>
          <w:color w:val="000000"/>
          <w:sz w:val="24"/>
          <w:szCs w:val="24"/>
        </w:rPr>
        <w:lastRenderedPageBreak/>
        <w:t>2.1 Study Design and Setting</w:t>
      </w:r>
    </w:p>
    <w:p w14:paraId="6DE83037" w14:textId="77777777" w:rsidR="00F1632A" w:rsidRDefault="00000000">
      <w:pPr>
        <w:spacing w:after="160"/>
        <w:jc w:val="both"/>
      </w:pPr>
      <w:r>
        <w:rPr>
          <w:color w:val="000000"/>
        </w:rPr>
        <w:t>A descriptive cross-sectional study was conducted in two government-owned primary healthcare centres in Port Harcourt, Rivers State, Nigeria. Both centres provide preventive, promotive and basic curative services to urban populations. Data were collected between April 2026 and June 2026.</w:t>
      </w:r>
    </w:p>
    <w:p w14:paraId="7F8EA736" w14:textId="77777777" w:rsidR="00F1632A" w:rsidRDefault="00000000">
      <w:pPr>
        <w:pStyle w:val="Heading2"/>
        <w:spacing w:before="280" w:after="140"/>
      </w:pPr>
      <w:r>
        <w:rPr>
          <w:b/>
          <w:bCs/>
          <w:color w:val="000000"/>
          <w:sz w:val="24"/>
          <w:szCs w:val="24"/>
        </w:rPr>
        <w:t>2.2 Study Population and Eligibility</w:t>
      </w:r>
    </w:p>
    <w:p w14:paraId="1EB1BEED" w14:textId="77777777" w:rsidR="00F1632A" w:rsidRDefault="00000000">
      <w:pPr>
        <w:spacing w:after="160"/>
        <w:jc w:val="both"/>
      </w:pPr>
      <w:r>
        <w:rPr>
          <w:color w:val="000000"/>
        </w:rPr>
        <w:t>The study population comprised all clinical and non-clinical staff of the two centres, including nurses, community health extension workers, laboratory staff, environmental health officers and support staff such as cleaners, record officers and waste handlers. Non-clinical staff were included because occupational hazards in health facilities are not confined to those providing direct patient care. Workers who had been employed in the facility for at least six months and who gave consent were eligible. Staff on leave during data collection and temporary staff with less than six months of service were excluded.</w:t>
      </w:r>
    </w:p>
    <w:p w14:paraId="23F64AC3" w14:textId="77777777" w:rsidR="00F1632A" w:rsidRDefault="00000000">
      <w:pPr>
        <w:pStyle w:val="Heading2"/>
        <w:spacing w:before="280" w:after="140"/>
      </w:pPr>
      <w:r>
        <w:rPr>
          <w:b/>
          <w:bCs/>
          <w:color w:val="000000"/>
          <w:sz w:val="24"/>
          <w:szCs w:val="24"/>
        </w:rPr>
        <w:t>2.3 Sample Size and Sampling</w:t>
      </w:r>
    </w:p>
    <w:p w14:paraId="3A9EEB50" w14:textId="77777777" w:rsidR="00F1632A" w:rsidRDefault="00000000">
      <w:pPr>
        <w:spacing w:after="160"/>
        <w:jc w:val="both"/>
      </w:pPr>
      <w:r>
        <w:rPr>
          <w:color w:val="000000"/>
        </w:rPr>
        <w:t xml:space="preserve">The minimum sample size was calculated with Cochran’s formula, n = Z²p(1 − p)/d², using Z = 1.96, a margin of error (d) of 0.05 and an expected prevalence of occupational hazard exposure (p) of 68% (Abiona &amp; </w:t>
      </w:r>
      <w:proofErr w:type="spellStart"/>
      <w:r>
        <w:rPr>
          <w:color w:val="000000"/>
        </w:rPr>
        <w:t>Asaolu</w:t>
      </w:r>
      <w:proofErr w:type="spellEnd"/>
      <w:r>
        <w:rPr>
          <w:color w:val="000000"/>
        </w:rPr>
        <w:t>, 2023). This gave 334. Because the combined workforce of the two centres was estimated at 180, a finite population correction was applied (n₂ = n/[1 + n/N]), giving a minimum sample of 117. Participants were allocated to each centre in proportion to its staff strength and then selected by simple random sampling from the staff list. A total of 124 healthcare workers completed the questionnaire and were included in the analysis.</w:t>
      </w:r>
    </w:p>
    <w:p w14:paraId="7DB6390C" w14:textId="77777777" w:rsidR="00F1632A" w:rsidRDefault="00000000">
      <w:pPr>
        <w:pStyle w:val="Heading2"/>
        <w:spacing w:before="280" w:after="140"/>
      </w:pPr>
      <w:r>
        <w:rPr>
          <w:b/>
          <w:bCs/>
          <w:color w:val="000000"/>
          <w:sz w:val="24"/>
          <w:szCs w:val="24"/>
        </w:rPr>
        <w:t>2.4 Data Collection Instrument</w:t>
      </w:r>
    </w:p>
    <w:p w14:paraId="52B76B28" w14:textId="77777777" w:rsidR="00F1632A" w:rsidRDefault="00000000">
      <w:pPr>
        <w:spacing w:after="160"/>
        <w:jc w:val="both"/>
      </w:pPr>
      <w:r>
        <w:rPr>
          <w:color w:val="000000"/>
        </w:rPr>
        <w:t>Data were collected with a structured, self-administered questionnaire developed from previous studies (</w:t>
      </w:r>
      <w:proofErr w:type="spellStart"/>
      <w:r>
        <w:rPr>
          <w:color w:val="000000"/>
        </w:rPr>
        <w:t>Omoleke</w:t>
      </w:r>
      <w:proofErr w:type="spellEnd"/>
      <w:r>
        <w:rPr>
          <w:color w:val="000000"/>
        </w:rPr>
        <w:t xml:space="preserve"> et al., 2021; Abiona &amp; </w:t>
      </w:r>
      <w:proofErr w:type="spellStart"/>
      <w:r>
        <w:rPr>
          <w:color w:val="000000"/>
        </w:rPr>
        <w:t>Asaolu</w:t>
      </w:r>
      <w:proofErr w:type="spellEnd"/>
      <w:r>
        <w:rPr>
          <w:color w:val="000000"/>
        </w:rPr>
        <w:t xml:space="preserve">, 2023). Section A recorded six socio-demographic characteristics. Section B contained seven statements on exposure to biological, chemical, physical, ergonomic and psychosocial hazards. Section C contained seven statements on knowledge of occupational hazards, safety guidelines and post-exposure procedures. </w:t>
      </w:r>
      <w:r>
        <w:rPr>
          <w:color w:val="000000"/>
          <w:highlight w:val="yellow"/>
        </w:rPr>
        <w:t>Section D contained seven statements: four on safety practices</w:t>
      </w:r>
      <w:r>
        <w:rPr>
          <w:color w:val="000000"/>
        </w:rPr>
        <w:t xml:space="preserve"> (use of personal protective equipment, hand hygiene, disposal of sharps and medical waste, and reporting of occupational injuries) and three on perceived influences on safety practice (availability of safety equipment, supervision and workload). Sections B to D used a five-point Likert scale from Strongly Disagree (1) to Strongly Agree (5). No fixed recall period was specified for the exposure items; respondents answered with reference to their general occupational experience in the facility.</w:t>
      </w:r>
    </w:p>
    <w:p w14:paraId="6196C9A7" w14:textId="77777777" w:rsidR="00F1632A" w:rsidRDefault="00000000">
      <w:pPr>
        <w:spacing w:after="160"/>
        <w:jc w:val="both"/>
      </w:pPr>
      <w:r>
        <w:t xml:space="preserve">Content validity was established through review by public health and occupational health specialists. The questionnaire was piloted among healthcare workers in a comparable facility outside the study area, and the overall instrument yielded a </w:t>
      </w:r>
      <w:r>
        <w:rPr>
          <w:highlight w:val="yellow"/>
        </w:rPr>
        <w:t>Cronbach’s alpha coefficient</w:t>
      </w:r>
      <w:r>
        <w:t xml:space="preserve"> of 0.78, indicating acceptable internal consistency.</w:t>
      </w:r>
    </w:p>
    <w:p w14:paraId="70C2E9A0" w14:textId="77777777" w:rsidR="00F1632A" w:rsidRDefault="00000000">
      <w:pPr>
        <w:pStyle w:val="Heading2"/>
        <w:spacing w:before="280" w:after="140"/>
      </w:pPr>
      <w:r>
        <w:rPr>
          <w:b/>
          <w:bCs/>
          <w:color w:val="000000"/>
          <w:sz w:val="24"/>
          <w:szCs w:val="24"/>
        </w:rPr>
        <w:t>2.5 Data Collection</w:t>
      </w:r>
    </w:p>
    <w:p w14:paraId="008996CA" w14:textId="77777777" w:rsidR="00F1632A" w:rsidRDefault="00000000">
      <w:pPr>
        <w:spacing w:after="160"/>
        <w:jc w:val="both"/>
      </w:pPr>
      <w:r>
        <w:rPr>
          <w:color w:val="000000"/>
        </w:rPr>
        <w:lastRenderedPageBreak/>
        <w:t>Questionnaires were distributed during working hours by the investigators with the help of trained research assistants and were collected on completion to reduce non-response.</w:t>
      </w:r>
    </w:p>
    <w:p w14:paraId="396A7A02" w14:textId="77777777" w:rsidR="00F1632A" w:rsidRDefault="00000000">
      <w:pPr>
        <w:pStyle w:val="Heading2"/>
        <w:spacing w:before="280" w:after="140"/>
      </w:pPr>
      <w:r>
        <w:rPr>
          <w:b/>
          <w:bCs/>
          <w:color w:val="000000"/>
          <w:sz w:val="24"/>
          <w:szCs w:val="24"/>
        </w:rPr>
        <w:t>2.6 Data Analysis</w:t>
      </w:r>
    </w:p>
    <w:p w14:paraId="44D7622A" w14:textId="77777777" w:rsidR="00F1632A" w:rsidRDefault="00000000">
      <w:pPr>
        <w:spacing w:after="160"/>
        <w:jc w:val="both"/>
      </w:pPr>
      <w:r>
        <w:rPr>
          <w:color w:val="000000"/>
        </w:rPr>
        <w:t xml:space="preserve">Data were analysed with IBM SPSS Statistics version 25. Categorical variables were </w:t>
      </w:r>
      <w:r>
        <w:rPr>
          <w:color w:val="000000"/>
          <w:highlight w:val="yellow"/>
        </w:rPr>
        <w:t>summarised as frequencies and percentages, and Likert items as means</w:t>
      </w:r>
      <w:r>
        <w:rPr>
          <w:color w:val="000000"/>
        </w:rPr>
        <w:t xml:space="preserve"> and standard deviations. For each item, the proportion of respondents who agreed or strongly agreed was also calculated. Composite mean scores were computed for hazard exposure, knowledge and safety practice. Equal-width intervals on the five-point scale were used for classification: 1.00-2.33 represented low exposure or poor knowledge/practice, 2.34-3.67 represented moderate exposure or fair knowledge/practice, and 3.68-5.00 represented high exposure or good knowledge/practice. The composite safety practice score was computed from all seven items in Section D. Perceived influences on safety practice were described using item means. The association between exposure level and practice level was examined with Pearson’s chi-square test. Because two of the six cells had expected counts below five, the Fisher-Freeman-Halton exact test was also applied. Statistical significance was set at p &lt; 0.05.</w:t>
      </w:r>
    </w:p>
    <w:p w14:paraId="3E0A7B14" w14:textId="77777777" w:rsidR="00F1632A" w:rsidRDefault="00000000">
      <w:pPr>
        <w:pStyle w:val="Heading1"/>
        <w:spacing w:before="280" w:after="140"/>
      </w:pPr>
      <w:r>
        <w:rPr>
          <w:b/>
          <w:bCs/>
          <w:color w:val="000000"/>
          <w:sz w:val="26"/>
          <w:szCs w:val="26"/>
        </w:rPr>
        <w:t>3. RESULTS</w:t>
      </w:r>
    </w:p>
    <w:p w14:paraId="332077EC" w14:textId="77777777" w:rsidR="00F1632A" w:rsidRDefault="00000000">
      <w:pPr>
        <w:pStyle w:val="Heading2"/>
        <w:spacing w:before="280" w:after="140"/>
      </w:pPr>
      <w:r>
        <w:rPr>
          <w:b/>
          <w:bCs/>
          <w:color w:val="000000"/>
          <w:sz w:val="24"/>
          <w:szCs w:val="24"/>
        </w:rPr>
        <w:t>3.1 Characteristics of Respondents</w:t>
      </w:r>
    </w:p>
    <w:p w14:paraId="7FA56169" w14:textId="77777777" w:rsidR="00F1632A" w:rsidRDefault="00000000">
      <w:pPr>
        <w:spacing w:after="160"/>
        <w:jc w:val="both"/>
      </w:pPr>
      <w:r>
        <w:rPr>
          <w:color w:val="000000"/>
        </w:rPr>
        <w:t>All 124 respondents who returned questionnaires were included in the analysis, and no item had missing data. Nearly two-thirds were female (64.5%) and just over half were aged 45 years or older (51.6%). Community health extension workers formed the largest professional group (26.6%), followed by nurses (21.8%) and environmental health officers (20.2%). Most respondents held a diploma (44.4%), had between one and five years of work experience (39.5%) and were permanently employed (61.3%), although a quarter were temporary staff (Table 1).</w:t>
      </w:r>
    </w:p>
    <w:p w14:paraId="069700B2" w14:textId="77777777" w:rsidR="00F1632A" w:rsidRDefault="00000000">
      <w:pPr>
        <w:spacing w:before="240" w:after="100"/>
      </w:pPr>
      <w:r>
        <w:rPr>
          <w:sz w:val="22"/>
          <w:szCs w:val="22"/>
        </w:rPr>
        <w:t>Table 1. Socio-demographic characteristics of respondents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100"/>
        <w:gridCol w:w="3300"/>
        <w:gridCol w:w="1500"/>
        <w:gridCol w:w="1500"/>
      </w:tblGrid>
      <w:tr w:rsidR="00F1632A" w14:paraId="27857C79" w14:textId="77777777">
        <w:trPr>
          <w:tblHeader/>
        </w:trPr>
        <w:tc>
          <w:tcPr>
            <w:tcW w:w="3100" w:type="dxa"/>
            <w:shd w:val="clear" w:color="auto" w:fill="E8E8E8"/>
            <w:tcMar>
              <w:top w:w="60" w:type="dxa"/>
              <w:left w:w="80" w:type="dxa"/>
              <w:bottom w:w="60" w:type="dxa"/>
              <w:right w:w="80" w:type="dxa"/>
            </w:tcMar>
          </w:tcPr>
          <w:p w14:paraId="6A025067" w14:textId="77777777" w:rsidR="00F1632A" w:rsidRDefault="00000000">
            <w:r>
              <w:rPr>
                <w:b/>
                <w:bCs/>
                <w:sz w:val="20"/>
                <w:szCs w:val="20"/>
              </w:rPr>
              <w:t>Variable</w:t>
            </w:r>
          </w:p>
        </w:tc>
        <w:tc>
          <w:tcPr>
            <w:tcW w:w="3300" w:type="dxa"/>
            <w:shd w:val="clear" w:color="auto" w:fill="E8E8E8"/>
            <w:tcMar>
              <w:top w:w="60" w:type="dxa"/>
              <w:left w:w="80" w:type="dxa"/>
              <w:bottom w:w="60" w:type="dxa"/>
              <w:right w:w="80" w:type="dxa"/>
            </w:tcMar>
          </w:tcPr>
          <w:p w14:paraId="75D371E8" w14:textId="77777777" w:rsidR="00F1632A" w:rsidRDefault="00000000">
            <w:r>
              <w:rPr>
                <w:b/>
                <w:bCs/>
                <w:sz w:val="20"/>
                <w:szCs w:val="20"/>
              </w:rPr>
              <w:t>Category</w:t>
            </w:r>
          </w:p>
        </w:tc>
        <w:tc>
          <w:tcPr>
            <w:tcW w:w="1500" w:type="dxa"/>
            <w:shd w:val="clear" w:color="auto" w:fill="E8E8E8"/>
            <w:tcMar>
              <w:top w:w="60" w:type="dxa"/>
              <w:left w:w="80" w:type="dxa"/>
              <w:bottom w:w="60" w:type="dxa"/>
              <w:right w:w="80" w:type="dxa"/>
            </w:tcMar>
          </w:tcPr>
          <w:p w14:paraId="4BC5C01A" w14:textId="77777777" w:rsidR="00F1632A" w:rsidRDefault="00000000">
            <w:r>
              <w:rPr>
                <w:b/>
                <w:bCs/>
                <w:sz w:val="20"/>
                <w:szCs w:val="20"/>
              </w:rPr>
              <w:t>n</w:t>
            </w:r>
          </w:p>
        </w:tc>
        <w:tc>
          <w:tcPr>
            <w:tcW w:w="1500" w:type="dxa"/>
            <w:shd w:val="clear" w:color="auto" w:fill="E8E8E8"/>
            <w:tcMar>
              <w:top w:w="60" w:type="dxa"/>
              <w:left w:w="80" w:type="dxa"/>
              <w:bottom w:w="60" w:type="dxa"/>
              <w:right w:w="80" w:type="dxa"/>
            </w:tcMar>
          </w:tcPr>
          <w:p w14:paraId="7C6771CB" w14:textId="77777777" w:rsidR="00F1632A" w:rsidRDefault="00000000">
            <w:r>
              <w:rPr>
                <w:b/>
                <w:bCs/>
                <w:sz w:val="20"/>
                <w:szCs w:val="20"/>
              </w:rPr>
              <w:t>%</w:t>
            </w:r>
          </w:p>
        </w:tc>
      </w:tr>
      <w:tr w:rsidR="00F1632A" w14:paraId="38F15950" w14:textId="77777777">
        <w:tc>
          <w:tcPr>
            <w:tcW w:w="3100" w:type="dxa"/>
            <w:tcMar>
              <w:top w:w="60" w:type="dxa"/>
              <w:left w:w="80" w:type="dxa"/>
              <w:bottom w:w="60" w:type="dxa"/>
              <w:right w:w="80" w:type="dxa"/>
            </w:tcMar>
          </w:tcPr>
          <w:p w14:paraId="4704EE05" w14:textId="77777777" w:rsidR="00F1632A" w:rsidRDefault="00000000">
            <w:r>
              <w:rPr>
                <w:sz w:val="20"/>
                <w:szCs w:val="20"/>
              </w:rPr>
              <w:t>Sex</w:t>
            </w:r>
          </w:p>
        </w:tc>
        <w:tc>
          <w:tcPr>
            <w:tcW w:w="3300" w:type="dxa"/>
            <w:tcMar>
              <w:top w:w="60" w:type="dxa"/>
              <w:left w:w="80" w:type="dxa"/>
              <w:bottom w:w="60" w:type="dxa"/>
              <w:right w:w="80" w:type="dxa"/>
            </w:tcMar>
          </w:tcPr>
          <w:p w14:paraId="232C1B45" w14:textId="77777777" w:rsidR="00F1632A" w:rsidRDefault="00000000">
            <w:r>
              <w:rPr>
                <w:sz w:val="20"/>
                <w:szCs w:val="20"/>
              </w:rPr>
              <w:t>Male</w:t>
            </w:r>
          </w:p>
        </w:tc>
        <w:tc>
          <w:tcPr>
            <w:tcW w:w="1500" w:type="dxa"/>
            <w:tcMar>
              <w:top w:w="60" w:type="dxa"/>
              <w:left w:w="80" w:type="dxa"/>
              <w:bottom w:w="60" w:type="dxa"/>
              <w:right w:w="80" w:type="dxa"/>
            </w:tcMar>
          </w:tcPr>
          <w:p w14:paraId="6E1EFDA8" w14:textId="77777777" w:rsidR="00F1632A" w:rsidRDefault="00000000">
            <w:r>
              <w:rPr>
                <w:sz w:val="20"/>
                <w:szCs w:val="20"/>
              </w:rPr>
              <w:t>44</w:t>
            </w:r>
          </w:p>
        </w:tc>
        <w:tc>
          <w:tcPr>
            <w:tcW w:w="1500" w:type="dxa"/>
            <w:tcMar>
              <w:top w:w="60" w:type="dxa"/>
              <w:left w:w="80" w:type="dxa"/>
              <w:bottom w:w="60" w:type="dxa"/>
              <w:right w:w="80" w:type="dxa"/>
            </w:tcMar>
          </w:tcPr>
          <w:p w14:paraId="35F5FCD5" w14:textId="77777777" w:rsidR="00F1632A" w:rsidRDefault="00000000">
            <w:r>
              <w:rPr>
                <w:sz w:val="20"/>
                <w:szCs w:val="20"/>
              </w:rPr>
              <w:t>35.5</w:t>
            </w:r>
          </w:p>
        </w:tc>
      </w:tr>
      <w:tr w:rsidR="00F1632A" w14:paraId="439D7FD2" w14:textId="77777777">
        <w:tc>
          <w:tcPr>
            <w:tcW w:w="3100" w:type="dxa"/>
            <w:tcMar>
              <w:top w:w="60" w:type="dxa"/>
              <w:left w:w="80" w:type="dxa"/>
              <w:bottom w:w="60" w:type="dxa"/>
              <w:right w:w="80" w:type="dxa"/>
            </w:tcMar>
          </w:tcPr>
          <w:p w14:paraId="1DFC150D" w14:textId="77777777" w:rsidR="00F1632A" w:rsidRDefault="00F1632A"/>
        </w:tc>
        <w:tc>
          <w:tcPr>
            <w:tcW w:w="3300" w:type="dxa"/>
            <w:tcMar>
              <w:top w:w="60" w:type="dxa"/>
              <w:left w:w="80" w:type="dxa"/>
              <w:bottom w:w="60" w:type="dxa"/>
              <w:right w:w="80" w:type="dxa"/>
            </w:tcMar>
          </w:tcPr>
          <w:p w14:paraId="6AC05608" w14:textId="77777777" w:rsidR="00F1632A" w:rsidRDefault="00000000">
            <w:r>
              <w:rPr>
                <w:sz w:val="20"/>
                <w:szCs w:val="20"/>
              </w:rPr>
              <w:t>Female</w:t>
            </w:r>
          </w:p>
        </w:tc>
        <w:tc>
          <w:tcPr>
            <w:tcW w:w="1500" w:type="dxa"/>
            <w:tcMar>
              <w:top w:w="60" w:type="dxa"/>
              <w:left w:w="80" w:type="dxa"/>
              <w:bottom w:w="60" w:type="dxa"/>
              <w:right w:w="80" w:type="dxa"/>
            </w:tcMar>
          </w:tcPr>
          <w:p w14:paraId="6FB16797" w14:textId="77777777" w:rsidR="00F1632A" w:rsidRDefault="00000000">
            <w:r>
              <w:rPr>
                <w:sz w:val="20"/>
                <w:szCs w:val="20"/>
              </w:rPr>
              <w:t>80</w:t>
            </w:r>
          </w:p>
        </w:tc>
        <w:tc>
          <w:tcPr>
            <w:tcW w:w="1500" w:type="dxa"/>
            <w:tcMar>
              <w:top w:w="60" w:type="dxa"/>
              <w:left w:w="80" w:type="dxa"/>
              <w:bottom w:w="60" w:type="dxa"/>
              <w:right w:w="80" w:type="dxa"/>
            </w:tcMar>
          </w:tcPr>
          <w:p w14:paraId="03E00146" w14:textId="77777777" w:rsidR="00F1632A" w:rsidRDefault="00000000">
            <w:r>
              <w:rPr>
                <w:sz w:val="20"/>
                <w:szCs w:val="20"/>
              </w:rPr>
              <w:t>64.5</w:t>
            </w:r>
          </w:p>
        </w:tc>
      </w:tr>
      <w:tr w:rsidR="00F1632A" w14:paraId="5B059260" w14:textId="77777777">
        <w:tc>
          <w:tcPr>
            <w:tcW w:w="3100" w:type="dxa"/>
            <w:tcMar>
              <w:top w:w="60" w:type="dxa"/>
              <w:left w:w="80" w:type="dxa"/>
              <w:bottom w:w="60" w:type="dxa"/>
              <w:right w:w="80" w:type="dxa"/>
            </w:tcMar>
          </w:tcPr>
          <w:p w14:paraId="0C3D6745" w14:textId="77777777" w:rsidR="00F1632A" w:rsidRDefault="00000000">
            <w:r>
              <w:rPr>
                <w:sz w:val="20"/>
                <w:szCs w:val="20"/>
              </w:rPr>
              <w:t>Age (years)</w:t>
            </w:r>
          </w:p>
        </w:tc>
        <w:tc>
          <w:tcPr>
            <w:tcW w:w="3300" w:type="dxa"/>
            <w:tcMar>
              <w:top w:w="60" w:type="dxa"/>
              <w:left w:w="80" w:type="dxa"/>
              <w:bottom w:w="60" w:type="dxa"/>
              <w:right w:w="80" w:type="dxa"/>
            </w:tcMar>
          </w:tcPr>
          <w:p w14:paraId="2AAF7C96" w14:textId="77777777" w:rsidR="00F1632A" w:rsidRDefault="00000000">
            <w:r>
              <w:rPr>
                <w:sz w:val="20"/>
                <w:szCs w:val="20"/>
              </w:rPr>
              <w:t>Less than 25</w:t>
            </w:r>
          </w:p>
        </w:tc>
        <w:tc>
          <w:tcPr>
            <w:tcW w:w="1500" w:type="dxa"/>
            <w:tcMar>
              <w:top w:w="60" w:type="dxa"/>
              <w:left w:w="80" w:type="dxa"/>
              <w:bottom w:w="60" w:type="dxa"/>
              <w:right w:w="80" w:type="dxa"/>
            </w:tcMar>
          </w:tcPr>
          <w:p w14:paraId="294B5B03" w14:textId="77777777" w:rsidR="00F1632A" w:rsidRDefault="00000000">
            <w:r>
              <w:rPr>
                <w:sz w:val="20"/>
                <w:szCs w:val="20"/>
              </w:rPr>
              <w:t>9</w:t>
            </w:r>
          </w:p>
        </w:tc>
        <w:tc>
          <w:tcPr>
            <w:tcW w:w="1500" w:type="dxa"/>
            <w:tcMar>
              <w:top w:w="60" w:type="dxa"/>
              <w:left w:w="80" w:type="dxa"/>
              <w:bottom w:w="60" w:type="dxa"/>
              <w:right w:w="80" w:type="dxa"/>
            </w:tcMar>
          </w:tcPr>
          <w:p w14:paraId="4AEF57BC" w14:textId="77777777" w:rsidR="00F1632A" w:rsidRDefault="00000000">
            <w:r>
              <w:rPr>
                <w:sz w:val="20"/>
                <w:szCs w:val="20"/>
              </w:rPr>
              <w:t>7.3</w:t>
            </w:r>
          </w:p>
        </w:tc>
      </w:tr>
      <w:tr w:rsidR="00F1632A" w14:paraId="76006560" w14:textId="77777777">
        <w:tc>
          <w:tcPr>
            <w:tcW w:w="3100" w:type="dxa"/>
            <w:tcMar>
              <w:top w:w="60" w:type="dxa"/>
              <w:left w:w="80" w:type="dxa"/>
              <w:bottom w:w="60" w:type="dxa"/>
              <w:right w:w="80" w:type="dxa"/>
            </w:tcMar>
          </w:tcPr>
          <w:p w14:paraId="7FCD46DC" w14:textId="77777777" w:rsidR="00F1632A" w:rsidRDefault="00F1632A"/>
        </w:tc>
        <w:tc>
          <w:tcPr>
            <w:tcW w:w="3300" w:type="dxa"/>
            <w:tcMar>
              <w:top w:w="60" w:type="dxa"/>
              <w:left w:w="80" w:type="dxa"/>
              <w:bottom w:w="60" w:type="dxa"/>
              <w:right w:w="80" w:type="dxa"/>
            </w:tcMar>
          </w:tcPr>
          <w:p w14:paraId="01246BE6" w14:textId="77777777" w:rsidR="00F1632A" w:rsidRDefault="00000000">
            <w:r>
              <w:rPr>
                <w:sz w:val="20"/>
                <w:szCs w:val="20"/>
              </w:rPr>
              <w:t>25-34</w:t>
            </w:r>
          </w:p>
        </w:tc>
        <w:tc>
          <w:tcPr>
            <w:tcW w:w="1500" w:type="dxa"/>
            <w:tcMar>
              <w:top w:w="60" w:type="dxa"/>
              <w:left w:w="80" w:type="dxa"/>
              <w:bottom w:w="60" w:type="dxa"/>
              <w:right w:w="80" w:type="dxa"/>
            </w:tcMar>
          </w:tcPr>
          <w:p w14:paraId="6D4C0156" w14:textId="77777777" w:rsidR="00F1632A" w:rsidRDefault="00000000">
            <w:r>
              <w:rPr>
                <w:sz w:val="20"/>
                <w:szCs w:val="20"/>
              </w:rPr>
              <w:t>16</w:t>
            </w:r>
          </w:p>
        </w:tc>
        <w:tc>
          <w:tcPr>
            <w:tcW w:w="1500" w:type="dxa"/>
            <w:tcMar>
              <w:top w:w="60" w:type="dxa"/>
              <w:left w:w="80" w:type="dxa"/>
              <w:bottom w:w="60" w:type="dxa"/>
              <w:right w:w="80" w:type="dxa"/>
            </w:tcMar>
          </w:tcPr>
          <w:p w14:paraId="17DC3595" w14:textId="77777777" w:rsidR="00F1632A" w:rsidRDefault="00000000">
            <w:r>
              <w:rPr>
                <w:sz w:val="20"/>
                <w:szCs w:val="20"/>
              </w:rPr>
              <w:t>12.9</w:t>
            </w:r>
          </w:p>
        </w:tc>
      </w:tr>
      <w:tr w:rsidR="00F1632A" w14:paraId="2547FD0E" w14:textId="77777777">
        <w:tc>
          <w:tcPr>
            <w:tcW w:w="3100" w:type="dxa"/>
            <w:tcMar>
              <w:top w:w="60" w:type="dxa"/>
              <w:left w:w="80" w:type="dxa"/>
              <w:bottom w:w="60" w:type="dxa"/>
              <w:right w:w="80" w:type="dxa"/>
            </w:tcMar>
          </w:tcPr>
          <w:p w14:paraId="083E0253" w14:textId="77777777" w:rsidR="00F1632A" w:rsidRDefault="00F1632A"/>
        </w:tc>
        <w:tc>
          <w:tcPr>
            <w:tcW w:w="3300" w:type="dxa"/>
            <w:tcMar>
              <w:top w:w="60" w:type="dxa"/>
              <w:left w:w="80" w:type="dxa"/>
              <w:bottom w:w="60" w:type="dxa"/>
              <w:right w:w="80" w:type="dxa"/>
            </w:tcMar>
          </w:tcPr>
          <w:p w14:paraId="4DEBD3BD" w14:textId="77777777" w:rsidR="00F1632A" w:rsidRDefault="00000000">
            <w:r>
              <w:rPr>
                <w:sz w:val="20"/>
                <w:szCs w:val="20"/>
              </w:rPr>
              <w:t>35-44</w:t>
            </w:r>
          </w:p>
        </w:tc>
        <w:tc>
          <w:tcPr>
            <w:tcW w:w="1500" w:type="dxa"/>
            <w:tcMar>
              <w:top w:w="60" w:type="dxa"/>
              <w:left w:w="80" w:type="dxa"/>
              <w:bottom w:w="60" w:type="dxa"/>
              <w:right w:w="80" w:type="dxa"/>
            </w:tcMar>
          </w:tcPr>
          <w:p w14:paraId="6B26CC3B" w14:textId="77777777" w:rsidR="00F1632A" w:rsidRDefault="00000000">
            <w:r>
              <w:rPr>
                <w:sz w:val="20"/>
                <w:szCs w:val="20"/>
              </w:rPr>
              <w:t>35</w:t>
            </w:r>
          </w:p>
        </w:tc>
        <w:tc>
          <w:tcPr>
            <w:tcW w:w="1500" w:type="dxa"/>
            <w:tcMar>
              <w:top w:w="60" w:type="dxa"/>
              <w:left w:w="80" w:type="dxa"/>
              <w:bottom w:w="60" w:type="dxa"/>
              <w:right w:w="80" w:type="dxa"/>
            </w:tcMar>
          </w:tcPr>
          <w:p w14:paraId="4A75D3B7" w14:textId="77777777" w:rsidR="00F1632A" w:rsidRDefault="00000000">
            <w:r>
              <w:rPr>
                <w:sz w:val="20"/>
                <w:szCs w:val="20"/>
              </w:rPr>
              <w:t>28.2</w:t>
            </w:r>
          </w:p>
        </w:tc>
      </w:tr>
      <w:tr w:rsidR="00F1632A" w14:paraId="36D9C446" w14:textId="77777777">
        <w:tc>
          <w:tcPr>
            <w:tcW w:w="3100" w:type="dxa"/>
            <w:tcMar>
              <w:top w:w="60" w:type="dxa"/>
              <w:left w:w="80" w:type="dxa"/>
              <w:bottom w:w="60" w:type="dxa"/>
              <w:right w:w="80" w:type="dxa"/>
            </w:tcMar>
          </w:tcPr>
          <w:p w14:paraId="55C3D94D" w14:textId="77777777" w:rsidR="00F1632A" w:rsidRDefault="00F1632A"/>
        </w:tc>
        <w:tc>
          <w:tcPr>
            <w:tcW w:w="3300" w:type="dxa"/>
            <w:tcMar>
              <w:top w:w="60" w:type="dxa"/>
              <w:left w:w="80" w:type="dxa"/>
              <w:bottom w:w="60" w:type="dxa"/>
              <w:right w:w="80" w:type="dxa"/>
            </w:tcMar>
          </w:tcPr>
          <w:p w14:paraId="5574494B" w14:textId="77777777" w:rsidR="00F1632A" w:rsidRDefault="00000000">
            <w:r>
              <w:rPr>
                <w:sz w:val="20"/>
                <w:szCs w:val="20"/>
              </w:rPr>
              <w:t>45 and above</w:t>
            </w:r>
          </w:p>
        </w:tc>
        <w:tc>
          <w:tcPr>
            <w:tcW w:w="1500" w:type="dxa"/>
            <w:tcMar>
              <w:top w:w="60" w:type="dxa"/>
              <w:left w:w="80" w:type="dxa"/>
              <w:bottom w:w="60" w:type="dxa"/>
              <w:right w:w="80" w:type="dxa"/>
            </w:tcMar>
          </w:tcPr>
          <w:p w14:paraId="692CB8C8" w14:textId="77777777" w:rsidR="00F1632A" w:rsidRDefault="00000000">
            <w:r>
              <w:rPr>
                <w:sz w:val="20"/>
                <w:szCs w:val="20"/>
              </w:rPr>
              <w:t>64</w:t>
            </w:r>
          </w:p>
        </w:tc>
        <w:tc>
          <w:tcPr>
            <w:tcW w:w="1500" w:type="dxa"/>
            <w:tcMar>
              <w:top w:w="60" w:type="dxa"/>
              <w:left w:w="80" w:type="dxa"/>
              <w:bottom w:w="60" w:type="dxa"/>
              <w:right w:w="80" w:type="dxa"/>
            </w:tcMar>
          </w:tcPr>
          <w:p w14:paraId="73B9B821" w14:textId="77777777" w:rsidR="00F1632A" w:rsidRDefault="00000000">
            <w:r>
              <w:rPr>
                <w:sz w:val="20"/>
                <w:szCs w:val="20"/>
              </w:rPr>
              <w:t>51.6</w:t>
            </w:r>
          </w:p>
        </w:tc>
      </w:tr>
      <w:tr w:rsidR="00F1632A" w14:paraId="1C3A5AB5" w14:textId="77777777">
        <w:tc>
          <w:tcPr>
            <w:tcW w:w="3100" w:type="dxa"/>
            <w:tcMar>
              <w:top w:w="60" w:type="dxa"/>
              <w:left w:w="80" w:type="dxa"/>
              <w:bottom w:w="60" w:type="dxa"/>
              <w:right w:w="80" w:type="dxa"/>
            </w:tcMar>
          </w:tcPr>
          <w:p w14:paraId="5B4B75B0" w14:textId="77777777" w:rsidR="00F1632A" w:rsidRDefault="00000000">
            <w:r>
              <w:rPr>
                <w:sz w:val="20"/>
                <w:szCs w:val="20"/>
              </w:rPr>
              <w:t>Professional category</w:t>
            </w:r>
          </w:p>
        </w:tc>
        <w:tc>
          <w:tcPr>
            <w:tcW w:w="3300" w:type="dxa"/>
            <w:tcMar>
              <w:top w:w="60" w:type="dxa"/>
              <w:left w:w="80" w:type="dxa"/>
              <w:bottom w:w="60" w:type="dxa"/>
              <w:right w:w="80" w:type="dxa"/>
            </w:tcMar>
          </w:tcPr>
          <w:p w14:paraId="78EECCFB" w14:textId="77777777" w:rsidR="00F1632A" w:rsidRDefault="00000000">
            <w:r>
              <w:rPr>
                <w:sz w:val="20"/>
                <w:szCs w:val="20"/>
              </w:rPr>
              <w:t>Community health extension worker</w:t>
            </w:r>
          </w:p>
        </w:tc>
        <w:tc>
          <w:tcPr>
            <w:tcW w:w="1500" w:type="dxa"/>
            <w:tcMar>
              <w:top w:w="60" w:type="dxa"/>
              <w:left w:w="80" w:type="dxa"/>
              <w:bottom w:w="60" w:type="dxa"/>
              <w:right w:w="80" w:type="dxa"/>
            </w:tcMar>
          </w:tcPr>
          <w:p w14:paraId="7C3AB689" w14:textId="77777777" w:rsidR="00F1632A" w:rsidRDefault="00000000">
            <w:r>
              <w:rPr>
                <w:sz w:val="20"/>
                <w:szCs w:val="20"/>
              </w:rPr>
              <w:t>33</w:t>
            </w:r>
          </w:p>
        </w:tc>
        <w:tc>
          <w:tcPr>
            <w:tcW w:w="1500" w:type="dxa"/>
            <w:tcMar>
              <w:top w:w="60" w:type="dxa"/>
              <w:left w:w="80" w:type="dxa"/>
              <w:bottom w:w="60" w:type="dxa"/>
              <w:right w:w="80" w:type="dxa"/>
            </w:tcMar>
          </w:tcPr>
          <w:p w14:paraId="7379A1A0" w14:textId="77777777" w:rsidR="00F1632A" w:rsidRDefault="00000000">
            <w:r>
              <w:rPr>
                <w:sz w:val="20"/>
                <w:szCs w:val="20"/>
              </w:rPr>
              <w:t>26.6</w:t>
            </w:r>
          </w:p>
        </w:tc>
      </w:tr>
      <w:tr w:rsidR="00F1632A" w14:paraId="5C3F1EE1" w14:textId="77777777">
        <w:tc>
          <w:tcPr>
            <w:tcW w:w="3100" w:type="dxa"/>
            <w:tcMar>
              <w:top w:w="60" w:type="dxa"/>
              <w:left w:w="80" w:type="dxa"/>
              <w:bottom w:w="60" w:type="dxa"/>
              <w:right w:w="80" w:type="dxa"/>
            </w:tcMar>
          </w:tcPr>
          <w:p w14:paraId="05B694AB" w14:textId="77777777" w:rsidR="00F1632A" w:rsidRDefault="00F1632A"/>
        </w:tc>
        <w:tc>
          <w:tcPr>
            <w:tcW w:w="3300" w:type="dxa"/>
            <w:tcMar>
              <w:top w:w="60" w:type="dxa"/>
              <w:left w:w="80" w:type="dxa"/>
              <w:bottom w:w="60" w:type="dxa"/>
              <w:right w:w="80" w:type="dxa"/>
            </w:tcMar>
          </w:tcPr>
          <w:p w14:paraId="48721F77" w14:textId="77777777" w:rsidR="00F1632A" w:rsidRDefault="00000000">
            <w:r>
              <w:rPr>
                <w:sz w:val="20"/>
                <w:szCs w:val="20"/>
              </w:rPr>
              <w:t>Nurse</w:t>
            </w:r>
          </w:p>
        </w:tc>
        <w:tc>
          <w:tcPr>
            <w:tcW w:w="1500" w:type="dxa"/>
            <w:tcMar>
              <w:top w:w="60" w:type="dxa"/>
              <w:left w:w="80" w:type="dxa"/>
              <w:bottom w:w="60" w:type="dxa"/>
              <w:right w:w="80" w:type="dxa"/>
            </w:tcMar>
          </w:tcPr>
          <w:p w14:paraId="5D2DECAC" w14:textId="77777777" w:rsidR="00F1632A" w:rsidRDefault="00000000">
            <w:r>
              <w:rPr>
                <w:sz w:val="20"/>
                <w:szCs w:val="20"/>
              </w:rPr>
              <w:t>27</w:t>
            </w:r>
          </w:p>
        </w:tc>
        <w:tc>
          <w:tcPr>
            <w:tcW w:w="1500" w:type="dxa"/>
            <w:tcMar>
              <w:top w:w="60" w:type="dxa"/>
              <w:left w:w="80" w:type="dxa"/>
              <w:bottom w:w="60" w:type="dxa"/>
              <w:right w:w="80" w:type="dxa"/>
            </w:tcMar>
          </w:tcPr>
          <w:p w14:paraId="45DD7786" w14:textId="77777777" w:rsidR="00F1632A" w:rsidRDefault="00000000">
            <w:r>
              <w:rPr>
                <w:sz w:val="20"/>
                <w:szCs w:val="20"/>
              </w:rPr>
              <w:t>21.8</w:t>
            </w:r>
          </w:p>
        </w:tc>
      </w:tr>
      <w:tr w:rsidR="00F1632A" w14:paraId="69465E4F" w14:textId="77777777">
        <w:tc>
          <w:tcPr>
            <w:tcW w:w="3100" w:type="dxa"/>
            <w:tcMar>
              <w:top w:w="60" w:type="dxa"/>
              <w:left w:w="80" w:type="dxa"/>
              <w:bottom w:w="60" w:type="dxa"/>
              <w:right w:w="80" w:type="dxa"/>
            </w:tcMar>
          </w:tcPr>
          <w:p w14:paraId="7C907759" w14:textId="77777777" w:rsidR="00F1632A" w:rsidRDefault="00F1632A"/>
        </w:tc>
        <w:tc>
          <w:tcPr>
            <w:tcW w:w="3300" w:type="dxa"/>
            <w:tcMar>
              <w:top w:w="60" w:type="dxa"/>
              <w:left w:w="80" w:type="dxa"/>
              <w:bottom w:w="60" w:type="dxa"/>
              <w:right w:w="80" w:type="dxa"/>
            </w:tcMar>
          </w:tcPr>
          <w:p w14:paraId="4D3F9AD3" w14:textId="77777777" w:rsidR="00F1632A" w:rsidRDefault="00000000">
            <w:r>
              <w:rPr>
                <w:sz w:val="20"/>
                <w:szCs w:val="20"/>
              </w:rPr>
              <w:t>Environmental health officer</w:t>
            </w:r>
          </w:p>
        </w:tc>
        <w:tc>
          <w:tcPr>
            <w:tcW w:w="1500" w:type="dxa"/>
            <w:tcMar>
              <w:top w:w="60" w:type="dxa"/>
              <w:left w:w="80" w:type="dxa"/>
              <w:bottom w:w="60" w:type="dxa"/>
              <w:right w:w="80" w:type="dxa"/>
            </w:tcMar>
          </w:tcPr>
          <w:p w14:paraId="1C23767B" w14:textId="77777777" w:rsidR="00F1632A" w:rsidRDefault="00000000">
            <w:r>
              <w:rPr>
                <w:sz w:val="20"/>
                <w:szCs w:val="20"/>
              </w:rPr>
              <w:t>25</w:t>
            </w:r>
          </w:p>
        </w:tc>
        <w:tc>
          <w:tcPr>
            <w:tcW w:w="1500" w:type="dxa"/>
            <w:tcMar>
              <w:top w:w="60" w:type="dxa"/>
              <w:left w:w="80" w:type="dxa"/>
              <w:bottom w:w="60" w:type="dxa"/>
              <w:right w:w="80" w:type="dxa"/>
            </w:tcMar>
          </w:tcPr>
          <w:p w14:paraId="178520C2" w14:textId="77777777" w:rsidR="00F1632A" w:rsidRDefault="00000000">
            <w:r>
              <w:rPr>
                <w:sz w:val="20"/>
                <w:szCs w:val="20"/>
              </w:rPr>
              <w:t>20.2</w:t>
            </w:r>
          </w:p>
        </w:tc>
      </w:tr>
      <w:tr w:rsidR="00F1632A" w14:paraId="6D80DF70" w14:textId="77777777">
        <w:tc>
          <w:tcPr>
            <w:tcW w:w="3100" w:type="dxa"/>
            <w:tcMar>
              <w:top w:w="60" w:type="dxa"/>
              <w:left w:w="80" w:type="dxa"/>
              <w:bottom w:w="60" w:type="dxa"/>
              <w:right w:w="80" w:type="dxa"/>
            </w:tcMar>
          </w:tcPr>
          <w:p w14:paraId="4B9CE081" w14:textId="77777777" w:rsidR="00F1632A" w:rsidRDefault="00F1632A"/>
        </w:tc>
        <w:tc>
          <w:tcPr>
            <w:tcW w:w="3300" w:type="dxa"/>
            <w:tcMar>
              <w:top w:w="60" w:type="dxa"/>
              <w:left w:w="80" w:type="dxa"/>
              <w:bottom w:w="60" w:type="dxa"/>
              <w:right w:w="80" w:type="dxa"/>
            </w:tcMar>
          </w:tcPr>
          <w:p w14:paraId="5C5D8C9A" w14:textId="77777777" w:rsidR="00F1632A" w:rsidRDefault="00000000">
            <w:r>
              <w:rPr>
                <w:sz w:val="20"/>
                <w:szCs w:val="20"/>
              </w:rPr>
              <w:t>Support staff</w:t>
            </w:r>
          </w:p>
        </w:tc>
        <w:tc>
          <w:tcPr>
            <w:tcW w:w="1500" w:type="dxa"/>
            <w:tcMar>
              <w:top w:w="60" w:type="dxa"/>
              <w:left w:w="80" w:type="dxa"/>
              <w:bottom w:w="60" w:type="dxa"/>
              <w:right w:w="80" w:type="dxa"/>
            </w:tcMar>
          </w:tcPr>
          <w:p w14:paraId="0BE7E4B0" w14:textId="77777777" w:rsidR="00F1632A" w:rsidRDefault="00000000">
            <w:r>
              <w:rPr>
                <w:sz w:val="20"/>
                <w:szCs w:val="20"/>
              </w:rPr>
              <w:t>23</w:t>
            </w:r>
          </w:p>
        </w:tc>
        <w:tc>
          <w:tcPr>
            <w:tcW w:w="1500" w:type="dxa"/>
            <w:tcMar>
              <w:top w:w="60" w:type="dxa"/>
              <w:left w:w="80" w:type="dxa"/>
              <w:bottom w:w="60" w:type="dxa"/>
              <w:right w:w="80" w:type="dxa"/>
            </w:tcMar>
          </w:tcPr>
          <w:p w14:paraId="5A3CE743" w14:textId="77777777" w:rsidR="00F1632A" w:rsidRDefault="00000000">
            <w:r>
              <w:rPr>
                <w:sz w:val="20"/>
                <w:szCs w:val="20"/>
              </w:rPr>
              <w:t>18.5</w:t>
            </w:r>
          </w:p>
        </w:tc>
      </w:tr>
      <w:tr w:rsidR="00F1632A" w14:paraId="3700917E" w14:textId="77777777">
        <w:tc>
          <w:tcPr>
            <w:tcW w:w="3100" w:type="dxa"/>
            <w:tcMar>
              <w:top w:w="60" w:type="dxa"/>
              <w:left w:w="80" w:type="dxa"/>
              <w:bottom w:w="60" w:type="dxa"/>
              <w:right w:w="80" w:type="dxa"/>
            </w:tcMar>
          </w:tcPr>
          <w:p w14:paraId="0408AD53" w14:textId="77777777" w:rsidR="00F1632A" w:rsidRDefault="00F1632A"/>
        </w:tc>
        <w:tc>
          <w:tcPr>
            <w:tcW w:w="3300" w:type="dxa"/>
            <w:tcMar>
              <w:top w:w="60" w:type="dxa"/>
              <w:left w:w="80" w:type="dxa"/>
              <w:bottom w:w="60" w:type="dxa"/>
              <w:right w:w="80" w:type="dxa"/>
            </w:tcMar>
          </w:tcPr>
          <w:p w14:paraId="5BEDF057" w14:textId="77777777" w:rsidR="00F1632A" w:rsidRDefault="00000000">
            <w:r>
              <w:rPr>
                <w:sz w:val="20"/>
                <w:szCs w:val="20"/>
              </w:rPr>
              <w:t>Laboratory staff</w:t>
            </w:r>
          </w:p>
        </w:tc>
        <w:tc>
          <w:tcPr>
            <w:tcW w:w="1500" w:type="dxa"/>
            <w:tcMar>
              <w:top w:w="60" w:type="dxa"/>
              <w:left w:w="80" w:type="dxa"/>
              <w:bottom w:w="60" w:type="dxa"/>
              <w:right w:w="80" w:type="dxa"/>
            </w:tcMar>
          </w:tcPr>
          <w:p w14:paraId="522A135E" w14:textId="77777777" w:rsidR="00F1632A" w:rsidRDefault="00000000">
            <w:r>
              <w:rPr>
                <w:sz w:val="20"/>
                <w:szCs w:val="20"/>
              </w:rPr>
              <w:t>16</w:t>
            </w:r>
          </w:p>
        </w:tc>
        <w:tc>
          <w:tcPr>
            <w:tcW w:w="1500" w:type="dxa"/>
            <w:tcMar>
              <w:top w:w="60" w:type="dxa"/>
              <w:left w:w="80" w:type="dxa"/>
              <w:bottom w:w="60" w:type="dxa"/>
              <w:right w:w="80" w:type="dxa"/>
            </w:tcMar>
          </w:tcPr>
          <w:p w14:paraId="3335EE37" w14:textId="77777777" w:rsidR="00F1632A" w:rsidRDefault="00000000">
            <w:r>
              <w:rPr>
                <w:sz w:val="20"/>
                <w:szCs w:val="20"/>
              </w:rPr>
              <w:t>12.9</w:t>
            </w:r>
          </w:p>
        </w:tc>
      </w:tr>
      <w:tr w:rsidR="00F1632A" w14:paraId="435726B5" w14:textId="77777777">
        <w:tc>
          <w:tcPr>
            <w:tcW w:w="3100" w:type="dxa"/>
            <w:tcMar>
              <w:top w:w="60" w:type="dxa"/>
              <w:left w:w="80" w:type="dxa"/>
              <w:bottom w:w="60" w:type="dxa"/>
              <w:right w:w="80" w:type="dxa"/>
            </w:tcMar>
          </w:tcPr>
          <w:p w14:paraId="2BDA5CA0" w14:textId="77777777" w:rsidR="00F1632A" w:rsidRDefault="00000000">
            <w:r>
              <w:rPr>
                <w:sz w:val="20"/>
                <w:szCs w:val="20"/>
              </w:rPr>
              <w:lastRenderedPageBreak/>
              <w:t>Highest qualification</w:t>
            </w:r>
          </w:p>
        </w:tc>
        <w:tc>
          <w:tcPr>
            <w:tcW w:w="3300" w:type="dxa"/>
            <w:tcMar>
              <w:top w:w="60" w:type="dxa"/>
              <w:left w:w="80" w:type="dxa"/>
              <w:bottom w:w="60" w:type="dxa"/>
              <w:right w:w="80" w:type="dxa"/>
            </w:tcMar>
          </w:tcPr>
          <w:p w14:paraId="73203565" w14:textId="77777777" w:rsidR="00F1632A" w:rsidRDefault="00000000">
            <w:r>
              <w:rPr>
                <w:sz w:val="20"/>
                <w:szCs w:val="20"/>
              </w:rPr>
              <w:t>Diploma</w:t>
            </w:r>
          </w:p>
        </w:tc>
        <w:tc>
          <w:tcPr>
            <w:tcW w:w="1500" w:type="dxa"/>
            <w:tcMar>
              <w:top w:w="60" w:type="dxa"/>
              <w:left w:w="80" w:type="dxa"/>
              <w:bottom w:w="60" w:type="dxa"/>
              <w:right w:w="80" w:type="dxa"/>
            </w:tcMar>
          </w:tcPr>
          <w:p w14:paraId="35AD6AA3" w14:textId="77777777" w:rsidR="00F1632A" w:rsidRDefault="00000000">
            <w:r>
              <w:rPr>
                <w:sz w:val="20"/>
                <w:szCs w:val="20"/>
              </w:rPr>
              <w:t>55</w:t>
            </w:r>
          </w:p>
        </w:tc>
        <w:tc>
          <w:tcPr>
            <w:tcW w:w="1500" w:type="dxa"/>
            <w:tcMar>
              <w:top w:w="60" w:type="dxa"/>
              <w:left w:w="80" w:type="dxa"/>
              <w:bottom w:w="60" w:type="dxa"/>
              <w:right w:w="80" w:type="dxa"/>
            </w:tcMar>
          </w:tcPr>
          <w:p w14:paraId="58E0CE4C" w14:textId="77777777" w:rsidR="00F1632A" w:rsidRDefault="00000000">
            <w:r>
              <w:rPr>
                <w:sz w:val="20"/>
                <w:szCs w:val="20"/>
              </w:rPr>
              <w:t>44.4</w:t>
            </w:r>
          </w:p>
        </w:tc>
      </w:tr>
      <w:tr w:rsidR="00F1632A" w14:paraId="42D22161" w14:textId="77777777">
        <w:tc>
          <w:tcPr>
            <w:tcW w:w="3100" w:type="dxa"/>
            <w:tcMar>
              <w:top w:w="60" w:type="dxa"/>
              <w:left w:w="80" w:type="dxa"/>
              <w:bottom w:w="60" w:type="dxa"/>
              <w:right w:w="80" w:type="dxa"/>
            </w:tcMar>
          </w:tcPr>
          <w:p w14:paraId="0174B337" w14:textId="77777777" w:rsidR="00F1632A" w:rsidRDefault="00F1632A"/>
        </w:tc>
        <w:tc>
          <w:tcPr>
            <w:tcW w:w="3300" w:type="dxa"/>
            <w:tcMar>
              <w:top w:w="60" w:type="dxa"/>
              <w:left w:w="80" w:type="dxa"/>
              <w:bottom w:w="60" w:type="dxa"/>
              <w:right w:w="80" w:type="dxa"/>
            </w:tcMar>
          </w:tcPr>
          <w:p w14:paraId="750C0710" w14:textId="77777777" w:rsidR="00F1632A" w:rsidRDefault="00000000">
            <w:r>
              <w:rPr>
                <w:sz w:val="20"/>
                <w:szCs w:val="20"/>
              </w:rPr>
              <w:t>Bachelor’s degree</w:t>
            </w:r>
          </w:p>
        </w:tc>
        <w:tc>
          <w:tcPr>
            <w:tcW w:w="1500" w:type="dxa"/>
            <w:tcMar>
              <w:top w:w="60" w:type="dxa"/>
              <w:left w:w="80" w:type="dxa"/>
              <w:bottom w:w="60" w:type="dxa"/>
              <w:right w:w="80" w:type="dxa"/>
            </w:tcMar>
          </w:tcPr>
          <w:p w14:paraId="6977F8F5" w14:textId="77777777" w:rsidR="00F1632A" w:rsidRDefault="00000000">
            <w:r>
              <w:rPr>
                <w:sz w:val="20"/>
                <w:szCs w:val="20"/>
              </w:rPr>
              <w:t>46</w:t>
            </w:r>
          </w:p>
        </w:tc>
        <w:tc>
          <w:tcPr>
            <w:tcW w:w="1500" w:type="dxa"/>
            <w:tcMar>
              <w:top w:w="60" w:type="dxa"/>
              <w:left w:w="80" w:type="dxa"/>
              <w:bottom w:w="60" w:type="dxa"/>
              <w:right w:w="80" w:type="dxa"/>
            </w:tcMar>
          </w:tcPr>
          <w:p w14:paraId="3A96B608" w14:textId="77777777" w:rsidR="00F1632A" w:rsidRDefault="00000000">
            <w:r>
              <w:rPr>
                <w:sz w:val="20"/>
                <w:szCs w:val="20"/>
              </w:rPr>
              <w:t>37.1</w:t>
            </w:r>
          </w:p>
        </w:tc>
      </w:tr>
      <w:tr w:rsidR="00F1632A" w14:paraId="44352086" w14:textId="77777777">
        <w:tc>
          <w:tcPr>
            <w:tcW w:w="3100" w:type="dxa"/>
            <w:tcMar>
              <w:top w:w="60" w:type="dxa"/>
              <w:left w:w="80" w:type="dxa"/>
              <w:bottom w:w="60" w:type="dxa"/>
              <w:right w:w="80" w:type="dxa"/>
            </w:tcMar>
          </w:tcPr>
          <w:p w14:paraId="1257633A" w14:textId="77777777" w:rsidR="00F1632A" w:rsidRDefault="00F1632A"/>
        </w:tc>
        <w:tc>
          <w:tcPr>
            <w:tcW w:w="3300" w:type="dxa"/>
            <w:tcMar>
              <w:top w:w="60" w:type="dxa"/>
              <w:left w:w="80" w:type="dxa"/>
              <w:bottom w:w="60" w:type="dxa"/>
              <w:right w:w="80" w:type="dxa"/>
            </w:tcMar>
          </w:tcPr>
          <w:p w14:paraId="3D866B82" w14:textId="77777777" w:rsidR="00F1632A" w:rsidRDefault="00000000">
            <w:r>
              <w:rPr>
                <w:sz w:val="20"/>
                <w:szCs w:val="20"/>
              </w:rPr>
              <w:t>Postgraduate degree</w:t>
            </w:r>
          </w:p>
        </w:tc>
        <w:tc>
          <w:tcPr>
            <w:tcW w:w="1500" w:type="dxa"/>
            <w:tcMar>
              <w:top w:w="60" w:type="dxa"/>
              <w:left w:w="80" w:type="dxa"/>
              <w:bottom w:w="60" w:type="dxa"/>
              <w:right w:w="80" w:type="dxa"/>
            </w:tcMar>
          </w:tcPr>
          <w:p w14:paraId="68D71FFC" w14:textId="77777777" w:rsidR="00F1632A" w:rsidRDefault="00000000">
            <w:r>
              <w:rPr>
                <w:sz w:val="20"/>
                <w:szCs w:val="20"/>
              </w:rPr>
              <w:t>23</w:t>
            </w:r>
          </w:p>
        </w:tc>
        <w:tc>
          <w:tcPr>
            <w:tcW w:w="1500" w:type="dxa"/>
            <w:tcMar>
              <w:top w:w="60" w:type="dxa"/>
              <w:left w:w="80" w:type="dxa"/>
              <w:bottom w:w="60" w:type="dxa"/>
              <w:right w:w="80" w:type="dxa"/>
            </w:tcMar>
          </w:tcPr>
          <w:p w14:paraId="1FF2E482" w14:textId="77777777" w:rsidR="00F1632A" w:rsidRDefault="00000000">
            <w:r>
              <w:rPr>
                <w:sz w:val="20"/>
                <w:szCs w:val="20"/>
              </w:rPr>
              <w:t>18.5</w:t>
            </w:r>
          </w:p>
        </w:tc>
      </w:tr>
      <w:tr w:rsidR="00F1632A" w14:paraId="09BFB8CC" w14:textId="77777777">
        <w:tc>
          <w:tcPr>
            <w:tcW w:w="3100" w:type="dxa"/>
            <w:tcMar>
              <w:top w:w="60" w:type="dxa"/>
              <w:left w:w="80" w:type="dxa"/>
              <w:bottom w:w="60" w:type="dxa"/>
              <w:right w:w="80" w:type="dxa"/>
            </w:tcMar>
          </w:tcPr>
          <w:p w14:paraId="452D9197" w14:textId="77777777" w:rsidR="00F1632A" w:rsidRDefault="00000000">
            <w:r>
              <w:rPr>
                <w:sz w:val="20"/>
                <w:szCs w:val="20"/>
              </w:rPr>
              <w:t>Work experience</w:t>
            </w:r>
          </w:p>
        </w:tc>
        <w:tc>
          <w:tcPr>
            <w:tcW w:w="3300" w:type="dxa"/>
            <w:tcMar>
              <w:top w:w="60" w:type="dxa"/>
              <w:left w:w="80" w:type="dxa"/>
              <w:bottom w:w="60" w:type="dxa"/>
              <w:right w:w="80" w:type="dxa"/>
            </w:tcMar>
          </w:tcPr>
          <w:p w14:paraId="003730B1" w14:textId="77777777" w:rsidR="00F1632A" w:rsidRDefault="00000000">
            <w:r>
              <w:rPr>
                <w:sz w:val="20"/>
                <w:szCs w:val="20"/>
              </w:rPr>
              <w:t>Less than 1 year</w:t>
            </w:r>
          </w:p>
        </w:tc>
        <w:tc>
          <w:tcPr>
            <w:tcW w:w="1500" w:type="dxa"/>
            <w:tcMar>
              <w:top w:w="60" w:type="dxa"/>
              <w:left w:w="80" w:type="dxa"/>
              <w:bottom w:w="60" w:type="dxa"/>
              <w:right w:w="80" w:type="dxa"/>
            </w:tcMar>
          </w:tcPr>
          <w:p w14:paraId="605399D1" w14:textId="77777777" w:rsidR="00F1632A" w:rsidRDefault="00000000">
            <w:r>
              <w:rPr>
                <w:sz w:val="20"/>
                <w:szCs w:val="20"/>
              </w:rPr>
              <w:t>21</w:t>
            </w:r>
          </w:p>
        </w:tc>
        <w:tc>
          <w:tcPr>
            <w:tcW w:w="1500" w:type="dxa"/>
            <w:tcMar>
              <w:top w:w="60" w:type="dxa"/>
              <w:left w:w="80" w:type="dxa"/>
              <w:bottom w:w="60" w:type="dxa"/>
              <w:right w:w="80" w:type="dxa"/>
            </w:tcMar>
          </w:tcPr>
          <w:p w14:paraId="0240C484" w14:textId="77777777" w:rsidR="00F1632A" w:rsidRDefault="00000000">
            <w:r>
              <w:rPr>
                <w:sz w:val="20"/>
                <w:szCs w:val="20"/>
              </w:rPr>
              <w:t>16.9</w:t>
            </w:r>
          </w:p>
        </w:tc>
      </w:tr>
      <w:tr w:rsidR="00F1632A" w14:paraId="5F3DB28A" w14:textId="77777777">
        <w:tc>
          <w:tcPr>
            <w:tcW w:w="3100" w:type="dxa"/>
            <w:tcMar>
              <w:top w:w="60" w:type="dxa"/>
              <w:left w:w="80" w:type="dxa"/>
              <w:bottom w:w="60" w:type="dxa"/>
              <w:right w:w="80" w:type="dxa"/>
            </w:tcMar>
          </w:tcPr>
          <w:p w14:paraId="1B213079" w14:textId="77777777" w:rsidR="00F1632A" w:rsidRDefault="00F1632A"/>
        </w:tc>
        <w:tc>
          <w:tcPr>
            <w:tcW w:w="3300" w:type="dxa"/>
            <w:tcMar>
              <w:top w:w="60" w:type="dxa"/>
              <w:left w:w="80" w:type="dxa"/>
              <w:bottom w:w="60" w:type="dxa"/>
              <w:right w:w="80" w:type="dxa"/>
            </w:tcMar>
          </w:tcPr>
          <w:p w14:paraId="634D4B91" w14:textId="77777777" w:rsidR="00F1632A" w:rsidRDefault="00000000">
            <w:r>
              <w:rPr>
                <w:sz w:val="20"/>
                <w:szCs w:val="20"/>
              </w:rPr>
              <w:t>1-5 years</w:t>
            </w:r>
          </w:p>
        </w:tc>
        <w:tc>
          <w:tcPr>
            <w:tcW w:w="1500" w:type="dxa"/>
            <w:tcMar>
              <w:top w:w="60" w:type="dxa"/>
              <w:left w:w="80" w:type="dxa"/>
              <w:bottom w:w="60" w:type="dxa"/>
              <w:right w:w="80" w:type="dxa"/>
            </w:tcMar>
          </w:tcPr>
          <w:p w14:paraId="2758DE6B" w14:textId="77777777" w:rsidR="00F1632A" w:rsidRDefault="00000000">
            <w:r>
              <w:rPr>
                <w:sz w:val="20"/>
                <w:szCs w:val="20"/>
              </w:rPr>
              <w:t>49</w:t>
            </w:r>
          </w:p>
        </w:tc>
        <w:tc>
          <w:tcPr>
            <w:tcW w:w="1500" w:type="dxa"/>
            <w:tcMar>
              <w:top w:w="60" w:type="dxa"/>
              <w:left w:w="80" w:type="dxa"/>
              <w:bottom w:w="60" w:type="dxa"/>
              <w:right w:w="80" w:type="dxa"/>
            </w:tcMar>
          </w:tcPr>
          <w:p w14:paraId="17597DD9" w14:textId="77777777" w:rsidR="00F1632A" w:rsidRDefault="00000000">
            <w:r>
              <w:rPr>
                <w:sz w:val="20"/>
                <w:szCs w:val="20"/>
              </w:rPr>
              <w:t>39.5</w:t>
            </w:r>
          </w:p>
        </w:tc>
      </w:tr>
      <w:tr w:rsidR="00F1632A" w14:paraId="0A726BB4" w14:textId="77777777">
        <w:tc>
          <w:tcPr>
            <w:tcW w:w="3100" w:type="dxa"/>
            <w:tcMar>
              <w:top w:w="60" w:type="dxa"/>
              <w:left w:w="80" w:type="dxa"/>
              <w:bottom w:w="60" w:type="dxa"/>
              <w:right w:w="80" w:type="dxa"/>
            </w:tcMar>
          </w:tcPr>
          <w:p w14:paraId="5CF747A0" w14:textId="77777777" w:rsidR="00F1632A" w:rsidRDefault="00F1632A"/>
        </w:tc>
        <w:tc>
          <w:tcPr>
            <w:tcW w:w="3300" w:type="dxa"/>
            <w:tcMar>
              <w:top w:w="60" w:type="dxa"/>
              <w:left w:w="80" w:type="dxa"/>
              <w:bottom w:w="60" w:type="dxa"/>
              <w:right w:w="80" w:type="dxa"/>
            </w:tcMar>
          </w:tcPr>
          <w:p w14:paraId="1583A9C2" w14:textId="77777777" w:rsidR="00F1632A" w:rsidRDefault="00000000">
            <w:r>
              <w:rPr>
                <w:sz w:val="20"/>
                <w:szCs w:val="20"/>
              </w:rPr>
              <w:t>6-10 years</w:t>
            </w:r>
          </w:p>
        </w:tc>
        <w:tc>
          <w:tcPr>
            <w:tcW w:w="1500" w:type="dxa"/>
            <w:tcMar>
              <w:top w:w="60" w:type="dxa"/>
              <w:left w:w="80" w:type="dxa"/>
              <w:bottom w:w="60" w:type="dxa"/>
              <w:right w:w="80" w:type="dxa"/>
            </w:tcMar>
          </w:tcPr>
          <w:p w14:paraId="771428C7" w14:textId="77777777" w:rsidR="00F1632A" w:rsidRDefault="00000000">
            <w:r>
              <w:rPr>
                <w:sz w:val="20"/>
                <w:szCs w:val="20"/>
              </w:rPr>
              <w:t>42</w:t>
            </w:r>
          </w:p>
        </w:tc>
        <w:tc>
          <w:tcPr>
            <w:tcW w:w="1500" w:type="dxa"/>
            <w:tcMar>
              <w:top w:w="60" w:type="dxa"/>
              <w:left w:w="80" w:type="dxa"/>
              <w:bottom w:w="60" w:type="dxa"/>
              <w:right w:w="80" w:type="dxa"/>
            </w:tcMar>
          </w:tcPr>
          <w:p w14:paraId="5B6D4810" w14:textId="77777777" w:rsidR="00F1632A" w:rsidRDefault="00000000">
            <w:r>
              <w:rPr>
                <w:sz w:val="20"/>
                <w:szCs w:val="20"/>
              </w:rPr>
              <w:t>33.9</w:t>
            </w:r>
          </w:p>
        </w:tc>
      </w:tr>
      <w:tr w:rsidR="00F1632A" w14:paraId="2D78AB8F" w14:textId="77777777">
        <w:tc>
          <w:tcPr>
            <w:tcW w:w="3100" w:type="dxa"/>
            <w:tcMar>
              <w:top w:w="60" w:type="dxa"/>
              <w:left w:w="80" w:type="dxa"/>
              <w:bottom w:w="60" w:type="dxa"/>
              <w:right w:w="80" w:type="dxa"/>
            </w:tcMar>
          </w:tcPr>
          <w:p w14:paraId="629A7C5B" w14:textId="77777777" w:rsidR="00F1632A" w:rsidRDefault="00F1632A"/>
        </w:tc>
        <w:tc>
          <w:tcPr>
            <w:tcW w:w="3300" w:type="dxa"/>
            <w:tcMar>
              <w:top w:w="60" w:type="dxa"/>
              <w:left w:w="80" w:type="dxa"/>
              <w:bottom w:w="60" w:type="dxa"/>
              <w:right w:w="80" w:type="dxa"/>
            </w:tcMar>
          </w:tcPr>
          <w:p w14:paraId="5BA19017" w14:textId="77777777" w:rsidR="00F1632A" w:rsidRDefault="00000000">
            <w:r>
              <w:rPr>
                <w:sz w:val="20"/>
                <w:szCs w:val="20"/>
              </w:rPr>
              <w:t>More than 10 years</w:t>
            </w:r>
          </w:p>
        </w:tc>
        <w:tc>
          <w:tcPr>
            <w:tcW w:w="1500" w:type="dxa"/>
            <w:tcMar>
              <w:top w:w="60" w:type="dxa"/>
              <w:left w:w="80" w:type="dxa"/>
              <w:bottom w:w="60" w:type="dxa"/>
              <w:right w:w="80" w:type="dxa"/>
            </w:tcMar>
          </w:tcPr>
          <w:p w14:paraId="6021A4CF" w14:textId="77777777" w:rsidR="00F1632A" w:rsidRDefault="00000000">
            <w:r>
              <w:rPr>
                <w:sz w:val="20"/>
                <w:szCs w:val="20"/>
              </w:rPr>
              <w:t>12</w:t>
            </w:r>
          </w:p>
        </w:tc>
        <w:tc>
          <w:tcPr>
            <w:tcW w:w="1500" w:type="dxa"/>
            <w:tcMar>
              <w:top w:w="60" w:type="dxa"/>
              <w:left w:w="80" w:type="dxa"/>
              <w:bottom w:w="60" w:type="dxa"/>
              <w:right w:w="80" w:type="dxa"/>
            </w:tcMar>
          </w:tcPr>
          <w:p w14:paraId="05BC8CF8" w14:textId="77777777" w:rsidR="00F1632A" w:rsidRDefault="00000000">
            <w:r>
              <w:rPr>
                <w:sz w:val="20"/>
                <w:szCs w:val="20"/>
              </w:rPr>
              <w:t>9.7</w:t>
            </w:r>
          </w:p>
        </w:tc>
      </w:tr>
      <w:tr w:rsidR="00F1632A" w14:paraId="6EF2F99B" w14:textId="77777777">
        <w:tc>
          <w:tcPr>
            <w:tcW w:w="3100" w:type="dxa"/>
            <w:tcMar>
              <w:top w:w="60" w:type="dxa"/>
              <w:left w:w="80" w:type="dxa"/>
              <w:bottom w:w="60" w:type="dxa"/>
              <w:right w:w="80" w:type="dxa"/>
            </w:tcMar>
          </w:tcPr>
          <w:p w14:paraId="095A5FE6" w14:textId="77777777" w:rsidR="00F1632A" w:rsidRDefault="00000000">
            <w:r>
              <w:rPr>
                <w:sz w:val="20"/>
                <w:szCs w:val="20"/>
              </w:rPr>
              <w:t>Employment status</w:t>
            </w:r>
          </w:p>
        </w:tc>
        <w:tc>
          <w:tcPr>
            <w:tcW w:w="3300" w:type="dxa"/>
            <w:tcMar>
              <w:top w:w="60" w:type="dxa"/>
              <w:left w:w="80" w:type="dxa"/>
              <w:bottom w:w="60" w:type="dxa"/>
              <w:right w:w="80" w:type="dxa"/>
            </w:tcMar>
          </w:tcPr>
          <w:p w14:paraId="6B1DB0F3" w14:textId="77777777" w:rsidR="00F1632A" w:rsidRDefault="00000000">
            <w:r>
              <w:rPr>
                <w:sz w:val="20"/>
                <w:szCs w:val="20"/>
              </w:rPr>
              <w:t>Permanent</w:t>
            </w:r>
          </w:p>
        </w:tc>
        <w:tc>
          <w:tcPr>
            <w:tcW w:w="1500" w:type="dxa"/>
            <w:tcMar>
              <w:top w:w="60" w:type="dxa"/>
              <w:left w:w="80" w:type="dxa"/>
              <w:bottom w:w="60" w:type="dxa"/>
              <w:right w:w="80" w:type="dxa"/>
            </w:tcMar>
          </w:tcPr>
          <w:p w14:paraId="6D1A5588" w14:textId="77777777" w:rsidR="00F1632A" w:rsidRDefault="00000000">
            <w:r>
              <w:rPr>
                <w:sz w:val="20"/>
                <w:szCs w:val="20"/>
              </w:rPr>
              <w:t>76</w:t>
            </w:r>
          </w:p>
        </w:tc>
        <w:tc>
          <w:tcPr>
            <w:tcW w:w="1500" w:type="dxa"/>
            <w:tcMar>
              <w:top w:w="60" w:type="dxa"/>
              <w:left w:w="80" w:type="dxa"/>
              <w:bottom w:w="60" w:type="dxa"/>
              <w:right w:w="80" w:type="dxa"/>
            </w:tcMar>
          </w:tcPr>
          <w:p w14:paraId="26503AF8" w14:textId="77777777" w:rsidR="00F1632A" w:rsidRDefault="00000000">
            <w:r>
              <w:rPr>
                <w:sz w:val="20"/>
                <w:szCs w:val="20"/>
              </w:rPr>
              <w:t>61.3</w:t>
            </w:r>
          </w:p>
        </w:tc>
      </w:tr>
      <w:tr w:rsidR="00F1632A" w14:paraId="373C6686" w14:textId="77777777">
        <w:tc>
          <w:tcPr>
            <w:tcW w:w="3100" w:type="dxa"/>
            <w:tcMar>
              <w:top w:w="60" w:type="dxa"/>
              <w:left w:w="80" w:type="dxa"/>
              <w:bottom w:w="60" w:type="dxa"/>
              <w:right w:w="80" w:type="dxa"/>
            </w:tcMar>
          </w:tcPr>
          <w:p w14:paraId="7A5EB461" w14:textId="77777777" w:rsidR="00F1632A" w:rsidRDefault="00F1632A"/>
        </w:tc>
        <w:tc>
          <w:tcPr>
            <w:tcW w:w="3300" w:type="dxa"/>
            <w:tcMar>
              <w:top w:w="60" w:type="dxa"/>
              <w:left w:w="80" w:type="dxa"/>
              <w:bottom w:w="60" w:type="dxa"/>
              <w:right w:w="80" w:type="dxa"/>
            </w:tcMar>
          </w:tcPr>
          <w:p w14:paraId="1E3ADDDC" w14:textId="77777777" w:rsidR="00F1632A" w:rsidRDefault="00000000">
            <w:r>
              <w:rPr>
                <w:sz w:val="20"/>
                <w:szCs w:val="20"/>
              </w:rPr>
              <w:t>Temporary</w:t>
            </w:r>
          </w:p>
        </w:tc>
        <w:tc>
          <w:tcPr>
            <w:tcW w:w="1500" w:type="dxa"/>
            <w:tcMar>
              <w:top w:w="60" w:type="dxa"/>
              <w:left w:w="80" w:type="dxa"/>
              <w:bottom w:w="60" w:type="dxa"/>
              <w:right w:w="80" w:type="dxa"/>
            </w:tcMar>
          </w:tcPr>
          <w:p w14:paraId="535DF4B2" w14:textId="77777777" w:rsidR="00F1632A" w:rsidRDefault="00000000">
            <w:r>
              <w:rPr>
                <w:sz w:val="20"/>
                <w:szCs w:val="20"/>
              </w:rPr>
              <w:t>31</w:t>
            </w:r>
          </w:p>
        </w:tc>
        <w:tc>
          <w:tcPr>
            <w:tcW w:w="1500" w:type="dxa"/>
            <w:tcMar>
              <w:top w:w="60" w:type="dxa"/>
              <w:left w:w="80" w:type="dxa"/>
              <w:bottom w:w="60" w:type="dxa"/>
              <w:right w:w="80" w:type="dxa"/>
            </w:tcMar>
          </w:tcPr>
          <w:p w14:paraId="56813E35" w14:textId="77777777" w:rsidR="00F1632A" w:rsidRDefault="00000000">
            <w:r>
              <w:rPr>
                <w:sz w:val="20"/>
                <w:szCs w:val="20"/>
              </w:rPr>
              <w:t>25.0</w:t>
            </w:r>
          </w:p>
        </w:tc>
      </w:tr>
      <w:tr w:rsidR="00F1632A" w14:paraId="644F6777" w14:textId="77777777">
        <w:tc>
          <w:tcPr>
            <w:tcW w:w="3100" w:type="dxa"/>
            <w:tcMar>
              <w:top w:w="60" w:type="dxa"/>
              <w:left w:w="80" w:type="dxa"/>
              <w:bottom w:w="60" w:type="dxa"/>
              <w:right w:w="80" w:type="dxa"/>
            </w:tcMar>
          </w:tcPr>
          <w:p w14:paraId="2335F268" w14:textId="77777777" w:rsidR="00F1632A" w:rsidRDefault="00F1632A"/>
        </w:tc>
        <w:tc>
          <w:tcPr>
            <w:tcW w:w="3300" w:type="dxa"/>
            <w:tcMar>
              <w:top w:w="60" w:type="dxa"/>
              <w:left w:w="80" w:type="dxa"/>
              <w:bottom w:w="60" w:type="dxa"/>
              <w:right w:w="80" w:type="dxa"/>
            </w:tcMar>
          </w:tcPr>
          <w:p w14:paraId="67A13D72" w14:textId="77777777" w:rsidR="00F1632A" w:rsidRDefault="00000000">
            <w:r>
              <w:rPr>
                <w:sz w:val="20"/>
                <w:szCs w:val="20"/>
              </w:rPr>
              <w:t>Contract</w:t>
            </w:r>
          </w:p>
        </w:tc>
        <w:tc>
          <w:tcPr>
            <w:tcW w:w="1500" w:type="dxa"/>
            <w:tcMar>
              <w:top w:w="60" w:type="dxa"/>
              <w:left w:w="80" w:type="dxa"/>
              <w:bottom w:w="60" w:type="dxa"/>
              <w:right w:w="80" w:type="dxa"/>
            </w:tcMar>
          </w:tcPr>
          <w:p w14:paraId="2FBF2B10" w14:textId="77777777" w:rsidR="00F1632A" w:rsidRDefault="00000000">
            <w:r>
              <w:rPr>
                <w:sz w:val="20"/>
                <w:szCs w:val="20"/>
              </w:rPr>
              <w:t>17</w:t>
            </w:r>
          </w:p>
        </w:tc>
        <w:tc>
          <w:tcPr>
            <w:tcW w:w="1500" w:type="dxa"/>
            <w:tcMar>
              <w:top w:w="60" w:type="dxa"/>
              <w:left w:w="80" w:type="dxa"/>
              <w:bottom w:w="60" w:type="dxa"/>
              <w:right w:w="80" w:type="dxa"/>
            </w:tcMar>
          </w:tcPr>
          <w:p w14:paraId="53E3C6D3" w14:textId="77777777" w:rsidR="00F1632A" w:rsidRDefault="00000000">
            <w:r>
              <w:rPr>
                <w:sz w:val="20"/>
                <w:szCs w:val="20"/>
              </w:rPr>
              <w:t>13.7</w:t>
            </w:r>
          </w:p>
        </w:tc>
      </w:tr>
    </w:tbl>
    <w:p w14:paraId="55411FC3" w14:textId="77777777" w:rsidR="00F1632A" w:rsidRDefault="00F1632A">
      <w:pPr>
        <w:spacing w:after="160"/>
      </w:pPr>
    </w:p>
    <w:p w14:paraId="3E6C6C62" w14:textId="77777777" w:rsidR="00F1632A" w:rsidRDefault="00000000">
      <w:pPr>
        <w:pStyle w:val="Heading2"/>
        <w:spacing w:before="280" w:after="140"/>
      </w:pPr>
      <w:r>
        <w:rPr>
          <w:b/>
          <w:bCs/>
          <w:color w:val="000000"/>
          <w:sz w:val="24"/>
          <w:szCs w:val="24"/>
        </w:rPr>
        <w:t>3.2 Occupational Hazard Exposure</w:t>
      </w:r>
    </w:p>
    <w:p w14:paraId="6086BEB2" w14:textId="77777777" w:rsidR="00F1632A" w:rsidRDefault="00000000">
      <w:pPr>
        <w:spacing w:after="160"/>
        <w:jc w:val="both"/>
      </w:pPr>
      <w:r>
        <w:rPr>
          <w:color w:val="000000"/>
        </w:rPr>
        <w:t xml:space="preserve">Respondents reported exposure across every hazard category (Table 2). Needlestick or sharps injury was the most commonly endorsed exposure, with 71.0% agreeing or strongly agreeing, followed by exposure to blood or body fluids (64.5%) and work-related stress (61.3%). More than half also reported exposure to chemicals (58.1%), slips, falls or physical injury (58.1%), workplace aggression (56.5%) and repetitive tasks or awkward posture (52.4%). Item means ranged from 3.49 to 3.73. On the composite score, </w:t>
      </w:r>
      <w:r>
        <w:rPr>
          <w:color w:val="000000"/>
          <w:highlight w:val="yellow"/>
        </w:rPr>
        <w:t>62.1% of respondents had high hazard exposure and 37.9% had moderate hazard exposure</w:t>
      </w:r>
      <w:r>
        <w:rPr>
          <w:color w:val="000000"/>
        </w:rPr>
        <w:t>.</w:t>
      </w:r>
    </w:p>
    <w:p w14:paraId="2C4E9D5D" w14:textId="77777777" w:rsidR="00F1632A" w:rsidRDefault="00000000">
      <w:pPr>
        <w:spacing w:before="240" w:after="100"/>
      </w:pPr>
      <w:r>
        <w:rPr>
          <w:sz w:val="22"/>
          <w:szCs w:val="22"/>
        </w:rPr>
        <w:t>Table 2. Reported exposure to occupational hazards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500"/>
        <w:gridCol w:w="1300"/>
        <w:gridCol w:w="1150"/>
        <w:gridCol w:w="1150"/>
        <w:gridCol w:w="1150"/>
        <w:gridCol w:w="1150"/>
      </w:tblGrid>
      <w:tr w:rsidR="00F1632A" w14:paraId="1C047ED7" w14:textId="77777777">
        <w:trPr>
          <w:tblHeader/>
        </w:trPr>
        <w:tc>
          <w:tcPr>
            <w:tcW w:w="3500" w:type="dxa"/>
            <w:shd w:val="clear" w:color="auto" w:fill="E8E8E8"/>
            <w:tcMar>
              <w:top w:w="60" w:type="dxa"/>
              <w:left w:w="80" w:type="dxa"/>
              <w:bottom w:w="60" w:type="dxa"/>
              <w:right w:w="80" w:type="dxa"/>
            </w:tcMar>
          </w:tcPr>
          <w:p w14:paraId="5EF7C56F" w14:textId="77777777" w:rsidR="00F1632A" w:rsidRDefault="00000000">
            <w:r>
              <w:rPr>
                <w:b/>
                <w:bCs/>
                <w:sz w:val="20"/>
                <w:szCs w:val="20"/>
              </w:rPr>
              <w:t>Hazard</w:t>
            </w:r>
          </w:p>
        </w:tc>
        <w:tc>
          <w:tcPr>
            <w:tcW w:w="1300" w:type="dxa"/>
            <w:shd w:val="clear" w:color="auto" w:fill="E8E8E8"/>
            <w:tcMar>
              <w:top w:w="60" w:type="dxa"/>
              <w:left w:w="80" w:type="dxa"/>
              <w:bottom w:w="60" w:type="dxa"/>
              <w:right w:w="80" w:type="dxa"/>
            </w:tcMar>
          </w:tcPr>
          <w:p w14:paraId="625E2C8E" w14:textId="77777777" w:rsidR="00F1632A" w:rsidRDefault="00000000">
            <w:r>
              <w:rPr>
                <w:b/>
                <w:bCs/>
                <w:sz w:val="20"/>
                <w:szCs w:val="20"/>
              </w:rPr>
              <w:t>Mean ± SD</w:t>
            </w:r>
          </w:p>
        </w:tc>
        <w:tc>
          <w:tcPr>
            <w:tcW w:w="1150" w:type="dxa"/>
            <w:shd w:val="clear" w:color="auto" w:fill="E8E8E8"/>
            <w:tcMar>
              <w:top w:w="60" w:type="dxa"/>
              <w:left w:w="80" w:type="dxa"/>
              <w:bottom w:w="60" w:type="dxa"/>
              <w:right w:w="80" w:type="dxa"/>
            </w:tcMar>
          </w:tcPr>
          <w:p w14:paraId="51E03FBE" w14:textId="77777777" w:rsidR="00F1632A" w:rsidRDefault="00000000">
            <w:r>
              <w:rPr>
                <w:b/>
                <w:bCs/>
                <w:sz w:val="20"/>
                <w:szCs w:val="20"/>
              </w:rPr>
              <w:t>Disagree n (%)</w:t>
            </w:r>
          </w:p>
        </w:tc>
        <w:tc>
          <w:tcPr>
            <w:tcW w:w="1150" w:type="dxa"/>
            <w:shd w:val="clear" w:color="auto" w:fill="E8E8E8"/>
            <w:tcMar>
              <w:top w:w="60" w:type="dxa"/>
              <w:left w:w="80" w:type="dxa"/>
              <w:bottom w:w="60" w:type="dxa"/>
              <w:right w:w="80" w:type="dxa"/>
            </w:tcMar>
          </w:tcPr>
          <w:p w14:paraId="22FA350A" w14:textId="77777777" w:rsidR="00F1632A" w:rsidRDefault="00000000">
            <w:r>
              <w:rPr>
                <w:b/>
                <w:bCs/>
                <w:sz w:val="20"/>
                <w:szCs w:val="20"/>
              </w:rPr>
              <w:t>Undecided n (%)</w:t>
            </w:r>
          </w:p>
        </w:tc>
        <w:tc>
          <w:tcPr>
            <w:tcW w:w="1150" w:type="dxa"/>
            <w:shd w:val="clear" w:color="auto" w:fill="E8E8E8"/>
            <w:tcMar>
              <w:top w:w="60" w:type="dxa"/>
              <w:left w:w="80" w:type="dxa"/>
              <w:bottom w:w="60" w:type="dxa"/>
              <w:right w:w="80" w:type="dxa"/>
            </w:tcMar>
          </w:tcPr>
          <w:p w14:paraId="73D19260" w14:textId="77777777" w:rsidR="00F1632A" w:rsidRDefault="00000000">
            <w:r>
              <w:rPr>
                <w:b/>
                <w:bCs/>
                <w:sz w:val="20"/>
                <w:szCs w:val="20"/>
              </w:rPr>
              <w:t>Agree n (%)</w:t>
            </w:r>
          </w:p>
        </w:tc>
        <w:tc>
          <w:tcPr>
            <w:tcW w:w="1150" w:type="dxa"/>
            <w:shd w:val="clear" w:color="auto" w:fill="E8E8E8"/>
            <w:tcMar>
              <w:top w:w="60" w:type="dxa"/>
              <w:left w:w="80" w:type="dxa"/>
              <w:bottom w:w="60" w:type="dxa"/>
              <w:right w:w="80" w:type="dxa"/>
            </w:tcMar>
          </w:tcPr>
          <w:p w14:paraId="49E97399" w14:textId="77777777" w:rsidR="00F1632A" w:rsidRDefault="00000000">
            <w:r>
              <w:rPr>
                <w:b/>
                <w:bCs/>
                <w:sz w:val="20"/>
                <w:szCs w:val="20"/>
              </w:rPr>
              <w:t>Strongly agree n (%)</w:t>
            </w:r>
          </w:p>
        </w:tc>
      </w:tr>
      <w:tr w:rsidR="00F1632A" w14:paraId="1D73D7E9" w14:textId="77777777">
        <w:tc>
          <w:tcPr>
            <w:tcW w:w="3500" w:type="dxa"/>
            <w:tcMar>
              <w:top w:w="60" w:type="dxa"/>
              <w:left w:w="80" w:type="dxa"/>
              <w:bottom w:w="60" w:type="dxa"/>
              <w:right w:w="80" w:type="dxa"/>
            </w:tcMar>
          </w:tcPr>
          <w:p w14:paraId="7382B1CE" w14:textId="77777777" w:rsidR="00F1632A" w:rsidRDefault="00000000">
            <w:r>
              <w:rPr>
                <w:sz w:val="20"/>
                <w:szCs w:val="20"/>
              </w:rPr>
              <w:t>Needlestick or sharps injury</w:t>
            </w:r>
          </w:p>
        </w:tc>
        <w:tc>
          <w:tcPr>
            <w:tcW w:w="1300" w:type="dxa"/>
            <w:tcMar>
              <w:top w:w="60" w:type="dxa"/>
              <w:left w:w="80" w:type="dxa"/>
              <w:bottom w:w="60" w:type="dxa"/>
              <w:right w:w="80" w:type="dxa"/>
            </w:tcMar>
          </w:tcPr>
          <w:p w14:paraId="77EC1269" w14:textId="77777777" w:rsidR="00F1632A" w:rsidRDefault="00000000">
            <w:r>
              <w:rPr>
                <w:sz w:val="20"/>
                <w:szCs w:val="20"/>
              </w:rPr>
              <w:t>3.73 ± 0.82</w:t>
            </w:r>
          </w:p>
        </w:tc>
        <w:tc>
          <w:tcPr>
            <w:tcW w:w="1150" w:type="dxa"/>
            <w:tcMar>
              <w:top w:w="60" w:type="dxa"/>
              <w:left w:w="80" w:type="dxa"/>
              <w:bottom w:w="60" w:type="dxa"/>
              <w:right w:w="80" w:type="dxa"/>
            </w:tcMar>
          </w:tcPr>
          <w:p w14:paraId="368B399C" w14:textId="77777777" w:rsidR="00F1632A" w:rsidRDefault="00000000">
            <w:r>
              <w:rPr>
                <w:sz w:val="20"/>
                <w:szCs w:val="20"/>
              </w:rPr>
              <w:t>13 (10.5)</w:t>
            </w:r>
          </w:p>
        </w:tc>
        <w:tc>
          <w:tcPr>
            <w:tcW w:w="1150" w:type="dxa"/>
            <w:tcMar>
              <w:top w:w="60" w:type="dxa"/>
              <w:left w:w="80" w:type="dxa"/>
              <w:bottom w:w="60" w:type="dxa"/>
              <w:right w:w="80" w:type="dxa"/>
            </w:tcMar>
          </w:tcPr>
          <w:p w14:paraId="162DEC11" w14:textId="77777777" w:rsidR="00F1632A" w:rsidRDefault="00000000">
            <w:r>
              <w:rPr>
                <w:sz w:val="20"/>
                <w:szCs w:val="20"/>
              </w:rPr>
              <w:t>23 (18.5)</w:t>
            </w:r>
          </w:p>
        </w:tc>
        <w:tc>
          <w:tcPr>
            <w:tcW w:w="1150" w:type="dxa"/>
            <w:tcMar>
              <w:top w:w="60" w:type="dxa"/>
              <w:left w:w="80" w:type="dxa"/>
              <w:bottom w:w="60" w:type="dxa"/>
              <w:right w:w="80" w:type="dxa"/>
            </w:tcMar>
          </w:tcPr>
          <w:p w14:paraId="7AC60C35" w14:textId="77777777" w:rsidR="00F1632A" w:rsidRDefault="00000000">
            <w:r>
              <w:rPr>
                <w:sz w:val="20"/>
                <w:szCs w:val="20"/>
              </w:rPr>
              <w:t>72 (58.1)</w:t>
            </w:r>
          </w:p>
        </w:tc>
        <w:tc>
          <w:tcPr>
            <w:tcW w:w="1150" w:type="dxa"/>
            <w:tcMar>
              <w:top w:w="60" w:type="dxa"/>
              <w:left w:w="80" w:type="dxa"/>
              <w:bottom w:w="60" w:type="dxa"/>
              <w:right w:w="80" w:type="dxa"/>
            </w:tcMar>
          </w:tcPr>
          <w:p w14:paraId="1ACF4AC3" w14:textId="77777777" w:rsidR="00F1632A" w:rsidRDefault="00000000">
            <w:r>
              <w:rPr>
                <w:sz w:val="20"/>
                <w:szCs w:val="20"/>
              </w:rPr>
              <w:t>16 (12.9)</w:t>
            </w:r>
          </w:p>
        </w:tc>
      </w:tr>
      <w:tr w:rsidR="00F1632A" w14:paraId="23ADB624" w14:textId="77777777">
        <w:tc>
          <w:tcPr>
            <w:tcW w:w="3500" w:type="dxa"/>
            <w:tcMar>
              <w:top w:w="60" w:type="dxa"/>
              <w:left w:w="80" w:type="dxa"/>
              <w:bottom w:w="60" w:type="dxa"/>
              <w:right w:w="80" w:type="dxa"/>
            </w:tcMar>
          </w:tcPr>
          <w:p w14:paraId="002EBA8C" w14:textId="77777777" w:rsidR="00F1632A" w:rsidRDefault="00000000">
            <w:r>
              <w:rPr>
                <w:sz w:val="20"/>
                <w:szCs w:val="20"/>
              </w:rPr>
              <w:t>Slips, falls or physical injury</w:t>
            </w:r>
          </w:p>
        </w:tc>
        <w:tc>
          <w:tcPr>
            <w:tcW w:w="1300" w:type="dxa"/>
            <w:tcMar>
              <w:top w:w="60" w:type="dxa"/>
              <w:left w:w="80" w:type="dxa"/>
              <w:bottom w:w="60" w:type="dxa"/>
              <w:right w:w="80" w:type="dxa"/>
            </w:tcMar>
          </w:tcPr>
          <w:p w14:paraId="1BB7497B" w14:textId="77777777" w:rsidR="00F1632A" w:rsidRDefault="00000000">
            <w:r>
              <w:rPr>
                <w:sz w:val="20"/>
                <w:szCs w:val="20"/>
              </w:rPr>
              <w:t>3.66 ± 1.04</w:t>
            </w:r>
          </w:p>
        </w:tc>
        <w:tc>
          <w:tcPr>
            <w:tcW w:w="1150" w:type="dxa"/>
            <w:tcMar>
              <w:top w:w="60" w:type="dxa"/>
              <w:left w:w="80" w:type="dxa"/>
              <w:bottom w:w="60" w:type="dxa"/>
              <w:right w:w="80" w:type="dxa"/>
            </w:tcMar>
          </w:tcPr>
          <w:p w14:paraId="618AA523" w14:textId="77777777" w:rsidR="00F1632A" w:rsidRDefault="00000000">
            <w:r>
              <w:rPr>
                <w:sz w:val="20"/>
                <w:szCs w:val="20"/>
              </w:rPr>
              <w:t>21 (16.9)</w:t>
            </w:r>
          </w:p>
        </w:tc>
        <w:tc>
          <w:tcPr>
            <w:tcW w:w="1150" w:type="dxa"/>
            <w:tcMar>
              <w:top w:w="60" w:type="dxa"/>
              <w:left w:w="80" w:type="dxa"/>
              <w:bottom w:w="60" w:type="dxa"/>
              <w:right w:w="80" w:type="dxa"/>
            </w:tcMar>
          </w:tcPr>
          <w:p w14:paraId="1EEE1372" w14:textId="77777777" w:rsidR="00F1632A" w:rsidRDefault="00000000">
            <w:r>
              <w:rPr>
                <w:sz w:val="20"/>
                <w:szCs w:val="20"/>
              </w:rPr>
              <w:t>31 (25.0)</w:t>
            </w:r>
          </w:p>
        </w:tc>
        <w:tc>
          <w:tcPr>
            <w:tcW w:w="1150" w:type="dxa"/>
            <w:tcMar>
              <w:top w:w="60" w:type="dxa"/>
              <w:left w:w="80" w:type="dxa"/>
              <w:bottom w:w="60" w:type="dxa"/>
              <w:right w:w="80" w:type="dxa"/>
            </w:tcMar>
          </w:tcPr>
          <w:p w14:paraId="2E6CCD30" w14:textId="77777777" w:rsidR="00F1632A" w:rsidRDefault="00000000">
            <w:r>
              <w:rPr>
                <w:sz w:val="20"/>
                <w:szCs w:val="20"/>
              </w:rPr>
              <w:t>41 (33.1)</w:t>
            </w:r>
          </w:p>
        </w:tc>
        <w:tc>
          <w:tcPr>
            <w:tcW w:w="1150" w:type="dxa"/>
            <w:tcMar>
              <w:top w:w="60" w:type="dxa"/>
              <w:left w:w="80" w:type="dxa"/>
              <w:bottom w:w="60" w:type="dxa"/>
              <w:right w:w="80" w:type="dxa"/>
            </w:tcMar>
          </w:tcPr>
          <w:p w14:paraId="1F087CF0" w14:textId="77777777" w:rsidR="00F1632A" w:rsidRDefault="00000000">
            <w:r>
              <w:rPr>
                <w:sz w:val="20"/>
                <w:szCs w:val="20"/>
              </w:rPr>
              <w:t>31 (25.0)</w:t>
            </w:r>
          </w:p>
        </w:tc>
      </w:tr>
      <w:tr w:rsidR="00F1632A" w14:paraId="6420E4E3" w14:textId="77777777">
        <w:tc>
          <w:tcPr>
            <w:tcW w:w="3500" w:type="dxa"/>
            <w:tcMar>
              <w:top w:w="60" w:type="dxa"/>
              <w:left w:w="80" w:type="dxa"/>
              <w:bottom w:w="60" w:type="dxa"/>
              <w:right w:w="80" w:type="dxa"/>
            </w:tcMar>
          </w:tcPr>
          <w:p w14:paraId="5A314A55" w14:textId="77777777" w:rsidR="00F1632A" w:rsidRDefault="00000000">
            <w:r>
              <w:rPr>
                <w:sz w:val="20"/>
                <w:szCs w:val="20"/>
              </w:rPr>
              <w:t>Work-related stress</w:t>
            </w:r>
          </w:p>
        </w:tc>
        <w:tc>
          <w:tcPr>
            <w:tcW w:w="1300" w:type="dxa"/>
            <w:tcMar>
              <w:top w:w="60" w:type="dxa"/>
              <w:left w:w="80" w:type="dxa"/>
              <w:bottom w:w="60" w:type="dxa"/>
              <w:right w:w="80" w:type="dxa"/>
            </w:tcMar>
          </w:tcPr>
          <w:p w14:paraId="2FFD951E" w14:textId="77777777" w:rsidR="00F1632A" w:rsidRDefault="00000000">
            <w:r>
              <w:rPr>
                <w:sz w:val="20"/>
                <w:szCs w:val="20"/>
              </w:rPr>
              <w:t>3.66 ± 1.10</w:t>
            </w:r>
          </w:p>
        </w:tc>
        <w:tc>
          <w:tcPr>
            <w:tcW w:w="1150" w:type="dxa"/>
            <w:tcMar>
              <w:top w:w="60" w:type="dxa"/>
              <w:left w:w="80" w:type="dxa"/>
              <w:bottom w:w="60" w:type="dxa"/>
              <w:right w:w="80" w:type="dxa"/>
            </w:tcMar>
          </w:tcPr>
          <w:p w14:paraId="2E4E6B81" w14:textId="77777777" w:rsidR="00F1632A" w:rsidRDefault="00000000">
            <w:r>
              <w:rPr>
                <w:sz w:val="20"/>
                <w:szCs w:val="20"/>
              </w:rPr>
              <w:t>27 (21.8)</w:t>
            </w:r>
          </w:p>
        </w:tc>
        <w:tc>
          <w:tcPr>
            <w:tcW w:w="1150" w:type="dxa"/>
            <w:tcMar>
              <w:top w:w="60" w:type="dxa"/>
              <w:left w:w="80" w:type="dxa"/>
              <w:bottom w:w="60" w:type="dxa"/>
              <w:right w:w="80" w:type="dxa"/>
            </w:tcMar>
          </w:tcPr>
          <w:p w14:paraId="117EF1E8" w14:textId="77777777" w:rsidR="00F1632A" w:rsidRDefault="00000000">
            <w:r>
              <w:rPr>
                <w:sz w:val="20"/>
                <w:szCs w:val="20"/>
              </w:rPr>
              <w:t>21 (16.9)</w:t>
            </w:r>
          </w:p>
        </w:tc>
        <w:tc>
          <w:tcPr>
            <w:tcW w:w="1150" w:type="dxa"/>
            <w:tcMar>
              <w:top w:w="60" w:type="dxa"/>
              <w:left w:w="80" w:type="dxa"/>
              <w:bottom w:w="60" w:type="dxa"/>
              <w:right w:w="80" w:type="dxa"/>
            </w:tcMar>
          </w:tcPr>
          <w:p w14:paraId="4E13140B" w14:textId="77777777" w:rsidR="00F1632A" w:rsidRDefault="00000000">
            <w:r>
              <w:rPr>
                <w:sz w:val="20"/>
                <w:szCs w:val="20"/>
              </w:rPr>
              <w:t>43 (34.7)</w:t>
            </w:r>
          </w:p>
        </w:tc>
        <w:tc>
          <w:tcPr>
            <w:tcW w:w="1150" w:type="dxa"/>
            <w:tcMar>
              <w:top w:w="60" w:type="dxa"/>
              <w:left w:w="80" w:type="dxa"/>
              <w:bottom w:w="60" w:type="dxa"/>
              <w:right w:w="80" w:type="dxa"/>
            </w:tcMar>
          </w:tcPr>
          <w:p w14:paraId="4CF4BDC4" w14:textId="77777777" w:rsidR="00F1632A" w:rsidRDefault="00000000">
            <w:r>
              <w:rPr>
                <w:sz w:val="20"/>
                <w:szCs w:val="20"/>
              </w:rPr>
              <w:t>33 (26.6)</w:t>
            </w:r>
          </w:p>
        </w:tc>
      </w:tr>
      <w:tr w:rsidR="00F1632A" w14:paraId="29D068CB" w14:textId="77777777">
        <w:tc>
          <w:tcPr>
            <w:tcW w:w="3500" w:type="dxa"/>
            <w:tcMar>
              <w:top w:w="60" w:type="dxa"/>
              <w:left w:w="80" w:type="dxa"/>
              <w:bottom w:w="60" w:type="dxa"/>
              <w:right w:w="80" w:type="dxa"/>
            </w:tcMar>
          </w:tcPr>
          <w:p w14:paraId="5CF9CCC1" w14:textId="77777777" w:rsidR="00F1632A" w:rsidRDefault="00000000">
            <w:r>
              <w:rPr>
                <w:sz w:val="20"/>
                <w:szCs w:val="20"/>
              </w:rPr>
              <w:t>Chemicals</w:t>
            </w:r>
          </w:p>
        </w:tc>
        <w:tc>
          <w:tcPr>
            <w:tcW w:w="1300" w:type="dxa"/>
            <w:tcMar>
              <w:top w:w="60" w:type="dxa"/>
              <w:left w:w="80" w:type="dxa"/>
              <w:bottom w:w="60" w:type="dxa"/>
              <w:right w:w="80" w:type="dxa"/>
            </w:tcMar>
          </w:tcPr>
          <w:p w14:paraId="7630DE5A" w14:textId="77777777" w:rsidR="00F1632A" w:rsidRDefault="00000000">
            <w:r>
              <w:rPr>
                <w:sz w:val="20"/>
                <w:szCs w:val="20"/>
              </w:rPr>
              <w:t>3.64 ± 1.08</w:t>
            </w:r>
          </w:p>
        </w:tc>
        <w:tc>
          <w:tcPr>
            <w:tcW w:w="1150" w:type="dxa"/>
            <w:tcMar>
              <w:top w:w="60" w:type="dxa"/>
              <w:left w:w="80" w:type="dxa"/>
              <w:bottom w:w="60" w:type="dxa"/>
              <w:right w:w="80" w:type="dxa"/>
            </w:tcMar>
          </w:tcPr>
          <w:p w14:paraId="4BCF2585" w14:textId="77777777" w:rsidR="00F1632A" w:rsidRDefault="00000000">
            <w:r>
              <w:rPr>
                <w:sz w:val="20"/>
                <w:szCs w:val="20"/>
              </w:rPr>
              <w:t>25 (20.2)</w:t>
            </w:r>
          </w:p>
        </w:tc>
        <w:tc>
          <w:tcPr>
            <w:tcW w:w="1150" w:type="dxa"/>
            <w:tcMar>
              <w:top w:w="60" w:type="dxa"/>
              <w:left w:w="80" w:type="dxa"/>
              <w:bottom w:w="60" w:type="dxa"/>
              <w:right w:w="80" w:type="dxa"/>
            </w:tcMar>
          </w:tcPr>
          <w:p w14:paraId="64DF3ED9" w14:textId="77777777" w:rsidR="00F1632A" w:rsidRDefault="00000000">
            <w:r>
              <w:rPr>
                <w:sz w:val="20"/>
                <w:szCs w:val="20"/>
              </w:rPr>
              <w:t>27 (21.8)</w:t>
            </w:r>
          </w:p>
        </w:tc>
        <w:tc>
          <w:tcPr>
            <w:tcW w:w="1150" w:type="dxa"/>
            <w:tcMar>
              <w:top w:w="60" w:type="dxa"/>
              <w:left w:w="80" w:type="dxa"/>
              <w:bottom w:w="60" w:type="dxa"/>
              <w:right w:w="80" w:type="dxa"/>
            </w:tcMar>
          </w:tcPr>
          <w:p w14:paraId="637AFB5F" w14:textId="77777777" w:rsidR="00F1632A" w:rsidRDefault="00000000">
            <w:r>
              <w:rPr>
                <w:sz w:val="20"/>
                <w:szCs w:val="20"/>
              </w:rPr>
              <w:t>40 (32.3)</w:t>
            </w:r>
          </w:p>
        </w:tc>
        <w:tc>
          <w:tcPr>
            <w:tcW w:w="1150" w:type="dxa"/>
            <w:tcMar>
              <w:top w:w="60" w:type="dxa"/>
              <w:left w:w="80" w:type="dxa"/>
              <w:bottom w:w="60" w:type="dxa"/>
              <w:right w:w="80" w:type="dxa"/>
            </w:tcMar>
          </w:tcPr>
          <w:p w14:paraId="000A64FA" w14:textId="77777777" w:rsidR="00F1632A" w:rsidRDefault="00000000">
            <w:r>
              <w:rPr>
                <w:sz w:val="20"/>
                <w:szCs w:val="20"/>
              </w:rPr>
              <w:t>32 (25.8)</w:t>
            </w:r>
          </w:p>
        </w:tc>
      </w:tr>
      <w:tr w:rsidR="00F1632A" w14:paraId="469729FB" w14:textId="77777777">
        <w:tc>
          <w:tcPr>
            <w:tcW w:w="3500" w:type="dxa"/>
            <w:tcMar>
              <w:top w:w="60" w:type="dxa"/>
              <w:left w:w="80" w:type="dxa"/>
              <w:bottom w:w="60" w:type="dxa"/>
              <w:right w:w="80" w:type="dxa"/>
            </w:tcMar>
          </w:tcPr>
          <w:p w14:paraId="3B510066" w14:textId="77777777" w:rsidR="00F1632A" w:rsidRDefault="00000000">
            <w:r>
              <w:rPr>
                <w:sz w:val="20"/>
                <w:szCs w:val="20"/>
              </w:rPr>
              <w:t>Blood or body fluids</w:t>
            </w:r>
          </w:p>
        </w:tc>
        <w:tc>
          <w:tcPr>
            <w:tcW w:w="1300" w:type="dxa"/>
            <w:tcMar>
              <w:top w:w="60" w:type="dxa"/>
              <w:left w:w="80" w:type="dxa"/>
              <w:bottom w:w="60" w:type="dxa"/>
              <w:right w:w="80" w:type="dxa"/>
            </w:tcMar>
          </w:tcPr>
          <w:p w14:paraId="2D892990" w14:textId="77777777" w:rsidR="00F1632A" w:rsidRDefault="00000000">
            <w:r>
              <w:rPr>
                <w:sz w:val="20"/>
                <w:szCs w:val="20"/>
              </w:rPr>
              <w:t>3.63 ± 0.99</w:t>
            </w:r>
          </w:p>
        </w:tc>
        <w:tc>
          <w:tcPr>
            <w:tcW w:w="1150" w:type="dxa"/>
            <w:tcMar>
              <w:top w:w="60" w:type="dxa"/>
              <w:left w:w="80" w:type="dxa"/>
              <w:bottom w:w="60" w:type="dxa"/>
              <w:right w:w="80" w:type="dxa"/>
            </w:tcMar>
          </w:tcPr>
          <w:p w14:paraId="020C515B" w14:textId="77777777" w:rsidR="00F1632A" w:rsidRDefault="00000000">
            <w:r>
              <w:rPr>
                <w:sz w:val="20"/>
                <w:szCs w:val="20"/>
              </w:rPr>
              <w:t>24 (19.4)</w:t>
            </w:r>
          </w:p>
        </w:tc>
        <w:tc>
          <w:tcPr>
            <w:tcW w:w="1150" w:type="dxa"/>
            <w:tcMar>
              <w:top w:w="60" w:type="dxa"/>
              <w:left w:w="80" w:type="dxa"/>
              <w:bottom w:w="60" w:type="dxa"/>
              <w:right w:w="80" w:type="dxa"/>
            </w:tcMar>
          </w:tcPr>
          <w:p w14:paraId="2D99D3F2" w14:textId="77777777" w:rsidR="00F1632A" w:rsidRDefault="00000000">
            <w:r>
              <w:rPr>
                <w:sz w:val="20"/>
                <w:szCs w:val="20"/>
              </w:rPr>
              <w:t>20 (16.1)</w:t>
            </w:r>
          </w:p>
        </w:tc>
        <w:tc>
          <w:tcPr>
            <w:tcW w:w="1150" w:type="dxa"/>
            <w:tcMar>
              <w:top w:w="60" w:type="dxa"/>
              <w:left w:w="80" w:type="dxa"/>
              <w:bottom w:w="60" w:type="dxa"/>
              <w:right w:w="80" w:type="dxa"/>
            </w:tcMar>
          </w:tcPr>
          <w:p w14:paraId="0164B420" w14:textId="77777777" w:rsidR="00F1632A" w:rsidRDefault="00000000">
            <w:r>
              <w:rPr>
                <w:sz w:val="20"/>
                <w:szCs w:val="20"/>
              </w:rPr>
              <w:t>58 (46.8)</w:t>
            </w:r>
          </w:p>
        </w:tc>
        <w:tc>
          <w:tcPr>
            <w:tcW w:w="1150" w:type="dxa"/>
            <w:tcMar>
              <w:top w:w="60" w:type="dxa"/>
              <w:left w:w="80" w:type="dxa"/>
              <w:bottom w:w="60" w:type="dxa"/>
              <w:right w:w="80" w:type="dxa"/>
            </w:tcMar>
          </w:tcPr>
          <w:p w14:paraId="0F5EE580" w14:textId="77777777" w:rsidR="00F1632A" w:rsidRDefault="00000000">
            <w:r>
              <w:rPr>
                <w:sz w:val="20"/>
                <w:szCs w:val="20"/>
              </w:rPr>
              <w:t>22 (17.7)</w:t>
            </w:r>
          </w:p>
        </w:tc>
      </w:tr>
      <w:tr w:rsidR="00F1632A" w14:paraId="3F209A78" w14:textId="77777777">
        <w:tc>
          <w:tcPr>
            <w:tcW w:w="3500" w:type="dxa"/>
            <w:tcMar>
              <w:top w:w="60" w:type="dxa"/>
              <w:left w:w="80" w:type="dxa"/>
              <w:bottom w:w="60" w:type="dxa"/>
              <w:right w:w="80" w:type="dxa"/>
            </w:tcMar>
          </w:tcPr>
          <w:p w14:paraId="3032564B" w14:textId="77777777" w:rsidR="00F1632A" w:rsidRDefault="00000000">
            <w:r>
              <w:rPr>
                <w:sz w:val="20"/>
                <w:szCs w:val="20"/>
              </w:rPr>
              <w:t>Repetitive tasks or awkward posture</w:t>
            </w:r>
          </w:p>
        </w:tc>
        <w:tc>
          <w:tcPr>
            <w:tcW w:w="1300" w:type="dxa"/>
            <w:tcMar>
              <w:top w:w="60" w:type="dxa"/>
              <w:left w:w="80" w:type="dxa"/>
              <w:bottom w:w="60" w:type="dxa"/>
              <w:right w:w="80" w:type="dxa"/>
            </w:tcMar>
          </w:tcPr>
          <w:p w14:paraId="16253DC9" w14:textId="77777777" w:rsidR="00F1632A" w:rsidRDefault="00000000">
            <w:r>
              <w:rPr>
                <w:sz w:val="20"/>
                <w:szCs w:val="20"/>
              </w:rPr>
              <w:t>3.53 ± 1.02</w:t>
            </w:r>
          </w:p>
        </w:tc>
        <w:tc>
          <w:tcPr>
            <w:tcW w:w="1150" w:type="dxa"/>
            <w:tcMar>
              <w:top w:w="60" w:type="dxa"/>
              <w:left w:w="80" w:type="dxa"/>
              <w:bottom w:w="60" w:type="dxa"/>
              <w:right w:w="80" w:type="dxa"/>
            </w:tcMar>
          </w:tcPr>
          <w:p w14:paraId="2DC006E3" w14:textId="77777777" w:rsidR="00F1632A" w:rsidRDefault="00000000">
            <w:r>
              <w:rPr>
                <w:sz w:val="20"/>
                <w:szCs w:val="20"/>
              </w:rPr>
              <w:t>24 (19.4)</w:t>
            </w:r>
          </w:p>
        </w:tc>
        <w:tc>
          <w:tcPr>
            <w:tcW w:w="1150" w:type="dxa"/>
            <w:tcMar>
              <w:top w:w="60" w:type="dxa"/>
              <w:left w:w="80" w:type="dxa"/>
              <w:bottom w:w="60" w:type="dxa"/>
              <w:right w:w="80" w:type="dxa"/>
            </w:tcMar>
          </w:tcPr>
          <w:p w14:paraId="3AD4F527" w14:textId="77777777" w:rsidR="00F1632A" w:rsidRDefault="00000000">
            <w:r>
              <w:rPr>
                <w:sz w:val="20"/>
                <w:szCs w:val="20"/>
              </w:rPr>
              <w:t>35 (28.2)</w:t>
            </w:r>
          </w:p>
        </w:tc>
        <w:tc>
          <w:tcPr>
            <w:tcW w:w="1150" w:type="dxa"/>
            <w:tcMar>
              <w:top w:w="60" w:type="dxa"/>
              <w:left w:w="80" w:type="dxa"/>
              <w:bottom w:w="60" w:type="dxa"/>
              <w:right w:w="80" w:type="dxa"/>
            </w:tcMar>
          </w:tcPr>
          <w:p w14:paraId="16CDA5F9" w14:textId="77777777" w:rsidR="00F1632A" w:rsidRDefault="00000000">
            <w:r>
              <w:rPr>
                <w:sz w:val="20"/>
                <w:szCs w:val="20"/>
              </w:rPr>
              <w:t>40 (32.3)</w:t>
            </w:r>
          </w:p>
        </w:tc>
        <w:tc>
          <w:tcPr>
            <w:tcW w:w="1150" w:type="dxa"/>
            <w:tcMar>
              <w:top w:w="60" w:type="dxa"/>
              <w:left w:w="80" w:type="dxa"/>
              <w:bottom w:w="60" w:type="dxa"/>
              <w:right w:w="80" w:type="dxa"/>
            </w:tcMar>
          </w:tcPr>
          <w:p w14:paraId="6A64FBE6" w14:textId="77777777" w:rsidR="00F1632A" w:rsidRDefault="00000000">
            <w:r>
              <w:rPr>
                <w:sz w:val="20"/>
                <w:szCs w:val="20"/>
              </w:rPr>
              <w:t>25 (20.2)</w:t>
            </w:r>
          </w:p>
        </w:tc>
      </w:tr>
      <w:tr w:rsidR="00F1632A" w14:paraId="79C39E03" w14:textId="77777777">
        <w:tc>
          <w:tcPr>
            <w:tcW w:w="3500" w:type="dxa"/>
            <w:tcMar>
              <w:top w:w="60" w:type="dxa"/>
              <w:left w:w="80" w:type="dxa"/>
              <w:bottom w:w="60" w:type="dxa"/>
              <w:right w:w="80" w:type="dxa"/>
            </w:tcMar>
          </w:tcPr>
          <w:p w14:paraId="60D2C75B" w14:textId="77777777" w:rsidR="00F1632A" w:rsidRDefault="00000000">
            <w:r>
              <w:rPr>
                <w:sz w:val="20"/>
                <w:szCs w:val="20"/>
              </w:rPr>
              <w:t>Workplace aggression (experienced or witnessed)</w:t>
            </w:r>
          </w:p>
        </w:tc>
        <w:tc>
          <w:tcPr>
            <w:tcW w:w="1300" w:type="dxa"/>
            <w:tcMar>
              <w:top w:w="60" w:type="dxa"/>
              <w:left w:w="80" w:type="dxa"/>
              <w:bottom w:w="60" w:type="dxa"/>
              <w:right w:w="80" w:type="dxa"/>
            </w:tcMar>
          </w:tcPr>
          <w:p w14:paraId="1136DF21" w14:textId="77777777" w:rsidR="00F1632A" w:rsidRDefault="00000000">
            <w:r>
              <w:rPr>
                <w:sz w:val="20"/>
                <w:szCs w:val="20"/>
              </w:rPr>
              <w:t>3.49 ± 0.99</w:t>
            </w:r>
          </w:p>
        </w:tc>
        <w:tc>
          <w:tcPr>
            <w:tcW w:w="1150" w:type="dxa"/>
            <w:tcMar>
              <w:top w:w="60" w:type="dxa"/>
              <w:left w:w="80" w:type="dxa"/>
              <w:bottom w:w="60" w:type="dxa"/>
              <w:right w:w="80" w:type="dxa"/>
            </w:tcMar>
          </w:tcPr>
          <w:p w14:paraId="011AAC24" w14:textId="77777777" w:rsidR="00F1632A" w:rsidRDefault="00000000">
            <w:r>
              <w:rPr>
                <w:sz w:val="20"/>
                <w:szCs w:val="20"/>
              </w:rPr>
              <w:t>27 (21.8)</w:t>
            </w:r>
          </w:p>
        </w:tc>
        <w:tc>
          <w:tcPr>
            <w:tcW w:w="1150" w:type="dxa"/>
            <w:tcMar>
              <w:top w:w="60" w:type="dxa"/>
              <w:left w:w="80" w:type="dxa"/>
              <w:bottom w:w="60" w:type="dxa"/>
              <w:right w:w="80" w:type="dxa"/>
            </w:tcMar>
          </w:tcPr>
          <w:p w14:paraId="774A8890" w14:textId="77777777" w:rsidR="00F1632A" w:rsidRDefault="00000000">
            <w:r>
              <w:rPr>
                <w:sz w:val="20"/>
                <w:szCs w:val="20"/>
              </w:rPr>
              <w:t>27 (21.8)</w:t>
            </w:r>
          </w:p>
        </w:tc>
        <w:tc>
          <w:tcPr>
            <w:tcW w:w="1150" w:type="dxa"/>
            <w:tcMar>
              <w:top w:w="60" w:type="dxa"/>
              <w:left w:w="80" w:type="dxa"/>
              <w:bottom w:w="60" w:type="dxa"/>
              <w:right w:w="80" w:type="dxa"/>
            </w:tcMar>
          </w:tcPr>
          <w:p w14:paraId="0165F1F5" w14:textId="77777777" w:rsidR="00F1632A" w:rsidRDefault="00000000">
            <w:r>
              <w:rPr>
                <w:sz w:val="20"/>
                <w:szCs w:val="20"/>
              </w:rPr>
              <w:t>52 (41.9)</w:t>
            </w:r>
          </w:p>
        </w:tc>
        <w:tc>
          <w:tcPr>
            <w:tcW w:w="1150" w:type="dxa"/>
            <w:tcMar>
              <w:top w:w="60" w:type="dxa"/>
              <w:left w:w="80" w:type="dxa"/>
              <w:bottom w:w="60" w:type="dxa"/>
              <w:right w:w="80" w:type="dxa"/>
            </w:tcMar>
          </w:tcPr>
          <w:p w14:paraId="3EFFE366" w14:textId="77777777" w:rsidR="00F1632A" w:rsidRDefault="00000000">
            <w:r>
              <w:rPr>
                <w:sz w:val="20"/>
                <w:szCs w:val="20"/>
              </w:rPr>
              <w:t>18 (14.5)</w:t>
            </w:r>
          </w:p>
        </w:tc>
      </w:tr>
    </w:tbl>
    <w:p w14:paraId="6091DC36" w14:textId="77777777" w:rsidR="00F1632A" w:rsidRDefault="00F1632A">
      <w:pPr>
        <w:spacing w:after="160"/>
      </w:pPr>
    </w:p>
    <w:p w14:paraId="56B9FF06" w14:textId="77777777" w:rsidR="00F1632A" w:rsidRDefault="00000000">
      <w:pPr>
        <w:spacing w:after="160"/>
      </w:pPr>
      <w:r>
        <w:t>Items were scored from Strongly Disagree (1) to Strongly Agree (5); higher means indicate greater reported exposure. Items are ordered by mean score. No Strongly Disagree responses were recorded for these items; therefore, that response category is not displayed in the table.</w:t>
      </w:r>
    </w:p>
    <w:p w14:paraId="3879693D" w14:textId="77777777" w:rsidR="00F1632A" w:rsidRDefault="00000000">
      <w:pPr>
        <w:pStyle w:val="Heading2"/>
        <w:spacing w:before="280" w:after="140"/>
      </w:pPr>
      <w:r>
        <w:rPr>
          <w:b/>
          <w:bCs/>
          <w:color w:val="000000"/>
          <w:sz w:val="24"/>
          <w:szCs w:val="24"/>
        </w:rPr>
        <w:lastRenderedPageBreak/>
        <w:t>3.3 Knowledge of Occupational Hazards</w:t>
      </w:r>
    </w:p>
    <w:p w14:paraId="24C71DC2" w14:textId="77777777" w:rsidR="00F1632A" w:rsidRDefault="00000000">
      <w:pPr>
        <w:spacing w:after="160"/>
        <w:jc w:val="both"/>
      </w:pPr>
      <w:r>
        <w:rPr>
          <w:color w:val="000000"/>
        </w:rPr>
        <w:t xml:space="preserve">Knowledge was high on every item, with means between 3.91 and 4.08 (Table 3). Respondents were most knowledgeable about the risks of blood and body fluid exposure (4.08 ± 0.84) and the steps to take after an occupational exposure (4.04 ± 0.81). On the composite score, </w:t>
      </w:r>
      <w:r>
        <w:rPr>
          <w:color w:val="000000"/>
          <w:highlight w:val="yellow"/>
        </w:rPr>
        <w:t>97.6% of respondents had good knowledge, 2.4% had fair knowledge, and none had poor knowledge</w:t>
      </w:r>
      <w:r>
        <w:rPr>
          <w:color w:val="000000"/>
        </w:rPr>
        <w:t>.</w:t>
      </w:r>
    </w:p>
    <w:p w14:paraId="05CD51BB" w14:textId="77777777" w:rsidR="00F1632A" w:rsidRDefault="00000000">
      <w:pPr>
        <w:spacing w:before="240" w:after="100"/>
      </w:pPr>
      <w:r>
        <w:rPr>
          <w:sz w:val="22"/>
          <w:szCs w:val="22"/>
        </w:rPr>
        <w:t>Table 3. Knowledge of occupational hazards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6400"/>
        <w:gridCol w:w="3000"/>
      </w:tblGrid>
      <w:tr w:rsidR="00F1632A" w14:paraId="5601FDDE" w14:textId="77777777">
        <w:trPr>
          <w:tblHeader/>
        </w:trPr>
        <w:tc>
          <w:tcPr>
            <w:tcW w:w="6400" w:type="dxa"/>
            <w:shd w:val="clear" w:color="auto" w:fill="E8E8E8"/>
            <w:tcMar>
              <w:top w:w="60" w:type="dxa"/>
              <w:left w:w="80" w:type="dxa"/>
              <w:bottom w:w="60" w:type="dxa"/>
              <w:right w:w="80" w:type="dxa"/>
            </w:tcMar>
          </w:tcPr>
          <w:p w14:paraId="30C51387" w14:textId="77777777" w:rsidR="00F1632A" w:rsidRDefault="00000000">
            <w:r>
              <w:rPr>
                <w:b/>
                <w:bCs/>
                <w:sz w:val="20"/>
                <w:szCs w:val="20"/>
              </w:rPr>
              <w:t>Knowledge item</w:t>
            </w:r>
          </w:p>
        </w:tc>
        <w:tc>
          <w:tcPr>
            <w:tcW w:w="3000" w:type="dxa"/>
            <w:shd w:val="clear" w:color="auto" w:fill="E8E8E8"/>
            <w:tcMar>
              <w:top w:w="60" w:type="dxa"/>
              <w:left w:w="80" w:type="dxa"/>
              <w:bottom w:w="60" w:type="dxa"/>
              <w:right w:w="80" w:type="dxa"/>
            </w:tcMar>
          </w:tcPr>
          <w:p w14:paraId="138AFC69" w14:textId="77777777" w:rsidR="00F1632A" w:rsidRDefault="00000000">
            <w:r>
              <w:rPr>
                <w:b/>
                <w:bCs/>
                <w:sz w:val="20"/>
                <w:szCs w:val="20"/>
              </w:rPr>
              <w:t>Mean ± SD</w:t>
            </w:r>
          </w:p>
        </w:tc>
      </w:tr>
      <w:tr w:rsidR="00F1632A" w14:paraId="4BC9C3CA" w14:textId="77777777">
        <w:tc>
          <w:tcPr>
            <w:tcW w:w="6400" w:type="dxa"/>
            <w:tcMar>
              <w:top w:w="60" w:type="dxa"/>
              <w:left w:w="80" w:type="dxa"/>
              <w:bottom w:w="60" w:type="dxa"/>
              <w:right w:w="80" w:type="dxa"/>
            </w:tcMar>
          </w:tcPr>
          <w:p w14:paraId="2575108E" w14:textId="77777777" w:rsidR="00F1632A" w:rsidRDefault="00000000">
            <w:r>
              <w:rPr>
                <w:sz w:val="20"/>
                <w:szCs w:val="20"/>
              </w:rPr>
              <w:t>Risks from blood and body fluids</w:t>
            </w:r>
          </w:p>
        </w:tc>
        <w:tc>
          <w:tcPr>
            <w:tcW w:w="3000" w:type="dxa"/>
            <w:tcMar>
              <w:top w:w="60" w:type="dxa"/>
              <w:left w:w="80" w:type="dxa"/>
              <w:bottom w:w="60" w:type="dxa"/>
              <w:right w:w="80" w:type="dxa"/>
            </w:tcMar>
          </w:tcPr>
          <w:p w14:paraId="1708E870" w14:textId="77777777" w:rsidR="00F1632A" w:rsidRDefault="00000000">
            <w:r>
              <w:rPr>
                <w:sz w:val="20"/>
                <w:szCs w:val="20"/>
              </w:rPr>
              <w:t>4.08 ± 0.84</w:t>
            </w:r>
          </w:p>
        </w:tc>
      </w:tr>
      <w:tr w:rsidR="00F1632A" w14:paraId="087F4F69" w14:textId="77777777">
        <w:tc>
          <w:tcPr>
            <w:tcW w:w="6400" w:type="dxa"/>
            <w:tcMar>
              <w:top w:w="60" w:type="dxa"/>
              <w:left w:w="80" w:type="dxa"/>
              <w:bottom w:w="60" w:type="dxa"/>
              <w:right w:w="80" w:type="dxa"/>
            </w:tcMar>
          </w:tcPr>
          <w:p w14:paraId="1668F194" w14:textId="77777777" w:rsidR="00F1632A" w:rsidRDefault="00000000">
            <w:r>
              <w:rPr>
                <w:sz w:val="20"/>
                <w:szCs w:val="20"/>
              </w:rPr>
              <w:t>Steps to take after occupational exposure</w:t>
            </w:r>
          </w:p>
        </w:tc>
        <w:tc>
          <w:tcPr>
            <w:tcW w:w="3000" w:type="dxa"/>
            <w:tcMar>
              <w:top w:w="60" w:type="dxa"/>
              <w:left w:w="80" w:type="dxa"/>
              <w:bottom w:w="60" w:type="dxa"/>
              <w:right w:w="80" w:type="dxa"/>
            </w:tcMar>
          </w:tcPr>
          <w:p w14:paraId="53088265" w14:textId="77777777" w:rsidR="00F1632A" w:rsidRDefault="00000000">
            <w:r>
              <w:rPr>
                <w:sz w:val="20"/>
                <w:szCs w:val="20"/>
              </w:rPr>
              <w:t>4.04 ± 0.81</w:t>
            </w:r>
          </w:p>
        </w:tc>
      </w:tr>
      <w:tr w:rsidR="00F1632A" w14:paraId="7C538F92" w14:textId="77777777">
        <w:tc>
          <w:tcPr>
            <w:tcW w:w="6400" w:type="dxa"/>
            <w:tcMar>
              <w:top w:w="60" w:type="dxa"/>
              <w:left w:w="80" w:type="dxa"/>
              <w:bottom w:w="60" w:type="dxa"/>
              <w:right w:w="80" w:type="dxa"/>
            </w:tcMar>
          </w:tcPr>
          <w:p w14:paraId="17162625" w14:textId="77777777" w:rsidR="00F1632A" w:rsidRDefault="00000000">
            <w:r>
              <w:rPr>
                <w:sz w:val="20"/>
                <w:szCs w:val="20"/>
              </w:rPr>
              <w:t>Risks from improper waste handling</w:t>
            </w:r>
          </w:p>
        </w:tc>
        <w:tc>
          <w:tcPr>
            <w:tcW w:w="3000" w:type="dxa"/>
            <w:tcMar>
              <w:top w:w="60" w:type="dxa"/>
              <w:left w:w="80" w:type="dxa"/>
              <w:bottom w:w="60" w:type="dxa"/>
              <w:right w:w="80" w:type="dxa"/>
            </w:tcMar>
          </w:tcPr>
          <w:p w14:paraId="47C2195B" w14:textId="77777777" w:rsidR="00F1632A" w:rsidRDefault="00000000">
            <w:r>
              <w:rPr>
                <w:sz w:val="20"/>
                <w:szCs w:val="20"/>
              </w:rPr>
              <w:t>4.03 ± 0.74</w:t>
            </w:r>
          </w:p>
        </w:tc>
      </w:tr>
      <w:tr w:rsidR="00F1632A" w14:paraId="3021EEAE" w14:textId="77777777">
        <w:tc>
          <w:tcPr>
            <w:tcW w:w="6400" w:type="dxa"/>
            <w:tcMar>
              <w:top w:w="60" w:type="dxa"/>
              <w:left w:w="80" w:type="dxa"/>
              <w:bottom w:w="60" w:type="dxa"/>
              <w:right w:w="80" w:type="dxa"/>
            </w:tcMar>
          </w:tcPr>
          <w:p w14:paraId="2CB7DA3D" w14:textId="77777777" w:rsidR="00F1632A" w:rsidRDefault="00000000">
            <w:r>
              <w:rPr>
                <w:sz w:val="20"/>
                <w:szCs w:val="20"/>
              </w:rPr>
              <w:t>Facility safety guidelines</w:t>
            </w:r>
          </w:p>
        </w:tc>
        <w:tc>
          <w:tcPr>
            <w:tcW w:w="3000" w:type="dxa"/>
            <w:tcMar>
              <w:top w:w="60" w:type="dxa"/>
              <w:left w:w="80" w:type="dxa"/>
              <w:bottom w:w="60" w:type="dxa"/>
              <w:right w:w="80" w:type="dxa"/>
            </w:tcMar>
          </w:tcPr>
          <w:p w14:paraId="243C15ED" w14:textId="77777777" w:rsidR="00F1632A" w:rsidRDefault="00000000">
            <w:r>
              <w:rPr>
                <w:sz w:val="20"/>
                <w:szCs w:val="20"/>
              </w:rPr>
              <w:t>4.01 ± 0.88</w:t>
            </w:r>
          </w:p>
        </w:tc>
      </w:tr>
      <w:tr w:rsidR="00F1632A" w14:paraId="6A22BA49" w14:textId="77777777">
        <w:tc>
          <w:tcPr>
            <w:tcW w:w="6400" w:type="dxa"/>
            <w:tcMar>
              <w:top w:w="60" w:type="dxa"/>
              <w:left w:w="80" w:type="dxa"/>
              <w:bottom w:w="60" w:type="dxa"/>
              <w:right w:w="80" w:type="dxa"/>
            </w:tcMar>
          </w:tcPr>
          <w:p w14:paraId="20CE4AED" w14:textId="77777777" w:rsidR="00F1632A" w:rsidRDefault="00000000">
            <w:r>
              <w:rPr>
                <w:sz w:val="20"/>
                <w:szCs w:val="20"/>
              </w:rPr>
              <w:t>Injury prevention procedures</w:t>
            </w:r>
          </w:p>
        </w:tc>
        <w:tc>
          <w:tcPr>
            <w:tcW w:w="3000" w:type="dxa"/>
            <w:tcMar>
              <w:top w:w="60" w:type="dxa"/>
              <w:left w:w="80" w:type="dxa"/>
              <w:bottom w:w="60" w:type="dxa"/>
              <w:right w:w="80" w:type="dxa"/>
            </w:tcMar>
          </w:tcPr>
          <w:p w14:paraId="251D250A" w14:textId="77777777" w:rsidR="00F1632A" w:rsidRDefault="00000000">
            <w:r>
              <w:rPr>
                <w:sz w:val="20"/>
                <w:szCs w:val="20"/>
              </w:rPr>
              <w:t>4.00 ± 0.78</w:t>
            </w:r>
          </w:p>
        </w:tc>
      </w:tr>
      <w:tr w:rsidR="00F1632A" w14:paraId="5C610C2A" w14:textId="77777777">
        <w:tc>
          <w:tcPr>
            <w:tcW w:w="6400" w:type="dxa"/>
            <w:tcMar>
              <w:top w:w="60" w:type="dxa"/>
              <w:left w:w="80" w:type="dxa"/>
              <w:bottom w:w="60" w:type="dxa"/>
              <w:right w:w="80" w:type="dxa"/>
            </w:tcMar>
          </w:tcPr>
          <w:p w14:paraId="51517190" w14:textId="77777777" w:rsidR="00F1632A" w:rsidRDefault="00000000">
            <w:r>
              <w:rPr>
                <w:sz w:val="20"/>
                <w:szCs w:val="20"/>
              </w:rPr>
              <w:t>Long-term risks of chemical exposure</w:t>
            </w:r>
          </w:p>
        </w:tc>
        <w:tc>
          <w:tcPr>
            <w:tcW w:w="3000" w:type="dxa"/>
            <w:tcMar>
              <w:top w:w="60" w:type="dxa"/>
              <w:left w:w="80" w:type="dxa"/>
              <w:bottom w:w="60" w:type="dxa"/>
              <w:right w:w="80" w:type="dxa"/>
            </w:tcMar>
          </w:tcPr>
          <w:p w14:paraId="3C7E827F" w14:textId="77777777" w:rsidR="00F1632A" w:rsidRDefault="00000000">
            <w:r>
              <w:rPr>
                <w:sz w:val="20"/>
                <w:szCs w:val="20"/>
              </w:rPr>
              <w:t>3.95 ± 0.64</w:t>
            </w:r>
          </w:p>
        </w:tc>
      </w:tr>
      <w:tr w:rsidR="00F1632A" w14:paraId="1115FCB4" w14:textId="77777777">
        <w:tc>
          <w:tcPr>
            <w:tcW w:w="6400" w:type="dxa"/>
            <w:tcMar>
              <w:top w:w="60" w:type="dxa"/>
              <w:left w:w="80" w:type="dxa"/>
              <w:bottom w:w="60" w:type="dxa"/>
              <w:right w:w="80" w:type="dxa"/>
            </w:tcMar>
          </w:tcPr>
          <w:p w14:paraId="121C92C8" w14:textId="77777777" w:rsidR="00F1632A" w:rsidRDefault="00000000">
            <w:r>
              <w:rPr>
                <w:sz w:val="20"/>
                <w:szCs w:val="20"/>
              </w:rPr>
              <w:t>Types of occupational hazards</w:t>
            </w:r>
          </w:p>
        </w:tc>
        <w:tc>
          <w:tcPr>
            <w:tcW w:w="3000" w:type="dxa"/>
            <w:tcMar>
              <w:top w:w="60" w:type="dxa"/>
              <w:left w:w="80" w:type="dxa"/>
              <w:bottom w:w="60" w:type="dxa"/>
              <w:right w:w="80" w:type="dxa"/>
            </w:tcMar>
          </w:tcPr>
          <w:p w14:paraId="6D37CF3B" w14:textId="77777777" w:rsidR="00F1632A" w:rsidRDefault="00000000">
            <w:r>
              <w:rPr>
                <w:sz w:val="20"/>
                <w:szCs w:val="20"/>
              </w:rPr>
              <w:t>3.91 ± 0.51</w:t>
            </w:r>
          </w:p>
        </w:tc>
      </w:tr>
    </w:tbl>
    <w:p w14:paraId="138C3905" w14:textId="77777777" w:rsidR="00F1632A" w:rsidRDefault="00F1632A">
      <w:pPr>
        <w:spacing w:after="160"/>
      </w:pPr>
    </w:p>
    <w:p w14:paraId="05742E11" w14:textId="77777777" w:rsidR="00F1632A" w:rsidRDefault="00000000">
      <w:pPr>
        <w:pStyle w:val="Heading2"/>
        <w:spacing w:before="280" w:after="140"/>
      </w:pPr>
      <w:r>
        <w:rPr>
          <w:b/>
          <w:bCs/>
          <w:color w:val="000000"/>
          <w:sz w:val="24"/>
          <w:szCs w:val="24"/>
        </w:rPr>
        <w:t>3.4 Safety Practices and Perceived Influences</w:t>
      </w:r>
    </w:p>
    <w:p w14:paraId="5517ECF5" w14:textId="77777777" w:rsidR="00F1632A" w:rsidRDefault="00000000">
      <w:pPr>
        <w:spacing w:after="160"/>
        <w:jc w:val="both"/>
      </w:pPr>
      <w:r>
        <w:rPr>
          <w:color w:val="000000"/>
        </w:rPr>
        <w:t xml:space="preserve">Safety practice was weakest for the most basic measures (Table 4). Only 16.1% of respondents agreed that they consistently used personal protective equipment, and 79.0% disagreed. Only 18.5% agreed that they regularly practised hand hygiene. Practice was better, though still incomplete, for proper disposal of sharps and medical waste and for reporting occupational injuries, each endorsed by 37.9%. On the composite score, </w:t>
      </w:r>
      <w:r>
        <w:rPr>
          <w:color w:val="000000"/>
          <w:highlight w:val="yellow"/>
        </w:rPr>
        <w:t>79.0% of respondents had fair safety practice, 15.3% had good safety practice, and 5.6% had poor safety practice</w:t>
      </w:r>
      <w:r>
        <w:rPr>
          <w:color w:val="000000"/>
        </w:rPr>
        <w:t>.</w:t>
      </w:r>
    </w:p>
    <w:p w14:paraId="11EA6858" w14:textId="77777777" w:rsidR="00F1632A" w:rsidRDefault="00000000">
      <w:pPr>
        <w:spacing w:after="160"/>
        <w:jc w:val="both"/>
      </w:pPr>
      <w:r>
        <w:rPr>
          <w:color w:val="000000"/>
        </w:rPr>
        <w:t>Among perceived influences on safety practice, workload was the most strongly endorsed, with 58.1% agreeing that it affected their safety practice. Fewer respondents agreed that safety equipment was available (46.0%) or that supervision encouraged safety compliance (42.7%).</w:t>
      </w:r>
    </w:p>
    <w:p w14:paraId="68B1BCAD" w14:textId="77777777" w:rsidR="00F1632A" w:rsidRDefault="00000000">
      <w:pPr>
        <w:spacing w:before="240" w:after="100"/>
      </w:pPr>
      <w:r>
        <w:rPr>
          <w:sz w:val="22"/>
          <w:szCs w:val="22"/>
        </w:rPr>
        <w:t>Table 4. Safety practices and perceived influences on safety practice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500"/>
        <w:gridCol w:w="1300"/>
        <w:gridCol w:w="1150"/>
        <w:gridCol w:w="1150"/>
        <w:gridCol w:w="1150"/>
        <w:gridCol w:w="1150"/>
      </w:tblGrid>
      <w:tr w:rsidR="00F1632A" w14:paraId="3619687A" w14:textId="77777777">
        <w:trPr>
          <w:tblHeader/>
        </w:trPr>
        <w:tc>
          <w:tcPr>
            <w:tcW w:w="3500" w:type="dxa"/>
            <w:shd w:val="clear" w:color="auto" w:fill="E8E8E8"/>
            <w:tcMar>
              <w:top w:w="60" w:type="dxa"/>
              <w:left w:w="80" w:type="dxa"/>
              <w:bottom w:w="60" w:type="dxa"/>
              <w:right w:w="80" w:type="dxa"/>
            </w:tcMar>
          </w:tcPr>
          <w:p w14:paraId="05A02858" w14:textId="77777777" w:rsidR="00F1632A" w:rsidRDefault="00000000">
            <w:r>
              <w:rPr>
                <w:b/>
                <w:bCs/>
                <w:sz w:val="20"/>
                <w:szCs w:val="20"/>
              </w:rPr>
              <w:t>Item</w:t>
            </w:r>
          </w:p>
        </w:tc>
        <w:tc>
          <w:tcPr>
            <w:tcW w:w="1300" w:type="dxa"/>
            <w:shd w:val="clear" w:color="auto" w:fill="E8E8E8"/>
            <w:tcMar>
              <w:top w:w="60" w:type="dxa"/>
              <w:left w:w="80" w:type="dxa"/>
              <w:bottom w:w="60" w:type="dxa"/>
              <w:right w:w="80" w:type="dxa"/>
            </w:tcMar>
          </w:tcPr>
          <w:p w14:paraId="6C38763B" w14:textId="77777777" w:rsidR="00F1632A" w:rsidRDefault="00000000">
            <w:r>
              <w:rPr>
                <w:b/>
                <w:bCs/>
                <w:sz w:val="20"/>
                <w:szCs w:val="20"/>
              </w:rPr>
              <w:t>Mean ± SD</w:t>
            </w:r>
          </w:p>
        </w:tc>
        <w:tc>
          <w:tcPr>
            <w:tcW w:w="1150" w:type="dxa"/>
            <w:shd w:val="clear" w:color="auto" w:fill="E8E8E8"/>
            <w:tcMar>
              <w:top w:w="60" w:type="dxa"/>
              <w:left w:w="80" w:type="dxa"/>
              <w:bottom w:w="60" w:type="dxa"/>
              <w:right w:w="80" w:type="dxa"/>
            </w:tcMar>
          </w:tcPr>
          <w:p w14:paraId="4D1CB376" w14:textId="77777777" w:rsidR="00F1632A" w:rsidRDefault="00000000">
            <w:r>
              <w:rPr>
                <w:b/>
                <w:bCs/>
                <w:sz w:val="20"/>
                <w:szCs w:val="20"/>
              </w:rPr>
              <w:t>Disagree n (%)</w:t>
            </w:r>
          </w:p>
        </w:tc>
        <w:tc>
          <w:tcPr>
            <w:tcW w:w="1150" w:type="dxa"/>
            <w:shd w:val="clear" w:color="auto" w:fill="E8E8E8"/>
            <w:tcMar>
              <w:top w:w="60" w:type="dxa"/>
              <w:left w:w="80" w:type="dxa"/>
              <w:bottom w:w="60" w:type="dxa"/>
              <w:right w:w="80" w:type="dxa"/>
            </w:tcMar>
          </w:tcPr>
          <w:p w14:paraId="611DA3C9" w14:textId="77777777" w:rsidR="00F1632A" w:rsidRDefault="00000000">
            <w:r>
              <w:rPr>
                <w:b/>
                <w:bCs/>
                <w:sz w:val="20"/>
                <w:szCs w:val="20"/>
              </w:rPr>
              <w:t>Undecided n (%)</w:t>
            </w:r>
          </w:p>
        </w:tc>
        <w:tc>
          <w:tcPr>
            <w:tcW w:w="1150" w:type="dxa"/>
            <w:shd w:val="clear" w:color="auto" w:fill="E8E8E8"/>
            <w:tcMar>
              <w:top w:w="60" w:type="dxa"/>
              <w:left w:w="80" w:type="dxa"/>
              <w:bottom w:w="60" w:type="dxa"/>
              <w:right w:w="80" w:type="dxa"/>
            </w:tcMar>
          </w:tcPr>
          <w:p w14:paraId="492141C4" w14:textId="77777777" w:rsidR="00F1632A" w:rsidRDefault="00000000">
            <w:r>
              <w:rPr>
                <w:b/>
                <w:bCs/>
                <w:sz w:val="20"/>
                <w:szCs w:val="20"/>
              </w:rPr>
              <w:t>Agree n (%)</w:t>
            </w:r>
          </w:p>
        </w:tc>
        <w:tc>
          <w:tcPr>
            <w:tcW w:w="1150" w:type="dxa"/>
            <w:shd w:val="clear" w:color="auto" w:fill="E8E8E8"/>
            <w:tcMar>
              <w:top w:w="60" w:type="dxa"/>
              <w:left w:w="80" w:type="dxa"/>
              <w:bottom w:w="60" w:type="dxa"/>
              <w:right w:w="80" w:type="dxa"/>
            </w:tcMar>
          </w:tcPr>
          <w:p w14:paraId="1BE4DDB0" w14:textId="77777777" w:rsidR="00F1632A" w:rsidRDefault="00000000">
            <w:r>
              <w:rPr>
                <w:b/>
                <w:bCs/>
                <w:sz w:val="20"/>
                <w:szCs w:val="20"/>
              </w:rPr>
              <w:t>Strongly agree n (%)</w:t>
            </w:r>
          </w:p>
        </w:tc>
      </w:tr>
      <w:tr w:rsidR="00F1632A" w14:paraId="016538BA" w14:textId="77777777">
        <w:tc>
          <w:tcPr>
            <w:tcW w:w="3500" w:type="dxa"/>
            <w:tcMar>
              <w:top w:w="60" w:type="dxa"/>
              <w:left w:w="80" w:type="dxa"/>
              <w:bottom w:w="60" w:type="dxa"/>
              <w:right w:w="80" w:type="dxa"/>
            </w:tcMar>
          </w:tcPr>
          <w:p w14:paraId="07C9EB5D" w14:textId="77777777" w:rsidR="00F1632A" w:rsidRDefault="00000000">
            <w:r>
              <w:rPr>
                <w:b/>
                <w:bCs/>
                <w:sz w:val="20"/>
                <w:szCs w:val="20"/>
              </w:rPr>
              <w:t>Safety practices</w:t>
            </w:r>
          </w:p>
        </w:tc>
        <w:tc>
          <w:tcPr>
            <w:tcW w:w="1300" w:type="dxa"/>
            <w:tcMar>
              <w:top w:w="60" w:type="dxa"/>
              <w:left w:w="80" w:type="dxa"/>
              <w:bottom w:w="60" w:type="dxa"/>
              <w:right w:w="80" w:type="dxa"/>
            </w:tcMar>
          </w:tcPr>
          <w:p w14:paraId="6856F67F" w14:textId="77777777" w:rsidR="00F1632A" w:rsidRDefault="00F1632A"/>
        </w:tc>
        <w:tc>
          <w:tcPr>
            <w:tcW w:w="1150" w:type="dxa"/>
            <w:tcMar>
              <w:top w:w="60" w:type="dxa"/>
              <w:left w:w="80" w:type="dxa"/>
              <w:bottom w:w="60" w:type="dxa"/>
              <w:right w:w="80" w:type="dxa"/>
            </w:tcMar>
          </w:tcPr>
          <w:p w14:paraId="6B3B4A50" w14:textId="77777777" w:rsidR="00F1632A" w:rsidRDefault="00F1632A"/>
        </w:tc>
        <w:tc>
          <w:tcPr>
            <w:tcW w:w="1150" w:type="dxa"/>
            <w:tcMar>
              <w:top w:w="60" w:type="dxa"/>
              <w:left w:w="80" w:type="dxa"/>
              <w:bottom w:w="60" w:type="dxa"/>
              <w:right w:w="80" w:type="dxa"/>
            </w:tcMar>
          </w:tcPr>
          <w:p w14:paraId="5C9ED9A5" w14:textId="77777777" w:rsidR="00F1632A" w:rsidRDefault="00F1632A"/>
        </w:tc>
        <w:tc>
          <w:tcPr>
            <w:tcW w:w="1150" w:type="dxa"/>
            <w:tcMar>
              <w:top w:w="60" w:type="dxa"/>
              <w:left w:w="80" w:type="dxa"/>
              <w:bottom w:w="60" w:type="dxa"/>
              <w:right w:w="80" w:type="dxa"/>
            </w:tcMar>
          </w:tcPr>
          <w:p w14:paraId="55106F13" w14:textId="77777777" w:rsidR="00F1632A" w:rsidRDefault="00F1632A"/>
        </w:tc>
        <w:tc>
          <w:tcPr>
            <w:tcW w:w="1150" w:type="dxa"/>
            <w:tcMar>
              <w:top w:w="60" w:type="dxa"/>
              <w:left w:w="80" w:type="dxa"/>
              <w:bottom w:w="60" w:type="dxa"/>
              <w:right w:w="80" w:type="dxa"/>
            </w:tcMar>
          </w:tcPr>
          <w:p w14:paraId="72820776" w14:textId="77777777" w:rsidR="00F1632A" w:rsidRDefault="00F1632A"/>
        </w:tc>
      </w:tr>
      <w:tr w:rsidR="00F1632A" w14:paraId="1572049F" w14:textId="77777777">
        <w:tc>
          <w:tcPr>
            <w:tcW w:w="3500" w:type="dxa"/>
            <w:tcMar>
              <w:top w:w="60" w:type="dxa"/>
              <w:left w:w="80" w:type="dxa"/>
              <w:bottom w:w="60" w:type="dxa"/>
              <w:right w:w="80" w:type="dxa"/>
            </w:tcMar>
          </w:tcPr>
          <w:p w14:paraId="233DD89E" w14:textId="77777777" w:rsidR="00F1632A" w:rsidRDefault="00000000">
            <w:r>
              <w:rPr>
                <w:sz w:val="20"/>
                <w:szCs w:val="20"/>
              </w:rPr>
              <w:t>Consistent use of personal protective equipment</w:t>
            </w:r>
          </w:p>
        </w:tc>
        <w:tc>
          <w:tcPr>
            <w:tcW w:w="1300" w:type="dxa"/>
            <w:tcMar>
              <w:top w:w="60" w:type="dxa"/>
              <w:left w:w="80" w:type="dxa"/>
              <w:bottom w:w="60" w:type="dxa"/>
              <w:right w:w="80" w:type="dxa"/>
            </w:tcMar>
          </w:tcPr>
          <w:p w14:paraId="16ABDCD9" w14:textId="77777777" w:rsidR="00F1632A" w:rsidRDefault="00000000">
            <w:r>
              <w:rPr>
                <w:sz w:val="20"/>
                <w:szCs w:val="20"/>
              </w:rPr>
              <w:t>2.44 ± 0.93</w:t>
            </w:r>
          </w:p>
        </w:tc>
        <w:tc>
          <w:tcPr>
            <w:tcW w:w="1150" w:type="dxa"/>
            <w:tcMar>
              <w:top w:w="60" w:type="dxa"/>
              <w:left w:w="80" w:type="dxa"/>
              <w:bottom w:w="60" w:type="dxa"/>
              <w:right w:w="80" w:type="dxa"/>
            </w:tcMar>
          </w:tcPr>
          <w:p w14:paraId="5A443FB1" w14:textId="77777777" w:rsidR="00F1632A" w:rsidRDefault="00000000">
            <w:r>
              <w:rPr>
                <w:sz w:val="20"/>
                <w:szCs w:val="20"/>
              </w:rPr>
              <w:t>98 (79.0)</w:t>
            </w:r>
          </w:p>
        </w:tc>
        <w:tc>
          <w:tcPr>
            <w:tcW w:w="1150" w:type="dxa"/>
            <w:tcMar>
              <w:top w:w="60" w:type="dxa"/>
              <w:left w:w="80" w:type="dxa"/>
              <w:bottom w:w="60" w:type="dxa"/>
              <w:right w:w="80" w:type="dxa"/>
            </w:tcMar>
          </w:tcPr>
          <w:p w14:paraId="074C5D1B" w14:textId="77777777" w:rsidR="00F1632A" w:rsidRDefault="00000000">
            <w:r>
              <w:rPr>
                <w:sz w:val="20"/>
                <w:szCs w:val="20"/>
              </w:rPr>
              <w:t>6 (4.8)</w:t>
            </w:r>
          </w:p>
        </w:tc>
        <w:tc>
          <w:tcPr>
            <w:tcW w:w="1150" w:type="dxa"/>
            <w:tcMar>
              <w:top w:w="60" w:type="dxa"/>
              <w:left w:w="80" w:type="dxa"/>
              <w:bottom w:w="60" w:type="dxa"/>
              <w:right w:w="80" w:type="dxa"/>
            </w:tcMar>
          </w:tcPr>
          <w:p w14:paraId="179C90E7" w14:textId="77777777" w:rsidR="00F1632A" w:rsidRDefault="00000000">
            <w:r>
              <w:rPr>
                <w:sz w:val="20"/>
                <w:szCs w:val="20"/>
              </w:rPr>
              <w:t>11 (8.9)</w:t>
            </w:r>
          </w:p>
        </w:tc>
        <w:tc>
          <w:tcPr>
            <w:tcW w:w="1150" w:type="dxa"/>
            <w:tcMar>
              <w:top w:w="60" w:type="dxa"/>
              <w:left w:w="80" w:type="dxa"/>
              <w:bottom w:w="60" w:type="dxa"/>
              <w:right w:w="80" w:type="dxa"/>
            </w:tcMar>
          </w:tcPr>
          <w:p w14:paraId="6C6FBB51" w14:textId="77777777" w:rsidR="00F1632A" w:rsidRDefault="00000000">
            <w:r>
              <w:rPr>
                <w:sz w:val="20"/>
                <w:szCs w:val="20"/>
              </w:rPr>
              <w:t>9 (7.3)</w:t>
            </w:r>
          </w:p>
        </w:tc>
      </w:tr>
      <w:tr w:rsidR="00F1632A" w14:paraId="151AF2DE" w14:textId="77777777">
        <w:tc>
          <w:tcPr>
            <w:tcW w:w="3500" w:type="dxa"/>
            <w:tcMar>
              <w:top w:w="60" w:type="dxa"/>
              <w:left w:w="80" w:type="dxa"/>
              <w:bottom w:w="60" w:type="dxa"/>
              <w:right w:w="80" w:type="dxa"/>
            </w:tcMar>
          </w:tcPr>
          <w:p w14:paraId="5227F458" w14:textId="77777777" w:rsidR="00F1632A" w:rsidRDefault="00000000">
            <w:r>
              <w:rPr>
                <w:sz w:val="20"/>
                <w:szCs w:val="20"/>
              </w:rPr>
              <w:t>Regular hand hygiene</w:t>
            </w:r>
          </w:p>
        </w:tc>
        <w:tc>
          <w:tcPr>
            <w:tcW w:w="1300" w:type="dxa"/>
            <w:tcMar>
              <w:top w:w="60" w:type="dxa"/>
              <w:left w:w="80" w:type="dxa"/>
              <w:bottom w:w="60" w:type="dxa"/>
              <w:right w:w="80" w:type="dxa"/>
            </w:tcMar>
          </w:tcPr>
          <w:p w14:paraId="61D5B0BA" w14:textId="77777777" w:rsidR="00F1632A" w:rsidRDefault="00000000">
            <w:r>
              <w:rPr>
                <w:sz w:val="20"/>
                <w:szCs w:val="20"/>
              </w:rPr>
              <w:t>2.57 ± 1.05</w:t>
            </w:r>
          </w:p>
        </w:tc>
        <w:tc>
          <w:tcPr>
            <w:tcW w:w="1150" w:type="dxa"/>
            <w:tcMar>
              <w:top w:w="60" w:type="dxa"/>
              <w:left w:w="80" w:type="dxa"/>
              <w:bottom w:w="60" w:type="dxa"/>
              <w:right w:w="80" w:type="dxa"/>
            </w:tcMar>
          </w:tcPr>
          <w:p w14:paraId="5DE9CAD3" w14:textId="77777777" w:rsidR="00F1632A" w:rsidRDefault="00000000">
            <w:r>
              <w:rPr>
                <w:sz w:val="20"/>
                <w:szCs w:val="20"/>
              </w:rPr>
              <w:t>91 (73.4)</w:t>
            </w:r>
          </w:p>
        </w:tc>
        <w:tc>
          <w:tcPr>
            <w:tcW w:w="1150" w:type="dxa"/>
            <w:tcMar>
              <w:top w:w="60" w:type="dxa"/>
              <w:left w:w="80" w:type="dxa"/>
              <w:bottom w:w="60" w:type="dxa"/>
              <w:right w:w="80" w:type="dxa"/>
            </w:tcMar>
          </w:tcPr>
          <w:p w14:paraId="6D16F922" w14:textId="77777777" w:rsidR="00F1632A" w:rsidRDefault="00000000">
            <w:r>
              <w:rPr>
                <w:sz w:val="20"/>
                <w:szCs w:val="20"/>
              </w:rPr>
              <w:t>10 (8.1)</w:t>
            </w:r>
          </w:p>
        </w:tc>
        <w:tc>
          <w:tcPr>
            <w:tcW w:w="1150" w:type="dxa"/>
            <w:tcMar>
              <w:top w:w="60" w:type="dxa"/>
              <w:left w:w="80" w:type="dxa"/>
              <w:bottom w:w="60" w:type="dxa"/>
              <w:right w:w="80" w:type="dxa"/>
            </w:tcMar>
          </w:tcPr>
          <w:p w14:paraId="2560908E" w14:textId="77777777" w:rsidR="00F1632A" w:rsidRDefault="00000000">
            <w:r>
              <w:rPr>
                <w:sz w:val="20"/>
                <w:szCs w:val="20"/>
              </w:rPr>
              <w:t>8 (6.5)</w:t>
            </w:r>
          </w:p>
        </w:tc>
        <w:tc>
          <w:tcPr>
            <w:tcW w:w="1150" w:type="dxa"/>
            <w:tcMar>
              <w:top w:w="60" w:type="dxa"/>
              <w:left w:w="80" w:type="dxa"/>
              <w:bottom w:w="60" w:type="dxa"/>
              <w:right w:w="80" w:type="dxa"/>
            </w:tcMar>
          </w:tcPr>
          <w:p w14:paraId="04964D2A" w14:textId="77777777" w:rsidR="00F1632A" w:rsidRDefault="00000000">
            <w:r>
              <w:rPr>
                <w:sz w:val="20"/>
                <w:szCs w:val="20"/>
              </w:rPr>
              <w:t>15 (12.1)</w:t>
            </w:r>
          </w:p>
        </w:tc>
      </w:tr>
      <w:tr w:rsidR="00F1632A" w14:paraId="2F2E4F8E" w14:textId="77777777">
        <w:tc>
          <w:tcPr>
            <w:tcW w:w="3500" w:type="dxa"/>
            <w:tcMar>
              <w:top w:w="60" w:type="dxa"/>
              <w:left w:w="80" w:type="dxa"/>
              <w:bottom w:w="60" w:type="dxa"/>
              <w:right w:w="80" w:type="dxa"/>
            </w:tcMar>
          </w:tcPr>
          <w:p w14:paraId="45E3E160" w14:textId="77777777" w:rsidR="00F1632A" w:rsidRDefault="00000000">
            <w:r>
              <w:rPr>
                <w:sz w:val="20"/>
                <w:szCs w:val="20"/>
              </w:rPr>
              <w:t>Proper disposal of sharps and medical waste</w:t>
            </w:r>
          </w:p>
        </w:tc>
        <w:tc>
          <w:tcPr>
            <w:tcW w:w="1300" w:type="dxa"/>
            <w:tcMar>
              <w:top w:w="60" w:type="dxa"/>
              <w:left w:w="80" w:type="dxa"/>
              <w:bottom w:w="60" w:type="dxa"/>
              <w:right w:w="80" w:type="dxa"/>
            </w:tcMar>
          </w:tcPr>
          <w:p w14:paraId="5249F897" w14:textId="77777777" w:rsidR="00F1632A" w:rsidRDefault="00000000">
            <w:r>
              <w:rPr>
                <w:sz w:val="20"/>
                <w:szCs w:val="20"/>
              </w:rPr>
              <w:t>3.13 ± 1.14</w:t>
            </w:r>
          </w:p>
        </w:tc>
        <w:tc>
          <w:tcPr>
            <w:tcW w:w="1150" w:type="dxa"/>
            <w:tcMar>
              <w:top w:w="60" w:type="dxa"/>
              <w:left w:w="80" w:type="dxa"/>
              <w:bottom w:w="60" w:type="dxa"/>
              <w:right w:w="80" w:type="dxa"/>
            </w:tcMar>
          </w:tcPr>
          <w:p w14:paraId="7AD29517" w14:textId="77777777" w:rsidR="00F1632A" w:rsidRDefault="00000000">
            <w:r>
              <w:rPr>
                <w:sz w:val="20"/>
                <w:szCs w:val="20"/>
              </w:rPr>
              <w:t>52 (41.9)</w:t>
            </w:r>
          </w:p>
        </w:tc>
        <w:tc>
          <w:tcPr>
            <w:tcW w:w="1150" w:type="dxa"/>
            <w:tcMar>
              <w:top w:w="60" w:type="dxa"/>
              <w:left w:w="80" w:type="dxa"/>
              <w:bottom w:w="60" w:type="dxa"/>
              <w:right w:w="80" w:type="dxa"/>
            </w:tcMar>
          </w:tcPr>
          <w:p w14:paraId="7BAE8432" w14:textId="77777777" w:rsidR="00F1632A" w:rsidRDefault="00000000">
            <w:r>
              <w:rPr>
                <w:sz w:val="20"/>
                <w:szCs w:val="20"/>
              </w:rPr>
              <w:t>25 (20.2)</w:t>
            </w:r>
          </w:p>
        </w:tc>
        <w:tc>
          <w:tcPr>
            <w:tcW w:w="1150" w:type="dxa"/>
            <w:tcMar>
              <w:top w:w="60" w:type="dxa"/>
              <w:left w:w="80" w:type="dxa"/>
              <w:bottom w:w="60" w:type="dxa"/>
              <w:right w:w="80" w:type="dxa"/>
            </w:tcMar>
          </w:tcPr>
          <w:p w14:paraId="71126148" w14:textId="77777777" w:rsidR="00F1632A" w:rsidRDefault="00000000">
            <w:r>
              <w:rPr>
                <w:sz w:val="20"/>
                <w:szCs w:val="20"/>
              </w:rPr>
              <w:t>26 (21.0)</w:t>
            </w:r>
          </w:p>
        </w:tc>
        <w:tc>
          <w:tcPr>
            <w:tcW w:w="1150" w:type="dxa"/>
            <w:tcMar>
              <w:top w:w="60" w:type="dxa"/>
              <w:left w:w="80" w:type="dxa"/>
              <w:bottom w:w="60" w:type="dxa"/>
              <w:right w:w="80" w:type="dxa"/>
            </w:tcMar>
          </w:tcPr>
          <w:p w14:paraId="692AEF61" w14:textId="77777777" w:rsidR="00F1632A" w:rsidRDefault="00000000">
            <w:r>
              <w:rPr>
                <w:sz w:val="20"/>
                <w:szCs w:val="20"/>
              </w:rPr>
              <w:t>21 (16.9)</w:t>
            </w:r>
          </w:p>
        </w:tc>
      </w:tr>
      <w:tr w:rsidR="00F1632A" w14:paraId="6A3C72F9" w14:textId="77777777">
        <w:tc>
          <w:tcPr>
            <w:tcW w:w="3500" w:type="dxa"/>
            <w:tcMar>
              <w:top w:w="60" w:type="dxa"/>
              <w:left w:w="80" w:type="dxa"/>
              <w:bottom w:w="60" w:type="dxa"/>
              <w:right w:w="80" w:type="dxa"/>
            </w:tcMar>
          </w:tcPr>
          <w:p w14:paraId="1EAEC2F8" w14:textId="77777777" w:rsidR="00F1632A" w:rsidRDefault="00000000">
            <w:r>
              <w:rPr>
                <w:sz w:val="20"/>
                <w:szCs w:val="20"/>
              </w:rPr>
              <w:t>Reporting of occupational injuries or exposures</w:t>
            </w:r>
          </w:p>
        </w:tc>
        <w:tc>
          <w:tcPr>
            <w:tcW w:w="1300" w:type="dxa"/>
            <w:tcMar>
              <w:top w:w="60" w:type="dxa"/>
              <w:left w:w="80" w:type="dxa"/>
              <w:bottom w:w="60" w:type="dxa"/>
              <w:right w:w="80" w:type="dxa"/>
            </w:tcMar>
          </w:tcPr>
          <w:p w14:paraId="317A6967" w14:textId="77777777" w:rsidR="00F1632A" w:rsidRDefault="00000000">
            <w:r>
              <w:rPr>
                <w:sz w:val="20"/>
                <w:szCs w:val="20"/>
              </w:rPr>
              <w:t>3.15 ± 1.20</w:t>
            </w:r>
          </w:p>
        </w:tc>
        <w:tc>
          <w:tcPr>
            <w:tcW w:w="1150" w:type="dxa"/>
            <w:tcMar>
              <w:top w:w="60" w:type="dxa"/>
              <w:left w:w="80" w:type="dxa"/>
              <w:bottom w:w="60" w:type="dxa"/>
              <w:right w:w="80" w:type="dxa"/>
            </w:tcMar>
          </w:tcPr>
          <w:p w14:paraId="402A6EEF" w14:textId="77777777" w:rsidR="00F1632A" w:rsidRDefault="00000000">
            <w:r>
              <w:rPr>
                <w:sz w:val="20"/>
                <w:szCs w:val="20"/>
              </w:rPr>
              <w:t>54 (43.5)</w:t>
            </w:r>
          </w:p>
        </w:tc>
        <w:tc>
          <w:tcPr>
            <w:tcW w:w="1150" w:type="dxa"/>
            <w:tcMar>
              <w:top w:w="60" w:type="dxa"/>
              <w:left w:w="80" w:type="dxa"/>
              <w:bottom w:w="60" w:type="dxa"/>
              <w:right w:w="80" w:type="dxa"/>
            </w:tcMar>
          </w:tcPr>
          <w:p w14:paraId="36EE8A7C" w14:textId="77777777" w:rsidR="00F1632A" w:rsidRDefault="00000000">
            <w:r>
              <w:rPr>
                <w:sz w:val="20"/>
                <w:szCs w:val="20"/>
              </w:rPr>
              <w:t>23 (18.5)</w:t>
            </w:r>
          </w:p>
        </w:tc>
        <w:tc>
          <w:tcPr>
            <w:tcW w:w="1150" w:type="dxa"/>
            <w:tcMar>
              <w:top w:w="60" w:type="dxa"/>
              <w:left w:w="80" w:type="dxa"/>
              <w:bottom w:w="60" w:type="dxa"/>
              <w:right w:w="80" w:type="dxa"/>
            </w:tcMar>
          </w:tcPr>
          <w:p w14:paraId="784391B5" w14:textId="77777777" w:rsidR="00F1632A" w:rsidRDefault="00000000">
            <w:r>
              <w:rPr>
                <w:sz w:val="20"/>
                <w:szCs w:val="20"/>
              </w:rPr>
              <w:t>21 (16.9)</w:t>
            </w:r>
          </w:p>
        </w:tc>
        <w:tc>
          <w:tcPr>
            <w:tcW w:w="1150" w:type="dxa"/>
            <w:tcMar>
              <w:top w:w="60" w:type="dxa"/>
              <w:left w:w="80" w:type="dxa"/>
              <w:bottom w:w="60" w:type="dxa"/>
              <w:right w:w="80" w:type="dxa"/>
            </w:tcMar>
          </w:tcPr>
          <w:p w14:paraId="5339C4B7" w14:textId="77777777" w:rsidR="00F1632A" w:rsidRDefault="00000000">
            <w:r>
              <w:rPr>
                <w:sz w:val="20"/>
                <w:szCs w:val="20"/>
              </w:rPr>
              <w:t>26 (21.0)</w:t>
            </w:r>
          </w:p>
        </w:tc>
      </w:tr>
      <w:tr w:rsidR="00F1632A" w14:paraId="49A551AB" w14:textId="77777777">
        <w:tc>
          <w:tcPr>
            <w:tcW w:w="3500" w:type="dxa"/>
            <w:tcMar>
              <w:top w:w="60" w:type="dxa"/>
              <w:left w:w="80" w:type="dxa"/>
              <w:bottom w:w="60" w:type="dxa"/>
              <w:right w:w="80" w:type="dxa"/>
            </w:tcMar>
          </w:tcPr>
          <w:p w14:paraId="2C13BA23" w14:textId="77777777" w:rsidR="00F1632A" w:rsidRDefault="00000000">
            <w:r>
              <w:rPr>
                <w:b/>
                <w:bCs/>
                <w:sz w:val="20"/>
                <w:szCs w:val="20"/>
              </w:rPr>
              <w:t>Perceived influences</w:t>
            </w:r>
          </w:p>
        </w:tc>
        <w:tc>
          <w:tcPr>
            <w:tcW w:w="1300" w:type="dxa"/>
            <w:tcMar>
              <w:top w:w="60" w:type="dxa"/>
              <w:left w:w="80" w:type="dxa"/>
              <w:bottom w:w="60" w:type="dxa"/>
              <w:right w:w="80" w:type="dxa"/>
            </w:tcMar>
          </w:tcPr>
          <w:p w14:paraId="0BD897FA" w14:textId="77777777" w:rsidR="00F1632A" w:rsidRDefault="00F1632A"/>
        </w:tc>
        <w:tc>
          <w:tcPr>
            <w:tcW w:w="1150" w:type="dxa"/>
            <w:tcMar>
              <w:top w:w="60" w:type="dxa"/>
              <w:left w:w="80" w:type="dxa"/>
              <w:bottom w:w="60" w:type="dxa"/>
              <w:right w:w="80" w:type="dxa"/>
            </w:tcMar>
          </w:tcPr>
          <w:p w14:paraId="0F4AFB55" w14:textId="77777777" w:rsidR="00F1632A" w:rsidRDefault="00F1632A"/>
        </w:tc>
        <w:tc>
          <w:tcPr>
            <w:tcW w:w="1150" w:type="dxa"/>
            <w:tcMar>
              <w:top w:w="60" w:type="dxa"/>
              <w:left w:w="80" w:type="dxa"/>
              <w:bottom w:w="60" w:type="dxa"/>
              <w:right w:w="80" w:type="dxa"/>
            </w:tcMar>
          </w:tcPr>
          <w:p w14:paraId="4A98B77B" w14:textId="77777777" w:rsidR="00F1632A" w:rsidRDefault="00F1632A"/>
        </w:tc>
        <w:tc>
          <w:tcPr>
            <w:tcW w:w="1150" w:type="dxa"/>
            <w:tcMar>
              <w:top w:w="60" w:type="dxa"/>
              <w:left w:w="80" w:type="dxa"/>
              <w:bottom w:w="60" w:type="dxa"/>
              <w:right w:w="80" w:type="dxa"/>
            </w:tcMar>
          </w:tcPr>
          <w:p w14:paraId="5FC3CE16" w14:textId="77777777" w:rsidR="00F1632A" w:rsidRDefault="00F1632A"/>
        </w:tc>
        <w:tc>
          <w:tcPr>
            <w:tcW w:w="1150" w:type="dxa"/>
            <w:tcMar>
              <w:top w:w="60" w:type="dxa"/>
              <w:left w:w="80" w:type="dxa"/>
              <w:bottom w:w="60" w:type="dxa"/>
              <w:right w:w="80" w:type="dxa"/>
            </w:tcMar>
          </w:tcPr>
          <w:p w14:paraId="75C60B1D" w14:textId="77777777" w:rsidR="00F1632A" w:rsidRDefault="00F1632A"/>
        </w:tc>
      </w:tr>
      <w:tr w:rsidR="00F1632A" w14:paraId="35DA368B" w14:textId="77777777">
        <w:tc>
          <w:tcPr>
            <w:tcW w:w="3500" w:type="dxa"/>
            <w:tcMar>
              <w:top w:w="60" w:type="dxa"/>
              <w:left w:w="80" w:type="dxa"/>
              <w:bottom w:w="60" w:type="dxa"/>
              <w:right w:w="80" w:type="dxa"/>
            </w:tcMar>
          </w:tcPr>
          <w:p w14:paraId="663AE9F5" w14:textId="77777777" w:rsidR="00F1632A" w:rsidRDefault="00000000">
            <w:r>
              <w:rPr>
                <w:sz w:val="20"/>
                <w:szCs w:val="20"/>
              </w:rPr>
              <w:lastRenderedPageBreak/>
              <w:t>Workload affects safety practice</w:t>
            </w:r>
          </w:p>
        </w:tc>
        <w:tc>
          <w:tcPr>
            <w:tcW w:w="1300" w:type="dxa"/>
            <w:tcMar>
              <w:top w:w="60" w:type="dxa"/>
              <w:left w:w="80" w:type="dxa"/>
              <w:bottom w:w="60" w:type="dxa"/>
              <w:right w:w="80" w:type="dxa"/>
            </w:tcMar>
          </w:tcPr>
          <w:p w14:paraId="7D2E37DD" w14:textId="77777777" w:rsidR="00F1632A" w:rsidRDefault="00000000">
            <w:r>
              <w:rPr>
                <w:sz w:val="20"/>
                <w:szCs w:val="20"/>
              </w:rPr>
              <w:t>3.62 ± 1.02</w:t>
            </w:r>
          </w:p>
        </w:tc>
        <w:tc>
          <w:tcPr>
            <w:tcW w:w="1150" w:type="dxa"/>
            <w:tcMar>
              <w:top w:w="60" w:type="dxa"/>
              <w:left w:w="80" w:type="dxa"/>
              <w:bottom w:w="60" w:type="dxa"/>
              <w:right w:w="80" w:type="dxa"/>
            </w:tcMar>
          </w:tcPr>
          <w:p w14:paraId="71220DA5" w14:textId="77777777" w:rsidR="00F1632A" w:rsidRDefault="00000000">
            <w:r>
              <w:rPr>
                <w:sz w:val="20"/>
                <w:szCs w:val="20"/>
              </w:rPr>
              <w:t>22 (17.7)</w:t>
            </w:r>
          </w:p>
        </w:tc>
        <w:tc>
          <w:tcPr>
            <w:tcW w:w="1150" w:type="dxa"/>
            <w:tcMar>
              <w:top w:w="60" w:type="dxa"/>
              <w:left w:w="80" w:type="dxa"/>
              <w:bottom w:w="60" w:type="dxa"/>
              <w:right w:w="80" w:type="dxa"/>
            </w:tcMar>
          </w:tcPr>
          <w:p w14:paraId="42727697" w14:textId="77777777" w:rsidR="00F1632A" w:rsidRDefault="00000000">
            <w:r>
              <w:rPr>
                <w:sz w:val="20"/>
                <w:szCs w:val="20"/>
              </w:rPr>
              <w:t>30 (24.2)</w:t>
            </w:r>
          </w:p>
        </w:tc>
        <w:tc>
          <w:tcPr>
            <w:tcW w:w="1150" w:type="dxa"/>
            <w:tcMar>
              <w:top w:w="60" w:type="dxa"/>
              <w:left w:w="80" w:type="dxa"/>
              <w:bottom w:w="60" w:type="dxa"/>
              <w:right w:w="80" w:type="dxa"/>
            </w:tcMar>
          </w:tcPr>
          <w:p w14:paraId="3C3C5E3D" w14:textId="77777777" w:rsidR="00F1632A" w:rsidRDefault="00000000">
            <w:r>
              <w:rPr>
                <w:sz w:val="20"/>
                <w:szCs w:val="20"/>
              </w:rPr>
              <w:t>45 (36.3)</w:t>
            </w:r>
          </w:p>
        </w:tc>
        <w:tc>
          <w:tcPr>
            <w:tcW w:w="1150" w:type="dxa"/>
            <w:tcMar>
              <w:top w:w="60" w:type="dxa"/>
              <w:left w:w="80" w:type="dxa"/>
              <w:bottom w:w="60" w:type="dxa"/>
              <w:right w:w="80" w:type="dxa"/>
            </w:tcMar>
          </w:tcPr>
          <w:p w14:paraId="72F82CC3" w14:textId="77777777" w:rsidR="00F1632A" w:rsidRDefault="00000000">
            <w:r>
              <w:rPr>
                <w:sz w:val="20"/>
                <w:szCs w:val="20"/>
              </w:rPr>
              <w:t>27 (21.8)</w:t>
            </w:r>
          </w:p>
        </w:tc>
      </w:tr>
      <w:tr w:rsidR="00F1632A" w14:paraId="3C032F13" w14:textId="77777777">
        <w:tc>
          <w:tcPr>
            <w:tcW w:w="3500" w:type="dxa"/>
            <w:tcMar>
              <w:top w:w="60" w:type="dxa"/>
              <w:left w:w="80" w:type="dxa"/>
              <w:bottom w:w="60" w:type="dxa"/>
              <w:right w:w="80" w:type="dxa"/>
            </w:tcMar>
          </w:tcPr>
          <w:p w14:paraId="0F6B3629" w14:textId="77777777" w:rsidR="00F1632A" w:rsidRDefault="00000000">
            <w:r>
              <w:rPr>
                <w:sz w:val="20"/>
                <w:szCs w:val="20"/>
              </w:rPr>
              <w:t>Safety equipment is available</w:t>
            </w:r>
          </w:p>
        </w:tc>
        <w:tc>
          <w:tcPr>
            <w:tcW w:w="1300" w:type="dxa"/>
            <w:tcMar>
              <w:top w:w="60" w:type="dxa"/>
              <w:left w:w="80" w:type="dxa"/>
              <w:bottom w:w="60" w:type="dxa"/>
              <w:right w:w="80" w:type="dxa"/>
            </w:tcMar>
          </w:tcPr>
          <w:p w14:paraId="1F097732" w14:textId="77777777" w:rsidR="00F1632A" w:rsidRDefault="00000000">
            <w:r>
              <w:rPr>
                <w:sz w:val="20"/>
                <w:szCs w:val="20"/>
              </w:rPr>
              <w:t>3.40 ± 1.14</w:t>
            </w:r>
          </w:p>
        </w:tc>
        <w:tc>
          <w:tcPr>
            <w:tcW w:w="1150" w:type="dxa"/>
            <w:tcMar>
              <w:top w:w="60" w:type="dxa"/>
              <w:left w:w="80" w:type="dxa"/>
              <w:bottom w:w="60" w:type="dxa"/>
              <w:right w:w="80" w:type="dxa"/>
            </w:tcMar>
          </w:tcPr>
          <w:p w14:paraId="492E8AC3" w14:textId="77777777" w:rsidR="00F1632A" w:rsidRDefault="00000000">
            <w:r>
              <w:rPr>
                <w:sz w:val="20"/>
                <w:szCs w:val="20"/>
              </w:rPr>
              <w:t>36 (29.0)</w:t>
            </w:r>
          </w:p>
        </w:tc>
        <w:tc>
          <w:tcPr>
            <w:tcW w:w="1150" w:type="dxa"/>
            <w:tcMar>
              <w:top w:w="60" w:type="dxa"/>
              <w:left w:w="80" w:type="dxa"/>
              <w:bottom w:w="60" w:type="dxa"/>
              <w:right w:w="80" w:type="dxa"/>
            </w:tcMar>
          </w:tcPr>
          <w:p w14:paraId="198E2D43" w14:textId="77777777" w:rsidR="00F1632A" w:rsidRDefault="00000000">
            <w:r>
              <w:rPr>
                <w:sz w:val="20"/>
                <w:szCs w:val="20"/>
              </w:rPr>
              <w:t>31 (25.0)</w:t>
            </w:r>
          </w:p>
        </w:tc>
        <w:tc>
          <w:tcPr>
            <w:tcW w:w="1150" w:type="dxa"/>
            <w:tcMar>
              <w:top w:w="60" w:type="dxa"/>
              <w:left w:w="80" w:type="dxa"/>
              <w:bottom w:w="60" w:type="dxa"/>
              <w:right w:w="80" w:type="dxa"/>
            </w:tcMar>
          </w:tcPr>
          <w:p w14:paraId="7E6B35AF" w14:textId="77777777" w:rsidR="00F1632A" w:rsidRDefault="00000000">
            <w:r>
              <w:rPr>
                <w:sz w:val="20"/>
                <w:szCs w:val="20"/>
              </w:rPr>
              <w:t>28 (22.6)</w:t>
            </w:r>
          </w:p>
        </w:tc>
        <w:tc>
          <w:tcPr>
            <w:tcW w:w="1150" w:type="dxa"/>
            <w:tcMar>
              <w:top w:w="60" w:type="dxa"/>
              <w:left w:w="80" w:type="dxa"/>
              <w:bottom w:w="60" w:type="dxa"/>
              <w:right w:w="80" w:type="dxa"/>
            </w:tcMar>
          </w:tcPr>
          <w:p w14:paraId="71F76C50" w14:textId="77777777" w:rsidR="00F1632A" w:rsidRDefault="00000000">
            <w:r>
              <w:rPr>
                <w:sz w:val="20"/>
                <w:szCs w:val="20"/>
              </w:rPr>
              <w:t>29 (23.4)</w:t>
            </w:r>
          </w:p>
        </w:tc>
      </w:tr>
      <w:tr w:rsidR="00F1632A" w14:paraId="65A0BE98" w14:textId="77777777">
        <w:tc>
          <w:tcPr>
            <w:tcW w:w="3500" w:type="dxa"/>
            <w:tcMar>
              <w:top w:w="60" w:type="dxa"/>
              <w:left w:w="80" w:type="dxa"/>
              <w:bottom w:w="60" w:type="dxa"/>
              <w:right w:w="80" w:type="dxa"/>
            </w:tcMar>
          </w:tcPr>
          <w:p w14:paraId="6131C909" w14:textId="77777777" w:rsidR="00F1632A" w:rsidRDefault="00000000">
            <w:r>
              <w:rPr>
                <w:sz w:val="20"/>
                <w:szCs w:val="20"/>
              </w:rPr>
              <w:t>Supervision encourages safety compliance</w:t>
            </w:r>
          </w:p>
        </w:tc>
        <w:tc>
          <w:tcPr>
            <w:tcW w:w="1300" w:type="dxa"/>
            <w:tcMar>
              <w:top w:w="60" w:type="dxa"/>
              <w:left w:w="80" w:type="dxa"/>
              <w:bottom w:w="60" w:type="dxa"/>
              <w:right w:w="80" w:type="dxa"/>
            </w:tcMar>
          </w:tcPr>
          <w:p w14:paraId="4DFA5601" w14:textId="77777777" w:rsidR="00F1632A" w:rsidRDefault="00000000">
            <w:r>
              <w:rPr>
                <w:sz w:val="20"/>
                <w:szCs w:val="20"/>
              </w:rPr>
              <w:t>3.27 ± 1.12</w:t>
            </w:r>
          </w:p>
        </w:tc>
        <w:tc>
          <w:tcPr>
            <w:tcW w:w="1150" w:type="dxa"/>
            <w:tcMar>
              <w:top w:w="60" w:type="dxa"/>
              <w:left w:w="80" w:type="dxa"/>
              <w:bottom w:w="60" w:type="dxa"/>
              <w:right w:w="80" w:type="dxa"/>
            </w:tcMar>
          </w:tcPr>
          <w:p w14:paraId="17C2483F" w14:textId="77777777" w:rsidR="00F1632A" w:rsidRDefault="00000000">
            <w:r>
              <w:rPr>
                <w:sz w:val="20"/>
                <w:szCs w:val="20"/>
              </w:rPr>
              <w:t>42 (33.9)</w:t>
            </w:r>
          </w:p>
        </w:tc>
        <w:tc>
          <w:tcPr>
            <w:tcW w:w="1150" w:type="dxa"/>
            <w:tcMar>
              <w:top w:w="60" w:type="dxa"/>
              <w:left w:w="80" w:type="dxa"/>
              <w:bottom w:w="60" w:type="dxa"/>
              <w:right w:w="80" w:type="dxa"/>
            </w:tcMar>
          </w:tcPr>
          <w:p w14:paraId="135A513C" w14:textId="77777777" w:rsidR="00F1632A" w:rsidRDefault="00000000">
            <w:r>
              <w:rPr>
                <w:sz w:val="20"/>
                <w:szCs w:val="20"/>
              </w:rPr>
              <w:t>29 (23.4)</w:t>
            </w:r>
          </w:p>
        </w:tc>
        <w:tc>
          <w:tcPr>
            <w:tcW w:w="1150" w:type="dxa"/>
            <w:tcMar>
              <w:top w:w="60" w:type="dxa"/>
              <w:left w:w="80" w:type="dxa"/>
              <w:bottom w:w="60" w:type="dxa"/>
              <w:right w:w="80" w:type="dxa"/>
            </w:tcMar>
          </w:tcPr>
          <w:p w14:paraId="0AEB350E" w14:textId="77777777" w:rsidR="00F1632A" w:rsidRDefault="00000000">
            <w:r>
              <w:rPr>
                <w:sz w:val="20"/>
                <w:szCs w:val="20"/>
              </w:rPr>
              <w:t>30 (24.2)</w:t>
            </w:r>
          </w:p>
        </w:tc>
        <w:tc>
          <w:tcPr>
            <w:tcW w:w="1150" w:type="dxa"/>
            <w:tcMar>
              <w:top w:w="60" w:type="dxa"/>
              <w:left w:w="80" w:type="dxa"/>
              <w:bottom w:w="60" w:type="dxa"/>
              <w:right w:w="80" w:type="dxa"/>
            </w:tcMar>
          </w:tcPr>
          <w:p w14:paraId="7C5F0DC8" w14:textId="77777777" w:rsidR="00F1632A" w:rsidRDefault="00000000">
            <w:r>
              <w:rPr>
                <w:sz w:val="20"/>
                <w:szCs w:val="20"/>
              </w:rPr>
              <w:t>23 (18.5)</w:t>
            </w:r>
          </w:p>
        </w:tc>
      </w:tr>
    </w:tbl>
    <w:p w14:paraId="62BCC0AE" w14:textId="77777777" w:rsidR="00F1632A" w:rsidRDefault="00F1632A">
      <w:pPr>
        <w:spacing w:after="160"/>
      </w:pPr>
    </w:p>
    <w:p w14:paraId="7E38CFE3" w14:textId="77777777" w:rsidR="00F1632A" w:rsidRDefault="00000000">
      <w:pPr>
        <w:pStyle w:val="Heading2"/>
        <w:spacing w:before="280" w:after="140"/>
      </w:pPr>
      <w:r>
        <w:rPr>
          <w:b/>
          <w:bCs/>
          <w:color w:val="000000"/>
          <w:sz w:val="24"/>
          <w:szCs w:val="24"/>
        </w:rPr>
        <w:t>3.5 Association between Hazard Exposure and Safety Practice</w:t>
      </w:r>
    </w:p>
    <w:p w14:paraId="648C4142" w14:textId="77777777" w:rsidR="00F1632A" w:rsidRDefault="00000000">
      <w:pPr>
        <w:spacing w:after="160"/>
        <w:jc w:val="both"/>
      </w:pPr>
      <w:r>
        <w:rPr>
          <w:color w:val="000000"/>
        </w:rPr>
        <w:t xml:space="preserve">The distribution of safety practice levels was similar in the moderate and high exposure groups (Table 5). Fair practice predominated in both (78.7% and 79.2%). Good practice was somewhat less common among workers with high exposure (13.0%) than among those with moderate exposure (19.1%), </w:t>
      </w:r>
      <w:r>
        <w:rPr>
          <w:color w:val="000000"/>
          <w:highlight w:val="yellow"/>
        </w:rPr>
        <w:t>and poor practice was somewhat more common</w:t>
      </w:r>
      <w:r>
        <w:rPr>
          <w:color w:val="000000"/>
        </w:rPr>
        <w:t xml:space="preserve"> (7.8% compared with 2.1%), but these differences were not statistically significant (χ² = 2.383, </w:t>
      </w:r>
      <w:proofErr w:type="spellStart"/>
      <w:r>
        <w:rPr>
          <w:color w:val="000000"/>
        </w:rPr>
        <w:t>df</w:t>
      </w:r>
      <w:proofErr w:type="spellEnd"/>
      <w:r>
        <w:rPr>
          <w:color w:val="000000"/>
        </w:rPr>
        <w:t xml:space="preserve"> = 2, p = 0.304; Fisher-Freeman-Halton exact p = 0.316).</w:t>
      </w:r>
    </w:p>
    <w:p w14:paraId="73B05C50" w14:textId="77777777" w:rsidR="00F1632A" w:rsidRDefault="00000000">
      <w:pPr>
        <w:spacing w:before="240" w:after="100"/>
      </w:pPr>
      <w:r>
        <w:rPr>
          <w:sz w:val="22"/>
          <w:szCs w:val="22"/>
        </w:rPr>
        <w:t>Table 5. Safety practice level by occupational hazard exposure level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2600"/>
        <w:gridCol w:w="1700"/>
        <w:gridCol w:w="1700"/>
        <w:gridCol w:w="1700"/>
        <w:gridCol w:w="1700"/>
      </w:tblGrid>
      <w:tr w:rsidR="00F1632A" w14:paraId="274B687C" w14:textId="77777777">
        <w:trPr>
          <w:tblHeader/>
        </w:trPr>
        <w:tc>
          <w:tcPr>
            <w:tcW w:w="2600" w:type="dxa"/>
            <w:shd w:val="clear" w:color="auto" w:fill="E8E8E8"/>
            <w:tcMar>
              <w:top w:w="60" w:type="dxa"/>
              <w:left w:w="80" w:type="dxa"/>
              <w:bottom w:w="60" w:type="dxa"/>
              <w:right w:w="80" w:type="dxa"/>
            </w:tcMar>
          </w:tcPr>
          <w:p w14:paraId="4FD25303" w14:textId="77777777" w:rsidR="00F1632A" w:rsidRDefault="00000000">
            <w:r>
              <w:rPr>
                <w:b/>
                <w:bCs/>
                <w:sz w:val="20"/>
                <w:szCs w:val="20"/>
              </w:rPr>
              <w:t>Hazard exposure level</w:t>
            </w:r>
          </w:p>
        </w:tc>
        <w:tc>
          <w:tcPr>
            <w:tcW w:w="1700" w:type="dxa"/>
            <w:shd w:val="clear" w:color="auto" w:fill="E8E8E8"/>
            <w:tcMar>
              <w:top w:w="60" w:type="dxa"/>
              <w:left w:w="80" w:type="dxa"/>
              <w:bottom w:w="60" w:type="dxa"/>
              <w:right w:w="80" w:type="dxa"/>
            </w:tcMar>
          </w:tcPr>
          <w:p w14:paraId="52C76DEF" w14:textId="77777777" w:rsidR="00F1632A" w:rsidRDefault="00000000">
            <w:r>
              <w:rPr>
                <w:b/>
                <w:bCs/>
                <w:sz w:val="20"/>
                <w:szCs w:val="20"/>
              </w:rPr>
              <w:t>Poor n (%)</w:t>
            </w:r>
          </w:p>
        </w:tc>
        <w:tc>
          <w:tcPr>
            <w:tcW w:w="1700" w:type="dxa"/>
            <w:shd w:val="clear" w:color="auto" w:fill="E8E8E8"/>
            <w:tcMar>
              <w:top w:w="60" w:type="dxa"/>
              <w:left w:w="80" w:type="dxa"/>
              <w:bottom w:w="60" w:type="dxa"/>
              <w:right w:w="80" w:type="dxa"/>
            </w:tcMar>
          </w:tcPr>
          <w:p w14:paraId="47D14D7B" w14:textId="77777777" w:rsidR="00F1632A" w:rsidRDefault="00000000">
            <w:r>
              <w:rPr>
                <w:b/>
                <w:bCs/>
                <w:sz w:val="20"/>
                <w:szCs w:val="20"/>
              </w:rPr>
              <w:t>Fair n (%)</w:t>
            </w:r>
          </w:p>
        </w:tc>
        <w:tc>
          <w:tcPr>
            <w:tcW w:w="1700" w:type="dxa"/>
            <w:shd w:val="clear" w:color="auto" w:fill="E8E8E8"/>
            <w:tcMar>
              <w:top w:w="60" w:type="dxa"/>
              <w:left w:w="80" w:type="dxa"/>
              <w:bottom w:w="60" w:type="dxa"/>
              <w:right w:w="80" w:type="dxa"/>
            </w:tcMar>
          </w:tcPr>
          <w:p w14:paraId="4396317D" w14:textId="77777777" w:rsidR="00F1632A" w:rsidRDefault="00000000">
            <w:r>
              <w:rPr>
                <w:b/>
                <w:bCs/>
                <w:sz w:val="20"/>
                <w:szCs w:val="20"/>
              </w:rPr>
              <w:t>Good n (%)</w:t>
            </w:r>
          </w:p>
        </w:tc>
        <w:tc>
          <w:tcPr>
            <w:tcW w:w="1700" w:type="dxa"/>
            <w:shd w:val="clear" w:color="auto" w:fill="E8E8E8"/>
            <w:tcMar>
              <w:top w:w="60" w:type="dxa"/>
              <w:left w:w="80" w:type="dxa"/>
              <w:bottom w:w="60" w:type="dxa"/>
              <w:right w:w="80" w:type="dxa"/>
            </w:tcMar>
          </w:tcPr>
          <w:p w14:paraId="73F55F06" w14:textId="77777777" w:rsidR="00F1632A" w:rsidRDefault="00000000">
            <w:r>
              <w:rPr>
                <w:b/>
                <w:bCs/>
                <w:sz w:val="20"/>
                <w:szCs w:val="20"/>
              </w:rPr>
              <w:t>Total n</w:t>
            </w:r>
          </w:p>
        </w:tc>
      </w:tr>
      <w:tr w:rsidR="00F1632A" w14:paraId="232733DF" w14:textId="77777777">
        <w:tc>
          <w:tcPr>
            <w:tcW w:w="2600" w:type="dxa"/>
            <w:tcMar>
              <w:top w:w="60" w:type="dxa"/>
              <w:left w:w="80" w:type="dxa"/>
              <w:bottom w:w="60" w:type="dxa"/>
              <w:right w:w="80" w:type="dxa"/>
            </w:tcMar>
          </w:tcPr>
          <w:p w14:paraId="12F427E7" w14:textId="77777777" w:rsidR="00F1632A" w:rsidRDefault="00000000">
            <w:r>
              <w:rPr>
                <w:sz w:val="20"/>
                <w:szCs w:val="20"/>
              </w:rPr>
              <w:t>Moderate</w:t>
            </w:r>
          </w:p>
        </w:tc>
        <w:tc>
          <w:tcPr>
            <w:tcW w:w="1700" w:type="dxa"/>
            <w:tcMar>
              <w:top w:w="60" w:type="dxa"/>
              <w:left w:w="80" w:type="dxa"/>
              <w:bottom w:w="60" w:type="dxa"/>
              <w:right w:w="80" w:type="dxa"/>
            </w:tcMar>
          </w:tcPr>
          <w:p w14:paraId="3BAB8E01" w14:textId="77777777" w:rsidR="00F1632A" w:rsidRDefault="00000000">
            <w:r>
              <w:rPr>
                <w:sz w:val="20"/>
                <w:szCs w:val="20"/>
              </w:rPr>
              <w:t>1 (2.1)</w:t>
            </w:r>
          </w:p>
        </w:tc>
        <w:tc>
          <w:tcPr>
            <w:tcW w:w="1700" w:type="dxa"/>
            <w:tcMar>
              <w:top w:w="60" w:type="dxa"/>
              <w:left w:w="80" w:type="dxa"/>
              <w:bottom w:w="60" w:type="dxa"/>
              <w:right w:w="80" w:type="dxa"/>
            </w:tcMar>
          </w:tcPr>
          <w:p w14:paraId="3F7381F9" w14:textId="77777777" w:rsidR="00F1632A" w:rsidRDefault="00000000">
            <w:r>
              <w:rPr>
                <w:sz w:val="20"/>
                <w:szCs w:val="20"/>
              </w:rPr>
              <w:t>37 (78.7)</w:t>
            </w:r>
          </w:p>
        </w:tc>
        <w:tc>
          <w:tcPr>
            <w:tcW w:w="1700" w:type="dxa"/>
            <w:tcMar>
              <w:top w:w="60" w:type="dxa"/>
              <w:left w:w="80" w:type="dxa"/>
              <w:bottom w:w="60" w:type="dxa"/>
              <w:right w:w="80" w:type="dxa"/>
            </w:tcMar>
          </w:tcPr>
          <w:p w14:paraId="4D4DFD7B" w14:textId="77777777" w:rsidR="00F1632A" w:rsidRDefault="00000000">
            <w:r>
              <w:rPr>
                <w:sz w:val="20"/>
                <w:szCs w:val="20"/>
              </w:rPr>
              <w:t>9 (19.1)</w:t>
            </w:r>
          </w:p>
        </w:tc>
        <w:tc>
          <w:tcPr>
            <w:tcW w:w="1700" w:type="dxa"/>
            <w:tcMar>
              <w:top w:w="60" w:type="dxa"/>
              <w:left w:w="80" w:type="dxa"/>
              <w:bottom w:w="60" w:type="dxa"/>
              <w:right w:w="80" w:type="dxa"/>
            </w:tcMar>
          </w:tcPr>
          <w:p w14:paraId="44023139" w14:textId="77777777" w:rsidR="00F1632A" w:rsidRDefault="00000000">
            <w:r>
              <w:rPr>
                <w:sz w:val="20"/>
                <w:szCs w:val="20"/>
              </w:rPr>
              <w:t>47</w:t>
            </w:r>
          </w:p>
        </w:tc>
      </w:tr>
      <w:tr w:rsidR="00F1632A" w14:paraId="16712D8B" w14:textId="77777777">
        <w:tc>
          <w:tcPr>
            <w:tcW w:w="2600" w:type="dxa"/>
            <w:tcMar>
              <w:top w:w="60" w:type="dxa"/>
              <w:left w:w="80" w:type="dxa"/>
              <w:bottom w:w="60" w:type="dxa"/>
              <w:right w:w="80" w:type="dxa"/>
            </w:tcMar>
          </w:tcPr>
          <w:p w14:paraId="31FDB586" w14:textId="77777777" w:rsidR="00F1632A" w:rsidRDefault="00000000">
            <w:r>
              <w:rPr>
                <w:sz w:val="20"/>
                <w:szCs w:val="20"/>
              </w:rPr>
              <w:t>High</w:t>
            </w:r>
          </w:p>
        </w:tc>
        <w:tc>
          <w:tcPr>
            <w:tcW w:w="1700" w:type="dxa"/>
            <w:tcMar>
              <w:top w:w="60" w:type="dxa"/>
              <w:left w:w="80" w:type="dxa"/>
              <w:bottom w:w="60" w:type="dxa"/>
              <w:right w:w="80" w:type="dxa"/>
            </w:tcMar>
          </w:tcPr>
          <w:p w14:paraId="6D29A267" w14:textId="77777777" w:rsidR="00F1632A" w:rsidRDefault="00000000">
            <w:r>
              <w:rPr>
                <w:sz w:val="20"/>
                <w:szCs w:val="20"/>
              </w:rPr>
              <w:t>6 (7.8)</w:t>
            </w:r>
          </w:p>
        </w:tc>
        <w:tc>
          <w:tcPr>
            <w:tcW w:w="1700" w:type="dxa"/>
            <w:tcMar>
              <w:top w:w="60" w:type="dxa"/>
              <w:left w:w="80" w:type="dxa"/>
              <w:bottom w:w="60" w:type="dxa"/>
              <w:right w:w="80" w:type="dxa"/>
            </w:tcMar>
          </w:tcPr>
          <w:p w14:paraId="7148499E" w14:textId="77777777" w:rsidR="00F1632A" w:rsidRDefault="00000000">
            <w:r>
              <w:rPr>
                <w:sz w:val="20"/>
                <w:szCs w:val="20"/>
              </w:rPr>
              <w:t>61 (79.2)</w:t>
            </w:r>
          </w:p>
        </w:tc>
        <w:tc>
          <w:tcPr>
            <w:tcW w:w="1700" w:type="dxa"/>
            <w:tcMar>
              <w:top w:w="60" w:type="dxa"/>
              <w:left w:w="80" w:type="dxa"/>
              <w:bottom w:w="60" w:type="dxa"/>
              <w:right w:w="80" w:type="dxa"/>
            </w:tcMar>
          </w:tcPr>
          <w:p w14:paraId="7D3D2A81" w14:textId="77777777" w:rsidR="00F1632A" w:rsidRDefault="00000000">
            <w:r>
              <w:rPr>
                <w:sz w:val="20"/>
                <w:szCs w:val="20"/>
              </w:rPr>
              <w:t>10 (13.0)</w:t>
            </w:r>
          </w:p>
        </w:tc>
        <w:tc>
          <w:tcPr>
            <w:tcW w:w="1700" w:type="dxa"/>
            <w:tcMar>
              <w:top w:w="60" w:type="dxa"/>
              <w:left w:w="80" w:type="dxa"/>
              <w:bottom w:w="60" w:type="dxa"/>
              <w:right w:w="80" w:type="dxa"/>
            </w:tcMar>
          </w:tcPr>
          <w:p w14:paraId="2E949DA9" w14:textId="77777777" w:rsidR="00F1632A" w:rsidRDefault="00000000">
            <w:r>
              <w:rPr>
                <w:sz w:val="20"/>
                <w:szCs w:val="20"/>
              </w:rPr>
              <w:t>77</w:t>
            </w:r>
          </w:p>
        </w:tc>
      </w:tr>
      <w:tr w:rsidR="00F1632A" w14:paraId="10B70231" w14:textId="77777777">
        <w:tc>
          <w:tcPr>
            <w:tcW w:w="2600" w:type="dxa"/>
            <w:tcMar>
              <w:top w:w="60" w:type="dxa"/>
              <w:left w:w="80" w:type="dxa"/>
              <w:bottom w:w="60" w:type="dxa"/>
              <w:right w:w="80" w:type="dxa"/>
            </w:tcMar>
          </w:tcPr>
          <w:p w14:paraId="0EECFC79" w14:textId="77777777" w:rsidR="00F1632A" w:rsidRDefault="00000000">
            <w:r>
              <w:rPr>
                <w:sz w:val="20"/>
                <w:szCs w:val="20"/>
              </w:rPr>
              <w:t>Total</w:t>
            </w:r>
          </w:p>
        </w:tc>
        <w:tc>
          <w:tcPr>
            <w:tcW w:w="1700" w:type="dxa"/>
            <w:tcMar>
              <w:top w:w="60" w:type="dxa"/>
              <w:left w:w="80" w:type="dxa"/>
              <w:bottom w:w="60" w:type="dxa"/>
              <w:right w:w="80" w:type="dxa"/>
            </w:tcMar>
          </w:tcPr>
          <w:p w14:paraId="349E72AB" w14:textId="77777777" w:rsidR="00F1632A" w:rsidRDefault="00000000">
            <w:r>
              <w:rPr>
                <w:sz w:val="20"/>
                <w:szCs w:val="20"/>
              </w:rPr>
              <w:t>7 (5.6)</w:t>
            </w:r>
          </w:p>
        </w:tc>
        <w:tc>
          <w:tcPr>
            <w:tcW w:w="1700" w:type="dxa"/>
            <w:tcMar>
              <w:top w:w="60" w:type="dxa"/>
              <w:left w:w="80" w:type="dxa"/>
              <w:bottom w:w="60" w:type="dxa"/>
              <w:right w:w="80" w:type="dxa"/>
            </w:tcMar>
          </w:tcPr>
          <w:p w14:paraId="3DA1D340" w14:textId="77777777" w:rsidR="00F1632A" w:rsidRDefault="00000000">
            <w:r>
              <w:rPr>
                <w:sz w:val="20"/>
                <w:szCs w:val="20"/>
              </w:rPr>
              <w:t>98 (79.0)</w:t>
            </w:r>
          </w:p>
        </w:tc>
        <w:tc>
          <w:tcPr>
            <w:tcW w:w="1700" w:type="dxa"/>
            <w:tcMar>
              <w:top w:w="60" w:type="dxa"/>
              <w:left w:w="80" w:type="dxa"/>
              <w:bottom w:w="60" w:type="dxa"/>
              <w:right w:w="80" w:type="dxa"/>
            </w:tcMar>
          </w:tcPr>
          <w:p w14:paraId="043222E2" w14:textId="77777777" w:rsidR="00F1632A" w:rsidRDefault="00000000">
            <w:r>
              <w:rPr>
                <w:sz w:val="20"/>
                <w:szCs w:val="20"/>
              </w:rPr>
              <w:t>19 (15.3)</w:t>
            </w:r>
          </w:p>
        </w:tc>
        <w:tc>
          <w:tcPr>
            <w:tcW w:w="1700" w:type="dxa"/>
            <w:tcMar>
              <w:top w:w="60" w:type="dxa"/>
              <w:left w:w="80" w:type="dxa"/>
              <w:bottom w:w="60" w:type="dxa"/>
              <w:right w:w="80" w:type="dxa"/>
            </w:tcMar>
          </w:tcPr>
          <w:p w14:paraId="1270E968" w14:textId="77777777" w:rsidR="00F1632A" w:rsidRDefault="00000000">
            <w:r>
              <w:rPr>
                <w:sz w:val="20"/>
                <w:szCs w:val="20"/>
              </w:rPr>
              <w:t>124</w:t>
            </w:r>
          </w:p>
        </w:tc>
      </w:tr>
    </w:tbl>
    <w:p w14:paraId="57DBC93F" w14:textId="77777777" w:rsidR="00F1632A" w:rsidRDefault="00F1632A">
      <w:pPr>
        <w:spacing w:after="160"/>
      </w:pPr>
    </w:p>
    <w:p w14:paraId="25C45F9D" w14:textId="77777777" w:rsidR="00F1632A" w:rsidRDefault="00000000">
      <w:pPr>
        <w:spacing w:after="160"/>
      </w:pPr>
      <w:r>
        <w:rPr>
          <w:color w:val="000000"/>
          <w:sz w:val="20"/>
          <w:szCs w:val="20"/>
        </w:rPr>
        <w:t xml:space="preserve">Row percentages are shown. Pearson χ² = 2.383, </w:t>
      </w:r>
      <w:proofErr w:type="spellStart"/>
      <w:r>
        <w:rPr>
          <w:color w:val="000000"/>
          <w:sz w:val="20"/>
          <w:szCs w:val="20"/>
        </w:rPr>
        <w:t>df</w:t>
      </w:r>
      <w:proofErr w:type="spellEnd"/>
      <w:r>
        <w:rPr>
          <w:color w:val="000000"/>
          <w:sz w:val="20"/>
          <w:szCs w:val="20"/>
        </w:rPr>
        <w:t xml:space="preserve"> = 2, p = 0.304; likelihood ratio = 2.622, p = 0.270; Fisher-Freeman-Halton exact test p = 0.316.</w:t>
      </w:r>
    </w:p>
    <w:p w14:paraId="7994C8D2" w14:textId="77777777" w:rsidR="00F1632A" w:rsidRDefault="00000000">
      <w:pPr>
        <w:pStyle w:val="Heading1"/>
        <w:spacing w:before="280" w:after="140"/>
      </w:pPr>
      <w:r>
        <w:rPr>
          <w:b/>
          <w:bCs/>
          <w:color w:val="000000"/>
          <w:sz w:val="26"/>
          <w:szCs w:val="26"/>
        </w:rPr>
        <w:t>4. DISCUSSION</w:t>
      </w:r>
    </w:p>
    <w:p w14:paraId="5BE928BB" w14:textId="77777777" w:rsidR="00F1632A" w:rsidRDefault="00000000">
      <w:pPr>
        <w:spacing w:after="160"/>
        <w:jc w:val="both"/>
      </w:pPr>
      <w:r>
        <w:rPr>
          <w:color w:val="000000"/>
        </w:rPr>
        <w:t>The central finding of this study is a wide gap between what primary healthcare workers knew about occupational hazards and what they reported doing to protect themselves. Knowledge was almost universally good, but basic precautions were uncommon, and workers with higher exposure practised no more safely than those with lower exposure. Taken together, these findings suggest that safe practice in these centres was limited less by a lack of information than by the conditions under which staff worked.</w:t>
      </w:r>
    </w:p>
    <w:p w14:paraId="1ACC854C" w14:textId="77777777" w:rsidR="00F1632A" w:rsidRDefault="00000000">
      <w:pPr>
        <w:pStyle w:val="Heading2"/>
        <w:spacing w:before="280" w:after="140"/>
      </w:pPr>
      <w:r>
        <w:rPr>
          <w:b/>
          <w:bCs/>
          <w:color w:val="000000"/>
          <w:sz w:val="24"/>
          <w:szCs w:val="24"/>
        </w:rPr>
        <w:t>4.1 Hazard Exposure</w:t>
      </w:r>
    </w:p>
    <w:p w14:paraId="332275A6" w14:textId="77777777" w:rsidR="00F1632A" w:rsidRDefault="00000000">
      <w:pPr>
        <w:spacing w:after="160"/>
        <w:jc w:val="both"/>
      </w:pPr>
      <w:r>
        <w:rPr>
          <w:color w:val="000000"/>
        </w:rPr>
        <w:t xml:space="preserve">Exposure was widespread and spanned all five hazard categories. </w:t>
      </w:r>
      <w:r>
        <w:rPr>
          <w:color w:val="000000"/>
          <w:highlight w:val="yellow"/>
        </w:rPr>
        <w:t>Needlestick and sharps injuries were the most frequently reported exposures, endorsed</w:t>
      </w:r>
      <w:r>
        <w:rPr>
          <w:color w:val="000000"/>
        </w:rPr>
        <w:t xml:space="preserve"> by more than seven in ten respondents, followed by exposure to blood and body fluids. This pattern is consistent with Nigerian studies identifying biological hazards as the most common occupational risk among healthcare workers (</w:t>
      </w:r>
      <w:proofErr w:type="spellStart"/>
      <w:r>
        <w:rPr>
          <w:color w:val="000000"/>
        </w:rPr>
        <w:t>Nwoga</w:t>
      </w:r>
      <w:proofErr w:type="spellEnd"/>
      <w:r>
        <w:rPr>
          <w:color w:val="000000"/>
        </w:rPr>
        <w:t xml:space="preserve"> et al., 2020; Abiona &amp; </w:t>
      </w:r>
      <w:proofErr w:type="spellStart"/>
      <w:r>
        <w:rPr>
          <w:color w:val="000000"/>
        </w:rPr>
        <w:t>Asaolu</w:t>
      </w:r>
      <w:proofErr w:type="spellEnd"/>
      <w:r>
        <w:rPr>
          <w:color w:val="000000"/>
        </w:rPr>
        <w:t xml:space="preserve">, 2023) and with evidence that percutaneous injury is common among healthcare workers worldwide (Auta et al., 2018). Because the exposure items did not specify a recall period, these proportions describe ever-experience or general agreement rather </w:t>
      </w:r>
      <w:r>
        <w:rPr>
          <w:color w:val="000000"/>
        </w:rPr>
        <w:lastRenderedPageBreak/>
        <w:t>than annual incidence, and they should not be compared directly with prevalence estimates from studies using a fixed reference period.</w:t>
      </w:r>
    </w:p>
    <w:p w14:paraId="4C082E41" w14:textId="77777777" w:rsidR="00F1632A" w:rsidRDefault="00000000">
      <w:pPr>
        <w:spacing w:after="160"/>
        <w:jc w:val="both"/>
      </w:pPr>
      <w:r>
        <w:rPr>
          <w:color w:val="000000"/>
        </w:rPr>
        <w:t xml:space="preserve">Psychosocial hazards were almost as prominent as biological ones. Six in ten respondents reported work-related stress, and more than half had experienced or witnessed aggression at work. Similar findings have been reported among Nigerian healthcare workers (Nwosu et al., 2021; </w:t>
      </w:r>
      <w:proofErr w:type="spellStart"/>
      <w:r>
        <w:rPr>
          <w:color w:val="000000"/>
        </w:rPr>
        <w:t>Okeafor</w:t>
      </w:r>
      <w:proofErr w:type="spellEnd"/>
      <w:r>
        <w:rPr>
          <w:color w:val="000000"/>
        </w:rPr>
        <w:t xml:space="preserve"> &amp; Alamina, 2018) and in the wider literature on workplace violence in health settings (Lim et al., 2022). Psychosocial risks are often left out of facility safety programmes, which tend to focus on infection control, and these results suggest that they deserve equal attention in primary care.</w:t>
      </w:r>
    </w:p>
    <w:p w14:paraId="70E3625B" w14:textId="77777777" w:rsidR="00F1632A" w:rsidRDefault="00000000">
      <w:pPr>
        <w:pStyle w:val="Heading2"/>
        <w:spacing w:before="280" w:after="140"/>
      </w:pPr>
      <w:r>
        <w:rPr>
          <w:b/>
          <w:bCs/>
          <w:color w:val="000000"/>
          <w:sz w:val="24"/>
          <w:szCs w:val="24"/>
        </w:rPr>
        <w:t>4.2 The Knowledge-Practice Gap</w:t>
      </w:r>
    </w:p>
    <w:p w14:paraId="5E4128BB" w14:textId="77777777" w:rsidR="00F1632A" w:rsidRDefault="00000000">
      <w:pPr>
        <w:spacing w:after="160"/>
        <w:jc w:val="both"/>
      </w:pPr>
      <w:r>
        <w:rPr>
          <w:color w:val="000000"/>
        </w:rPr>
        <w:t xml:space="preserve">Knowledge scores were uniformly high, with 97.6% of respondents classified as having good knowledge. Studies in tertiary settings in Nigeria have reported moderate to good awareness of occupational hazards (Obono et al., 2019; Allen et al., 2019), and the higher level found here may partly reflect the self-rated format of the knowledge items, </w:t>
      </w:r>
      <w:r>
        <w:rPr>
          <w:color w:val="000000"/>
          <w:highlight w:val="yellow"/>
        </w:rPr>
        <w:t>which measured agreement with statements rather than testing knowledge</w:t>
      </w:r>
      <w:r>
        <w:rPr>
          <w:color w:val="000000"/>
        </w:rPr>
        <w:t>. Even allowing for this, knowledge was clearly much stronger than practice.</w:t>
      </w:r>
    </w:p>
    <w:p w14:paraId="04C46887" w14:textId="77777777" w:rsidR="00F1632A" w:rsidRDefault="00000000">
      <w:pPr>
        <w:spacing w:after="160"/>
        <w:jc w:val="both"/>
      </w:pPr>
      <w:r>
        <w:rPr>
          <w:color w:val="000000"/>
        </w:rPr>
        <w:t xml:space="preserve">The low uptake of personal protective equipment and hand hygiene is notable because these are the most basic and least costly protective measures available. Similar shortfalls have been reported </w:t>
      </w:r>
      <w:r>
        <w:rPr>
          <w:color w:val="000000"/>
          <w:highlight w:val="yellow"/>
        </w:rPr>
        <w:t>in Nigerian</w:t>
      </w:r>
      <w:r>
        <w:rPr>
          <w:color w:val="000000"/>
        </w:rPr>
        <w:t xml:space="preserve"> primary healthcare centres (Abiona &amp; </w:t>
      </w:r>
      <w:proofErr w:type="spellStart"/>
      <w:r>
        <w:rPr>
          <w:color w:val="000000"/>
        </w:rPr>
        <w:t>Asaolu</w:t>
      </w:r>
      <w:proofErr w:type="spellEnd"/>
      <w:r>
        <w:rPr>
          <w:color w:val="000000"/>
        </w:rPr>
        <w:t xml:space="preserve">, 2023), and a systematic review </w:t>
      </w:r>
      <w:r>
        <w:rPr>
          <w:color w:val="000000"/>
          <w:highlight w:val="yellow"/>
        </w:rPr>
        <w:t>found that</w:t>
      </w:r>
      <w:r>
        <w:rPr>
          <w:color w:val="000000"/>
        </w:rPr>
        <w:t xml:space="preserve"> good knowledge of infection prevention does not reliably translate into compliance (Alhumaid et al., 2021). Studies in primary care settings elsewhere in sub-Saharan Africa have found similar shortfalls in infection prevention practice among providers with reasonable knowledge (Assefa et al., 2020; </w:t>
      </w:r>
      <w:proofErr w:type="spellStart"/>
      <w:r>
        <w:rPr>
          <w:color w:val="000000"/>
        </w:rPr>
        <w:t>Odonkor</w:t>
      </w:r>
      <w:proofErr w:type="spellEnd"/>
      <w:r>
        <w:rPr>
          <w:color w:val="000000"/>
        </w:rPr>
        <w:t xml:space="preserve"> &amp; </w:t>
      </w:r>
      <w:proofErr w:type="spellStart"/>
      <w:r>
        <w:rPr>
          <w:color w:val="000000"/>
        </w:rPr>
        <w:t>Sallar</w:t>
      </w:r>
      <w:proofErr w:type="spellEnd"/>
      <w:r>
        <w:rPr>
          <w:color w:val="000000"/>
        </w:rPr>
        <w:t>, 2024). Sharps disposal and injury reporting were better, though still endorsed by fewer than four in ten respondents. Under-reporting of occupational exposures is well documented in primary care (</w:t>
      </w:r>
      <w:r>
        <w:rPr>
          <w:color w:val="000000"/>
          <w:highlight w:val="yellow"/>
        </w:rPr>
        <w:t>Mbah</w:t>
      </w:r>
      <w:r>
        <w:rPr>
          <w:color w:val="000000"/>
        </w:rPr>
        <w:t xml:space="preserve"> et al., 2020), and it matters because unreported exposures do not receive post-exposure prophylaxis and do not enter the records that managers would use to plan prevention.</w:t>
      </w:r>
    </w:p>
    <w:p w14:paraId="7DEAA74E" w14:textId="77777777" w:rsidR="00F1632A" w:rsidRDefault="00000000">
      <w:pPr>
        <w:pStyle w:val="Heading2"/>
        <w:spacing w:before="280" w:after="140"/>
      </w:pPr>
      <w:r>
        <w:rPr>
          <w:b/>
          <w:bCs/>
          <w:color w:val="000000"/>
          <w:sz w:val="24"/>
          <w:szCs w:val="24"/>
        </w:rPr>
        <w:t>4.3 Why Practice Falls Short</w:t>
      </w:r>
    </w:p>
    <w:p w14:paraId="2E21583E" w14:textId="77777777" w:rsidR="00F1632A" w:rsidRDefault="00000000">
      <w:pPr>
        <w:spacing w:after="160"/>
        <w:jc w:val="both"/>
      </w:pPr>
      <w:r>
        <w:rPr>
          <w:color w:val="000000"/>
        </w:rPr>
        <w:t>Respondents’ own views point to the conditions of work. Heavy workload was the most strongly endorsed influence on safety practice, while fewer than half agreed that safety equipment was available or that supervision encouraged safe practice. These three factors correspond to the structural problems most often described in Nigerian primary care: staff shortages and high patient loads (Aluko et al., 2019; Okoroafor et al., 2022), irregular supply of consumables and weak waste management systems (</w:t>
      </w:r>
      <w:proofErr w:type="spellStart"/>
      <w:r>
        <w:rPr>
          <w:color w:val="000000"/>
        </w:rPr>
        <w:t>Omoleke</w:t>
      </w:r>
      <w:proofErr w:type="spellEnd"/>
      <w:r>
        <w:rPr>
          <w:color w:val="000000"/>
        </w:rPr>
        <w:t xml:space="preserve"> et al., 2021), and limited facility readiness more generally (</w:t>
      </w:r>
      <w:proofErr w:type="spellStart"/>
      <w:r>
        <w:rPr>
          <w:color w:val="000000"/>
        </w:rPr>
        <w:t>Ekenna</w:t>
      </w:r>
      <w:proofErr w:type="spellEnd"/>
      <w:r>
        <w:rPr>
          <w:color w:val="000000"/>
        </w:rPr>
        <w:t xml:space="preserve"> et al., 2020). Where gloves and hand-rub are not reliably stocked, </w:t>
      </w:r>
      <w:r>
        <w:rPr>
          <w:color w:val="000000"/>
          <w:highlight w:val="yellow"/>
        </w:rPr>
        <w:t xml:space="preserve">consistent use becomes difficult, however </w:t>
      </w:r>
      <w:r>
        <w:rPr>
          <w:color w:val="000000"/>
        </w:rPr>
        <w:t>well informed workers are. This interpretation should be treated with some caution, because the influences were measured as agreement with three statements and were not tested formally as predictors of practice.</w:t>
      </w:r>
    </w:p>
    <w:p w14:paraId="50431492" w14:textId="77777777" w:rsidR="00F1632A" w:rsidRDefault="00000000">
      <w:pPr>
        <w:spacing w:after="160"/>
        <w:jc w:val="both"/>
      </w:pPr>
      <w:r>
        <w:rPr>
          <w:color w:val="000000"/>
        </w:rPr>
        <w:t xml:space="preserve">The absence of an association between exposure and practice supports the same conclusion from a different direction. If safety behaviour were driven mainly by individual risk perception, workers who faced more hazards might be expected to protect themselves more carefully, but this was not the case: fair practice was equally common at both exposure levels, and good practice was, if anything, slightly less common among the more highly exposed. Similar disconnects between </w:t>
      </w:r>
      <w:r>
        <w:rPr>
          <w:color w:val="000000"/>
        </w:rPr>
        <w:lastRenderedPageBreak/>
        <w:t xml:space="preserve">exposure and safety behaviour have been reported where institutional support is weak (Alhumaid et al., 2021; </w:t>
      </w:r>
      <w:r>
        <w:rPr>
          <w:color w:val="000000"/>
          <w:highlight w:val="yellow"/>
        </w:rPr>
        <w:t>Lin et al., 2020</w:t>
      </w:r>
      <w:r>
        <w:rPr>
          <w:color w:val="000000"/>
        </w:rPr>
        <w:t>). One plausible explanation is that the most exposed workers are also those under the greatest time pressure, for whom the same workload that increases exposure also makes consistent precautions harder to maintain.</w:t>
      </w:r>
    </w:p>
    <w:p w14:paraId="3878FAE8" w14:textId="77777777" w:rsidR="00F1632A" w:rsidRDefault="00000000">
      <w:pPr>
        <w:pStyle w:val="Heading2"/>
        <w:spacing w:before="280" w:after="140"/>
      </w:pPr>
      <w:r>
        <w:rPr>
          <w:b/>
          <w:bCs/>
          <w:color w:val="000000"/>
          <w:sz w:val="24"/>
          <w:szCs w:val="24"/>
        </w:rPr>
        <w:t>4.4 Implications</w:t>
      </w:r>
    </w:p>
    <w:p w14:paraId="143E7644" w14:textId="77777777" w:rsidR="00F1632A" w:rsidRDefault="00000000">
      <w:pPr>
        <w:spacing w:after="160"/>
        <w:jc w:val="both"/>
      </w:pPr>
      <w:r>
        <w:rPr>
          <w:color w:val="000000"/>
        </w:rPr>
        <w:t>These findings have practical implications for facility managers and local health authorities. Because knowledge was already high, further awareness training on its own is unlikely to change practice much. Reliable supply of personal protective equipment and hand hygiene materials, staffing levels that allow time for precautions, and supportive rather than punitive supervision are more likely to close the gap. A confidential, non-punitive system for reporting occupational injuries would improve access to post-exposure care and give managers the information they need to target prevention. The high level of stress and aggression reported also suggests that occupational safety policies in primary care should include measures to address psychosocial risks.</w:t>
      </w:r>
    </w:p>
    <w:p w14:paraId="3B4BDC54" w14:textId="77777777" w:rsidR="00F1632A" w:rsidRDefault="00000000">
      <w:pPr>
        <w:pStyle w:val="Heading2"/>
        <w:spacing w:before="280" w:after="140"/>
      </w:pPr>
      <w:r>
        <w:rPr>
          <w:b/>
          <w:bCs/>
          <w:color w:val="000000"/>
          <w:sz w:val="24"/>
          <w:szCs w:val="24"/>
        </w:rPr>
        <w:t>4.5 Strengths and Limitations</w:t>
      </w:r>
    </w:p>
    <w:p w14:paraId="6850633F" w14:textId="77777777" w:rsidR="00F1632A" w:rsidRDefault="00000000">
      <w:pPr>
        <w:spacing w:after="160"/>
        <w:jc w:val="both"/>
      </w:pPr>
      <w:r>
        <w:rPr>
          <w:color w:val="000000"/>
        </w:rPr>
        <w:t>A strength of the study is its focus on primary healthcare centres, which are under-represented in Nigerian occupational health research, and its inclusion of non-clinical staff, who share many of the same risks. Several limitations should be noted. The study was conducted in two centres in one city, so the findings may not generalise to rural facilities or to other states. All measures were self-reported, and practices such as hand hygiene and protective equipment use are commonly over-reported, which means the true gap between knowledge and practice may be wider than observed. Knowledge was measured with agreement statements rather than knowledge questions, which may have inflated knowledge scores. The composite safety practice score included the three perceived-influence items as well as the four practice items, which may have blurred the distinction between what workers did and the conditions they reported. Finally, the cross-sectional design cannot establish causal relationships, and the small number of respondents with poor practice limited the power of the association analysis.</w:t>
      </w:r>
    </w:p>
    <w:p w14:paraId="6EFC54D4" w14:textId="77777777" w:rsidR="00F1632A" w:rsidRDefault="00000000">
      <w:pPr>
        <w:pStyle w:val="Heading1"/>
        <w:spacing w:before="280" w:after="140"/>
      </w:pPr>
      <w:r>
        <w:rPr>
          <w:b/>
          <w:bCs/>
          <w:color w:val="000000"/>
          <w:sz w:val="26"/>
          <w:szCs w:val="26"/>
        </w:rPr>
        <w:t>5. CONCLUSION</w:t>
      </w:r>
    </w:p>
    <w:p w14:paraId="5E1D9F48" w14:textId="77777777" w:rsidR="00133FAD" w:rsidRDefault="00133FAD" w:rsidP="00133FAD">
      <w:pPr>
        <w:pStyle w:val="pdq2pgselectionanchorcontainer"/>
      </w:pPr>
      <w:r>
        <w:t xml:space="preserve">Healthcare workers in the two primary healthcare </w:t>
      </w:r>
      <w:proofErr w:type="spellStart"/>
      <w:r>
        <w:t>centres</w:t>
      </w:r>
      <w:proofErr w:type="spellEnd"/>
      <w:r>
        <w:t xml:space="preserve"> experienced occupational hazards across biological, physical, chemical, ergonomic and psychosocial domains, with needlestick or sharps injury, exposure to blood or body fluids and work-related stress among the most frequently reported exposures. Although nearly all respondents were classified as having good knowledge of occupational hazards, routine protective practices were less consistent, particularly the use of personal protective equipment and regular hand hygiene. Most respondents had fair rather than good safety practice, and hazard exposure level was not significantly associated with safety practice level. The findings therefore indicate a clear gap between reported knowledge and reported practice within the participating facilities. The perceived importance of workload, together with limited agreement regarding equipment availability and supportive supervision, suggests that improving safety practice requires attention to workplace conditions as well as knowledge. Facility-level efforts should </w:t>
      </w:r>
      <w:proofErr w:type="spellStart"/>
      <w:r>
        <w:t>prioritise</w:t>
      </w:r>
      <w:proofErr w:type="spellEnd"/>
      <w:r>
        <w:t xml:space="preserve"> reliable access to protective equipment and hand hygiene materials, manageable workloads, supportive supervision and non-punitive reporting of occupational injuries and exposures. </w:t>
      </w:r>
    </w:p>
    <w:p w14:paraId="02AF2A2E" w14:textId="77777777" w:rsidR="00133FAD" w:rsidRDefault="00133FAD">
      <w:pPr>
        <w:pStyle w:val="Heading1"/>
        <w:spacing w:before="280" w:after="140"/>
        <w:rPr>
          <w:b/>
          <w:bCs/>
          <w:color w:val="000000"/>
          <w:sz w:val="26"/>
          <w:szCs w:val="26"/>
        </w:rPr>
      </w:pPr>
    </w:p>
    <w:p w14:paraId="3A53F41C" w14:textId="26C22FC4" w:rsidR="00F1632A" w:rsidRDefault="00000000">
      <w:pPr>
        <w:pStyle w:val="Heading1"/>
        <w:spacing w:before="280" w:after="140"/>
      </w:pPr>
      <w:r>
        <w:rPr>
          <w:b/>
          <w:bCs/>
          <w:color w:val="000000"/>
          <w:sz w:val="26"/>
          <w:szCs w:val="26"/>
        </w:rPr>
        <w:t>COMPETING INTERESTS</w:t>
      </w:r>
    </w:p>
    <w:p w14:paraId="41C897CF" w14:textId="77777777" w:rsidR="00F1632A" w:rsidRDefault="00000000">
      <w:pPr>
        <w:spacing w:after="160"/>
        <w:jc w:val="both"/>
      </w:pPr>
      <w:r>
        <w:t>Authors have declared that no competing interests exist.</w:t>
      </w:r>
    </w:p>
    <w:p w14:paraId="3B8D5F64" w14:textId="77777777" w:rsidR="00274829" w:rsidRDefault="00274829">
      <w:pPr>
        <w:spacing w:after="160"/>
        <w:jc w:val="both"/>
      </w:pPr>
    </w:p>
    <w:p w14:paraId="01065E73" w14:textId="1EF7D59E" w:rsidR="00274829" w:rsidRPr="00274829" w:rsidRDefault="00274829" w:rsidP="00274829">
      <w:pPr>
        <w:spacing w:after="160"/>
        <w:jc w:val="both"/>
        <w:rPr>
          <w:b/>
          <w:bCs/>
        </w:rPr>
      </w:pPr>
      <w:r w:rsidRPr="00274829">
        <w:rPr>
          <w:b/>
          <w:bCs/>
        </w:rPr>
        <w:t xml:space="preserve">Ethical Approval </w:t>
      </w:r>
      <w:r w:rsidR="00A01BAE">
        <w:rPr>
          <w:b/>
          <w:bCs/>
        </w:rPr>
        <w:t xml:space="preserve">and Consent </w:t>
      </w:r>
    </w:p>
    <w:p w14:paraId="171F636B" w14:textId="6C621B3F" w:rsidR="00274829" w:rsidRDefault="00274829" w:rsidP="00274829">
      <w:pPr>
        <w:spacing w:after="160"/>
        <w:jc w:val="both"/>
      </w:pPr>
      <w:r>
        <w:t>Ethical approval was obtained from the appropriate health research ethics committee. Permission was obtained from the management of both facilities. Written informed consent was obtained from all participants; participation was voluntary, and no identifying information was recorded on the questionnaires.</w:t>
      </w:r>
    </w:p>
    <w:p w14:paraId="316CB101" w14:textId="77777777" w:rsidR="00032D28" w:rsidRDefault="00032D28" w:rsidP="00032D28">
      <w:pPr>
        <w:rPr>
          <w:b/>
        </w:rPr>
      </w:pPr>
      <w:r w:rsidRPr="000839CE">
        <w:rPr>
          <w:b/>
        </w:rPr>
        <w:t>Declaration of AI Use</w:t>
      </w:r>
    </w:p>
    <w:p w14:paraId="31CF36A7" w14:textId="77777777" w:rsidR="00032D28" w:rsidRDefault="00032D28" w:rsidP="00032D28">
      <w:pPr>
        <w:rPr>
          <w:b/>
        </w:rPr>
      </w:pPr>
    </w:p>
    <w:p w14:paraId="757067FD" w14:textId="77777777" w:rsidR="00032D28" w:rsidRDefault="00032D28" w:rsidP="00032D28">
      <w:pPr>
        <w:rPr>
          <w:b/>
        </w:rPr>
      </w:pPr>
    </w:p>
    <w:p w14:paraId="745249C2" w14:textId="77777777" w:rsidR="00032D28" w:rsidRDefault="00032D28" w:rsidP="00032D28">
      <w:pPr>
        <w:rPr>
          <w:b/>
        </w:rPr>
      </w:pPr>
    </w:p>
    <w:p w14:paraId="13E48ED7" w14:textId="77777777" w:rsidR="00032D28" w:rsidRDefault="00032D28" w:rsidP="00032D28">
      <w:pPr>
        <w:spacing w:after="160"/>
        <w:jc w:val="both"/>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w:t>
      </w:r>
      <w:r w:rsidRPr="002D08AC">
        <w:rPr>
          <w:rFonts w:ascii="Arial" w:hAnsi="Arial" w:cs="Arial"/>
          <w:sz w:val="20"/>
          <w:szCs w:val="20"/>
          <w:highlight w:val="yellow"/>
        </w:rPr>
        <w:t>final content of the manuscript.</w:t>
      </w:r>
    </w:p>
    <w:p w14:paraId="42488F38" w14:textId="77777777" w:rsidR="00F1632A" w:rsidRDefault="00000000">
      <w:pPr>
        <w:pStyle w:val="Heading1"/>
        <w:spacing w:before="280" w:after="140"/>
      </w:pPr>
      <w:r>
        <w:rPr>
          <w:b/>
          <w:bCs/>
          <w:color w:val="000000"/>
          <w:sz w:val="26"/>
          <w:szCs w:val="26"/>
        </w:rPr>
        <w:t>REFERENCES</w:t>
      </w:r>
    </w:p>
    <w:p w14:paraId="25BC42E4"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Abiona, M. M., &amp; </w:t>
      </w:r>
      <w:proofErr w:type="spellStart"/>
      <w:r w:rsidRPr="006C375B">
        <w:rPr>
          <w:lang w:val="en-US" w:eastAsia="en-US"/>
        </w:rPr>
        <w:t>Asaolu</w:t>
      </w:r>
      <w:proofErr w:type="spellEnd"/>
      <w:r w:rsidRPr="006C375B">
        <w:rPr>
          <w:lang w:val="en-US" w:eastAsia="en-US"/>
        </w:rPr>
        <w:t xml:space="preserve">, S. (2023). Occupational hazards among health care workers in Nigeria. </w:t>
      </w:r>
      <w:r w:rsidRPr="006C375B">
        <w:rPr>
          <w:i/>
          <w:iCs/>
          <w:lang w:val="en-US" w:eastAsia="en-US"/>
        </w:rPr>
        <w:t>African Journal of Biomedical Research, 26</w:t>
      </w:r>
      <w:r w:rsidRPr="006C375B">
        <w:rPr>
          <w:lang w:val="en-US" w:eastAsia="en-US"/>
        </w:rPr>
        <w:t xml:space="preserve">(3), 319–326. </w:t>
      </w:r>
      <w:hyperlink r:id="rId7" w:history="1">
        <w:r w:rsidRPr="006C375B">
          <w:rPr>
            <w:color w:val="0000FF"/>
            <w:u w:val="single"/>
            <w:lang w:val="en-US" w:eastAsia="en-US"/>
          </w:rPr>
          <w:t>https://doi.org/10.4314/ajbr.v26i3.3</w:t>
        </w:r>
      </w:hyperlink>
    </w:p>
    <w:p w14:paraId="425EF621"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nl-BE" w:eastAsia="en-US"/>
        </w:rPr>
        <w:t xml:space="preserve">Alhumaid, S., Al Mutair, A., Al Alawi, Z., Alsuliman, M., Ahmed, G. Y., Rabaan, A. A., Al-Tawfiq, J. A., &amp; Al-Omari, A. (2021). </w:t>
      </w:r>
      <w:r w:rsidRPr="006C375B">
        <w:rPr>
          <w:lang w:val="en-US" w:eastAsia="en-US"/>
        </w:rPr>
        <w:t xml:space="preserve">Knowledge of infection prevention and control among healthcare workers and factors influencing compliance: A systematic review. </w:t>
      </w:r>
      <w:r w:rsidRPr="006C375B">
        <w:rPr>
          <w:i/>
          <w:iCs/>
          <w:lang w:val="en-US" w:eastAsia="en-US"/>
        </w:rPr>
        <w:t>Antimicrobial Resistance &amp; Infection Control, 10</w:t>
      </w:r>
      <w:r w:rsidRPr="006C375B">
        <w:rPr>
          <w:lang w:val="en-US" w:eastAsia="en-US"/>
        </w:rPr>
        <w:t xml:space="preserve">(1), 86. </w:t>
      </w:r>
      <w:hyperlink r:id="rId8" w:history="1">
        <w:r w:rsidRPr="006C375B">
          <w:rPr>
            <w:color w:val="0000FF"/>
            <w:u w:val="single"/>
            <w:lang w:val="en-US" w:eastAsia="en-US"/>
          </w:rPr>
          <w:t>https://doi.org/10.1186/s13756-021-00957-0</w:t>
        </w:r>
      </w:hyperlink>
    </w:p>
    <w:p w14:paraId="50151D8A"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nl-BE" w:eastAsia="en-US"/>
        </w:rPr>
        <w:t xml:space="preserve">Allen, O. T., Nwaogazie, I. L., &amp; Douglas, K. (2019). </w:t>
      </w:r>
      <w:r w:rsidRPr="006C375B">
        <w:rPr>
          <w:lang w:val="en-US" w:eastAsia="en-US"/>
        </w:rPr>
        <w:t xml:space="preserve">Analyses and assessment of health care workers towards occupational hygiene and infection control practices in selected tertiary healthcare facilities within parts of Niger Delta, Nigeria. </w:t>
      </w:r>
      <w:r w:rsidRPr="006C375B">
        <w:rPr>
          <w:i/>
          <w:iCs/>
          <w:lang w:val="en-US" w:eastAsia="en-US"/>
        </w:rPr>
        <w:t>Asian Journal of Research in Nursing and Health, 2</w:t>
      </w:r>
      <w:r w:rsidRPr="006C375B">
        <w:rPr>
          <w:lang w:val="en-US" w:eastAsia="en-US"/>
        </w:rPr>
        <w:t xml:space="preserve">(1), 71–84. </w:t>
      </w:r>
      <w:hyperlink r:id="rId9" w:history="1">
        <w:r w:rsidRPr="006C375B">
          <w:rPr>
            <w:color w:val="0000FF"/>
            <w:u w:val="single"/>
            <w:lang w:val="en-US" w:eastAsia="en-US"/>
          </w:rPr>
          <w:t>Official journal article page</w:t>
        </w:r>
      </w:hyperlink>
    </w:p>
    <w:p w14:paraId="551B10E5"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Aluko, J. O., Anthea, R., &amp; Marie Modeste, R. R. (2019). Manpower capacity and reasons for staff shortage in primary health care maternity </w:t>
      </w:r>
      <w:proofErr w:type="spellStart"/>
      <w:r w:rsidRPr="006C375B">
        <w:rPr>
          <w:lang w:val="en-US" w:eastAsia="en-US"/>
        </w:rPr>
        <w:t>centres</w:t>
      </w:r>
      <w:proofErr w:type="spellEnd"/>
      <w:r w:rsidRPr="006C375B">
        <w:rPr>
          <w:lang w:val="en-US" w:eastAsia="en-US"/>
        </w:rPr>
        <w:t xml:space="preserve"> in Nigeria: A mixed-methods study. </w:t>
      </w:r>
      <w:r w:rsidRPr="006C375B">
        <w:rPr>
          <w:i/>
          <w:iCs/>
          <w:lang w:val="en-US" w:eastAsia="en-US"/>
        </w:rPr>
        <w:t>BMC Health Services Research, 19</w:t>
      </w:r>
      <w:r w:rsidRPr="006C375B">
        <w:rPr>
          <w:lang w:val="en-US" w:eastAsia="en-US"/>
        </w:rPr>
        <w:t xml:space="preserve">(1), 10. </w:t>
      </w:r>
      <w:hyperlink r:id="rId10" w:history="1">
        <w:r w:rsidRPr="006C375B">
          <w:rPr>
            <w:color w:val="0000FF"/>
            <w:u w:val="single"/>
            <w:lang w:val="en-US" w:eastAsia="en-US"/>
          </w:rPr>
          <w:t>https://doi.org/10.1186/s12913-018-3819-x</w:t>
        </w:r>
      </w:hyperlink>
    </w:p>
    <w:p w14:paraId="0A641243"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nl-BE" w:eastAsia="en-US"/>
        </w:rPr>
        <w:t xml:space="preserve">Assefa, J., Alen, G. D., &amp; Adane, S. (2020). </w:t>
      </w:r>
      <w:r w:rsidRPr="006C375B">
        <w:rPr>
          <w:lang w:val="en-US" w:eastAsia="en-US"/>
        </w:rPr>
        <w:t xml:space="preserve">Infection prevention knowledge, practice, and its associated factors among healthcare providers in primary healthcare unit of </w:t>
      </w:r>
      <w:proofErr w:type="spellStart"/>
      <w:r w:rsidRPr="006C375B">
        <w:rPr>
          <w:lang w:val="en-US" w:eastAsia="en-US"/>
        </w:rPr>
        <w:t>Wogdie</w:t>
      </w:r>
      <w:proofErr w:type="spellEnd"/>
      <w:r w:rsidRPr="006C375B">
        <w:rPr>
          <w:lang w:val="en-US" w:eastAsia="en-US"/>
        </w:rPr>
        <w:t xml:space="preserve"> District, Northeast Ethiopia, 2019: A cross-sectional study. </w:t>
      </w:r>
      <w:r w:rsidRPr="006C375B">
        <w:rPr>
          <w:i/>
          <w:iCs/>
          <w:lang w:val="en-US" w:eastAsia="en-US"/>
        </w:rPr>
        <w:t>Antimicrobial Resistance &amp; Infection Control, 9</w:t>
      </w:r>
      <w:r w:rsidRPr="006C375B">
        <w:rPr>
          <w:lang w:val="en-US" w:eastAsia="en-US"/>
        </w:rPr>
        <w:t xml:space="preserve">(1), 136. </w:t>
      </w:r>
      <w:hyperlink r:id="rId11" w:history="1">
        <w:r w:rsidRPr="006C375B">
          <w:rPr>
            <w:color w:val="0000FF"/>
            <w:u w:val="single"/>
            <w:lang w:val="en-US" w:eastAsia="en-US"/>
          </w:rPr>
          <w:t>https://doi.org/10.1186/s13756-020-00802-w</w:t>
        </w:r>
      </w:hyperlink>
    </w:p>
    <w:p w14:paraId="3C1D4B7D"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lastRenderedPageBreak/>
        <w:t>Auta, A., Adewuyi, E. O., Tor-</w:t>
      </w:r>
      <w:proofErr w:type="spellStart"/>
      <w:r w:rsidRPr="006C375B">
        <w:rPr>
          <w:lang w:val="en-US" w:eastAsia="en-US"/>
        </w:rPr>
        <w:t>Anyiin</w:t>
      </w:r>
      <w:proofErr w:type="spellEnd"/>
      <w:r w:rsidRPr="006C375B">
        <w:rPr>
          <w:lang w:val="en-US" w:eastAsia="en-US"/>
        </w:rPr>
        <w:t xml:space="preserve">, A., Edor, J. P., </w:t>
      </w:r>
      <w:proofErr w:type="spellStart"/>
      <w:r w:rsidRPr="006C375B">
        <w:rPr>
          <w:lang w:val="en-US" w:eastAsia="en-US"/>
        </w:rPr>
        <w:t>Kureh</w:t>
      </w:r>
      <w:proofErr w:type="spellEnd"/>
      <w:r w:rsidRPr="006C375B">
        <w:rPr>
          <w:lang w:val="en-US" w:eastAsia="en-US"/>
        </w:rPr>
        <w:t xml:space="preserve">, G. T., Khanal, V., Oga, E. A., &amp; </w:t>
      </w:r>
      <w:proofErr w:type="spellStart"/>
      <w:r w:rsidRPr="006C375B">
        <w:rPr>
          <w:lang w:val="en-US" w:eastAsia="en-US"/>
        </w:rPr>
        <w:t>Adeloye</w:t>
      </w:r>
      <w:proofErr w:type="spellEnd"/>
      <w:r w:rsidRPr="006C375B">
        <w:rPr>
          <w:lang w:val="en-US" w:eastAsia="en-US"/>
        </w:rPr>
        <w:t xml:space="preserve">, D. (2018). Global prevalence of percutaneous injuries among healthcare workers: A systematic review and meta-analysis. </w:t>
      </w:r>
      <w:r w:rsidRPr="006C375B">
        <w:rPr>
          <w:i/>
          <w:iCs/>
          <w:lang w:val="en-US" w:eastAsia="en-US"/>
        </w:rPr>
        <w:t>International Journal of Epidemiology, 47</w:t>
      </w:r>
      <w:r w:rsidRPr="006C375B">
        <w:rPr>
          <w:lang w:val="en-US" w:eastAsia="en-US"/>
        </w:rPr>
        <w:t xml:space="preserve">(6), 1972–1980. </w:t>
      </w:r>
      <w:hyperlink r:id="rId12" w:history="1">
        <w:r w:rsidRPr="006C375B">
          <w:rPr>
            <w:color w:val="0000FF"/>
            <w:u w:val="single"/>
            <w:lang w:val="en-US" w:eastAsia="en-US"/>
          </w:rPr>
          <w:t>https://doi.org/10.1093/ije/dyy208</w:t>
        </w:r>
      </w:hyperlink>
    </w:p>
    <w:p w14:paraId="4AE5C843"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Ayalew, A. F., Delie, A. M., Fornah, L., </w:t>
      </w:r>
      <w:proofErr w:type="spellStart"/>
      <w:r w:rsidRPr="006C375B">
        <w:rPr>
          <w:lang w:val="en-US" w:eastAsia="en-US"/>
        </w:rPr>
        <w:t>Shimbre</w:t>
      </w:r>
      <w:proofErr w:type="spellEnd"/>
      <w:r w:rsidRPr="006C375B">
        <w:rPr>
          <w:lang w:val="en-US" w:eastAsia="en-US"/>
        </w:rPr>
        <w:t xml:space="preserve">, M. S., &amp; Ma, W. (2025). Understanding safety measure practices and improvement strategies among health professionals in resource-limited health care settings in the Awi Zone, Amhara, Ethiopia: A qualitative study. </w:t>
      </w:r>
      <w:r w:rsidRPr="006C375B">
        <w:rPr>
          <w:i/>
          <w:iCs/>
          <w:lang w:val="en-US" w:eastAsia="en-US"/>
        </w:rPr>
        <w:t>BMJ Open, 15</w:t>
      </w:r>
      <w:r w:rsidRPr="006C375B">
        <w:rPr>
          <w:lang w:val="en-US" w:eastAsia="en-US"/>
        </w:rPr>
        <w:t xml:space="preserve">(12), e107492. </w:t>
      </w:r>
      <w:hyperlink r:id="rId13" w:history="1">
        <w:r w:rsidRPr="006C375B">
          <w:rPr>
            <w:color w:val="0000FF"/>
            <w:u w:val="single"/>
            <w:lang w:val="en-US" w:eastAsia="en-US"/>
          </w:rPr>
          <w:t>https://doi.org/10.1136/bmjopen-2025-107492</w:t>
        </w:r>
      </w:hyperlink>
    </w:p>
    <w:p w14:paraId="6C40819D"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Lin, C. H., Lin, Y.-W., Yang, C. M., Hung, L. C., Wang, J. Y., &amp; Lin, M. H. (2020). Occupational health and safety hazards faced by healthcare professionals in Taiwan: A systematic review of risk factors and control strategies. </w:t>
      </w:r>
      <w:r w:rsidRPr="006C375B">
        <w:rPr>
          <w:i/>
          <w:iCs/>
          <w:lang w:val="en-US" w:eastAsia="en-US"/>
        </w:rPr>
        <w:t>SAGE Open Medicine, 8</w:t>
      </w:r>
      <w:r w:rsidRPr="006C375B">
        <w:rPr>
          <w:lang w:val="en-US" w:eastAsia="en-US"/>
        </w:rPr>
        <w:t xml:space="preserve">, 2050312120918999. </w:t>
      </w:r>
      <w:hyperlink r:id="rId14" w:history="1">
        <w:r w:rsidRPr="006C375B">
          <w:rPr>
            <w:color w:val="0000FF"/>
            <w:u w:val="single"/>
            <w:lang w:val="en-US" w:eastAsia="en-US"/>
          </w:rPr>
          <w:t>https://doi.org/10.1177/2050312120918999</w:t>
        </w:r>
      </w:hyperlink>
    </w:p>
    <w:p w14:paraId="01B9449F"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Deborah, A. O., Ayobami, A. R., Ifeyinwa, O. D., </w:t>
      </w:r>
      <w:proofErr w:type="spellStart"/>
      <w:r w:rsidRPr="006C375B">
        <w:rPr>
          <w:lang w:val="en-US" w:eastAsia="en-US"/>
        </w:rPr>
        <w:t>Maibuhu</w:t>
      </w:r>
      <w:proofErr w:type="spellEnd"/>
      <w:r w:rsidRPr="006C375B">
        <w:rPr>
          <w:lang w:val="en-US" w:eastAsia="en-US"/>
        </w:rPr>
        <w:t xml:space="preserve">, S. M., Muhammad, U. K., &amp; Dauda, G. (2026). Occupational hazards and safety practices among primary health care workers in Ikeja Local Government Area, Lagos State, Nigeria: A cross-sectional study. </w:t>
      </w:r>
      <w:r w:rsidRPr="006C375B">
        <w:rPr>
          <w:i/>
          <w:iCs/>
          <w:lang w:val="en-US" w:eastAsia="en-US"/>
        </w:rPr>
        <w:t>Journal of Disease and Global Health, 19</w:t>
      </w:r>
      <w:r w:rsidRPr="006C375B">
        <w:rPr>
          <w:lang w:val="en-US" w:eastAsia="en-US"/>
        </w:rPr>
        <w:t xml:space="preserve">(2), 175–191. </w:t>
      </w:r>
      <w:hyperlink r:id="rId15" w:history="1">
        <w:r w:rsidRPr="006C375B">
          <w:rPr>
            <w:color w:val="0000FF"/>
            <w:u w:val="single"/>
            <w:lang w:val="en-US" w:eastAsia="en-US"/>
          </w:rPr>
          <w:t>https://doi.org/10.56557/jodagh/2026/v19i210916</w:t>
        </w:r>
      </w:hyperlink>
    </w:p>
    <w:p w14:paraId="3B8A407C" w14:textId="77777777"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Ekenna</w:t>
      </w:r>
      <w:proofErr w:type="spellEnd"/>
      <w:r w:rsidRPr="006C375B">
        <w:rPr>
          <w:lang w:val="en-US" w:eastAsia="en-US"/>
        </w:rPr>
        <w:t xml:space="preserve">, A., </w:t>
      </w:r>
      <w:proofErr w:type="spellStart"/>
      <w:r w:rsidRPr="006C375B">
        <w:rPr>
          <w:lang w:val="en-US" w:eastAsia="en-US"/>
        </w:rPr>
        <w:t>Itanyi</w:t>
      </w:r>
      <w:proofErr w:type="spellEnd"/>
      <w:r w:rsidRPr="006C375B">
        <w:rPr>
          <w:lang w:val="en-US" w:eastAsia="en-US"/>
        </w:rPr>
        <w:t xml:space="preserve">, I. U., </w:t>
      </w:r>
      <w:proofErr w:type="spellStart"/>
      <w:r w:rsidRPr="006C375B">
        <w:rPr>
          <w:lang w:val="en-US" w:eastAsia="en-US"/>
        </w:rPr>
        <w:t>Nwokoro</w:t>
      </w:r>
      <w:proofErr w:type="spellEnd"/>
      <w:r w:rsidRPr="006C375B">
        <w:rPr>
          <w:lang w:val="en-US" w:eastAsia="en-US"/>
        </w:rPr>
        <w:t xml:space="preserve">, U., Hirschhorn, L. R., &amp; Uzochukwu, B. (2020). How ready is the system to deliver primary healthcare? Results of a primary health facility assessment in Enugu State, Nigeria. </w:t>
      </w:r>
      <w:r w:rsidRPr="006C375B">
        <w:rPr>
          <w:i/>
          <w:iCs/>
          <w:lang w:val="en-US" w:eastAsia="en-US"/>
        </w:rPr>
        <w:t>Health Policy and Planning, 35</w:t>
      </w:r>
      <w:r w:rsidRPr="006C375B">
        <w:rPr>
          <w:lang w:val="en-US" w:eastAsia="en-US"/>
        </w:rPr>
        <w:t xml:space="preserve">(Supplement_1), i97–i106. </w:t>
      </w:r>
      <w:hyperlink r:id="rId16" w:history="1">
        <w:r w:rsidRPr="006C375B">
          <w:rPr>
            <w:color w:val="0000FF"/>
            <w:u w:val="single"/>
            <w:lang w:val="en-US" w:eastAsia="en-US"/>
          </w:rPr>
          <w:t>https://doi.org/10.1093/heapol/czaa108</w:t>
        </w:r>
      </w:hyperlink>
    </w:p>
    <w:p w14:paraId="41D89BC8"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Mbah, C. C. E., </w:t>
      </w:r>
      <w:proofErr w:type="spellStart"/>
      <w:r w:rsidRPr="006C375B">
        <w:rPr>
          <w:lang w:val="en-US" w:eastAsia="en-US"/>
        </w:rPr>
        <w:t>Elabor</w:t>
      </w:r>
      <w:proofErr w:type="spellEnd"/>
      <w:r w:rsidRPr="006C375B">
        <w:rPr>
          <w:lang w:val="en-US" w:eastAsia="en-US"/>
        </w:rPr>
        <w:t xml:space="preserve">, Z. B., &amp; Omole, O. B. (2020). Occupational exposure to blood and body fluids among primary healthcare workers in Johannesburg health district: High rate of underreporting. </w:t>
      </w:r>
      <w:r w:rsidRPr="006C375B">
        <w:rPr>
          <w:i/>
          <w:iCs/>
          <w:lang w:val="en-US" w:eastAsia="en-US"/>
        </w:rPr>
        <w:t>South African Family Practice, 62</w:t>
      </w:r>
      <w:r w:rsidRPr="006C375B">
        <w:rPr>
          <w:lang w:val="en-US" w:eastAsia="en-US"/>
        </w:rPr>
        <w:t xml:space="preserve">(1), e1–e7. </w:t>
      </w:r>
      <w:hyperlink r:id="rId17" w:history="1">
        <w:r w:rsidRPr="006C375B">
          <w:rPr>
            <w:color w:val="0000FF"/>
            <w:u w:val="single"/>
            <w:lang w:val="en-US" w:eastAsia="en-US"/>
          </w:rPr>
          <w:t>https://doi.org/10.4102/safp.v62i1.5027</w:t>
        </w:r>
      </w:hyperlink>
    </w:p>
    <w:p w14:paraId="2DDD241F"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Innocent, D. C., </w:t>
      </w:r>
      <w:proofErr w:type="spellStart"/>
      <w:r w:rsidRPr="006C375B">
        <w:rPr>
          <w:lang w:val="en-US" w:eastAsia="en-US"/>
        </w:rPr>
        <w:t>Emerole</w:t>
      </w:r>
      <w:proofErr w:type="spellEnd"/>
      <w:r w:rsidRPr="006C375B">
        <w:rPr>
          <w:lang w:val="en-US" w:eastAsia="en-US"/>
        </w:rPr>
        <w:t xml:space="preserve">, C. O., </w:t>
      </w:r>
      <w:proofErr w:type="spellStart"/>
      <w:r w:rsidRPr="006C375B">
        <w:rPr>
          <w:lang w:val="en-US" w:eastAsia="en-US"/>
        </w:rPr>
        <w:t>Ezejindu</w:t>
      </w:r>
      <w:proofErr w:type="spellEnd"/>
      <w:r w:rsidRPr="006C375B">
        <w:rPr>
          <w:lang w:val="en-US" w:eastAsia="en-US"/>
        </w:rPr>
        <w:t xml:space="preserve">, C. N., Dozie, U. W., Obani, S. I., </w:t>
      </w:r>
      <w:proofErr w:type="spellStart"/>
      <w:r w:rsidRPr="006C375B">
        <w:rPr>
          <w:lang w:val="en-US" w:eastAsia="en-US"/>
        </w:rPr>
        <w:t>Uwandu</w:t>
      </w:r>
      <w:proofErr w:type="spellEnd"/>
      <w:r w:rsidRPr="006C375B">
        <w:rPr>
          <w:lang w:val="en-US" w:eastAsia="en-US"/>
        </w:rPr>
        <w:t xml:space="preserve">-Uzoma, A. C., </w:t>
      </w:r>
      <w:proofErr w:type="spellStart"/>
      <w:r w:rsidRPr="006C375B">
        <w:rPr>
          <w:lang w:val="en-US" w:eastAsia="en-US"/>
        </w:rPr>
        <w:t>Nwaokoro</w:t>
      </w:r>
      <w:proofErr w:type="spellEnd"/>
      <w:r w:rsidRPr="006C375B">
        <w:rPr>
          <w:lang w:val="en-US" w:eastAsia="en-US"/>
        </w:rPr>
        <w:t xml:space="preserve">, C. J., Udeh, M. U., Eneh, S. C., Uwaezuoke, A. C., Iwuji, K. M., </w:t>
      </w:r>
      <w:proofErr w:type="spellStart"/>
      <w:r w:rsidRPr="006C375B">
        <w:rPr>
          <w:lang w:val="en-US" w:eastAsia="en-US"/>
        </w:rPr>
        <w:t>Udoewah</w:t>
      </w:r>
      <w:proofErr w:type="spellEnd"/>
      <w:r w:rsidRPr="006C375B">
        <w:rPr>
          <w:lang w:val="en-US" w:eastAsia="en-US"/>
        </w:rPr>
        <w:t xml:space="preserve">, S. A., </w:t>
      </w:r>
      <w:proofErr w:type="spellStart"/>
      <w:r w:rsidRPr="006C375B">
        <w:rPr>
          <w:lang w:val="en-US" w:eastAsia="en-US"/>
        </w:rPr>
        <w:t>Uzowuihe</w:t>
      </w:r>
      <w:proofErr w:type="spellEnd"/>
      <w:r w:rsidRPr="006C375B">
        <w:rPr>
          <w:lang w:val="en-US" w:eastAsia="en-US"/>
        </w:rPr>
        <w:t xml:space="preserve">, P. N., &amp; </w:t>
      </w:r>
      <w:proofErr w:type="spellStart"/>
      <w:r w:rsidRPr="006C375B">
        <w:rPr>
          <w:lang w:val="en-US" w:eastAsia="en-US"/>
        </w:rPr>
        <w:t>Maduekwe</w:t>
      </w:r>
      <w:proofErr w:type="spellEnd"/>
      <w:r w:rsidRPr="006C375B">
        <w:rPr>
          <w:lang w:val="en-US" w:eastAsia="en-US"/>
        </w:rPr>
        <w:t xml:space="preserve">, V. C. (2022). Examination of common occupational hazards among healthcare workers in a university healthcare center in Southeastern Nigeria. </w:t>
      </w:r>
      <w:r w:rsidRPr="006C375B">
        <w:rPr>
          <w:i/>
          <w:iCs/>
          <w:lang w:val="en-US" w:eastAsia="en-US"/>
        </w:rPr>
        <w:t>Health, 14</w:t>
      </w:r>
      <w:r w:rsidRPr="006C375B">
        <w:rPr>
          <w:lang w:val="en-US" w:eastAsia="en-US"/>
        </w:rPr>
        <w:t xml:space="preserve">(8), 833–852. </w:t>
      </w:r>
      <w:hyperlink r:id="rId18" w:history="1">
        <w:r w:rsidRPr="006C375B">
          <w:rPr>
            <w:color w:val="0000FF"/>
            <w:u w:val="single"/>
            <w:lang w:val="en-US" w:eastAsia="en-US"/>
          </w:rPr>
          <w:t>https://doi.org/10.4236/health.2022.148059</w:t>
        </w:r>
      </w:hyperlink>
    </w:p>
    <w:p w14:paraId="17BF7249"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Lim, M. C., Jeffree, M. S., </w:t>
      </w:r>
      <w:proofErr w:type="spellStart"/>
      <w:r w:rsidRPr="006C375B">
        <w:rPr>
          <w:lang w:val="en-US" w:eastAsia="en-US"/>
        </w:rPr>
        <w:t>Saupin</w:t>
      </w:r>
      <w:proofErr w:type="spellEnd"/>
      <w:r w:rsidRPr="006C375B">
        <w:rPr>
          <w:lang w:val="en-US" w:eastAsia="en-US"/>
        </w:rPr>
        <w:t xml:space="preserve">, S. S., </w:t>
      </w:r>
      <w:proofErr w:type="spellStart"/>
      <w:r w:rsidRPr="006C375B">
        <w:rPr>
          <w:lang w:val="en-US" w:eastAsia="en-US"/>
        </w:rPr>
        <w:t>Giloi</w:t>
      </w:r>
      <w:proofErr w:type="spellEnd"/>
      <w:r w:rsidRPr="006C375B">
        <w:rPr>
          <w:lang w:val="en-US" w:eastAsia="en-US"/>
        </w:rPr>
        <w:t xml:space="preserve">, N., &amp; Lukman, K. A. (2022). Workplace violence in healthcare settings: The risk factors, implications and collaborative preventive measures. </w:t>
      </w:r>
      <w:r w:rsidRPr="006C375B">
        <w:rPr>
          <w:i/>
          <w:iCs/>
          <w:lang w:val="en-US" w:eastAsia="en-US"/>
        </w:rPr>
        <w:t>Annals of Medicine and Surgery, 78</w:t>
      </w:r>
      <w:r w:rsidRPr="006C375B">
        <w:rPr>
          <w:lang w:val="en-US" w:eastAsia="en-US"/>
        </w:rPr>
        <w:t xml:space="preserve">, 103727. </w:t>
      </w:r>
      <w:hyperlink r:id="rId19" w:history="1">
        <w:r w:rsidRPr="006C375B">
          <w:rPr>
            <w:color w:val="0000FF"/>
            <w:u w:val="single"/>
            <w:lang w:val="en-US" w:eastAsia="en-US"/>
          </w:rPr>
          <w:t>https://doi.org/10.1016/j.amsu.2022.103727</w:t>
        </w:r>
      </w:hyperlink>
    </w:p>
    <w:p w14:paraId="269016C4" w14:textId="77777777"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Lyakurwa</w:t>
      </w:r>
      <w:proofErr w:type="spellEnd"/>
      <w:r w:rsidRPr="006C375B">
        <w:rPr>
          <w:lang w:val="en-US" w:eastAsia="en-US"/>
        </w:rPr>
        <w:t xml:space="preserve">, D. M., Khalfan, S. S., Mugisha, J., &amp; Yao, W. (2024). Occupational hazards among healthcare workers in Tanzania: A scoping review. </w:t>
      </w:r>
      <w:r w:rsidRPr="006C375B">
        <w:rPr>
          <w:i/>
          <w:iCs/>
          <w:lang w:val="en-US" w:eastAsia="en-US"/>
        </w:rPr>
        <w:t>Discover Public Health, 21</w:t>
      </w:r>
      <w:r w:rsidRPr="006C375B">
        <w:rPr>
          <w:lang w:val="en-US" w:eastAsia="en-US"/>
        </w:rPr>
        <w:t xml:space="preserve">, 32. </w:t>
      </w:r>
      <w:hyperlink r:id="rId20" w:history="1">
        <w:r w:rsidRPr="006C375B">
          <w:rPr>
            <w:color w:val="0000FF"/>
            <w:u w:val="single"/>
            <w:lang w:val="en-US" w:eastAsia="en-US"/>
          </w:rPr>
          <w:t>https://doi.org/10.1186/s12982-024-00160-7</w:t>
        </w:r>
      </w:hyperlink>
    </w:p>
    <w:p w14:paraId="00C6122E"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lastRenderedPageBreak/>
        <w:t xml:space="preserve">Mossburg, S., </w:t>
      </w:r>
      <w:proofErr w:type="spellStart"/>
      <w:r w:rsidRPr="006C375B">
        <w:rPr>
          <w:lang w:val="en-US" w:eastAsia="en-US"/>
        </w:rPr>
        <w:t>Agore</w:t>
      </w:r>
      <w:proofErr w:type="spellEnd"/>
      <w:r w:rsidRPr="006C375B">
        <w:rPr>
          <w:lang w:val="en-US" w:eastAsia="en-US"/>
        </w:rPr>
        <w:t xml:space="preserve">, A., </w:t>
      </w:r>
      <w:proofErr w:type="spellStart"/>
      <w:r w:rsidRPr="006C375B">
        <w:rPr>
          <w:lang w:val="en-US" w:eastAsia="en-US"/>
        </w:rPr>
        <w:t>Nkimbeng</w:t>
      </w:r>
      <w:proofErr w:type="spellEnd"/>
      <w:r w:rsidRPr="006C375B">
        <w:rPr>
          <w:lang w:val="en-US" w:eastAsia="en-US"/>
        </w:rPr>
        <w:t xml:space="preserve">, M., &amp; Commodore-Mensah, Y. (2019). Occupational hazards among healthcare workers in Africa: A systematic review. </w:t>
      </w:r>
      <w:r w:rsidRPr="006C375B">
        <w:rPr>
          <w:i/>
          <w:iCs/>
          <w:lang w:val="en-US" w:eastAsia="en-US"/>
        </w:rPr>
        <w:t>Annals of Global Health, 85</w:t>
      </w:r>
      <w:r w:rsidRPr="006C375B">
        <w:rPr>
          <w:lang w:val="en-US" w:eastAsia="en-US"/>
        </w:rPr>
        <w:t xml:space="preserve">(1), 78. </w:t>
      </w:r>
      <w:hyperlink r:id="rId21" w:history="1">
        <w:r w:rsidRPr="006C375B">
          <w:rPr>
            <w:color w:val="0000FF"/>
            <w:u w:val="single"/>
            <w:lang w:val="en-US" w:eastAsia="en-US"/>
          </w:rPr>
          <w:t>https://doi.org/10.5334/aogh.2434</w:t>
        </w:r>
      </w:hyperlink>
    </w:p>
    <w:p w14:paraId="49B4324C" w14:textId="77777777"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Nwoga</w:t>
      </w:r>
      <w:proofErr w:type="spellEnd"/>
      <w:r w:rsidRPr="006C375B">
        <w:rPr>
          <w:lang w:val="en-US" w:eastAsia="en-US"/>
        </w:rPr>
        <w:t xml:space="preserve">, H. O., </w:t>
      </w:r>
      <w:proofErr w:type="spellStart"/>
      <w:r w:rsidRPr="006C375B">
        <w:rPr>
          <w:lang w:val="en-US" w:eastAsia="en-US"/>
        </w:rPr>
        <w:t>Ajuba</w:t>
      </w:r>
      <w:proofErr w:type="spellEnd"/>
      <w:r w:rsidRPr="006C375B">
        <w:rPr>
          <w:lang w:val="en-US" w:eastAsia="en-US"/>
        </w:rPr>
        <w:t xml:space="preserve">, M. O., &amp; </w:t>
      </w:r>
      <w:proofErr w:type="spellStart"/>
      <w:r w:rsidRPr="006C375B">
        <w:rPr>
          <w:lang w:val="en-US" w:eastAsia="en-US"/>
        </w:rPr>
        <w:t>Omotowo</w:t>
      </w:r>
      <w:proofErr w:type="spellEnd"/>
      <w:r w:rsidRPr="006C375B">
        <w:rPr>
          <w:lang w:val="en-US" w:eastAsia="en-US"/>
        </w:rPr>
        <w:t xml:space="preserve">, B. (2020). Prevalence of occupational accidents among healthcare workers in government primary health facilities in Enugu metropolis, South-East Nigeria. </w:t>
      </w:r>
      <w:r w:rsidRPr="006C375B">
        <w:rPr>
          <w:i/>
          <w:iCs/>
          <w:lang w:val="en-US" w:eastAsia="en-US"/>
        </w:rPr>
        <w:t>International Journal of Scientific and Research Publications, 10</w:t>
      </w:r>
      <w:r w:rsidRPr="006C375B">
        <w:rPr>
          <w:lang w:val="en-US" w:eastAsia="en-US"/>
        </w:rPr>
        <w:t xml:space="preserve">(6), 668–673. </w:t>
      </w:r>
      <w:hyperlink r:id="rId22" w:history="1">
        <w:r w:rsidRPr="006C375B">
          <w:rPr>
            <w:color w:val="0000FF"/>
            <w:u w:val="single"/>
            <w:lang w:val="en-US" w:eastAsia="en-US"/>
          </w:rPr>
          <w:t>https://doi.org/10.29322/IJSRP.10.06.2020.p10278</w:t>
        </w:r>
      </w:hyperlink>
    </w:p>
    <w:p w14:paraId="20FA614F"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nl-BE" w:eastAsia="en-US"/>
        </w:rPr>
        <w:t xml:space="preserve">Nwosu, A. D. G., Ossai, E., Onwuasoigwe, O., Ezeigweneme, M., &amp; Okpamen, J. (2021). </w:t>
      </w:r>
      <w:r w:rsidRPr="006C375B">
        <w:rPr>
          <w:lang w:val="en-US" w:eastAsia="en-US"/>
        </w:rPr>
        <w:t xml:space="preserve">Burnout and presenteeism among healthcare workers in Nigeria: Implications for patient care, occupational health and workforce productivity. </w:t>
      </w:r>
      <w:r w:rsidRPr="006C375B">
        <w:rPr>
          <w:i/>
          <w:iCs/>
          <w:lang w:val="en-US" w:eastAsia="en-US"/>
        </w:rPr>
        <w:t>Journal of Public Health Research, 10</w:t>
      </w:r>
      <w:r w:rsidRPr="006C375B">
        <w:rPr>
          <w:lang w:val="en-US" w:eastAsia="en-US"/>
        </w:rPr>
        <w:t xml:space="preserve">(1), 1900. </w:t>
      </w:r>
      <w:hyperlink r:id="rId23" w:history="1">
        <w:r w:rsidRPr="006C375B">
          <w:rPr>
            <w:color w:val="0000FF"/>
            <w:u w:val="single"/>
            <w:lang w:val="en-US" w:eastAsia="en-US"/>
          </w:rPr>
          <w:t>https://doi.org/10.4081/jphr.2021.1900</w:t>
        </w:r>
      </w:hyperlink>
    </w:p>
    <w:p w14:paraId="4073CE85" w14:textId="4D2FBEED"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Obono, M., Adeosun, S. A., Olaiya, P. A., &amp; Adesina, A. (2019). Assessment of the knowledge, attitudes and perception of potential occupational hazards by healthcare workers in a tertiary healthcare facility in Lagos, Nigeria. </w:t>
      </w:r>
      <w:r w:rsidRPr="006C375B">
        <w:rPr>
          <w:i/>
          <w:iCs/>
          <w:lang w:val="en-US" w:eastAsia="en-US"/>
        </w:rPr>
        <w:t>International Journal of Research and Scientific Innovation, 6</w:t>
      </w:r>
      <w:r w:rsidRPr="006C375B">
        <w:rPr>
          <w:lang w:val="en-US" w:eastAsia="en-US"/>
        </w:rPr>
        <w:t xml:space="preserve">(4), 243–264. </w:t>
      </w:r>
    </w:p>
    <w:p w14:paraId="35C68E59" w14:textId="77777777"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Odonkor</w:t>
      </w:r>
      <w:proofErr w:type="spellEnd"/>
      <w:r w:rsidRPr="006C375B">
        <w:rPr>
          <w:lang w:val="en-US" w:eastAsia="en-US"/>
        </w:rPr>
        <w:t xml:space="preserve">, S. T., &amp; </w:t>
      </w:r>
      <w:proofErr w:type="spellStart"/>
      <w:r w:rsidRPr="006C375B">
        <w:rPr>
          <w:lang w:val="en-US" w:eastAsia="en-US"/>
        </w:rPr>
        <w:t>Sallar</w:t>
      </w:r>
      <w:proofErr w:type="spellEnd"/>
      <w:r w:rsidRPr="006C375B">
        <w:rPr>
          <w:lang w:val="en-US" w:eastAsia="en-US"/>
        </w:rPr>
        <w:t xml:space="preserve">, A. M. (2024). Occupational health and safety knowledge, attitudes and practices among healthcare workers in Accra, Ghana. </w:t>
      </w:r>
      <w:r w:rsidRPr="006C375B">
        <w:rPr>
          <w:i/>
          <w:iCs/>
          <w:lang w:val="en-US" w:eastAsia="en-US"/>
        </w:rPr>
        <w:t>Scientific African, 24</w:t>
      </w:r>
      <w:r w:rsidRPr="006C375B">
        <w:rPr>
          <w:lang w:val="en-US" w:eastAsia="en-US"/>
        </w:rPr>
        <w:t xml:space="preserve">, e02130. </w:t>
      </w:r>
      <w:hyperlink r:id="rId24" w:history="1">
        <w:r w:rsidRPr="006C375B">
          <w:rPr>
            <w:color w:val="0000FF"/>
            <w:u w:val="single"/>
            <w:lang w:val="en-US" w:eastAsia="en-US"/>
          </w:rPr>
          <w:t>https://doi.org/10.1016/j.sciaf.2024.e02130</w:t>
        </w:r>
      </w:hyperlink>
    </w:p>
    <w:p w14:paraId="1D4FB17E"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Ogah, P. O., </w:t>
      </w:r>
      <w:proofErr w:type="spellStart"/>
      <w:r w:rsidRPr="006C375B">
        <w:rPr>
          <w:lang w:val="en-US" w:eastAsia="en-US"/>
        </w:rPr>
        <w:t>Uguru</w:t>
      </w:r>
      <w:proofErr w:type="spellEnd"/>
      <w:r w:rsidRPr="006C375B">
        <w:rPr>
          <w:lang w:val="en-US" w:eastAsia="en-US"/>
        </w:rPr>
        <w:t xml:space="preserve">, N., Okeke, C., Mohammed, N., Ogbe, O., </w:t>
      </w:r>
      <w:proofErr w:type="spellStart"/>
      <w:r w:rsidRPr="006C375B">
        <w:rPr>
          <w:lang w:val="en-US" w:eastAsia="en-US"/>
        </w:rPr>
        <w:t>Ashiver</w:t>
      </w:r>
      <w:proofErr w:type="spellEnd"/>
      <w:r w:rsidRPr="006C375B">
        <w:rPr>
          <w:lang w:val="en-US" w:eastAsia="en-US"/>
        </w:rPr>
        <w:t xml:space="preserve">, W. G., &amp; Aina, M. (2024). Primary health care in Nigeria: Best practices and quality of care in Nigeria. </w:t>
      </w:r>
      <w:r w:rsidRPr="006C375B">
        <w:rPr>
          <w:i/>
          <w:iCs/>
          <w:lang w:val="en-US" w:eastAsia="en-US"/>
        </w:rPr>
        <w:t>BMC Health Services Research, 24</w:t>
      </w:r>
      <w:r w:rsidRPr="006C375B">
        <w:rPr>
          <w:lang w:val="en-US" w:eastAsia="en-US"/>
        </w:rPr>
        <w:t xml:space="preserve">(1), 963. </w:t>
      </w:r>
      <w:hyperlink r:id="rId25" w:history="1">
        <w:r w:rsidRPr="006C375B">
          <w:rPr>
            <w:color w:val="0000FF"/>
            <w:u w:val="single"/>
            <w:lang w:val="en-US" w:eastAsia="en-US"/>
          </w:rPr>
          <w:t>https://doi.org/10.1186/s12913-024-11406-0</w:t>
        </w:r>
      </w:hyperlink>
    </w:p>
    <w:p w14:paraId="1558FB5A" w14:textId="3BBC5D0B"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Okeafor</w:t>
      </w:r>
      <w:proofErr w:type="spellEnd"/>
      <w:r w:rsidRPr="006C375B">
        <w:rPr>
          <w:lang w:val="en-US" w:eastAsia="en-US"/>
        </w:rPr>
        <w:t xml:space="preserve">, C. U., &amp; Alamina, F. E. (2018). A qualitative study on psychosocial hazards among health care workers in a tertiary health facility in South-South Nigeria. </w:t>
      </w:r>
      <w:r w:rsidRPr="006C375B">
        <w:rPr>
          <w:i/>
          <w:iCs/>
          <w:lang w:val="en-US" w:eastAsia="en-US"/>
        </w:rPr>
        <w:t>Annals of Ibadan Postgraduate Medicine, 16</w:t>
      </w:r>
      <w:r w:rsidRPr="006C375B">
        <w:rPr>
          <w:lang w:val="en-US" w:eastAsia="en-US"/>
        </w:rPr>
        <w:t xml:space="preserve">(1), 23–29. </w:t>
      </w:r>
    </w:p>
    <w:p w14:paraId="11AF779A"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Okoroafor, S. C., Ahmat, A., </w:t>
      </w:r>
      <w:proofErr w:type="spellStart"/>
      <w:r w:rsidRPr="006C375B">
        <w:rPr>
          <w:lang w:val="en-US" w:eastAsia="en-US"/>
        </w:rPr>
        <w:t>Osubor</w:t>
      </w:r>
      <w:proofErr w:type="spellEnd"/>
      <w:r w:rsidRPr="006C375B">
        <w:rPr>
          <w:lang w:val="en-US" w:eastAsia="en-US"/>
        </w:rPr>
        <w:t xml:space="preserve">, M., Nyoni, J., Bassey, J., &amp; Alemu, W. (2022). Assessing the staffing needs for primary health care centers in Cross River State, Nigeria: A workload indicators of staffing needs study. </w:t>
      </w:r>
      <w:r w:rsidRPr="006C375B">
        <w:rPr>
          <w:i/>
          <w:iCs/>
          <w:lang w:val="en-US" w:eastAsia="en-US"/>
        </w:rPr>
        <w:t>Human Resources for Health, 19</w:t>
      </w:r>
      <w:r w:rsidRPr="006C375B">
        <w:rPr>
          <w:lang w:val="en-US" w:eastAsia="en-US"/>
        </w:rPr>
        <w:t xml:space="preserve">(Suppl 1), 108. </w:t>
      </w:r>
      <w:hyperlink r:id="rId26" w:history="1">
        <w:r w:rsidRPr="006C375B">
          <w:rPr>
            <w:color w:val="0000FF"/>
            <w:u w:val="single"/>
            <w:lang w:val="en-US" w:eastAsia="en-US"/>
          </w:rPr>
          <w:t>https://doi.org/10.1186/s12960-021-00648-2</w:t>
        </w:r>
      </w:hyperlink>
    </w:p>
    <w:p w14:paraId="138C0280"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nl-BE" w:eastAsia="en-US"/>
        </w:rPr>
        <w:t xml:space="preserve">Omoleke, S. A., Usman, N., Kanmodi, K. K., &amp; Ashiru, M. M. (2021). </w:t>
      </w:r>
      <w:r w:rsidRPr="006C375B">
        <w:rPr>
          <w:lang w:val="en-US" w:eastAsia="en-US"/>
        </w:rPr>
        <w:t xml:space="preserve">Medical waste management at the primary healthcare </w:t>
      </w:r>
      <w:proofErr w:type="spellStart"/>
      <w:r w:rsidRPr="006C375B">
        <w:rPr>
          <w:lang w:val="en-US" w:eastAsia="en-US"/>
        </w:rPr>
        <w:t>centres</w:t>
      </w:r>
      <w:proofErr w:type="spellEnd"/>
      <w:r w:rsidRPr="006C375B">
        <w:rPr>
          <w:lang w:val="en-US" w:eastAsia="en-US"/>
        </w:rPr>
        <w:t xml:space="preserve"> in a north western Nigerian State: Findings from a low-resource setting. </w:t>
      </w:r>
      <w:r w:rsidRPr="006C375B">
        <w:rPr>
          <w:i/>
          <w:iCs/>
          <w:lang w:val="en-US" w:eastAsia="en-US"/>
        </w:rPr>
        <w:t>Public Health in Practice, 2</w:t>
      </w:r>
      <w:r w:rsidRPr="006C375B">
        <w:rPr>
          <w:lang w:val="en-US" w:eastAsia="en-US"/>
        </w:rPr>
        <w:t xml:space="preserve">, 100092. </w:t>
      </w:r>
      <w:hyperlink r:id="rId27" w:history="1">
        <w:r w:rsidRPr="006C375B">
          <w:rPr>
            <w:color w:val="0000FF"/>
            <w:u w:val="single"/>
            <w:lang w:val="en-US" w:eastAsia="en-US"/>
          </w:rPr>
          <w:t>https://doi.org/10.1016/j.puhip.2021.100092</w:t>
        </w:r>
      </w:hyperlink>
    </w:p>
    <w:p w14:paraId="7D489AC6" w14:textId="77777777" w:rsidR="006C375B" w:rsidRPr="006C375B" w:rsidRDefault="006C375B" w:rsidP="006C375B">
      <w:pPr>
        <w:spacing w:before="100" w:beforeAutospacing="1" w:after="100" w:afterAutospacing="1"/>
        <w:ind w:left="540" w:hanging="540"/>
        <w:jc w:val="both"/>
        <w:rPr>
          <w:lang w:val="en-US" w:eastAsia="en-US"/>
        </w:rPr>
      </w:pPr>
      <w:proofErr w:type="spellStart"/>
      <w:r w:rsidRPr="006C375B">
        <w:rPr>
          <w:lang w:val="en-US" w:eastAsia="en-US"/>
        </w:rPr>
        <w:t>Onosakponome</w:t>
      </w:r>
      <w:proofErr w:type="spellEnd"/>
      <w:r w:rsidRPr="006C375B">
        <w:rPr>
          <w:lang w:val="en-US" w:eastAsia="en-US"/>
        </w:rPr>
        <w:t xml:space="preserve">, E. O., Lenox-Prince, T.-O., Ike, A. O., Nyenke, C. U., &amp; Bruce, I. (2023). Association between risk factors and occupational hazards among health workers in Port Harcourt, Nigeria. </w:t>
      </w:r>
      <w:r w:rsidRPr="006C375B">
        <w:rPr>
          <w:i/>
          <w:iCs/>
          <w:lang w:val="en-US" w:eastAsia="en-US"/>
        </w:rPr>
        <w:t>Asian Journal of Medicine and Health, 21</w:t>
      </w:r>
      <w:r w:rsidRPr="006C375B">
        <w:rPr>
          <w:lang w:val="en-US" w:eastAsia="en-US"/>
        </w:rPr>
        <w:t xml:space="preserve">(12), 54–66. </w:t>
      </w:r>
      <w:hyperlink r:id="rId28" w:history="1">
        <w:r w:rsidRPr="006C375B">
          <w:rPr>
            <w:color w:val="0000FF"/>
            <w:u w:val="single"/>
            <w:lang w:val="en-US" w:eastAsia="en-US"/>
          </w:rPr>
          <w:t>https://doi.org/10.9734/ajmah/2023/v21i12960</w:t>
        </w:r>
      </w:hyperlink>
    </w:p>
    <w:p w14:paraId="6566998F"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lastRenderedPageBreak/>
        <w:t xml:space="preserve">Opoku, S. Y., Yeboah, C., </w:t>
      </w:r>
      <w:proofErr w:type="spellStart"/>
      <w:r w:rsidRPr="006C375B">
        <w:rPr>
          <w:lang w:val="en-US" w:eastAsia="en-US"/>
        </w:rPr>
        <w:t>Ampon-Wireko</w:t>
      </w:r>
      <w:proofErr w:type="spellEnd"/>
      <w:r w:rsidRPr="006C375B">
        <w:rPr>
          <w:lang w:val="en-US" w:eastAsia="en-US"/>
        </w:rPr>
        <w:t xml:space="preserve">, S., &amp; </w:t>
      </w:r>
      <w:proofErr w:type="spellStart"/>
      <w:r w:rsidRPr="006C375B">
        <w:rPr>
          <w:lang w:val="en-US" w:eastAsia="en-US"/>
        </w:rPr>
        <w:t>Hinneh</w:t>
      </w:r>
      <w:proofErr w:type="spellEnd"/>
      <w:r w:rsidRPr="006C375B">
        <w:rPr>
          <w:lang w:val="en-US" w:eastAsia="en-US"/>
        </w:rPr>
        <w:t xml:space="preserve">, R. K. (2023). Occupational health and safety hazards experienced by healthcare workers at two hospitals in Suyani, Bono Region, Ghana. </w:t>
      </w:r>
      <w:r w:rsidRPr="006C375B">
        <w:rPr>
          <w:i/>
          <w:iCs/>
          <w:lang w:val="en-US" w:eastAsia="en-US"/>
        </w:rPr>
        <w:t>Occupational Diseases and Environmental Medicine, 11</w:t>
      </w:r>
      <w:r w:rsidRPr="006C375B">
        <w:rPr>
          <w:lang w:val="en-US" w:eastAsia="en-US"/>
        </w:rPr>
        <w:t xml:space="preserve">(2), 122–136. </w:t>
      </w:r>
      <w:hyperlink r:id="rId29" w:history="1">
        <w:r w:rsidRPr="006C375B">
          <w:rPr>
            <w:color w:val="0000FF"/>
            <w:u w:val="single"/>
            <w:lang w:val="en-US" w:eastAsia="en-US"/>
          </w:rPr>
          <w:t>https://doi.org/10.4236/odem.2023.112008</w:t>
        </w:r>
      </w:hyperlink>
    </w:p>
    <w:p w14:paraId="2C1DF810"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Patel, L. N., </w:t>
      </w:r>
      <w:proofErr w:type="spellStart"/>
      <w:r w:rsidRPr="006C375B">
        <w:rPr>
          <w:lang w:val="en-US" w:eastAsia="en-US"/>
        </w:rPr>
        <w:t>Kozikott</w:t>
      </w:r>
      <w:proofErr w:type="spellEnd"/>
      <w:r w:rsidRPr="006C375B">
        <w:rPr>
          <w:lang w:val="en-US" w:eastAsia="en-US"/>
        </w:rPr>
        <w:t xml:space="preserve">, S., Ilboudo, R., </w:t>
      </w:r>
      <w:proofErr w:type="spellStart"/>
      <w:r w:rsidRPr="006C375B">
        <w:rPr>
          <w:lang w:val="en-US" w:eastAsia="en-US"/>
        </w:rPr>
        <w:t>Kamateeka</w:t>
      </w:r>
      <w:proofErr w:type="spellEnd"/>
      <w:r w:rsidRPr="006C375B">
        <w:rPr>
          <w:lang w:val="en-US" w:eastAsia="en-US"/>
        </w:rPr>
        <w:t xml:space="preserve">, M., </w:t>
      </w:r>
      <w:proofErr w:type="spellStart"/>
      <w:r w:rsidRPr="006C375B">
        <w:rPr>
          <w:lang w:val="en-US" w:eastAsia="en-US"/>
        </w:rPr>
        <w:t>Lamorde</w:t>
      </w:r>
      <w:proofErr w:type="spellEnd"/>
      <w:r w:rsidRPr="006C375B">
        <w:rPr>
          <w:lang w:val="en-US" w:eastAsia="en-US"/>
        </w:rPr>
        <w:t xml:space="preserve">, M., Subah, M., </w:t>
      </w:r>
      <w:proofErr w:type="spellStart"/>
      <w:r w:rsidRPr="006C375B">
        <w:rPr>
          <w:lang w:val="en-US" w:eastAsia="en-US"/>
        </w:rPr>
        <w:t>Tsiouris</w:t>
      </w:r>
      <w:proofErr w:type="spellEnd"/>
      <w:r w:rsidRPr="006C375B">
        <w:rPr>
          <w:lang w:val="en-US" w:eastAsia="en-US"/>
        </w:rPr>
        <w:t>, F., Vorndran, A., Lee, C. T., African Primary Health Care IPC Strengthening Community of Practice, Abdu-</w:t>
      </w:r>
      <w:proofErr w:type="spellStart"/>
      <w:r w:rsidRPr="006C375B">
        <w:rPr>
          <w:lang w:val="en-US" w:eastAsia="en-US"/>
        </w:rPr>
        <w:t>Aguye</w:t>
      </w:r>
      <w:proofErr w:type="spellEnd"/>
      <w:r w:rsidRPr="006C375B">
        <w:rPr>
          <w:lang w:val="en-US" w:eastAsia="en-US"/>
        </w:rPr>
        <w:t xml:space="preserve">, R., Abdulkadir, U. G., Adamu, U. S., Aina, O., Amone, J., </w:t>
      </w:r>
      <w:proofErr w:type="spellStart"/>
      <w:r w:rsidRPr="006C375B">
        <w:rPr>
          <w:lang w:val="en-US" w:eastAsia="en-US"/>
        </w:rPr>
        <w:t>Bammeke</w:t>
      </w:r>
      <w:proofErr w:type="spellEnd"/>
      <w:r w:rsidRPr="006C375B">
        <w:rPr>
          <w:lang w:val="en-US" w:eastAsia="en-US"/>
        </w:rPr>
        <w:t xml:space="preserve">, P., Bello, B. G., Brudney, K., Chae, S.-R., … Worku, H. A. (2021). Safer primary healthcare facilities are needed to protect healthcare workers and maintain essential services: Lessons learned from a </w:t>
      </w:r>
      <w:proofErr w:type="spellStart"/>
      <w:r w:rsidRPr="006C375B">
        <w:rPr>
          <w:lang w:val="en-US" w:eastAsia="en-US"/>
        </w:rPr>
        <w:t>multicountry</w:t>
      </w:r>
      <w:proofErr w:type="spellEnd"/>
      <w:r w:rsidRPr="006C375B">
        <w:rPr>
          <w:lang w:val="en-US" w:eastAsia="en-US"/>
        </w:rPr>
        <w:t xml:space="preserve"> COVID-19 emergency response initiative. </w:t>
      </w:r>
      <w:r w:rsidRPr="006C375B">
        <w:rPr>
          <w:i/>
          <w:iCs/>
          <w:lang w:val="en-US" w:eastAsia="en-US"/>
        </w:rPr>
        <w:t>BMJ Global Health, 6</w:t>
      </w:r>
      <w:r w:rsidRPr="006C375B">
        <w:rPr>
          <w:lang w:val="en-US" w:eastAsia="en-US"/>
        </w:rPr>
        <w:t xml:space="preserve">(6), e005833. </w:t>
      </w:r>
      <w:hyperlink r:id="rId30" w:history="1">
        <w:r w:rsidRPr="006C375B">
          <w:rPr>
            <w:color w:val="0000FF"/>
            <w:u w:val="single"/>
            <w:lang w:val="en-US" w:eastAsia="en-US"/>
          </w:rPr>
          <w:t>https://doi.org/10.1136/bmjgh-2021-005833</w:t>
        </w:r>
      </w:hyperlink>
    </w:p>
    <w:p w14:paraId="14C253FC" w14:textId="77777777" w:rsidR="006C375B" w:rsidRPr="006C375B" w:rsidRDefault="006C375B" w:rsidP="006C375B">
      <w:pPr>
        <w:spacing w:before="100" w:beforeAutospacing="1" w:after="100" w:afterAutospacing="1"/>
        <w:ind w:left="540" w:hanging="540"/>
        <w:jc w:val="both"/>
        <w:rPr>
          <w:lang w:val="en-US" w:eastAsia="en-US"/>
        </w:rPr>
      </w:pPr>
      <w:r w:rsidRPr="006C375B">
        <w:rPr>
          <w:lang w:val="en-US" w:eastAsia="en-US"/>
        </w:rPr>
        <w:t xml:space="preserve">Rai, R., El-Zaemey, S., Dorji, N., Rai, B. D., &amp; Fritschi, L. (2021). Exposure to occupational hazards among health care workers in low- and middle-income countries: A scoping review. </w:t>
      </w:r>
      <w:r w:rsidRPr="006C375B">
        <w:rPr>
          <w:i/>
          <w:iCs/>
          <w:lang w:val="en-US" w:eastAsia="en-US"/>
        </w:rPr>
        <w:t>International Journal of Environmental Research and Public Health, 18</w:t>
      </w:r>
      <w:r w:rsidRPr="006C375B">
        <w:rPr>
          <w:lang w:val="en-US" w:eastAsia="en-US"/>
        </w:rPr>
        <w:t xml:space="preserve">(5), 2603. </w:t>
      </w:r>
      <w:hyperlink r:id="rId31" w:history="1">
        <w:r w:rsidRPr="006C375B">
          <w:rPr>
            <w:color w:val="0000FF"/>
            <w:u w:val="single"/>
            <w:lang w:val="en-US" w:eastAsia="en-US"/>
          </w:rPr>
          <w:t>https://doi.org/10.3390/ijerph18052603</w:t>
        </w:r>
      </w:hyperlink>
    </w:p>
    <w:p w14:paraId="4FA6FF5B" w14:textId="032B0DC7" w:rsidR="00F1632A" w:rsidRPr="006C375B" w:rsidRDefault="00F1632A" w:rsidP="006C375B">
      <w:pPr>
        <w:spacing w:after="120"/>
        <w:ind w:left="720" w:hanging="720"/>
        <w:rPr>
          <w:lang w:val="en-US"/>
        </w:rPr>
      </w:pPr>
    </w:p>
    <w:sectPr w:rsidR="00F1632A" w:rsidRPr="006C375B">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6824" w14:textId="77777777" w:rsidR="00334DDB" w:rsidRDefault="00334DDB" w:rsidP="00A54E69">
      <w:r>
        <w:separator/>
      </w:r>
    </w:p>
  </w:endnote>
  <w:endnote w:type="continuationSeparator" w:id="0">
    <w:p w14:paraId="17E0607D" w14:textId="77777777" w:rsidR="00334DDB" w:rsidRDefault="00334DDB" w:rsidP="00A5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914" w14:textId="77777777" w:rsidR="00A54E69" w:rsidRDefault="00A54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F57A" w14:textId="77777777" w:rsidR="00A54E69" w:rsidRDefault="00A54E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363E" w14:textId="77777777" w:rsidR="00A54E69" w:rsidRDefault="00A54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5964" w14:textId="77777777" w:rsidR="00334DDB" w:rsidRDefault="00334DDB" w:rsidP="00A54E69">
      <w:r>
        <w:separator/>
      </w:r>
    </w:p>
  </w:footnote>
  <w:footnote w:type="continuationSeparator" w:id="0">
    <w:p w14:paraId="3AFCA303" w14:textId="77777777" w:rsidR="00334DDB" w:rsidRDefault="00334DDB" w:rsidP="00A5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9ADC" w14:textId="77777777" w:rsidR="00A54E69" w:rsidRDefault="00000000">
    <w:pPr>
      <w:pStyle w:val="Header"/>
    </w:pPr>
    <w:r>
      <w:rPr>
        <w:noProof/>
      </w:rPr>
      <w:pict w14:anchorId="373126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F6B66" w14:textId="77777777" w:rsidR="00A54E69" w:rsidRDefault="00000000">
    <w:pPr>
      <w:pStyle w:val="Header"/>
    </w:pPr>
    <w:r>
      <w:rPr>
        <w:noProof/>
      </w:rPr>
      <w:pict w14:anchorId="5BB82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A57F" w14:textId="77777777" w:rsidR="00A54E69" w:rsidRDefault="00000000">
    <w:pPr>
      <w:pStyle w:val="Header"/>
    </w:pPr>
    <w:r>
      <w:rPr>
        <w:noProof/>
      </w:rPr>
      <w:pict w14:anchorId="3F32BA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87969"/>
    <w:multiLevelType w:val="hybridMultilevel"/>
    <w:tmpl w:val="29C83EB8"/>
    <w:lvl w:ilvl="0" w:tplc="753C01DC">
      <w:start w:val="1"/>
      <w:numFmt w:val="bullet"/>
      <w:lvlText w:val="●"/>
      <w:lvlJc w:val="left"/>
      <w:pPr>
        <w:ind w:left="720" w:hanging="360"/>
      </w:pPr>
    </w:lvl>
    <w:lvl w:ilvl="1" w:tplc="D054D184">
      <w:start w:val="1"/>
      <w:numFmt w:val="bullet"/>
      <w:lvlText w:val="○"/>
      <w:lvlJc w:val="left"/>
      <w:pPr>
        <w:ind w:left="1440" w:hanging="360"/>
      </w:pPr>
    </w:lvl>
    <w:lvl w:ilvl="2" w:tplc="623E6052">
      <w:start w:val="1"/>
      <w:numFmt w:val="bullet"/>
      <w:lvlText w:val="■"/>
      <w:lvlJc w:val="left"/>
      <w:pPr>
        <w:ind w:left="2160" w:hanging="360"/>
      </w:pPr>
    </w:lvl>
    <w:lvl w:ilvl="3" w:tplc="9A3A182E">
      <w:start w:val="1"/>
      <w:numFmt w:val="bullet"/>
      <w:lvlText w:val="●"/>
      <w:lvlJc w:val="left"/>
      <w:pPr>
        <w:ind w:left="2880" w:hanging="360"/>
      </w:pPr>
    </w:lvl>
    <w:lvl w:ilvl="4" w:tplc="F4701BF0">
      <w:start w:val="1"/>
      <w:numFmt w:val="bullet"/>
      <w:lvlText w:val="○"/>
      <w:lvlJc w:val="left"/>
      <w:pPr>
        <w:ind w:left="3600" w:hanging="360"/>
      </w:pPr>
    </w:lvl>
    <w:lvl w:ilvl="5" w:tplc="0BEA896E">
      <w:start w:val="1"/>
      <w:numFmt w:val="bullet"/>
      <w:lvlText w:val="■"/>
      <w:lvlJc w:val="left"/>
      <w:pPr>
        <w:ind w:left="4320" w:hanging="360"/>
      </w:pPr>
    </w:lvl>
    <w:lvl w:ilvl="6" w:tplc="A5B0C370">
      <w:start w:val="1"/>
      <w:numFmt w:val="bullet"/>
      <w:lvlText w:val="●"/>
      <w:lvlJc w:val="left"/>
      <w:pPr>
        <w:ind w:left="5040" w:hanging="360"/>
      </w:pPr>
    </w:lvl>
    <w:lvl w:ilvl="7" w:tplc="1068C230">
      <w:start w:val="1"/>
      <w:numFmt w:val="bullet"/>
      <w:lvlText w:val="●"/>
      <w:lvlJc w:val="left"/>
      <w:pPr>
        <w:ind w:left="5760" w:hanging="360"/>
      </w:pPr>
    </w:lvl>
    <w:lvl w:ilvl="8" w:tplc="5CEAF8B6">
      <w:start w:val="1"/>
      <w:numFmt w:val="bullet"/>
      <w:lvlText w:val="●"/>
      <w:lvlJc w:val="left"/>
      <w:pPr>
        <w:ind w:left="6480" w:hanging="360"/>
      </w:pPr>
    </w:lvl>
  </w:abstractNum>
  <w:abstractNum w:abstractNumId="1" w15:restartNumberingAfterBreak="0">
    <w:nsid w:val="4391621A"/>
    <w:multiLevelType w:val="multilevel"/>
    <w:tmpl w:val="78863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7688175">
    <w:abstractNumId w:val="0"/>
    <w:lvlOverride w:ilvl="0">
      <w:startOverride w:val="1"/>
    </w:lvlOverride>
  </w:num>
  <w:num w:numId="2" w16cid:durableId="338000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32A"/>
    <w:rsid w:val="00032D28"/>
    <w:rsid w:val="0010378E"/>
    <w:rsid w:val="001069D7"/>
    <w:rsid w:val="00133FAD"/>
    <w:rsid w:val="00274829"/>
    <w:rsid w:val="00334DDB"/>
    <w:rsid w:val="005C119C"/>
    <w:rsid w:val="006147E0"/>
    <w:rsid w:val="006311A3"/>
    <w:rsid w:val="006A78A7"/>
    <w:rsid w:val="006C375B"/>
    <w:rsid w:val="00756CC1"/>
    <w:rsid w:val="00780403"/>
    <w:rsid w:val="007E4005"/>
    <w:rsid w:val="00A01BAE"/>
    <w:rsid w:val="00A54E69"/>
    <w:rsid w:val="00B060F0"/>
    <w:rsid w:val="00B30DFD"/>
    <w:rsid w:val="00B94E41"/>
    <w:rsid w:val="00D53402"/>
    <w:rsid w:val="00DB0B82"/>
    <w:rsid w:val="00DD6CAD"/>
    <w:rsid w:val="00F16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64E20"/>
  <w15:docId w15:val="{3738A0B9-E7BA-4578-9F5C-61F32EAF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060F0"/>
    <w:rPr>
      <w:color w:val="605E5C"/>
      <w:shd w:val="clear" w:color="auto" w:fill="E1DFDD"/>
    </w:rPr>
  </w:style>
  <w:style w:type="paragraph" w:styleId="Header">
    <w:name w:val="header"/>
    <w:basedOn w:val="Normal"/>
    <w:link w:val="HeaderChar"/>
    <w:uiPriority w:val="99"/>
    <w:unhideWhenUsed/>
    <w:rsid w:val="00A54E69"/>
    <w:pPr>
      <w:tabs>
        <w:tab w:val="center" w:pos="4680"/>
        <w:tab w:val="right" w:pos="9360"/>
      </w:tabs>
    </w:pPr>
  </w:style>
  <w:style w:type="character" w:customStyle="1" w:styleId="HeaderChar">
    <w:name w:val="Header Char"/>
    <w:basedOn w:val="DefaultParagraphFont"/>
    <w:link w:val="Header"/>
    <w:uiPriority w:val="99"/>
    <w:rsid w:val="00A54E69"/>
  </w:style>
  <w:style w:type="paragraph" w:styleId="Footer">
    <w:name w:val="footer"/>
    <w:basedOn w:val="Normal"/>
    <w:link w:val="FooterChar"/>
    <w:uiPriority w:val="99"/>
    <w:unhideWhenUsed/>
    <w:rsid w:val="00A54E69"/>
    <w:pPr>
      <w:tabs>
        <w:tab w:val="center" w:pos="4680"/>
        <w:tab w:val="right" w:pos="9360"/>
      </w:tabs>
    </w:pPr>
  </w:style>
  <w:style w:type="character" w:customStyle="1" w:styleId="FooterChar">
    <w:name w:val="Footer Char"/>
    <w:basedOn w:val="DefaultParagraphFont"/>
    <w:link w:val="Footer"/>
    <w:uiPriority w:val="99"/>
    <w:rsid w:val="00A54E69"/>
  </w:style>
  <w:style w:type="paragraph" w:customStyle="1" w:styleId="pdq2pgselectionanchorcontainer">
    <w:name w:val="pdq2pg_selectionanchorcontainer"/>
    <w:basedOn w:val="Normal"/>
    <w:rsid w:val="00133FA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36/bmjopen-2025-107492" TargetMode="External"/><Relationship Id="rId18" Type="http://schemas.openxmlformats.org/officeDocument/2006/relationships/hyperlink" Target="https://doi.org/10.4236/health.2022.148059" TargetMode="External"/><Relationship Id="rId26" Type="http://schemas.openxmlformats.org/officeDocument/2006/relationships/hyperlink" Target="https://doi.org/10.1186/s12960-021-00648-2" TargetMode="External"/><Relationship Id="rId39" Type="http://schemas.openxmlformats.org/officeDocument/2006/relationships/theme" Target="theme/theme1.xml"/><Relationship Id="rId21" Type="http://schemas.openxmlformats.org/officeDocument/2006/relationships/hyperlink" Target="https://doi.org/10.5334/aogh.2434" TargetMode="External"/><Relationship Id="rId34" Type="http://schemas.openxmlformats.org/officeDocument/2006/relationships/footer" Target="footer1.xml"/><Relationship Id="rId7" Type="http://schemas.openxmlformats.org/officeDocument/2006/relationships/hyperlink" Target="https://doi.org/10.4314/ajbr.v26i3.3" TargetMode="External"/><Relationship Id="rId12" Type="http://schemas.openxmlformats.org/officeDocument/2006/relationships/hyperlink" Target="https://doi.org/10.1093/ije/dyy208" TargetMode="External"/><Relationship Id="rId17" Type="http://schemas.openxmlformats.org/officeDocument/2006/relationships/hyperlink" Target="https://doi.org/10.4102/safp.v62i1.5027" TargetMode="External"/><Relationship Id="rId25" Type="http://schemas.openxmlformats.org/officeDocument/2006/relationships/hyperlink" Target="https://doi.org/10.1186/s12913-024-11406-0"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93/heapol/czaa108" TargetMode="External"/><Relationship Id="rId20" Type="http://schemas.openxmlformats.org/officeDocument/2006/relationships/hyperlink" Target="https://doi.org/10.1186/s12982-024-00160-7" TargetMode="External"/><Relationship Id="rId29" Type="http://schemas.openxmlformats.org/officeDocument/2006/relationships/hyperlink" Target="https://doi.org/10.4236/odem.2023.11200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3756-020-00802-w" TargetMode="External"/><Relationship Id="rId24" Type="http://schemas.openxmlformats.org/officeDocument/2006/relationships/hyperlink" Target="https://doi.org/10.1016/j.sciaf.2024.e02130"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56557/jodagh/2026/v19i210916" TargetMode="External"/><Relationship Id="rId23" Type="http://schemas.openxmlformats.org/officeDocument/2006/relationships/hyperlink" Target="https://doi.org/10.4081/jphr.2021.1900" TargetMode="External"/><Relationship Id="rId28" Type="http://schemas.openxmlformats.org/officeDocument/2006/relationships/hyperlink" Target="https://doi.org/10.9734/ajmah/2023/v21i12960" TargetMode="External"/><Relationship Id="rId36" Type="http://schemas.openxmlformats.org/officeDocument/2006/relationships/header" Target="header3.xml"/><Relationship Id="rId10" Type="http://schemas.openxmlformats.org/officeDocument/2006/relationships/hyperlink" Target="https://doi.org/10.1186/s12913-018-3819-x" TargetMode="External"/><Relationship Id="rId19" Type="http://schemas.openxmlformats.org/officeDocument/2006/relationships/hyperlink" Target="https://doi.org/10.1016/j.amsu.2022.103727" TargetMode="External"/><Relationship Id="rId31" Type="http://schemas.openxmlformats.org/officeDocument/2006/relationships/hyperlink" Target="https://doi.org/10.3390/ijerph18052603" TargetMode="External"/><Relationship Id="rId4" Type="http://schemas.openxmlformats.org/officeDocument/2006/relationships/webSettings" Target="webSettings.xml"/><Relationship Id="rId9" Type="http://schemas.openxmlformats.org/officeDocument/2006/relationships/hyperlink" Target="https://journalajrnh.com/index.php/AJRNH/article/view/8" TargetMode="External"/><Relationship Id="rId14" Type="http://schemas.openxmlformats.org/officeDocument/2006/relationships/hyperlink" Target="https://doi.org/10.1177/2050312120918999" TargetMode="External"/><Relationship Id="rId22" Type="http://schemas.openxmlformats.org/officeDocument/2006/relationships/hyperlink" Target="https://doi.org/10.29322/IJSRP.10.06.2020.p10278" TargetMode="External"/><Relationship Id="rId27" Type="http://schemas.openxmlformats.org/officeDocument/2006/relationships/hyperlink" Target="https://doi.org/10.1016/j.puhip.2021.100092" TargetMode="External"/><Relationship Id="rId30" Type="http://schemas.openxmlformats.org/officeDocument/2006/relationships/hyperlink" Target="https://doi.org/10.1136/bmjgh-2021-005833" TargetMode="External"/><Relationship Id="rId35" Type="http://schemas.openxmlformats.org/officeDocument/2006/relationships/footer" Target="footer2.xml"/><Relationship Id="rId8" Type="http://schemas.openxmlformats.org/officeDocument/2006/relationships/hyperlink" Target="https://doi.org/10.1186/s13756-021-00957-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5325</Words>
  <Characters>30355</Characters>
  <Application>Microsoft Office Word</Application>
  <DocSecurity>0</DocSecurity>
  <Lines>252</Lines>
  <Paragraphs>71</Paragraphs>
  <ScaleCrop>false</ScaleCrop>
  <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CPU 1117</cp:lastModifiedBy>
  <cp:revision>10</cp:revision>
  <dcterms:created xsi:type="dcterms:W3CDTF">2026-09-21T14:17:00Z</dcterms:created>
  <dcterms:modified xsi:type="dcterms:W3CDTF">2026-09-26T08:46:00Z</dcterms:modified>
</cp:coreProperties>
</file>