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67B70" w14:textId="77777777" w:rsidR="003F2302" w:rsidRPr="009F1FB4" w:rsidRDefault="00000000">
      <w:pPr>
        <w:pStyle w:val="ListParagraph"/>
        <w:spacing w:beforeAutospacing="1" w:after="240" w:line="240" w:lineRule="auto"/>
        <w:ind w:left="0"/>
        <w:rPr>
          <w:shd w:val="clear" w:color="auto" w:fill="FFFF00"/>
        </w:rPr>
      </w:pPr>
      <w:r w:rsidRPr="009F1FB4">
        <w:rPr>
          <w:rFonts w:ascii="Arial" w:hAnsi="Arial" w:cs="Arial"/>
          <w:sz w:val="20"/>
          <w:szCs w:val="20"/>
          <w:shd w:val="clear" w:color="auto" w:fill="FFFF00"/>
        </w:rPr>
        <w:t>Original Research Article</w:t>
      </w:r>
    </w:p>
    <w:p w14:paraId="5D4A5439" w14:textId="77777777" w:rsidR="003F2302" w:rsidRPr="009F1FB4" w:rsidRDefault="00000000">
      <w:pPr>
        <w:spacing w:line="276" w:lineRule="auto"/>
        <w:jc w:val="center"/>
        <w:rPr>
          <w:rFonts w:ascii="Times New Roman" w:hAnsi="Times New Roman"/>
          <w:b/>
          <w:bCs/>
          <w:sz w:val="24"/>
          <w:szCs w:val="24"/>
        </w:rPr>
      </w:pPr>
      <w:bookmarkStart w:id="0" w:name="X69d708b86dd541a07931f66f6ed9b60edd7177f"/>
      <w:r w:rsidRPr="009F1FB4">
        <w:rPr>
          <w:rFonts w:ascii="Times New Roman" w:hAnsi="Times New Roman"/>
          <w:b/>
          <w:bCs/>
          <w:sz w:val="24"/>
          <w:szCs w:val="24"/>
          <w:lang w:val="en-US"/>
        </w:rPr>
        <w:t xml:space="preserve">Psychiatric Morbidity Among Fresher Medical Students </w:t>
      </w:r>
      <w:proofErr w:type="gramStart"/>
      <w:r w:rsidRPr="009F1FB4">
        <w:rPr>
          <w:rFonts w:ascii="Times New Roman" w:hAnsi="Times New Roman"/>
          <w:b/>
          <w:bCs/>
          <w:sz w:val="24"/>
          <w:szCs w:val="24"/>
          <w:lang w:val="en-US"/>
        </w:rPr>
        <w:t>In</w:t>
      </w:r>
      <w:proofErr w:type="gramEnd"/>
      <w:r w:rsidRPr="009F1FB4">
        <w:rPr>
          <w:rFonts w:ascii="Times New Roman" w:hAnsi="Times New Roman"/>
          <w:b/>
          <w:bCs/>
          <w:sz w:val="24"/>
          <w:szCs w:val="24"/>
          <w:lang w:val="en-US"/>
        </w:rPr>
        <w:t xml:space="preserve"> a Nigerian Tertiary Institution: A Mixed-Methods Study</w:t>
      </w:r>
    </w:p>
    <w:p w14:paraId="078DF510" w14:textId="77777777" w:rsidR="003F2302" w:rsidRPr="009F1FB4" w:rsidRDefault="003F2302">
      <w:pPr>
        <w:spacing w:line="276" w:lineRule="auto"/>
        <w:jc w:val="both"/>
        <w:rPr>
          <w:rFonts w:ascii="Times New Roman" w:hAnsi="Times New Roman"/>
          <w:b/>
          <w:bCs/>
          <w:sz w:val="24"/>
          <w:szCs w:val="24"/>
          <w:lang w:val="en-US"/>
        </w:rPr>
      </w:pPr>
      <w:bookmarkStart w:id="1" w:name="abstract"/>
    </w:p>
    <w:p w14:paraId="6BFF1EEE" w14:textId="77777777" w:rsidR="003F2302" w:rsidRPr="009F1FB4" w:rsidRDefault="003F2302">
      <w:pPr>
        <w:spacing w:line="276" w:lineRule="auto"/>
        <w:jc w:val="both"/>
        <w:rPr>
          <w:rFonts w:ascii="Times New Roman" w:hAnsi="Times New Roman"/>
          <w:b/>
          <w:bCs/>
          <w:sz w:val="24"/>
          <w:szCs w:val="24"/>
          <w:lang w:val="en-US"/>
        </w:rPr>
      </w:pPr>
    </w:p>
    <w:p w14:paraId="3552928A" w14:textId="77777777" w:rsidR="003F2302" w:rsidRPr="009F1FB4" w:rsidRDefault="00000000">
      <w:pPr>
        <w:spacing w:line="276" w:lineRule="auto"/>
        <w:jc w:val="both"/>
        <w:rPr>
          <w:rFonts w:ascii="Times New Roman" w:hAnsi="Times New Roman"/>
          <w:b/>
          <w:bCs/>
          <w:sz w:val="24"/>
          <w:szCs w:val="24"/>
          <w:lang w:val="en-US"/>
        </w:rPr>
      </w:pPr>
      <w:r w:rsidRPr="009F1FB4">
        <w:rPr>
          <w:rFonts w:ascii="Times New Roman" w:hAnsi="Times New Roman"/>
          <w:b/>
          <w:bCs/>
          <w:sz w:val="24"/>
          <w:szCs w:val="24"/>
          <w:lang w:val="en-US"/>
        </w:rPr>
        <w:t>Abstract</w:t>
      </w:r>
    </w:p>
    <w:p w14:paraId="3BCC7832" w14:textId="77777777" w:rsidR="003F2302" w:rsidRPr="009F1FB4" w:rsidRDefault="00000000">
      <w:pPr>
        <w:spacing w:line="276" w:lineRule="auto"/>
        <w:jc w:val="both"/>
        <w:rPr>
          <w:rFonts w:ascii="Times New Roman" w:hAnsi="Times New Roman"/>
          <w:sz w:val="24"/>
          <w:szCs w:val="24"/>
        </w:rPr>
      </w:pPr>
      <w:bookmarkStart w:id="2" w:name="background"/>
      <w:r w:rsidRPr="009F1FB4">
        <w:rPr>
          <w:rFonts w:ascii="Times New Roman" w:hAnsi="Times New Roman"/>
          <w:b/>
          <w:bCs/>
          <w:sz w:val="24"/>
          <w:szCs w:val="24"/>
          <w:lang w:val="en-US"/>
        </w:rPr>
        <w:t>Background:</w:t>
      </w:r>
      <w:r w:rsidRPr="009F1FB4">
        <w:rPr>
          <w:rFonts w:ascii="Times New Roman" w:hAnsi="Times New Roman"/>
          <w:sz w:val="24"/>
          <w:szCs w:val="24"/>
          <w:lang w:val="en-US"/>
        </w:rPr>
        <w:t xml:space="preserve"> The transition into medical school represents a major developmental, academic, and psychosocial challenge for young adults. These challenges may be particularly significant among freshers</w:t>
      </w:r>
      <w:bookmarkEnd w:id="2"/>
      <w:r w:rsidRPr="009F1FB4">
        <w:rPr>
          <w:rFonts w:ascii="Times New Roman" w:hAnsi="Times New Roman"/>
          <w:sz w:val="24"/>
          <w:szCs w:val="24"/>
          <w:lang w:val="en-US"/>
        </w:rPr>
        <w:t>. The study aimed to</w:t>
      </w:r>
      <w:bookmarkStart w:id="3" w:name="objective"/>
      <w:r w:rsidRPr="009F1FB4">
        <w:rPr>
          <w:rFonts w:ascii="Times New Roman" w:hAnsi="Times New Roman"/>
          <w:sz w:val="24"/>
          <w:szCs w:val="24"/>
          <w:lang w:val="en-US"/>
        </w:rPr>
        <w:t xml:space="preserve"> determine the prevalence and predictors of psychiatric morbidity among freshers in the medical school of a public university in Nigeria.</w:t>
      </w:r>
    </w:p>
    <w:p w14:paraId="2E2BFB9E" w14:textId="77777777" w:rsidR="003F2302" w:rsidRPr="009F1FB4" w:rsidRDefault="00000000">
      <w:pPr>
        <w:spacing w:line="276" w:lineRule="auto"/>
        <w:jc w:val="both"/>
        <w:rPr>
          <w:rFonts w:ascii="Times New Roman" w:hAnsi="Times New Roman"/>
          <w:sz w:val="24"/>
          <w:szCs w:val="24"/>
        </w:rPr>
      </w:pPr>
      <w:bookmarkStart w:id="4" w:name="methods"/>
      <w:bookmarkEnd w:id="3"/>
      <w:bookmarkEnd w:id="4"/>
      <w:r w:rsidRPr="009F1FB4">
        <w:rPr>
          <w:b/>
        </w:rPr>
        <w:t>Methods:</w:t>
      </w:r>
      <w:r w:rsidRPr="009F1FB4">
        <w:t xml:space="preserve"> A convergent mixed-methods design was used for the study. The quantitative component involved a cross-sectional survey of first-year medical students using a sociodemographic questionnaire and the 12-item General Health Questionnaire (GHQ-12). The qualitative component comprised three focus group discussions and two in-depth interviews. Data were analysed using descriptive statistics, chi-square tests, and multivariable logistic regression.</w:t>
      </w:r>
    </w:p>
    <w:p w14:paraId="6860B3FD" w14:textId="77777777" w:rsidR="003F2302" w:rsidRPr="009F1FB4" w:rsidRDefault="00000000">
      <w:pPr>
        <w:spacing w:line="276" w:lineRule="auto"/>
        <w:jc w:val="both"/>
        <w:rPr>
          <w:rFonts w:ascii="Times New Roman" w:hAnsi="Times New Roman"/>
          <w:sz w:val="24"/>
          <w:szCs w:val="24"/>
        </w:rPr>
      </w:pPr>
      <w:r w:rsidRPr="009F1FB4">
        <w:rPr>
          <w:b/>
        </w:rPr>
        <w:t>Results:</w:t>
      </w:r>
      <w:r w:rsidRPr="009F1FB4">
        <w:t xml:space="preserve"> Based on the GHQ-12, 27.5% of participants screened positive for psychiatric morbidity, with religion associated with psychiatric morbidity (p = 0.011). The majority were in the 15–25-year age bracket, 32 (80.0%). Most participants, 34 (85.0%), belonged to the middle socioeconomic class, and 37 (92.5%) came from an urban centre. Only 2 (5%) consumed alcohol, and only 1 (2.5%) used a psychoactive substance. Qualitative analysis generated six themes: the shock of transition; academic overload; fear of failure and family expectations; homesickness and loneliness; coping and resilience; and barriers to mental-health help-seeking.</w:t>
      </w:r>
    </w:p>
    <w:p w14:paraId="60E5D7B6" w14:textId="77777777" w:rsidR="003F2302" w:rsidRPr="009F1FB4" w:rsidRDefault="00000000">
      <w:pPr>
        <w:spacing w:line="276" w:lineRule="auto"/>
        <w:jc w:val="both"/>
        <w:rPr>
          <w:rFonts w:ascii="Times New Roman" w:hAnsi="Times New Roman"/>
          <w:sz w:val="24"/>
          <w:szCs w:val="24"/>
        </w:rPr>
      </w:pPr>
      <w:bookmarkStart w:id="5" w:name="hypothetical-results"/>
      <w:bookmarkStart w:id="6" w:name="conclusion"/>
      <w:bookmarkEnd w:id="5"/>
      <w:r w:rsidRPr="009F1FB4">
        <w:rPr>
          <w:b/>
        </w:rPr>
        <w:t>Conclusion:</w:t>
      </w:r>
      <w:r w:rsidRPr="009F1FB4">
        <w:t xml:space="preserve"> This mixed-methods study observed psychiatric morbidity among freshers in a Nigerian public medical school. Socioeconomic and psychological factors are important predisposing factors for psychiatric morbidity. Further corroborative research involving larger populations and multicentre, multiregional approaches is required to strengthen the generalisability of these findings.</w:t>
      </w:r>
    </w:p>
    <w:p w14:paraId="6C91430C" w14:textId="77777777" w:rsidR="003F2302" w:rsidRPr="009F1FB4" w:rsidRDefault="00000000">
      <w:pPr>
        <w:spacing w:line="276" w:lineRule="auto"/>
        <w:jc w:val="both"/>
        <w:rPr>
          <w:rFonts w:ascii="Times New Roman" w:hAnsi="Times New Roman"/>
          <w:sz w:val="24"/>
          <w:szCs w:val="24"/>
        </w:rPr>
      </w:pPr>
      <w:r w:rsidRPr="009F1FB4">
        <w:rPr>
          <w:rFonts w:ascii="Times New Roman" w:hAnsi="Times New Roman"/>
          <w:b/>
          <w:bCs/>
          <w:sz w:val="24"/>
          <w:szCs w:val="24"/>
          <w:lang w:val="en-US"/>
        </w:rPr>
        <w:t>Keywords:</w:t>
      </w:r>
      <w:r w:rsidRPr="009F1FB4">
        <w:rPr>
          <w:rFonts w:ascii="Times New Roman" w:hAnsi="Times New Roman"/>
          <w:sz w:val="24"/>
          <w:szCs w:val="24"/>
          <w:lang w:val="en-US"/>
        </w:rPr>
        <w:t xml:space="preserve"> psychiatric morbidity; medical students; freshers; psychological distress; adolescent mental health, medical education; mixed methods.</w:t>
      </w:r>
      <w:bookmarkEnd w:id="0"/>
      <w:bookmarkEnd w:id="1"/>
      <w:bookmarkEnd w:id="6"/>
    </w:p>
    <w:p w14:paraId="1BC60CB6" w14:textId="77777777" w:rsidR="003F2302" w:rsidRPr="009F1FB4" w:rsidRDefault="00000000">
      <w:pPr>
        <w:spacing w:line="276" w:lineRule="auto"/>
        <w:jc w:val="both"/>
        <w:rPr>
          <w:rFonts w:ascii="Times New Roman" w:hAnsi="Times New Roman"/>
          <w:b/>
          <w:bCs/>
          <w:sz w:val="24"/>
          <w:szCs w:val="24"/>
          <w:lang w:val="en-US"/>
        </w:rPr>
      </w:pPr>
      <w:r w:rsidRPr="009F1FB4">
        <w:br w:type="page"/>
      </w:r>
    </w:p>
    <w:p w14:paraId="17E26495" w14:textId="77777777" w:rsidR="003F2302" w:rsidRPr="009F1FB4" w:rsidRDefault="00000000">
      <w:pPr>
        <w:spacing w:line="276" w:lineRule="auto"/>
        <w:jc w:val="both"/>
        <w:rPr>
          <w:rFonts w:ascii="Times New Roman" w:hAnsi="Times New Roman"/>
          <w:b/>
          <w:bCs/>
          <w:sz w:val="24"/>
          <w:szCs w:val="24"/>
          <w:lang w:val="en-US"/>
        </w:rPr>
      </w:pPr>
      <w:bookmarkStart w:id="7" w:name="introduction"/>
      <w:r w:rsidRPr="009F1FB4">
        <w:rPr>
          <w:rFonts w:ascii="Times New Roman" w:hAnsi="Times New Roman"/>
          <w:b/>
          <w:bCs/>
          <w:sz w:val="24"/>
          <w:szCs w:val="24"/>
          <w:lang w:val="en-US"/>
        </w:rPr>
        <w:lastRenderedPageBreak/>
        <w:t>Introduction</w:t>
      </w:r>
    </w:p>
    <w:p w14:paraId="63396006" w14:textId="77777777" w:rsidR="003F2302" w:rsidRPr="009F1FB4" w:rsidRDefault="00000000">
      <w:pPr>
        <w:jc w:val="both"/>
        <w:rPr>
          <w:rFonts w:ascii="Times New Roman" w:hAnsi="Times New Roman"/>
          <w:sz w:val="24"/>
          <w:szCs w:val="24"/>
        </w:rPr>
      </w:pPr>
      <w:r w:rsidRPr="009F1FB4">
        <w:t>The World Health Organization’s declaration that ‘there is no health without mental health’ emphasised mental health as an integral component of well-being. It should be protected through multisectoral strategies that address both individual vulnerabilities and their environments (World Health Organization, 2022).</w:t>
      </w:r>
    </w:p>
    <w:p w14:paraId="2B25B35A" w14:textId="77777777" w:rsidR="003F2302" w:rsidRPr="009F1FB4" w:rsidRDefault="00000000">
      <w:pPr>
        <w:jc w:val="both"/>
        <w:rPr>
          <w:rFonts w:ascii="Times New Roman" w:hAnsi="Times New Roman"/>
          <w:sz w:val="24"/>
          <w:szCs w:val="24"/>
        </w:rPr>
      </w:pPr>
      <w:r w:rsidRPr="009F1FB4">
        <w:t>Medical education exposes students to a combination of academic, social, emotional, and financial stressors. The curriculum is intensive, examinations are frequent, and students are expected to master large amounts of information while developing professional competencies. These demands may occur alongside changes in residence, relationships, financial responsibilities, and social identity (Bergmann et al., 2019).</w:t>
      </w:r>
    </w:p>
    <w:p w14:paraId="605E501F" w14:textId="77777777" w:rsidR="00CE75BB" w:rsidRPr="009F1FB4" w:rsidRDefault="00000000">
      <w:pPr>
        <w:jc w:val="both"/>
        <w:rPr>
          <w:rFonts w:ascii="Times New Roman" w:hAnsi="Times New Roman"/>
          <w:sz w:val="24"/>
          <w:szCs w:val="24"/>
        </w:rPr>
      </w:pPr>
      <w:r w:rsidRPr="009F1FB4">
        <w:rPr>
          <w:b/>
        </w:rPr>
        <w:t>Longitudinal evidence from first-year medical students has shown heterogeneous mental-health trajectories across the initial year, with both deterioration and recovery observed among different student groups (Polujanski et al., 2024).</w:t>
      </w:r>
    </w:p>
    <w:p w14:paraId="1D349998" w14:textId="77777777" w:rsidR="003F2302" w:rsidRPr="009F1FB4" w:rsidRDefault="00000000">
      <w:pPr>
        <w:jc w:val="both"/>
        <w:rPr>
          <w:rFonts w:ascii="Times New Roman" w:hAnsi="Times New Roman"/>
          <w:sz w:val="24"/>
          <w:szCs w:val="24"/>
        </w:rPr>
      </w:pPr>
      <w:r w:rsidRPr="009F1FB4">
        <w:t>An increasing prevalence of depression or depressive symptoms among medical students has been reported (Oladele et al., 2022; Rotenstein et al., 2016; Falade et al., 2020; Ossai et al., 2021). A systematic review has also demonstrated substantial levels of depression, anxiety, stress, burnout, and sleep problems, with an ongoing burden of exhaustion and disengagement associated with medical education among medical students (Di Vincenzo et al., 2024). A pooled prevalence of depression among African medical students of approximately 38.8% has been reported, with considerable variation between countries and studies (Mekonnen et al., 2024).</w:t>
      </w:r>
    </w:p>
    <w:p w14:paraId="05F51804" w14:textId="77777777" w:rsidR="00CE75BB" w:rsidRPr="009F1FB4" w:rsidRDefault="00000000">
      <w:pPr>
        <w:jc w:val="both"/>
        <w:rPr>
          <w:rFonts w:ascii="Times New Roman" w:hAnsi="Times New Roman"/>
          <w:sz w:val="24"/>
          <w:szCs w:val="24"/>
        </w:rPr>
      </w:pPr>
      <w:r w:rsidRPr="009F1FB4">
        <w:rPr>
          <w:b/>
        </w:rPr>
        <w:t>Recent first-year data also indicate that psychological burden may vary with socioeconomic and individual factors, including anxiety sensitivity, intolerance of uncertainty, and perceived stress (Gellisch et al., 2024).</w:t>
      </w:r>
    </w:p>
    <w:p w14:paraId="26A702FC" w14:textId="77777777" w:rsidR="003F2302" w:rsidRPr="009F1FB4" w:rsidRDefault="00000000">
      <w:pPr>
        <w:jc w:val="both"/>
        <w:rPr>
          <w:rFonts w:ascii="Times New Roman" w:hAnsi="Times New Roman"/>
          <w:sz w:val="24"/>
          <w:szCs w:val="24"/>
        </w:rPr>
      </w:pPr>
      <w:r w:rsidRPr="009F1FB4">
        <w:t>An overall psychiatric morbidity of 25% was recorded in Ekiti, Nigeria, although prevalence differed between institutional settings. Academic performance and dissatisfaction with financial allowances were among the factors associated with psychiatric morbidity (Falade et al., 2020).</w:t>
      </w:r>
    </w:p>
    <w:p w14:paraId="702A337E" w14:textId="77777777" w:rsidR="003F2302" w:rsidRPr="009F1FB4" w:rsidRDefault="00000000">
      <w:pPr>
        <w:jc w:val="both"/>
        <w:rPr>
          <w:rFonts w:ascii="Times New Roman" w:hAnsi="Times New Roman"/>
          <w:sz w:val="24"/>
          <w:szCs w:val="24"/>
        </w:rPr>
      </w:pPr>
      <w:r w:rsidRPr="009F1FB4">
        <w:t>A 32% prevalence of depression has also been reported among undergraduate medical students at the University of Benin (Isara et al., 2022). Financial challenges and emotional problems were independent predictors of depression. Importantly, the authors recommended incorporating depression-risk screening into routine medical examinations for newly admitted students (Isara et al., 2022).</w:t>
      </w:r>
    </w:p>
    <w:p w14:paraId="1E066096" w14:textId="77777777" w:rsidR="00CE75BB" w:rsidRPr="009F1FB4" w:rsidRDefault="00000000">
      <w:pPr>
        <w:jc w:val="both"/>
        <w:rPr>
          <w:rFonts w:ascii="Times New Roman" w:hAnsi="Times New Roman"/>
          <w:sz w:val="24"/>
          <w:szCs w:val="24"/>
        </w:rPr>
      </w:pPr>
      <w:r w:rsidRPr="009F1FB4">
        <w:rPr>
          <w:b/>
        </w:rPr>
        <w:t>A recent Nigerian mixed-methods study among final-year medical students similarly identified GHQ-12 screening positivity for possible psychiatric morbidity, indicating that psychological distress may occur at different stages of medical training (Oyewole et al., 2026).</w:t>
      </w:r>
    </w:p>
    <w:p w14:paraId="75B41F0C" w14:textId="77777777" w:rsidR="003F2302" w:rsidRPr="009F1FB4" w:rsidRDefault="00000000">
      <w:pPr>
        <w:spacing w:line="276" w:lineRule="auto"/>
        <w:jc w:val="both"/>
        <w:rPr>
          <w:rFonts w:ascii="Times New Roman" w:hAnsi="Times New Roman"/>
          <w:sz w:val="24"/>
          <w:szCs w:val="24"/>
        </w:rPr>
      </w:pPr>
      <w:r w:rsidRPr="009F1FB4">
        <w:t>The problem extends beyond symptoms of depression and anxiety. Burnout, characterised by exhaustion and disengagement, has increasingly attracted attention in medical education. Universities constitute an important setting for the early detection of mental disorders and for mental-health promotion, since late adolescence and early adulthood represent periods during which many mental disorders first emerge.</w:t>
      </w:r>
    </w:p>
    <w:p w14:paraId="1A181748" w14:textId="77777777" w:rsidR="00CE75BB" w:rsidRPr="009F1FB4" w:rsidRDefault="00000000">
      <w:pPr>
        <w:spacing w:line="276" w:lineRule="auto"/>
        <w:jc w:val="both"/>
        <w:rPr>
          <w:rFonts w:ascii="Times New Roman" w:hAnsi="Times New Roman"/>
          <w:sz w:val="24"/>
          <w:szCs w:val="24"/>
        </w:rPr>
      </w:pPr>
      <w:r w:rsidRPr="009F1FB4">
        <w:rPr>
          <w:b/>
        </w:rPr>
        <w:lastRenderedPageBreak/>
        <w:t>In first-year medical students, symptoms of burnout and depression have also been observed at multiple points during an academic year (Shaw et al., 2025).</w:t>
      </w:r>
    </w:p>
    <w:p w14:paraId="2941EBD1" w14:textId="77777777" w:rsidR="00CE75BB" w:rsidRPr="009F1FB4" w:rsidRDefault="00000000">
      <w:pPr>
        <w:spacing w:line="276" w:lineRule="auto"/>
        <w:jc w:val="both"/>
        <w:rPr>
          <w:rFonts w:ascii="Times New Roman" w:hAnsi="Times New Roman"/>
          <w:sz w:val="24"/>
          <w:szCs w:val="24"/>
        </w:rPr>
      </w:pPr>
      <w:r w:rsidRPr="009F1FB4">
        <w:rPr>
          <w:b/>
        </w:rPr>
        <w:t>Evidence from undergraduate medical students further suggests that characteristics of the educational environment may be associated with learning burnout, including exhaustion and reduced academic efficacy (Wang et al., 2026).</w:t>
      </w:r>
    </w:p>
    <w:p w14:paraId="61006F6A" w14:textId="77777777" w:rsidR="003F2302" w:rsidRPr="009F1FB4" w:rsidRDefault="00000000">
      <w:pPr>
        <w:jc w:val="both"/>
        <w:rPr>
          <w:rFonts w:ascii="Times New Roman" w:hAnsi="Times New Roman"/>
          <w:sz w:val="24"/>
          <w:szCs w:val="24"/>
        </w:rPr>
      </w:pPr>
      <w:r w:rsidRPr="009F1FB4">
        <w:t>Freshers may be particularly vulnerable because they have not yet developed the academic routines, social networks, institutional familiarity, and coping mechanisms available to senior students. Admission into medical school may also represent a significant change in family expectations. The transition may involve separation from parents and siblings, relocation to university accommodation, development of new friendships, exposure to unfamiliar teaching methods, and adjustment to self-directed learning (Ojedokun et al., 2023).</w:t>
      </w:r>
    </w:p>
    <w:p w14:paraId="68BF2214" w14:textId="77777777" w:rsidR="00CE75BB" w:rsidRPr="009F1FB4" w:rsidRDefault="00000000">
      <w:pPr>
        <w:jc w:val="both"/>
        <w:rPr>
          <w:rFonts w:ascii="Times New Roman" w:hAnsi="Times New Roman"/>
          <w:sz w:val="24"/>
          <w:szCs w:val="24"/>
        </w:rPr>
      </w:pPr>
      <w:r w:rsidRPr="009F1FB4">
        <w:rPr>
          <w:rFonts w:ascii="Times New Roman" w:eastAsia="Times New Roman" w:hAnsi="Times New Roman"/>
          <w:b/>
          <w:sz w:val="24"/>
        </w:rPr>
        <w:t>Despite the available Nigerian evidence on psychiatric morbidity and depression among medical students, evidence focusing specifically on freshers and combining quantitative screening with qualitative exploration of their transition experiences remains limited. This context-specific gap is relevant because findings from senior or mixed-year cohorts may not fully represent the experiences of students at the beginning of medical training.</w:t>
      </w:r>
    </w:p>
    <w:p w14:paraId="078B3AAD" w14:textId="77777777" w:rsidR="00CE75BB" w:rsidRPr="009F1FB4" w:rsidRDefault="00000000">
      <w:pPr>
        <w:spacing w:line="276" w:lineRule="auto"/>
        <w:jc w:val="both"/>
        <w:rPr>
          <w:rFonts w:ascii="Times New Roman" w:hAnsi="Times New Roman"/>
          <w:b/>
          <w:bCs/>
          <w:sz w:val="24"/>
          <w:szCs w:val="24"/>
          <w:lang w:val="en-US"/>
        </w:rPr>
      </w:pPr>
      <w:r w:rsidRPr="009F1FB4">
        <w:rPr>
          <w:rFonts w:ascii="Times New Roman" w:eastAsia="Times New Roman" w:hAnsi="Times New Roman"/>
          <w:b/>
          <w:sz w:val="24"/>
        </w:rPr>
        <w:t>Objective</w:t>
      </w:r>
    </w:p>
    <w:bookmarkEnd w:id="7"/>
    <w:p w14:paraId="0356B76C" w14:textId="77777777" w:rsidR="003F2302" w:rsidRPr="009F1FB4" w:rsidRDefault="00000000">
      <w:pPr>
        <w:spacing w:line="276" w:lineRule="auto"/>
        <w:jc w:val="both"/>
        <w:rPr>
          <w:rFonts w:ascii="Times New Roman" w:hAnsi="Times New Roman"/>
          <w:sz w:val="24"/>
          <w:szCs w:val="24"/>
        </w:rPr>
      </w:pPr>
      <w:r w:rsidRPr="009F1FB4">
        <w:t xml:space="preserve">The present study therefore focuses specifically on freshers in a Nigerian public medical school. By combining a quantitative approach with qualitative methods, the study seeks to answer not only </w:t>
      </w:r>
      <w:r w:rsidRPr="009F1FB4">
        <w:rPr>
          <w:i/>
        </w:rPr>
        <w:t>how much</w:t>
      </w:r>
      <w:r w:rsidRPr="009F1FB4">
        <w:t xml:space="preserve"> psychiatric morbidity exists, but also </w:t>
      </w:r>
      <w:r w:rsidRPr="009F1FB4">
        <w:rPr>
          <w:i/>
        </w:rPr>
        <w:t>why</w:t>
      </w:r>
      <w:r w:rsidRPr="009F1FB4">
        <w:t xml:space="preserve"> students experience distress and </w:t>
      </w:r>
      <w:r w:rsidRPr="009F1FB4">
        <w:rPr>
          <w:i/>
        </w:rPr>
        <w:t>how</w:t>
      </w:r>
      <w:r w:rsidRPr="009F1FB4">
        <w:t xml:space="preserve"> they attempt to manage it, especially among freshers.</w:t>
      </w:r>
    </w:p>
    <w:p w14:paraId="30C76308" w14:textId="77777777" w:rsidR="003F2302" w:rsidRPr="009F1FB4" w:rsidRDefault="00000000">
      <w:pPr>
        <w:spacing w:line="276" w:lineRule="auto"/>
        <w:jc w:val="both"/>
        <w:rPr>
          <w:lang w:val="en-US"/>
        </w:rPr>
      </w:pPr>
      <w:r w:rsidRPr="009F1FB4">
        <w:br w:type="page"/>
      </w:r>
    </w:p>
    <w:p w14:paraId="6C2EF79B" w14:textId="77777777" w:rsidR="003F2302" w:rsidRPr="009F1FB4" w:rsidRDefault="00000000">
      <w:pPr>
        <w:spacing w:line="276" w:lineRule="auto"/>
        <w:jc w:val="both"/>
        <w:rPr>
          <w:rFonts w:ascii="Times New Roman" w:hAnsi="Times New Roman"/>
          <w:b/>
          <w:bCs/>
          <w:sz w:val="24"/>
          <w:szCs w:val="24"/>
          <w:lang w:val="en-US"/>
        </w:rPr>
      </w:pPr>
      <w:r w:rsidRPr="009F1FB4">
        <w:rPr>
          <w:rFonts w:ascii="Times New Roman" w:hAnsi="Times New Roman"/>
          <w:b/>
          <w:bCs/>
          <w:sz w:val="24"/>
          <w:szCs w:val="24"/>
          <w:lang w:val="en-US"/>
        </w:rPr>
        <w:lastRenderedPageBreak/>
        <w:t>Methodology</w:t>
      </w:r>
    </w:p>
    <w:p w14:paraId="60DDDD02" w14:textId="77777777" w:rsidR="003F2302" w:rsidRPr="009F1FB4" w:rsidRDefault="00000000">
      <w:pPr>
        <w:spacing w:line="276" w:lineRule="auto"/>
        <w:jc w:val="both"/>
        <w:rPr>
          <w:rFonts w:ascii="Times New Roman" w:hAnsi="Times New Roman"/>
          <w:b/>
          <w:bCs/>
          <w:sz w:val="24"/>
          <w:szCs w:val="24"/>
          <w:lang w:val="en-US"/>
        </w:rPr>
      </w:pPr>
      <w:r w:rsidRPr="009F1FB4">
        <w:rPr>
          <w:rFonts w:ascii="Times New Roman" w:hAnsi="Times New Roman"/>
          <w:b/>
          <w:bCs/>
          <w:sz w:val="24"/>
          <w:szCs w:val="24"/>
          <w:lang w:val="en-US"/>
        </w:rPr>
        <w:t>Study Design</w:t>
      </w:r>
    </w:p>
    <w:p w14:paraId="3A747E8D" w14:textId="77777777" w:rsidR="003F2302" w:rsidRPr="009F1FB4" w:rsidRDefault="00000000">
      <w:pPr>
        <w:spacing w:line="276" w:lineRule="auto"/>
        <w:jc w:val="both"/>
        <w:rPr>
          <w:rFonts w:ascii="Times New Roman" w:hAnsi="Times New Roman"/>
          <w:sz w:val="24"/>
          <w:szCs w:val="24"/>
        </w:rPr>
      </w:pPr>
      <w:r w:rsidRPr="009F1FB4">
        <w:t>The study utilised a mixed-methods design incorporating quantitative and qualitative approaches among medical students of Ladoke Akintola University of Technology, Ogbomoso, Oyo State, Nigeria.</w:t>
      </w:r>
    </w:p>
    <w:p w14:paraId="2227C57C" w14:textId="77777777" w:rsidR="003F2302" w:rsidRPr="009F1FB4" w:rsidRDefault="00000000">
      <w:pPr>
        <w:spacing w:line="276" w:lineRule="auto"/>
        <w:jc w:val="both"/>
        <w:rPr>
          <w:rFonts w:ascii="Times New Roman" w:hAnsi="Times New Roman"/>
          <w:b/>
          <w:bCs/>
          <w:sz w:val="24"/>
          <w:szCs w:val="24"/>
        </w:rPr>
      </w:pPr>
      <w:r w:rsidRPr="009F1FB4">
        <w:rPr>
          <w:rFonts w:ascii="Times New Roman" w:hAnsi="Times New Roman"/>
          <w:b/>
          <w:bCs/>
          <w:sz w:val="24"/>
          <w:szCs w:val="24"/>
          <w:lang w:val="en-US"/>
        </w:rPr>
        <w:t>Study Population</w:t>
      </w:r>
    </w:p>
    <w:p w14:paraId="6ACFECDA" w14:textId="77777777" w:rsidR="003F2302" w:rsidRPr="009F1FB4" w:rsidRDefault="00000000">
      <w:pPr>
        <w:spacing w:line="276" w:lineRule="auto"/>
        <w:jc w:val="both"/>
        <w:rPr>
          <w:rFonts w:ascii="Times New Roman" w:hAnsi="Times New Roman"/>
          <w:sz w:val="24"/>
          <w:szCs w:val="24"/>
          <w:lang w:val="en-US"/>
        </w:rPr>
      </w:pPr>
      <w:bookmarkStart w:id="8" w:name="study-population"/>
      <w:bookmarkStart w:id="9" w:name="inclusion-criteria"/>
      <w:bookmarkEnd w:id="8"/>
      <w:bookmarkEnd w:id="9"/>
      <w:r w:rsidRPr="009F1FB4">
        <w:t>The study population consisted of all registered first-year medical students of the university during the study period. The eligibility criteria were being a registered first-year medical student, having commenced academic activities, being willing to participate, and providing informed consent. Students who were unavailable during data collection, declined consent, or submitted incomplete questionnaires were excluded from the study.</w:t>
      </w:r>
    </w:p>
    <w:p w14:paraId="45BE59FC" w14:textId="77777777" w:rsidR="003F2302" w:rsidRPr="009F1FB4" w:rsidRDefault="00000000">
      <w:pPr>
        <w:spacing w:line="276" w:lineRule="auto"/>
        <w:jc w:val="both"/>
        <w:rPr>
          <w:rFonts w:ascii="Times New Roman" w:hAnsi="Times New Roman"/>
          <w:b/>
          <w:bCs/>
          <w:sz w:val="24"/>
          <w:szCs w:val="24"/>
        </w:rPr>
      </w:pPr>
      <w:bookmarkStart w:id="10" w:name="exclusion-criteria"/>
      <w:bookmarkStart w:id="11" w:name="eligibility-criteria"/>
      <w:bookmarkEnd w:id="10"/>
      <w:bookmarkEnd w:id="11"/>
      <w:r w:rsidRPr="009F1FB4">
        <w:rPr>
          <w:rFonts w:ascii="Times New Roman" w:hAnsi="Times New Roman"/>
          <w:b/>
          <w:bCs/>
          <w:sz w:val="24"/>
          <w:szCs w:val="24"/>
          <w:lang w:val="en-US"/>
        </w:rPr>
        <w:t>Sample Size</w:t>
      </w:r>
    </w:p>
    <w:p w14:paraId="328EFCE1" w14:textId="77777777" w:rsidR="003F2302" w:rsidRPr="009F1FB4" w:rsidRDefault="00000000">
      <w:pPr>
        <w:spacing w:line="276" w:lineRule="auto"/>
        <w:jc w:val="both"/>
        <w:rPr>
          <w:rFonts w:ascii="Times New Roman" w:hAnsi="Times New Roman"/>
          <w:sz w:val="24"/>
          <w:szCs w:val="24"/>
        </w:rPr>
      </w:pPr>
      <w:r w:rsidRPr="009F1FB4">
        <w:rPr>
          <w:rFonts w:ascii="Times New Roman" w:hAnsi="Times New Roman"/>
          <w:b/>
          <w:bCs/>
          <w:sz w:val="24"/>
          <w:szCs w:val="24"/>
          <w:lang w:val="en-US"/>
        </w:rPr>
        <w:t xml:space="preserve">Quantitative component </w:t>
      </w:r>
    </w:p>
    <w:p w14:paraId="3287FF88" w14:textId="77777777" w:rsidR="003F2302" w:rsidRPr="009F1FB4" w:rsidRDefault="00000000">
      <w:pPr>
        <w:spacing w:line="276" w:lineRule="auto"/>
        <w:jc w:val="both"/>
        <w:rPr>
          <w:shd w:val="clear" w:color="auto" w:fill="FFFF00"/>
        </w:rPr>
      </w:pPr>
      <w:r w:rsidRPr="009F1FB4">
        <w:t>A convenience sampling technique involving a total-population approach was adopted. Of the 71 eligible students, only 40 completed usable questionnaires after data cleaning.</w:t>
      </w:r>
    </w:p>
    <w:p w14:paraId="2662DC4D" w14:textId="77777777" w:rsidR="003F2302" w:rsidRPr="009F1FB4" w:rsidRDefault="00000000">
      <w:pPr>
        <w:spacing w:line="276" w:lineRule="auto"/>
        <w:jc w:val="both"/>
        <w:rPr>
          <w:rFonts w:ascii="Times New Roman" w:hAnsi="Times New Roman"/>
          <w:sz w:val="24"/>
          <w:szCs w:val="24"/>
        </w:rPr>
      </w:pPr>
      <w:bookmarkStart w:id="12" w:name="methods-1"/>
      <w:bookmarkStart w:id="13" w:name="sample-size"/>
      <w:bookmarkStart w:id="14" w:name="sociodemographic-questionnaire"/>
      <w:bookmarkEnd w:id="12"/>
      <w:bookmarkEnd w:id="13"/>
      <w:bookmarkEnd w:id="14"/>
      <w:r w:rsidRPr="009F1FB4">
        <w:rPr>
          <w:rFonts w:ascii="Times New Roman" w:hAnsi="Times New Roman"/>
          <w:sz w:val="24"/>
          <w:szCs w:val="24"/>
          <w:lang w:val="en-US"/>
        </w:rPr>
        <w:t xml:space="preserve"> A positive GHQ-12 result represents screening positivity rather than a formal psychiatric diagnosis.</w:t>
      </w:r>
      <w:bookmarkStart w:id="15" w:name="general-health-questionnaire-12"/>
      <w:bookmarkEnd w:id="15"/>
      <w:r w:rsidRPr="009F1FB4">
        <w:rPr>
          <w:rFonts w:ascii="Times New Roman" w:hAnsi="Times New Roman"/>
          <w:sz w:val="24"/>
          <w:szCs w:val="24"/>
          <w:lang w:val="en-US"/>
        </w:rPr>
        <w:t xml:space="preserve"> </w:t>
      </w:r>
    </w:p>
    <w:p w14:paraId="39AA2BEC" w14:textId="77777777" w:rsidR="003F2302" w:rsidRPr="009F1FB4" w:rsidRDefault="00000000">
      <w:pPr>
        <w:spacing w:line="276" w:lineRule="auto"/>
        <w:jc w:val="both"/>
        <w:rPr>
          <w:rFonts w:ascii="Times New Roman" w:hAnsi="Times New Roman"/>
          <w:sz w:val="24"/>
          <w:szCs w:val="24"/>
        </w:rPr>
      </w:pPr>
      <w:bookmarkStart w:id="16" w:name="brief-cope"/>
      <w:bookmarkStart w:id="17" w:name="quantitative-instruments"/>
      <w:bookmarkEnd w:id="16"/>
      <w:bookmarkEnd w:id="17"/>
      <w:r w:rsidRPr="009F1FB4">
        <w:rPr>
          <w:rFonts w:ascii="Times New Roman" w:hAnsi="Times New Roman"/>
          <w:b/>
          <w:bCs/>
          <w:sz w:val="24"/>
          <w:szCs w:val="24"/>
          <w:lang w:val="en-US"/>
        </w:rPr>
        <w:t>Qualitative Component</w:t>
      </w:r>
    </w:p>
    <w:p w14:paraId="5063CE2E" w14:textId="77777777" w:rsidR="003F2302" w:rsidRPr="009F1FB4" w:rsidRDefault="00000000">
      <w:pPr>
        <w:spacing w:line="276" w:lineRule="auto"/>
        <w:jc w:val="both"/>
        <w:rPr>
          <w:shd w:val="clear" w:color="auto" w:fill="FFFF00"/>
        </w:rPr>
      </w:pPr>
      <w:r w:rsidRPr="009F1FB4">
        <w:t>Two focus group discussions (FGDs) and key informant interviews (KIIs) were conducted. Purposive sampling was used to achieve variation in gender, residence, and age.</w:t>
      </w:r>
    </w:p>
    <w:p w14:paraId="1FE9A590" w14:textId="77777777" w:rsidR="003F2302" w:rsidRPr="009F1FB4" w:rsidRDefault="00000000">
      <w:pPr>
        <w:spacing w:line="276" w:lineRule="auto"/>
        <w:jc w:val="both"/>
        <w:rPr>
          <w:rFonts w:ascii="Times New Roman" w:hAnsi="Times New Roman"/>
          <w:sz w:val="24"/>
          <w:szCs w:val="24"/>
        </w:rPr>
      </w:pPr>
      <w:r w:rsidRPr="009F1FB4">
        <w:t>The qualitative interview guide explored expectations before admission; experiences of the first semester; academic pressure; family expectations; financial difficulties; homesickness; peer relationships; sleep; coping strategies; religious and spiritual resources; help-seeking; stigma; and recommendations for institutional support.</w:t>
      </w:r>
    </w:p>
    <w:p w14:paraId="61813989" w14:textId="77777777" w:rsidR="003F2302" w:rsidRPr="009F1FB4" w:rsidRDefault="00000000">
      <w:pPr>
        <w:spacing w:line="276" w:lineRule="auto"/>
        <w:jc w:val="both"/>
        <w:rPr>
          <w:rFonts w:ascii="Times New Roman" w:hAnsi="Times New Roman"/>
          <w:sz w:val="24"/>
          <w:szCs w:val="24"/>
        </w:rPr>
      </w:pPr>
      <w:bookmarkStart w:id="18" w:name="data-analysis"/>
      <w:bookmarkStart w:id="19" w:name="qualitative-component"/>
      <w:bookmarkStart w:id="20" w:name="ethical-considerations"/>
      <w:bookmarkEnd w:id="18"/>
      <w:bookmarkEnd w:id="19"/>
      <w:bookmarkEnd w:id="20"/>
      <w:r w:rsidRPr="009F1FB4">
        <w:rPr>
          <w:rFonts w:ascii="Times New Roman" w:hAnsi="Times New Roman"/>
          <w:b/>
          <w:bCs/>
          <w:sz w:val="24"/>
          <w:szCs w:val="24"/>
          <w:lang w:val="en-US"/>
        </w:rPr>
        <w:t xml:space="preserve"> Instrument for Data Collection</w:t>
      </w:r>
    </w:p>
    <w:p w14:paraId="35892DC3" w14:textId="77777777" w:rsidR="003F2302" w:rsidRPr="009F1FB4" w:rsidRDefault="00000000">
      <w:pPr>
        <w:spacing w:line="276" w:lineRule="auto"/>
        <w:jc w:val="both"/>
        <w:rPr>
          <w:rFonts w:ascii="Times New Roman" w:hAnsi="Times New Roman"/>
          <w:sz w:val="24"/>
          <w:szCs w:val="24"/>
        </w:rPr>
      </w:pPr>
      <w:r w:rsidRPr="009F1FB4">
        <w:rPr>
          <w:rFonts w:ascii="Times New Roman" w:hAnsi="Times New Roman"/>
          <w:sz w:val="24"/>
          <w:szCs w:val="24"/>
          <w:lang w:val="en-US"/>
        </w:rPr>
        <w:t>Quantitative Instruments</w:t>
      </w:r>
    </w:p>
    <w:p w14:paraId="6AAD6861" w14:textId="77777777" w:rsidR="003F2302" w:rsidRPr="009F1FB4" w:rsidRDefault="00000000">
      <w:pPr>
        <w:spacing w:line="276" w:lineRule="auto"/>
        <w:jc w:val="both"/>
        <w:rPr>
          <w:rFonts w:ascii="Times New Roman" w:hAnsi="Times New Roman"/>
          <w:sz w:val="24"/>
          <w:szCs w:val="24"/>
        </w:rPr>
      </w:pPr>
      <w:r w:rsidRPr="009F1FB4">
        <w:t>The sociodemographic questionnaire collected information on age, sex, religion, marital status, monthly allowance, social class, previous university degree, previous psychiatric history, and family history of mental illness.</w:t>
      </w:r>
    </w:p>
    <w:p w14:paraId="198A4993" w14:textId="77777777" w:rsidR="003F2302" w:rsidRPr="009F1FB4" w:rsidRDefault="00000000">
      <w:pPr>
        <w:jc w:val="both"/>
        <w:rPr>
          <w:shd w:val="clear" w:color="auto" w:fill="FFFF00"/>
        </w:rPr>
      </w:pPr>
      <w:bookmarkStart w:id="21" w:name="_Hlk237533960"/>
      <w:bookmarkEnd w:id="21"/>
      <w:r w:rsidRPr="009F1FB4">
        <w:t>The 12-item General Health Questionnaire (GHQ-12) was used as the primary screening instrument for psychiatric morbidity. The instrument has been used to detect psychological distress. Nigerian research has established its usefulness in screening student populations (Gureje &amp; Obikoya, 1990).</w:t>
      </w:r>
    </w:p>
    <w:p w14:paraId="69355B4D" w14:textId="77777777" w:rsidR="003F2302" w:rsidRPr="009F1FB4" w:rsidRDefault="00000000">
      <w:pPr>
        <w:spacing w:line="276" w:lineRule="auto"/>
        <w:jc w:val="both"/>
        <w:rPr>
          <w:rFonts w:ascii="Times New Roman" w:hAnsi="Times New Roman"/>
          <w:sz w:val="24"/>
          <w:szCs w:val="24"/>
        </w:rPr>
      </w:pPr>
      <w:r w:rsidRPr="009F1FB4">
        <w:rPr>
          <w:rFonts w:ascii="Times New Roman" w:hAnsi="Times New Roman"/>
          <w:b/>
          <w:bCs/>
          <w:sz w:val="24"/>
          <w:szCs w:val="24"/>
          <w:lang w:val="en-US"/>
        </w:rPr>
        <w:t>Procedure for Data Collection</w:t>
      </w:r>
    </w:p>
    <w:p w14:paraId="3EFC7D14" w14:textId="77777777" w:rsidR="003F2302" w:rsidRPr="009F1FB4" w:rsidRDefault="00000000">
      <w:pPr>
        <w:spacing w:line="276" w:lineRule="auto"/>
        <w:jc w:val="both"/>
        <w:rPr>
          <w:rFonts w:ascii="Times New Roman" w:hAnsi="Times New Roman"/>
          <w:sz w:val="24"/>
          <w:szCs w:val="24"/>
        </w:rPr>
      </w:pPr>
      <w:r w:rsidRPr="009F1FB4">
        <w:t xml:space="preserve">For the quantitative component, questionnaires were distributed to students at conveniently agreed appointments, especially during the break period between 1 and 2 p.m., following a prior </w:t>
      </w:r>
      <w:r w:rsidRPr="009F1FB4">
        <w:lastRenderedPageBreak/>
        <w:t>appointment with the class captain. Some questionnaires were completed and returned to the researcher immediately, while others were collected on an appointed date.</w:t>
      </w:r>
    </w:p>
    <w:p w14:paraId="77573583" w14:textId="77777777" w:rsidR="003F2302" w:rsidRPr="009F1FB4" w:rsidRDefault="00000000">
      <w:pPr>
        <w:spacing w:line="276" w:lineRule="auto"/>
        <w:jc w:val="both"/>
        <w:rPr>
          <w:rFonts w:ascii="Times New Roman" w:hAnsi="Times New Roman"/>
          <w:sz w:val="24"/>
          <w:szCs w:val="24"/>
        </w:rPr>
      </w:pPr>
      <w:r w:rsidRPr="009F1FB4">
        <w:t>For the qualitative component, participants were provided with detailed information concerning participation and the implications of the study. With the consent of individual participants, all sessions were digitally recorded and transcribed verbatim. Two semi-structured interviews were conducted.</w:t>
      </w:r>
    </w:p>
    <w:p w14:paraId="67ACED35" w14:textId="77777777" w:rsidR="003F2302" w:rsidRPr="009F1FB4" w:rsidRDefault="00000000">
      <w:pPr>
        <w:spacing w:line="276" w:lineRule="auto"/>
        <w:jc w:val="both"/>
        <w:rPr>
          <w:rFonts w:ascii="Times New Roman" w:hAnsi="Times New Roman"/>
          <w:b/>
          <w:bCs/>
          <w:sz w:val="24"/>
          <w:szCs w:val="24"/>
        </w:rPr>
      </w:pPr>
      <w:r w:rsidRPr="009F1FB4">
        <w:rPr>
          <w:rFonts w:ascii="Times New Roman" w:hAnsi="Times New Roman"/>
          <w:b/>
          <w:bCs/>
          <w:iCs/>
          <w:sz w:val="24"/>
          <w:szCs w:val="24"/>
          <w:lang w:val="en-US"/>
        </w:rPr>
        <w:t>Method of Data Analysis</w:t>
      </w:r>
    </w:p>
    <w:p w14:paraId="7014E597" w14:textId="77777777" w:rsidR="003F2302" w:rsidRPr="009F1FB4" w:rsidRDefault="00000000">
      <w:pPr>
        <w:jc w:val="both"/>
        <w:rPr>
          <w:rFonts w:ascii="Times New Roman" w:hAnsi="Times New Roman"/>
          <w:sz w:val="24"/>
          <w:szCs w:val="24"/>
        </w:rPr>
      </w:pPr>
      <w:r w:rsidRPr="009F1FB4">
        <w:t>The quantitative data were analysed using SPSS version 16 statistical software, and the results were presented in tables. The qualitative data were transcribed using the traditional manual approach of handwriting before being typed into Microsoft Word for storage. Using a manual approach, the research themes were identified and sorted into likely and unlikely opinions based on the research objectives and assigned to the appropriate research objectives. Some of these opinions were presented verbatim in the report. Qualitative data were analysed using thematic analysis based on the approach described by Braun and Clarke (2012). The analysis involved familiarisation with the transcripts, coding, development of candidate themes, review of themes, definition of themes, and final interpretation.</w:t>
      </w:r>
    </w:p>
    <w:p w14:paraId="6CB8BBCD" w14:textId="77777777" w:rsidR="003F2302" w:rsidRPr="009F1FB4" w:rsidRDefault="00000000">
      <w:pPr>
        <w:spacing w:line="276" w:lineRule="auto"/>
        <w:jc w:val="both"/>
        <w:rPr>
          <w:rFonts w:ascii="Times New Roman" w:hAnsi="Times New Roman"/>
          <w:b/>
          <w:bCs/>
          <w:sz w:val="24"/>
          <w:szCs w:val="24"/>
        </w:rPr>
      </w:pPr>
      <w:r w:rsidRPr="009F1FB4">
        <w:br w:type="page"/>
      </w:r>
    </w:p>
    <w:p w14:paraId="0609A1AF" w14:textId="77777777" w:rsidR="003F2302" w:rsidRPr="009F1FB4" w:rsidRDefault="00000000">
      <w:pPr>
        <w:spacing w:line="276" w:lineRule="auto"/>
        <w:jc w:val="both"/>
        <w:rPr>
          <w:rFonts w:ascii="Times New Roman" w:hAnsi="Times New Roman"/>
          <w:b/>
          <w:bCs/>
          <w:sz w:val="24"/>
          <w:szCs w:val="24"/>
        </w:rPr>
      </w:pPr>
      <w:bookmarkStart w:id="22" w:name="results"/>
      <w:r w:rsidRPr="009F1FB4">
        <w:rPr>
          <w:rFonts w:ascii="Times New Roman" w:hAnsi="Times New Roman"/>
          <w:b/>
          <w:bCs/>
          <w:sz w:val="24"/>
          <w:szCs w:val="24"/>
        </w:rPr>
        <w:lastRenderedPageBreak/>
        <w:t>Results</w:t>
      </w:r>
    </w:p>
    <w:p w14:paraId="3A8C73F1" w14:textId="77777777" w:rsidR="003F2302" w:rsidRPr="009F1FB4" w:rsidRDefault="00000000">
      <w:pPr>
        <w:spacing w:line="276" w:lineRule="auto"/>
        <w:jc w:val="both"/>
        <w:rPr>
          <w:rFonts w:ascii="Times New Roman" w:hAnsi="Times New Roman"/>
          <w:sz w:val="24"/>
          <w:szCs w:val="24"/>
        </w:rPr>
      </w:pPr>
      <w:bookmarkStart w:id="23" w:name="_Hlk237631632"/>
      <w:bookmarkStart w:id="24" w:name="_Hlk237632090"/>
      <w:bookmarkStart w:id="25" w:name="_Hlk237630991"/>
      <w:bookmarkStart w:id="26" w:name="_Hlk237607942"/>
      <w:bookmarkEnd w:id="23"/>
      <w:bookmarkEnd w:id="24"/>
      <w:bookmarkEnd w:id="25"/>
      <w:bookmarkEnd w:id="26"/>
      <w:r w:rsidRPr="009F1FB4">
        <w:t>Of the 71 eligible students, 40 completed the questionnaire. The majority of the respondents were in the 15–25-year age bracket, 32 (80.0%). Males accounted for 22 (55%), while females accounted for 18 (45%). Only 2 (5%) were married, while only 1 (2.5%) was dating. Approximately 16 (40.0%) survived on 10,000–20,000 Naira monthly, while only 2 (5%) lived on 50,000 Naira or more per month. A total of 34 (85.0%) belonged to the middle class in terms of socioeconomic ranking, while 37 (92.5%) came from an urban centre. None had a previous university degree, a previous history of mental illness, or a positive family history of mental illness. Only 2 (5%) consumed alcohol, and only 1 (2.5%) used a psychoactive substance. Females constituted 45% of the participants.</w:t>
      </w:r>
    </w:p>
    <w:p w14:paraId="3948B553" w14:textId="77777777" w:rsidR="003F2302" w:rsidRPr="009F1FB4" w:rsidRDefault="003F2302">
      <w:pPr>
        <w:spacing w:line="276" w:lineRule="auto"/>
        <w:jc w:val="both"/>
        <w:rPr>
          <w:rFonts w:ascii="Times New Roman" w:eastAsia="Calibri" w:hAnsi="Times New Roman" w:cs="Times New Roman"/>
          <w:sz w:val="24"/>
          <w:szCs w:val="24"/>
          <w:lang w:val="en-US"/>
        </w:rPr>
      </w:pPr>
    </w:p>
    <w:p w14:paraId="356103A6" w14:textId="77777777" w:rsidR="003F2302" w:rsidRPr="009F1FB4" w:rsidRDefault="00000000">
      <w:pPr>
        <w:spacing w:line="276" w:lineRule="auto"/>
        <w:jc w:val="both"/>
        <w:rPr>
          <w:rFonts w:ascii="Times New Roman" w:eastAsia="Calibri" w:hAnsi="Times New Roman" w:cs="Times New Roman"/>
          <w:sz w:val="24"/>
          <w:szCs w:val="24"/>
          <w:lang w:val="en-US"/>
        </w:rPr>
      </w:pPr>
      <w:r w:rsidRPr="009F1FB4">
        <w:br w:type="page"/>
      </w:r>
    </w:p>
    <w:p w14:paraId="65D5D09E" w14:textId="77777777" w:rsidR="003F2302" w:rsidRPr="009F1FB4" w:rsidRDefault="003F2302">
      <w:pPr>
        <w:spacing w:line="276" w:lineRule="auto"/>
        <w:jc w:val="both"/>
        <w:rPr>
          <w:rFonts w:ascii="Times New Roman" w:eastAsia="Calibri" w:hAnsi="Times New Roman" w:cs="Times New Roman"/>
          <w:sz w:val="24"/>
          <w:szCs w:val="24"/>
          <w:lang w:val="en-US"/>
        </w:rPr>
      </w:pPr>
    </w:p>
    <w:p w14:paraId="56B12B04" w14:textId="77777777" w:rsidR="003F2302" w:rsidRPr="009F1FB4" w:rsidRDefault="00000000">
      <w:pPr>
        <w:spacing w:line="276" w:lineRule="auto"/>
        <w:jc w:val="both"/>
        <w:rPr>
          <w:shd w:val="clear" w:color="auto" w:fill="FFFF00"/>
        </w:rPr>
      </w:pPr>
      <w:r w:rsidRPr="009F1FB4">
        <w:rPr>
          <w:rFonts w:ascii="Times New Roman" w:eastAsia="Calibri" w:hAnsi="Times New Roman" w:cs="Times New Roman"/>
          <w:b/>
          <w:bCs/>
          <w:sz w:val="24"/>
          <w:szCs w:val="24"/>
          <w:shd w:val="clear" w:color="auto" w:fill="FFFF00"/>
          <w:lang w:val="en-US"/>
        </w:rPr>
        <w:t>Table 1: Sociodemographic data and Psychiatric Morbidity</w:t>
      </w:r>
    </w:p>
    <w:tbl>
      <w:tblPr>
        <w:tblStyle w:val="TableGrid"/>
        <w:tblpPr w:leftFromText="180" w:rightFromText="180" w:vertAnchor="text" w:tblpX="108" w:tblpY="1"/>
        <w:tblOverlap w:val="never"/>
        <w:tblW w:w="5000" w:type="pct"/>
        <w:tblLayout w:type="fixed"/>
        <w:tblLook w:val="04A0" w:firstRow="1" w:lastRow="0" w:firstColumn="1" w:lastColumn="0" w:noHBand="0" w:noVBand="1"/>
      </w:tblPr>
      <w:tblGrid>
        <w:gridCol w:w="2006"/>
        <w:gridCol w:w="2699"/>
        <w:gridCol w:w="2156"/>
        <w:gridCol w:w="2381"/>
      </w:tblGrid>
      <w:tr w:rsidR="003F2302" w:rsidRPr="009F1FB4" w14:paraId="1E4A43C8" w14:textId="77777777">
        <w:tc>
          <w:tcPr>
            <w:tcW w:w="1959" w:type="dxa"/>
          </w:tcPr>
          <w:p w14:paraId="65CC2EB0" w14:textId="77777777" w:rsidR="003F2302" w:rsidRPr="009F1FB4" w:rsidRDefault="00000000">
            <w:pPr>
              <w:spacing w:after="0" w:line="240" w:lineRule="auto"/>
              <w:rPr>
                <w:rFonts w:ascii="Calibri" w:eastAsia="Calibri" w:hAnsi="Calibri" w:cs="Times New Roman"/>
                <w:b/>
                <w:bCs/>
              </w:rPr>
            </w:pPr>
            <w:r w:rsidRPr="009F1FB4">
              <w:rPr>
                <w:rFonts w:ascii="Times New Roman" w:eastAsia="Calibri" w:hAnsi="Times New Roman" w:cs="Times New Roman"/>
                <w:b/>
                <w:bCs/>
                <w:sz w:val="24"/>
                <w:szCs w:val="24"/>
              </w:rPr>
              <w:t>Variable</w:t>
            </w:r>
          </w:p>
        </w:tc>
        <w:tc>
          <w:tcPr>
            <w:tcW w:w="2636" w:type="dxa"/>
          </w:tcPr>
          <w:p w14:paraId="652807E7" w14:textId="77777777" w:rsidR="003F2302" w:rsidRPr="009F1FB4" w:rsidRDefault="00000000">
            <w:pPr>
              <w:spacing w:after="0" w:line="240" w:lineRule="auto"/>
              <w:rPr>
                <w:rFonts w:ascii="Calibri" w:eastAsia="Calibri" w:hAnsi="Calibri" w:cs="Times New Roman"/>
                <w:b/>
                <w:bCs/>
              </w:rPr>
            </w:pPr>
            <w:r w:rsidRPr="009F1FB4">
              <w:rPr>
                <w:rFonts w:ascii="Times New Roman" w:eastAsia="Calibri" w:hAnsi="Times New Roman" w:cs="Times New Roman"/>
                <w:b/>
                <w:bCs/>
                <w:sz w:val="24"/>
                <w:szCs w:val="24"/>
              </w:rPr>
              <w:t>Categories</w:t>
            </w:r>
          </w:p>
        </w:tc>
        <w:tc>
          <w:tcPr>
            <w:tcW w:w="2106" w:type="dxa"/>
          </w:tcPr>
          <w:p w14:paraId="4BC40D52" w14:textId="77777777" w:rsidR="003F2302" w:rsidRPr="009F1FB4" w:rsidRDefault="00000000">
            <w:pPr>
              <w:spacing w:after="0" w:line="240" w:lineRule="auto"/>
              <w:rPr>
                <w:rFonts w:ascii="Calibri" w:eastAsia="Calibri" w:hAnsi="Calibri" w:cs="Times New Roman"/>
                <w:b/>
                <w:bCs/>
              </w:rPr>
            </w:pPr>
            <w:r w:rsidRPr="009F1FB4">
              <w:rPr>
                <w:rFonts w:ascii="Times New Roman" w:eastAsia="Calibri" w:hAnsi="Times New Roman" w:cs="Times New Roman"/>
                <w:b/>
                <w:bCs/>
                <w:sz w:val="24"/>
                <w:szCs w:val="24"/>
              </w:rPr>
              <w:t>Frequency</w:t>
            </w:r>
          </w:p>
        </w:tc>
        <w:tc>
          <w:tcPr>
            <w:tcW w:w="2325" w:type="dxa"/>
          </w:tcPr>
          <w:p w14:paraId="3B3FEBEA" w14:textId="77777777" w:rsidR="003F2302" w:rsidRPr="009F1FB4" w:rsidRDefault="00000000">
            <w:pPr>
              <w:spacing w:after="0" w:line="240" w:lineRule="auto"/>
              <w:rPr>
                <w:rFonts w:ascii="Calibri" w:eastAsia="Calibri" w:hAnsi="Calibri" w:cs="Times New Roman"/>
                <w:b/>
                <w:bCs/>
              </w:rPr>
            </w:pPr>
            <w:r w:rsidRPr="009F1FB4">
              <w:rPr>
                <w:rFonts w:ascii="Times New Roman" w:eastAsia="Calibri" w:hAnsi="Times New Roman" w:cs="Times New Roman"/>
                <w:b/>
                <w:bCs/>
                <w:sz w:val="24"/>
                <w:szCs w:val="24"/>
              </w:rPr>
              <w:t>Percentage</w:t>
            </w:r>
          </w:p>
        </w:tc>
      </w:tr>
      <w:tr w:rsidR="003F2302" w:rsidRPr="009F1FB4" w14:paraId="588083A0" w14:textId="77777777">
        <w:tc>
          <w:tcPr>
            <w:tcW w:w="1959" w:type="dxa"/>
          </w:tcPr>
          <w:p w14:paraId="221705FB"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Age</w:t>
            </w:r>
          </w:p>
        </w:tc>
        <w:tc>
          <w:tcPr>
            <w:tcW w:w="2636" w:type="dxa"/>
          </w:tcPr>
          <w:p w14:paraId="684D3C1B"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15 – 25 Years</w:t>
            </w:r>
          </w:p>
        </w:tc>
        <w:tc>
          <w:tcPr>
            <w:tcW w:w="2106" w:type="dxa"/>
            <w:vAlign w:val="center"/>
          </w:tcPr>
          <w:p w14:paraId="7607D469"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32</w:t>
            </w:r>
          </w:p>
        </w:tc>
        <w:tc>
          <w:tcPr>
            <w:tcW w:w="2325" w:type="dxa"/>
            <w:vAlign w:val="bottom"/>
          </w:tcPr>
          <w:p w14:paraId="256CC2F9"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79.5</w:t>
            </w:r>
          </w:p>
        </w:tc>
      </w:tr>
      <w:tr w:rsidR="003F2302" w:rsidRPr="009F1FB4" w14:paraId="6E99EC3A" w14:textId="77777777">
        <w:tc>
          <w:tcPr>
            <w:tcW w:w="1959" w:type="dxa"/>
          </w:tcPr>
          <w:p w14:paraId="554681AB" w14:textId="77777777" w:rsidR="003F2302" w:rsidRPr="009F1FB4" w:rsidRDefault="003F2302">
            <w:pPr>
              <w:spacing w:after="0" w:line="240" w:lineRule="auto"/>
              <w:rPr>
                <w:rFonts w:ascii="Times New Roman" w:hAnsi="Times New Roman"/>
                <w:sz w:val="24"/>
                <w:szCs w:val="24"/>
              </w:rPr>
            </w:pPr>
          </w:p>
        </w:tc>
        <w:tc>
          <w:tcPr>
            <w:tcW w:w="2636" w:type="dxa"/>
          </w:tcPr>
          <w:p w14:paraId="0CE95038"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&gt; 25 Years</w:t>
            </w:r>
          </w:p>
        </w:tc>
        <w:tc>
          <w:tcPr>
            <w:tcW w:w="2106" w:type="dxa"/>
            <w:vAlign w:val="center"/>
          </w:tcPr>
          <w:p w14:paraId="6DB738AD"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8</w:t>
            </w:r>
          </w:p>
        </w:tc>
        <w:tc>
          <w:tcPr>
            <w:tcW w:w="2325" w:type="dxa"/>
            <w:vAlign w:val="bottom"/>
          </w:tcPr>
          <w:p w14:paraId="290637DD"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20.5</w:t>
            </w:r>
          </w:p>
        </w:tc>
      </w:tr>
      <w:tr w:rsidR="003F2302" w:rsidRPr="009F1FB4" w14:paraId="32061EB8" w14:textId="77777777">
        <w:tc>
          <w:tcPr>
            <w:tcW w:w="1959" w:type="dxa"/>
          </w:tcPr>
          <w:p w14:paraId="22087032"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Sex</w:t>
            </w:r>
          </w:p>
        </w:tc>
        <w:tc>
          <w:tcPr>
            <w:tcW w:w="2636" w:type="dxa"/>
          </w:tcPr>
          <w:p w14:paraId="38C50335"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Male</w:t>
            </w:r>
          </w:p>
        </w:tc>
        <w:tc>
          <w:tcPr>
            <w:tcW w:w="2106" w:type="dxa"/>
            <w:vAlign w:val="center"/>
          </w:tcPr>
          <w:p w14:paraId="7918E84F"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22</w:t>
            </w:r>
          </w:p>
        </w:tc>
        <w:tc>
          <w:tcPr>
            <w:tcW w:w="2325" w:type="dxa"/>
            <w:vAlign w:val="bottom"/>
          </w:tcPr>
          <w:p w14:paraId="4B9519A8"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55.0</w:t>
            </w:r>
          </w:p>
        </w:tc>
      </w:tr>
      <w:tr w:rsidR="003F2302" w:rsidRPr="009F1FB4" w14:paraId="793B74E6" w14:textId="77777777">
        <w:tc>
          <w:tcPr>
            <w:tcW w:w="1959" w:type="dxa"/>
          </w:tcPr>
          <w:p w14:paraId="2FD546C5" w14:textId="77777777" w:rsidR="003F2302" w:rsidRPr="009F1FB4" w:rsidRDefault="003F2302">
            <w:pPr>
              <w:spacing w:after="0" w:line="240" w:lineRule="auto"/>
              <w:rPr>
                <w:rFonts w:ascii="Times New Roman" w:hAnsi="Times New Roman"/>
                <w:sz w:val="24"/>
                <w:szCs w:val="24"/>
              </w:rPr>
            </w:pPr>
          </w:p>
        </w:tc>
        <w:tc>
          <w:tcPr>
            <w:tcW w:w="2636" w:type="dxa"/>
          </w:tcPr>
          <w:p w14:paraId="2408C9D0"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Female</w:t>
            </w:r>
          </w:p>
        </w:tc>
        <w:tc>
          <w:tcPr>
            <w:tcW w:w="2106" w:type="dxa"/>
            <w:vAlign w:val="center"/>
          </w:tcPr>
          <w:p w14:paraId="0032E6AA"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18</w:t>
            </w:r>
          </w:p>
        </w:tc>
        <w:tc>
          <w:tcPr>
            <w:tcW w:w="2325" w:type="dxa"/>
            <w:vAlign w:val="bottom"/>
          </w:tcPr>
          <w:p w14:paraId="3BC7C0C7"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45.0</w:t>
            </w:r>
          </w:p>
        </w:tc>
      </w:tr>
      <w:tr w:rsidR="003F2302" w:rsidRPr="009F1FB4" w14:paraId="5ED4DD79" w14:textId="77777777">
        <w:tc>
          <w:tcPr>
            <w:tcW w:w="1959" w:type="dxa"/>
          </w:tcPr>
          <w:p w14:paraId="79008546"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Religion</w:t>
            </w:r>
          </w:p>
        </w:tc>
        <w:tc>
          <w:tcPr>
            <w:tcW w:w="2636" w:type="dxa"/>
          </w:tcPr>
          <w:p w14:paraId="2405DA06"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Christian</w:t>
            </w:r>
          </w:p>
        </w:tc>
        <w:tc>
          <w:tcPr>
            <w:tcW w:w="2106" w:type="dxa"/>
            <w:vAlign w:val="center"/>
          </w:tcPr>
          <w:p w14:paraId="0F89DAF2"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34</w:t>
            </w:r>
          </w:p>
        </w:tc>
        <w:tc>
          <w:tcPr>
            <w:tcW w:w="2325" w:type="dxa"/>
            <w:vAlign w:val="bottom"/>
          </w:tcPr>
          <w:p w14:paraId="36A12352"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85.0</w:t>
            </w:r>
          </w:p>
        </w:tc>
      </w:tr>
      <w:tr w:rsidR="003F2302" w:rsidRPr="009F1FB4" w14:paraId="32948680" w14:textId="77777777">
        <w:tc>
          <w:tcPr>
            <w:tcW w:w="1959" w:type="dxa"/>
          </w:tcPr>
          <w:p w14:paraId="27415F3F" w14:textId="77777777" w:rsidR="003F2302" w:rsidRPr="009F1FB4" w:rsidRDefault="003F2302">
            <w:pPr>
              <w:spacing w:after="0" w:line="240" w:lineRule="auto"/>
              <w:rPr>
                <w:rFonts w:ascii="Times New Roman" w:hAnsi="Times New Roman"/>
                <w:sz w:val="24"/>
                <w:szCs w:val="24"/>
              </w:rPr>
            </w:pPr>
          </w:p>
        </w:tc>
        <w:tc>
          <w:tcPr>
            <w:tcW w:w="2636" w:type="dxa"/>
          </w:tcPr>
          <w:p w14:paraId="11EFCA22"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Muslim</w:t>
            </w:r>
          </w:p>
        </w:tc>
        <w:tc>
          <w:tcPr>
            <w:tcW w:w="2106" w:type="dxa"/>
            <w:vAlign w:val="center"/>
          </w:tcPr>
          <w:p w14:paraId="372A3073"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6</w:t>
            </w:r>
          </w:p>
        </w:tc>
        <w:tc>
          <w:tcPr>
            <w:tcW w:w="2325" w:type="dxa"/>
            <w:vAlign w:val="bottom"/>
          </w:tcPr>
          <w:p w14:paraId="68918B29"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15.0</w:t>
            </w:r>
          </w:p>
        </w:tc>
      </w:tr>
      <w:tr w:rsidR="003F2302" w:rsidRPr="009F1FB4" w14:paraId="05AF001C" w14:textId="77777777">
        <w:tc>
          <w:tcPr>
            <w:tcW w:w="1959" w:type="dxa"/>
          </w:tcPr>
          <w:p w14:paraId="06F8B7D7"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Relationship</w:t>
            </w:r>
          </w:p>
        </w:tc>
        <w:tc>
          <w:tcPr>
            <w:tcW w:w="2636" w:type="dxa"/>
          </w:tcPr>
          <w:p w14:paraId="0EB176B2"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Married</w:t>
            </w:r>
          </w:p>
        </w:tc>
        <w:tc>
          <w:tcPr>
            <w:tcW w:w="2106" w:type="dxa"/>
            <w:vAlign w:val="center"/>
          </w:tcPr>
          <w:p w14:paraId="492337FF"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2</w:t>
            </w:r>
          </w:p>
        </w:tc>
        <w:tc>
          <w:tcPr>
            <w:tcW w:w="2325" w:type="dxa"/>
            <w:vAlign w:val="bottom"/>
          </w:tcPr>
          <w:p w14:paraId="6728075A"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5.0</w:t>
            </w:r>
          </w:p>
        </w:tc>
      </w:tr>
      <w:tr w:rsidR="003F2302" w:rsidRPr="009F1FB4" w14:paraId="04FBFEAB" w14:textId="77777777">
        <w:tc>
          <w:tcPr>
            <w:tcW w:w="1959" w:type="dxa"/>
          </w:tcPr>
          <w:p w14:paraId="25A3E1AE" w14:textId="77777777" w:rsidR="003F2302" w:rsidRPr="009F1FB4" w:rsidRDefault="003F2302">
            <w:pPr>
              <w:spacing w:after="0" w:line="240" w:lineRule="auto"/>
              <w:rPr>
                <w:rFonts w:ascii="Times New Roman" w:hAnsi="Times New Roman"/>
                <w:sz w:val="24"/>
                <w:szCs w:val="24"/>
              </w:rPr>
            </w:pPr>
          </w:p>
        </w:tc>
        <w:tc>
          <w:tcPr>
            <w:tcW w:w="2636" w:type="dxa"/>
          </w:tcPr>
          <w:p w14:paraId="1B1589D5"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Engaged/Dating</w:t>
            </w:r>
          </w:p>
        </w:tc>
        <w:tc>
          <w:tcPr>
            <w:tcW w:w="2106" w:type="dxa"/>
            <w:vAlign w:val="center"/>
          </w:tcPr>
          <w:p w14:paraId="24557E02"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1</w:t>
            </w:r>
          </w:p>
        </w:tc>
        <w:tc>
          <w:tcPr>
            <w:tcW w:w="2325" w:type="dxa"/>
            <w:vAlign w:val="bottom"/>
          </w:tcPr>
          <w:p w14:paraId="7ECFCD18"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2.5</w:t>
            </w:r>
          </w:p>
        </w:tc>
      </w:tr>
      <w:tr w:rsidR="003F2302" w:rsidRPr="009F1FB4" w14:paraId="10E26046" w14:textId="77777777">
        <w:tc>
          <w:tcPr>
            <w:tcW w:w="1959" w:type="dxa"/>
          </w:tcPr>
          <w:p w14:paraId="52659DCB" w14:textId="77777777" w:rsidR="003F2302" w:rsidRPr="009F1FB4" w:rsidRDefault="003F2302">
            <w:pPr>
              <w:spacing w:after="0" w:line="240" w:lineRule="auto"/>
              <w:rPr>
                <w:rFonts w:ascii="Times New Roman" w:hAnsi="Times New Roman"/>
                <w:sz w:val="24"/>
                <w:szCs w:val="24"/>
              </w:rPr>
            </w:pPr>
          </w:p>
        </w:tc>
        <w:tc>
          <w:tcPr>
            <w:tcW w:w="2636" w:type="dxa"/>
          </w:tcPr>
          <w:p w14:paraId="1F634D04"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Single</w:t>
            </w:r>
          </w:p>
        </w:tc>
        <w:tc>
          <w:tcPr>
            <w:tcW w:w="2106" w:type="dxa"/>
            <w:vAlign w:val="center"/>
          </w:tcPr>
          <w:p w14:paraId="3F8E44E1"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37</w:t>
            </w:r>
          </w:p>
        </w:tc>
        <w:tc>
          <w:tcPr>
            <w:tcW w:w="2325" w:type="dxa"/>
            <w:vAlign w:val="bottom"/>
          </w:tcPr>
          <w:p w14:paraId="4FF54EF1"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92.5</w:t>
            </w:r>
          </w:p>
        </w:tc>
      </w:tr>
      <w:tr w:rsidR="003F2302" w:rsidRPr="009F1FB4" w14:paraId="7254E701" w14:textId="77777777">
        <w:tc>
          <w:tcPr>
            <w:tcW w:w="1959" w:type="dxa"/>
          </w:tcPr>
          <w:p w14:paraId="57942669"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Personal Monthly Income</w:t>
            </w:r>
          </w:p>
        </w:tc>
        <w:tc>
          <w:tcPr>
            <w:tcW w:w="2636" w:type="dxa"/>
          </w:tcPr>
          <w:p w14:paraId="699260D6"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&lt; 10k</w:t>
            </w:r>
          </w:p>
        </w:tc>
        <w:tc>
          <w:tcPr>
            <w:tcW w:w="2106" w:type="dxa"/>
            <w:vAlign w:val="center"/>
          </w:tcPr>
          <w:p w14:paraId="2F99D1A7"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14</w:t>
            </w:r>
          </w:p>
        </w:tc>
        <w:tc>
          <w:tcPr>
            <w:tcW w:w="2325" w:type="dxa"/>
            <w:vAlign w:val="bottom"/>
          </w:tcPr>
          <w:p w14:paraId="3B0CBA53"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36.8</w:t>
            </w:r>
          </w:p>
        </w:tc>
      </w:tr>
      <w:tr w:rsidR="003F2302" w:rsidRPr="009F1FB4" w14:paraId="2222E2AE" w14:textId="77777777">
        <w:tc>
          <w:tcPr>
            <w:tcW w:w="1959" w:type="dxa"/>
          </w:tcPr>
          <w:p w14:paraId="3E2EFDEF" w14:textId="77777777" w:rsidR="003F2302" w:rsidRPr="009F1FB4" w:rsidRDefault="003F2302">
            <w:pPr>
              <w:spacing w:after="0" w:line="240" w:lineRule="auto"/>
              <w:rPr>
                <w:rFonts w:ascii="Times New Roman" w:hAnsi="Times New Roman"/>
                <w:sz w:val="24"/>
                <w:szCs w:val="24"/>
              </w:rPr>
            </w:pPr>
          </w:p>
        </w:tc>
        <w:tc>
          <w:tcPr>
            <w:tcW w:w="2636" w:type="dxa"/>
          </w:tcPr>
          <w:p w14:paraId="2BD09B4F"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10k – 20k</w:t>
            </w:r>
          </w:p>
        </w:tc>
        <w:tc>
          <w:tcPr>
            <w:tcW w:w="2106" w:type="dxa"/>
            <w:vAlign w:val="center"/>
          </w:tcPr>
          <w:p w14:paraId="7CE2E53C"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16</w:t>
            </w:r>
          </w:p>
        </w:tc>
        <w:tc>
          <w:tcPr>
            <w:tcW w:w="2325" w:type="dxa"/>
            <w:vAlign w:val="bottom"/>
          </w:tcPr>
          <w:p w14:paraId="27813033"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42.1</w:t>
            </w:r>
          </w:p>
        </w:tc>
      </w:tr>
      <w:tr w:rsidR="003F2302" w:rsidRPr="009F1FB4" w14:paraId="6252E49F" w14:textId="77777777">
        <w:tc>
          <w:tcPr>
            <w:tcW w:w="1959" w:type="dxa"/>
          </w:tcPr>
          <w:p w14:paraId="2F5EF1FF" w14:textId="77777777" w:rsidR="003F2302" w:rsidRPr="009F1FB4" w:rsidRDefault="003F2302">
            <w:pPr>
              <w:spacing w:after="0" w:line="240" w:lineRule="auto"/>
              <w:rPr>
                <w:rFonts w:ascii="Times New Roman" w:hAnsi="Times New Roman"/>
                <w:sz w:val="24"/>
                <w:szCs w:val="24"/>
              </w:rPr>
            </w:pPr>
          </w:p>
        </w:tc>
        <w:tc>
          <w:tcPr>
            <w:tcW w:w="2636" w:type="dxa"/>
          </w:tcPr>
          <w:p w14:paraId="687693BC"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20k – 50k</w:t>
            </w:r>
          </w:p>
        </w:tc>
        <w:tc>
          <w:tcPr>
            <w:tcW w:w="2106" w:type="dxa"/>
            <w:vAlign w:val="center"/>
          </w:tcPr>
          <w:p w14:paraId="280E73CE"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8</w:t>
            </w:r>
          </w:p>
        </w:tc>
        <w:tc>
          <w:tcPr>
            <w:tcW w:w="2325" w:type="dxa"/>
            <w:vAlign w:val="bottom"/>
          </w:tcPr>
          <w:p w14:paraId="4D7D7DE0"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21.1</w:t>
            </w:r>
          </w:p>
        </w:tc>
      </w:tr>
      <w:tr w:rsidR="003F2302" w:rsidRPr="009F1FB4" w14:paraId="5BC2EC4D" w14:textId="77777777">
        <w:tc>
          <w:tcPr>
            <w:tcW w:w="1959" w:type="dxa"/>
          </w:tcPr>
          <w:p w14:paraId="21199755" w14:textId="77777777" w:rsidR="003F2302" w:rsidRPr="009F1FB4" w:rsidRDefault="003F2302">
            <w:pPr>
              <w:spacing w:after="0" w:line="240" w:lineRule="auto"/>
              <w:rPr>
                <w:rFonts w:ascii="Times New Roman" w:hAnsi="Times New Roman"/>
                <w:sz w:val="24"/>
                <w:szCs w:val="24"/>
              </w:rPr>
            </w:pPr>
          </w:p>
        </w:tc>
        <w:tc>
          <w:tcPr>
            <w:tcW w:w="2636" w:type="dxa"/>
          </w:tcPr>
          <w:p w14:paraId="6DCF5D1C"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&gt; 50k</w:t>
            </w:r>
          </w:p>
        </w:tc>
        <w:tc>
          <w:tcPr>
            <w:tcW w:w="2106" w:type="dxa"/>
            <w:vAlign w:val="center"/>
          </w:tcPr>
          <w:p w14:paraId="4733F515" w14:textId="77777777" w:rsidR="003F2302" w:rsidRPr="009F1FB4" w:rsidRDefault="00000000">
            <w:pPr>
              <w:spacing w:after="0" w:line="240" w:lineRule="auto"/>
              <w:rPr>
                <w:rFonts w:ascii="Times New Roman" w:hAnsi="Times New Roman"/>
                <w:sz w:val="24"/>
                <w:szCs w:val="24"/>
              </w:rPr>
            </w:pPr>
            <w:r w:rsidRPr="009F1FB4">
              <w:rPr>
                <w:rFonts w:eastAsia="Calibri" w:cs="Times New Roman"/>
                <w:sz w:val="24"/>
                <w:szCs w:val="24"/>
              </w:rPr>
              <w:t>2</w:t>
            </w:r>
          </w:p>
        </w:tc>
        <w:tc>
          <w:tcPr>
            <w:tcW w:w="2325" w:type="dxa"/>
            <w:vAlign w:val="bottom"/>
          </w:tcPr>
          <w:p w14:paraId="2F4DEE7D"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sz w:val="24"/>
                <w:szCs w:val="24"/>
              </w:rPr>
              <w:t>0</w:t>
            </w:r>
          </w:p>
        </w:tc>
      </w:tr>
      <w:tr w:rsidR="003F2302" w:rsidRPr="009F1FB4" w14:paraId="25B66F0C" w14:textId="77777777">
        <w:tc>
          <w:tcPr>
            <w:tcW w:w="1959" w:type="dxa"/>
          </w:tcPr>
          <w:p w14:paraId="5FF03D55"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Family Background</w:t>
            </w:r>
          </w:p>
        </w:tc>
        <w:tc>
          <w:tcPr>
            <w:tcW w:w="2636" w:type="dxa"/>
          </w:tcPr>
          <w:p w14:paraId="1E6DCD48"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Lower Class</w:t>
            </w:r>
          </w:p>
        </w:tc>
        <w:tc>
          <w:tcPr>
            <w:tcW w:w="2106" w:type="dxa"/>
            <w:vAlign w:val="center"/>
          </w:tcPr>
          <w:p w14:paraId="7569101B" w14:textId="77777777" w:rsidR="003F2302" w:rsidRPr="009F1FB4" w:rsidRDefault="00000000">
            <w:pPr>
              <w:spacing w:after="0" w:line="240" w:lineRule="auto"/>
              <w:rPr>
                <w:rFonts w:ascii="Times New Roman" w:hAnsi="Times New Roman"/>
                <w:sz w:val="24"/>
                <w:szCs w:val="24"/>
              </w:rPr>
            </w:pPr>
            <w:r w:rsidRPr="009F1FB4">
              <w:rPr>
                <w:rFonts w:eastAsia="Calibri" w:cs="Times New Roman"/>
                <w:sz w:val="24"/>
                <w:szCs w:val="24"/>
              </w:rPr>
              <w:t>2</w:t>
            </w:r>
          </w:p>
        </w:tc>
        <w:tc>
          <w:tcPr>
            <w:tcW w:w="2325" w:type="dxa"/>
            <w:vAlign w:val="bottom"/>
          </w:tcPr>
          <w:p w14:paraId="5A9BCA8D"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sz w:val="24"/>
                <w:szCs w:val="24"/>
              </w:rPr>
              <w:t>5.0</w:t>
            </w:r>
          </w:p>
        </w:tc>
      </w:tr>
      <w:tr w:rsidR="003F2302" w:rsidRPr="009F1FB4" w14:paraId="6446965C" w14:textId="77777777">
        <w:tc>
          <w:tcPr>
            <w:tcW w:w="1959" w:type="dxa"/>
          </w:tcPr>
          <w:p w14:paraId="62CEE172" w14:textId="77777777" w:rsidR="003F2302" w:rsidRPr="009F1FB4" w:rsidRDefault="003F2302">
            <w:pPr>
              <w:spacing w:after="0" w:line="240" w:lineRule="auto"/>
              <w:rPr>
                <w:rFonts w:ascii="Times New Roman" w:hAnsi="Times New Roman"/>
                <w:sz w:val="24"/>
                <w:szCs w:val="24"/>
              </w:rPr>
            </w:pPr>
          </w:p>
        </w:tc>
        <w:tc>
          <w:tcPr>
            <w:tcW w:w="2636" w:type="dxa"/>
          </w:tcPr>
          <w:p w14:paraId="35ABB432"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Middle Class</w:t>
            </w:r>
          </w:p>
        </w:tc>
        <w:tc>
          <w:tcPr>
            <w:tcW w:w="2106" w:type="dxa"/>
            <w:vAlign w:val="center"/>
          </w:tcPr>
          <w:p w14:paraId="172CBD94"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34</w:t>
            </w:r>
          </w:p>
        </w:tc>
        <w:tc>
          <w:tcPr>
            <w:tcW w:w="2325" w:type="dxa"/>
            <w:vAlign w:val="bottom"/>
          </w:tcPr>
          <w:p w14:paraId="2A71A152"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85.0</w:t>
            </w:r>
          </w:p>
        </w:tc>
      </w:tr>
      <w:tr w:rsidR="003F2302" w:rsidRPr="009F1FB4" w14:paraId="63DB902B" w14:textId="77777777">
        <w:tc>
          <w:tcPr>
            <w:tcW w:w="1959" w:type="dxa"/>
          </w:tcPr>
          <w:p w14:paraId="030343E2" w14:textId="77777777" w:rsidR="003F2302" w:rsidRPr="009F1FB4" w:rsidRDefault="003F2302">
            <w:pPr>
              <w:spacing w:after="0" w:line="240" w:lineRule="auto"/>
              <w:rPr>
                <w:rFonts w:ascii="Times New Roman" w:hAnsi="Times New Roman"/>
                <w:sz w:val="24"/>
                <w:szCs w:val="24"/>
              </w:rPr>
            </w:pPr>
          </w:p>
        </w:tc>
        <w:tc>
          <w:tcPr>
            <w:tcW w:w="2636" w:type="dxa"/>
          </w:tcPr>
          <w:p w14:paraId="2F4FDD44"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Upper Class</w:t>
            </w:r>
          </w:p>
        </w:tc>
        <w:tc>
          <w:tcPr>
            <w:tcW w:w="2106" w:type="dxa"/>
            <w:vAlign w:val="center"/>
          </w:tcPr>
          <w:p w14:paraId="25E83AF8"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4</w:t>
            </w:r>
          </w:p>
        </w:tc>
        <w:tc>
          <w:tcPr>
            <w:tcW w:w="2325" w:type="dxa"/>
            <w:vAlign w:val="bottom"/>
          </w:tcPr>
          <w:p w14:paraId="592B0E97"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10.5</w:t>
            </w:r>
          </w:p>
        </w:tc>
      </w:tr>
      <w:tr w:rsidR="003F2302" w:rsidRPr="009F1FB4" w14:paraId="7AA0A13A" w14:textId="77777777">
        <w:tc>
          <w:tcPr>
            <w:tcW w:w="1959" w:type="dxa"/>
          </w:tcPr>
          <w:p w14:paraId="7936AF3D"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Permanent Residence</w:t>
            </w:r>
          </w:p>
        </w:tc>
        <w:tc>
          <w:tcPr>
            <w:tcW w:w="2636" w:type="dxa"/>
          </w:tcPr>
          <w:p w14:paraId="41EDAD66"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Urban</w:t>
            </w:r>
          </w:p>
        </w:tc>
        <w:tc>
          <w:tcPr>
            <w:tcW w:w="2106" w:type="dxa"/>
            <w:vAlign w:val="center"/>
          </w:tcPr>
          <w:p w14:paraId="5621EDCE"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37</w:t>
            </w:r>
          </w:p>
        </w:tc>
        <w:tc>
          <w:tcPr>
            <w:tcW w:w="2325" w:type="dxa"/>
            <w:vAlign w:val="bottom"/>
          </w:tcPr>
          <w:p w14:paraId="6EACEA2D"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92.5</w:t>
            </w:r>
          </w:p>
        </w:tc>
      </w:tr>
      <w:tr w:rsidR="003F2302" w:rsidRPr="009F1FB4" w14:paraId="5FA6161C" w14:textId="77777777">
        <w:tc>
          <w:tcPr>
            <w:tcW w:w="1959" w:type="dxa"/>
          </w:tcPr>
          <w:p w14:paraId="7F562906" w14:textId="77777777" w:rsidR="003F2302" w:rsidRPr="009F1FB4" w:rsidRDefault="003F2302">
            <w:pPr>
              <w:spacing w:after="0" w:line="240" w:lineRule="auto"/>
              <w:rPr>
                <w:rFonts w:ascii="Times New Roman" w:hAnsi="Times New Roman"/>
                <w:sz w:val="24"/>
                <w:szCs w:val="24"/>
              </w:rPr>
            </w:pPr>
          </w:p>
        </w:tc>
        <w:tc>
          <w:tcPr>
            <w:tcW w:w="2636" w:type="dxa"/>
          </w:tcPr>
          <w:p w14:paraId="2770CE3B"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Rural</w:t>
            </w:r>
          </w:p>
        </w:tc>
        <w:tc>
          <w:tcPr>
            <w:tcW w:w="2106" w:type="dxa"/>
            <w:vAlign w:val="center"/>
          </w:tcPr>
          <w:p w14:paraId="2DA47B6F"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3</w:t>
            </w:r>
          </w:p>
        </w:tc>
        <w:tc>
          <w:tcPr>
            <w:tcW w:w="2325" w:type="dxa"/>
            <w:vAlign w:val="bottom"/>
          </w:tcPr>
          <w:p w14:paraId="1A202E8A"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7.5</w:t>
            </w:r>
          </w:p>
        </w:tc>
      </w:tr>
      <w:tr w:rsidR="003F2302" w:rsidRPr="009F1FB4" w14:paraId="66F39EBE" w14:textId="77777777">
        <w:tc>
          <w:tcPr>
            <w:tcW w:w="1959" w:type="dxa"/>
          </w:tcPr>
          <w:p w14:paraId="01AB0FEF"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Possess previous educational degree)</w:t>
            </w:r>
          </w:p>
        </w:tc>
        <w:tc>
          <w:tcPr>
            <w:tcW w:w="2636" w:type="dxa"/>
          </w:tcPr>
          <w:p w14:paraId="1A8EFC8C"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Yes</w:t>
            </w:r>
          </w:p>
        </w:tc>
        <w:tc>
          <w:tcPr>
            <w:tcW w:w="2106" w:type="dxa"/>
            <w:vAlign w:val="center"/>
          </w:tcPr>
          <w:p w14:paraId="7A7B4D97"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0</w:t>
            </w:r>
          </w:p>
        </w:tc>
        <w:tc>
          <w:tcPr>
            <w:tcW w:w="2325" w:type="dxa"/>
            <w:vAlign w:val="bottom"/>
          </w:tcPr>
          <w:p w14:paraId="675C9CAE"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sz w:val="24"/>
                <w:szCs w:val="24"/>
              </w:rPr>
              <w:t>0</w:t>
            </w:r>
          </w:p>
        </w:tc>
      </w:tr>
      <w:tr w:rsidR="003F2302" w:rsidRPr="009F1FB4" w14:paraId="63780EED" w14:textId="77777777">
        <w:tc>
          <w:tcPr>
            <w:tcW w:w="1959" w:type="dxa"/>
          </w:tcPr>
          <w:p w14:paraId="2B1DCF91" w14:textId="77777777" w:rsidR="003F2302" w:rsidRPr="009F1FB4" w:rsidRDefault="003F2302">
            <w:pPr>
              <w:spacing w:after="0" w:line="240" w:lineRule="auto"/>
              <w:rPr>
                <w:rFonts w:ascii="Times New Roman" w:hAnsi="Times New Roman"/>
                <w:sz w:val="24"/>
                <w:szCs w:val="24"/>
              </w:rPr>
            </w:pPr>
          </w:p>
        </w:tc>
        <w:tc>
          <w:tcPr>
            <w:tcW w:w="2636" w:type="dxa"/>
          </w:tcPr>
          <w:p w14:paraId="31B0C0C6"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No</w:t>
            </w:r>
          </w:p>
        </w:tc>
        <w:tc>
          <w:tcPr>
            <w:tcW w:w="2106" w:type="dxa"/>
            <w:vAlign w:val="center"/>
          </w:tcPr>
          <w:p w14:paraId="64E03043"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40</w:t>
            </w:r>
          </w:p>
        </w:tc>
        <w:tc>
          <w:tcPr>
            <w:tcW w:w="2325" w:type="dxa"/>
            <w:vAlign w:val="bottom"/>
          </w:tcPr>
          <w:p w14:paraId="07A86D5C"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100.0</w:t>
            </w:r>
          </w:p>
        </w:tc>
      </w:tr>
      <w:tr w:rsidR="003F2302" w:rsidRPr="009F1FB4" w14:paraId="1ECAD4A3" w14:textId="77777777">
        <w:tc>
          <w:tcPr>
            <w:tcW w:w="1959" w:type="dxa"/>
          </w:tcPr>
          <w:p w14:paraId="0FE19642"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Previous History of Mental illness</w:t>
            </w:r>
          </w:p>
        </w:tc>
        <w:tc>
          <w:tcPr>
            <w:tcW w:w="2636" w:type="dxa"/>
          </w:tcPr>
          <w:p w14:paraId="5C4E14A0"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Yes</w:t>
            </w:r>
          </w:p>
        </w:tc>
        <w:tc>
          <w:tcPr>
            <w:tcW w:w="2106" w:type="dxa"/>
            <w:vAlign w:val="center"/>
          </w:tcPr>
          <w:p w14:paraId="3A7A363C"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0</w:t>
            </w:r>
          </w:p>
        </w:tc>
        <w:tc>
          <w:tcPr>
            <w:tcW w:w="2325" w:type="dxa"/>
            <w:vAlign w:val="bottom"/>
          </w:tcPr>
          <w:p w14:paraId="7D7F7C27"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sz w:val="24"/>
                <w:szCs w:val="24"/>
              </w:rPr>
              <w:t>0</w:t>
            </w:r>
          </w:p>
        </w:tc>
      </w:tr>
      <w:tr w:rsidR="003F2302" w:rsidRPr="009F1FB4" w14:paraId="593719F8" w14:textId="77777777">
        <w:trPr>
          <w:trHeight w:val="224"/>
        </w:trPr>
        <w:tc>
          <w:tcPr>
            <w:tcW w:w="1959" w:type="dxa"/>
          </w:tcPr>
          <w:p w14:paraId="664C3D6A" w14:textId="77777777" w:rsidR="003F2302" w:rsidRPr="009F1FB4" w:rsidRDefault="003F2302">
            <w:pPr>
              <w:spacing w:after="0" w:line="240" w:lineRule="auto"/>
              <w:rPr>
                <w:rFonts w:ascii="Times New Roman" w:hAnsi="Times New Roman"/>
                <w:sz w:val="24"/>
                <w:szCs w:val="24"/>
              </w:rPr>
            </w:pPr>
          </w:p>
        </w:tc>
        <w:tc>
          <w:tcPr>
            <w:tcW w:w="2636" w:type="dxa"/>
          </w:tcPr>
          <w:p w14:paraId="15DD014C"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No</w:t>
            </w:r>
          </w:p>
        </w:tc>
        <w:tc>
          <w:tcPr>
            <w:tcW w:w="2106" w:type="dxa"/>
            <w:vAlign w:val="center"/>
          </w:tcPr>
          <w:p w14:paraId="5A8788C4"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40</w:t>
            </w:r>
          </w:p>
        </w:tc>
        <w:tc>
          <w:tcPr>
            <w:tcW w:w="2325" w:type="dxa"/>
            <w:vAlign w:val="bottom"/>
          </w:tcPr>
          <w:p w14:paraId="1C969DF9"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100.0</w:t>
            </w:r>
          </w:p>
        </w:tc>
      </w:tr>
      <w:tr w:rsidR="003F2302" w:rsidRPr="009F1FB4" w14:paraId="11C5EBFD" w14:textId="77777777">
        <w:tc>
          <w:tcPr>
            <w:tcW w:w="1959" w:type="dxa"/>
          </w:tcPr>
          <w:p w14:paraId="31EC27FF"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Family History of Mental Illness</w:t>
            </w:r>
          </w:p>
        </w:tc>
        <w:tc>
          <w:tcPr>
            <w:tcW w:w="2636" w:type="dxa"/>
          </w:tcPr>
          <w:p w14:paraId="4BC72080"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Yes</w:t>
            </w:r>
          </w:p>
        </w:tc>
        <w:tc>
          <w:tcPr>
            <w:tcW w:w="2106" w:type="dxa"/>
            <w:vAlign w:val="center"/>
          </w:tcPr>
          <w:p w14:paraId="3136B78D"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0</w:t>
            </w:r>
          </w:p>
        </w:tc>
        <w:tc>
          <w:tcPr>
            <w:tcW w:w="2325" w:type="dxa"/>
            <w:vAlign w:val="bottom"/>
          </w:tcPr>
          <w:p w14:paraId="1B2C6907"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sz w:val="24"/>
                <w:szCs w:val="24"/>
              </w:rPr>
              <w:t>0</w:t>
            </w:r>
          </w:p>
        </w:tc>
      </w:tr>
      <w:tr w:rsidR="003F2302" w:rsidRPr="009F1FB4" w14:paraId="3DDCA8A9" w14:textId="77777777">
        <w:tc>
          <w:tcPr>
            <w:tcW w:w="1959" w:type="dxa"/>
          </w:tcPr>
          <w:p w14:paraId="70FB1675" w14:textId="77777777" w:rsidR="003F2302" w:rsidRPr="009F1FB4" w:rsidRDefault="003F2302">
            <w:pPr>
              <w:spacing w:after="0" w:line="240" w:lineRule="auto"/>
              <w:rPr>
                <w:rFonts w:ascii="Times New Roman" w:hAnsi="Times New Roman"/>
                <w:sz w:val="24"/>
                <w:szCs w:val="24"/>
              </w:rPr>
            </w:pPr>
          </w:p>
        </w:tc>
        <w:tc>
          <w:tcPr>
            <w:tcW w:w="2636" w:type="dxa"/>
          </w:tcPr>
          <w:p w14:paraId="6B9986A1"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No</w:t>
            </w:r>
          </w:p>
        </w:tc>
        <w:tc>
          <w:tcPr>
            <w:tcW w:w="2106" w:type="dxa"/>
            <w:vAlign w:val="center"/>
          </w:tcPr>
          <w:p w14:paraId="7BCEBFB4"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40</w:t>
            </w:r>
          </w:p>
        </w:tc>
        <w:tc>
          <w:tcPr>
            <w:tcW w:w="2325" w:type="dxa"/>
            <w:vAlign w:val="bottom"/>
          </w:tcPr>
          <w:p w14:paraId="459D47EA"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100.0</w:t>
            </w:r>
          </w:p>
        </w:tc>
      </w:tr>
      <w:tr w:rsidR="003F2302" w:rsidRPr="009F1FB4" w14:paraId="246BAB5E" w14:textId="77777777">
        <w:tc>
          <w:tcPr>
            <w:tcW w:w="1959" w:type="dxa"/>
          </w:tcPr>
          <w:p w14:paraId="553F2E44"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Takes Alcohol</w:t>
            </w:r>
          </w:p>
        </w:tc>
        <w:tc>
          <w:tcPr>
            <w:tcW w:w="2636" w:type="dxa"/>
          </w:tcPr>
          <w:p w14:paraId="73DEBC7E"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Yes</w:t>
            </w:r>
          </w:p>
        </w:tc>
        <w:tc>
          <w:tcPr>
            <w:tcW w:w="2106" w:type="dxa"/>
            <w:vAlign w:val="center"/>
          </w:tcPr>
          <w:p w14:paraId="42F22D27"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2</w:t>
            </w:r>
          </w:p>
        </w:tc>
        <w:tc>
          <w:tcPr>
            <w:tcW w:w="2325" w:type="dxa"/>
            <w:vAlign w:val="bottom"/>
          </w:tcPr>
          <w:p w14:paraId="5FBB02EA"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5.0</w:t>
            </w:r>
          </w:p>
        </w:tc>
      </w:tr>
      <w:tr w:rsidR="003F2302" w:rsidRPr="009F1FB4" w14:paraId="6151AAC2" w14:textId="77777777">
        <w:tc>
          <w:tcPr>
            <w:tcW w:w="1959" w:type="dxa"/>
          </w:tcPr>
          <w:p w14:paraId="5199FF40" w14:textId="77777777" w:rsidR="003F2302" w:rsidRPr="009F1FB4" w:rsidRDefault="003F2302">
            <w:pPr>
              <w:spacing w:after="0" w:line="240" w:lineRule="auto"/>
              <w:rPr>
                <w:rFonts w:ascii="Times New Roman" w:hAnsi="Times New Roman"/>
                <w:sz w:val="24"/>
                <w:szCs w:val="24"/>
              </w:rPr>
            </w:pPr>
          </w:p>
        </w:tc>
        <w:tc>
          <w:tcPr>
            <w:tcW w:w="2636" w:type="dxa"/>
          </w:tcPr>
          <w:p w14:paraId="1BE22CBE"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No</w:t>
            </w:r>
          </w:p>
        </w:tc>
        <w:tc>
          <w:tcPr>
            <w:tcW w:w="2106" w:type="dxa"/>
            <w:vAlign w:val="center"/>
          </w:tcPr>
          <w:p w14:paraId="4EDB3D7B"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38</w:t>
            </w:r>
          </w:p>
        </w:tc>
        <w:tc>
          <w:tcPr>
            <w:tcW w:w="2325" w:type="dxa"/>
            <w:vAlign w:val="bottom"/>
          </w:tcPr>
          <w:p w14:paraId="4BD263F6"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95.0</w:t>
            </w:r>
          </w:p>
        </w:tc>
      </w:tr>
      <w:tr w:rsidR="003F2302" w:rsidRPr="009F1FB4" w14:paraId="4C8F2260" w14:textId="77777777">
        <w:tc>
          <w:tcPr>
            <w:tcW w:w="1959" w:type="dxa"/>
          </w:tcPr>
          <w:p w14:paraId="1510BEE1"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Smokes</w:t>
            </w:r>
          </w:p>
        </w:tc>
        <w:tc>
          <w:tcPr>
            <w:tcW w:w="2636" w:type="dxa"/>
          </w:tcPr>
          <w:p w14:paraId="3E776E84"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Yes</w:t>
            </w:r>
          </w:p>
        </w:tc>
        <w:tc>
          <w:tcPr>
            <w:tcW w:w="2106" w:type="dxa"/>
            <w:vAlign w:val="center"/>
          </w:tcPr>
          <w:p w14:paraId="06D7A150"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0</w:t>
            </w:r>
          </w:p>
        </w:tc>
        <w:tc>
          <w:tcPr>
            <w:tcW w:w="2325" w:type="dxa"/>
            <w:vAlign w:val="bottom"/>
          </w:tcPr>
          <w:p w14:paraId="195427FF"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sz w:val="24"/>
                <w:szCs w:val="24"/>
              </w:rPr>
              <w:t>0</w:t>
            </w:r>
          </w:p>
        </w:tc>
      </w:tr>
      <w:tr w:rsidR="003F2302" w:rsidRPr="009F1FB4" w14:paraId="16BE0F4C" w14:textId="77777777">
        <w:tc>
          <w:tcPr>
            <w:tcW w:w="1959" w:type="dxa"/>
          </w:tcPr>
          <w:p w14:paraId="2A269451" w14:textId="77777777" w:rsidR="003F2302" w:rsidRPr="009F1FB4" w:rsidRDefault="003F2302">
            <w:pPr>
              <w:spacing w:after="0" w:line="240" w:lineRule="auto"/>
              <w:rPr>
                <w:rFonts w:ascii="Times New Roman" w:hAnsi="Times New Roman"/>
                <w:sz w:val="24"/>
                <w:szCs w:val="24"/>
              </w:rPr>
            </w:pPr>
          </w:p>
        </w:tc>
        <w:tc>
          <w:tcPr>
            <w:tcW w:w="2636" w:type="dxa"/>
          </w:tcPr>
          <w:p w14:paraId="2514C04B"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No</w:t>
            </w:r>
          </w:p>
        </w:tc>
        <w:tc>
          <w:tcPr>
            <w:tcW w:w="2106" w:type="dxa"/>
            <w:vAlign w:val="center"/>
          </w:tcPr>
          <w:p w14:paraId="2821C10F"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40</w:t>
            </w:r>
          </w:p>
        </w:tc>
        <w:tc>
          <w:tcPr>
            <w:tcW w:w="2325" w:type="dxa"/>
            <w:vAlign w:val="bottom"/>
          </w:tcPr>
          <w:p w14:paraId="31F81EB0"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100.0</w:t>
            </w:r>
          </w:p>
        </w:tc>
      </w:tr>
      <w:tr w:rsidR="003F2302" w:rsidRPr="009F1FB4" w14:paraId="731604D1" w14:textId="77777777">
        <w:tc>
          <w:tcPr>
            <w:tcW w:w="1959" w:type="dxa"/>
          </w:tcPr>
          <w:p w14:paraId="145D836B"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Take Psychoactive Substance</w:t>
            </w:r>
          </w:p>
        </w:tc>
        <w:tc>
          <w:tcPr>
            <w:tcW w:w="2636" w:type="dxa"/>
          </w:tcPr>
          <w:p w14:paraId="62876B2C"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Yes</w:t>
            </w:r>
          </w:p>
        </w:tc>
        <w:tc>
          <w:tcPr>
            <w:tcW w:w="2106" w:type="dxa"/>
            <w:vAlign w:val="center"/>
          </w:tcPr>
          <w:p w14:paraId="002765E2"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1</w:t>
            </w:r>
          </w:p>
        </w:tc>
        <w:tc>
          <w:tcPr>
            <w:tcW w:w="2325" w:type="dxa"/>
            <w:vAlign w:val="bottom"/>
          </w:tcPr>
          <w:p w14:paraId="027C3BFD"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2.6</w:t>
            </w:r>
          </w:p>
        </w:tc>
      </w:tr>
      <w:tr w:rsidR="003F2302" w:rsidRPr="009F1FB4" w14:paraId="5074FB30" w14:textId="77777777">
        <w:tc>
          <w:tcPr>
            <w:tcW w:w="1959" w:type="dxa"/>
          </w:tcPr>
          <w:p w14:paraId="2EC3BF13" w14:textId="77777777" w:rsidR="003F2302" w:rsidRPr="009F1FB4" w:rsidRDefault="003F2302">
            <w:pPr>
              <w:spacing w:after="0" w:line="240" w:lineRule="auto"/>
              <w:rPr>
                <w:rFonts w:ascii="Times New Roman" w:hAnsi="Times New Roman"/>
                <w:sz w:val="24"/>
                <w:szCs w:val="24"/>
              </w:rPr>
            </w:pPr>
          </w:p>
        </w:tc>
        <w:tc>
          <w:tcPr>
            <w:tcW w:w="2636" w:type="dxa"/>
          </w:tcPr>
          <w:p w14:paraId="26860AF4" w14:textId="77777777" w:rsidR="003F2302" w:rsidRPr="009F1FB4" w:rsidRDefault="00000000">
            <w:pPr>
              <w:spacing w:after="0" w:line="240" w:lineRule="auto"/>
              <w:rPr>
                <w:rFonts w:ascii="Times New Roman" w:hAnsi="Times New Roman"/>
                <w:sz w:val="24"/>
                <w:szCs w:val="24"/>
              </w:rPr>
            </w:pPr>
            <w:r w:rsidRPr="009F1FB4">
              <w:rPr>
                <w:rFonts w:ascii="Times New Roman" w:eastAsia="Calibri" w:hAnsi="Times New Roman" w:cs="Times New Roman"/>
                <w:sz w:val="24"/>
                <w:szCs w:val="24"/>
              </w:rPr>
              <w:t>No</w:t>
            </w:r>
          </w:p>
        </w:tc>
        <w:tc>
          <w:tcPr>
            <w:tcW w:w="2106" w:type="dxa"/>
            <w:vAlign w:val="center"/>
          </w:tcPr>
          <w:p w14:paraId="7F5EFE51" w14:textId="77777777" w:rsidR="003F2302" w:rsidRPr="009F1FB4" w:rsidRDefault="00000000">
            <w:pPr>
              <w:spacing w:after="0" w:line="240" w:lineRule="auto"/>
              <w:rPr>
                <w:rFonts w:ascii="Times New Roman" w:hAnsi="Times New Roman"/>
                <w:sz w:val="24"/>
                <w:szCs w:val="24"/>
              </w:rPr>
            </w:pPr>
            <w:r w:rsidRPr="009F1FB4">
              <w:rPr>
                <w:rFonts w:eastAsia="Calibri" w:cs="Times New Roman"/>
                <w:color w:val="000000"/>
              </w:rPr>
              <w:t>39</w:t>
            </w:r>
          </w:p>
        </w:tc>
        <w:tc>
          <w:tcPr>
            <w:tcW w:w="2325" w:type="dxa"/>
            <w:vAlign w:val="bottom"/>
          </w:tcPr>
          <w:p w14:paraId="7A4F54CB" w14:textId="77777777" w:rsidR="003F2302" w:rsidRPr="009F1FB4" w:rsidRDefault="00000000">
            <w:pPr>
              <w:spacing w:after="0" w:line="240" w:lineRule="auto"/>
              <w:rPr>
                <w:rFonts w:ascii="Times New Roman" w:hAnsi="Times New Roman"/>
                <w:sz w:val="24"/>
                <w:szCs w:val="24"/>
              </w:rPr>
            </w:pPr>
            <w:r w:rsidRPr="009F1FB4">
              <w:rPr>
                <w:rFonts w:eastAsia="Calibri" w:cs="Calibri"/>
                <w:color w:val="000000"/>
              </w:rPr>
              <w:t>97.4</w:t>
            </w:r>
          </w:p>
        </w:tc>
      </w:tr>
    </w:tbl>
    <w:p w14:paraId="32D53BA0" w14:textId="77777777" w:rsidR="003F2302" w:rsidRPr="009F1FB4" w:rsidRDefault="00000000">
      <w:pPr>
        <w:spacing w:line="276" w:lineRule="auto"/>
        <w:jc w:val="both"/>
        <w:rPr>
          <w:shd w:val="clear" w:color="auto" w:fill="FFFF00"/>
        </w:rPr>
      </w:pPr>
      <w:r w:rsidRPr="009F1FB4">
        <w:rPr>
          <w:shd w:val="clear" w:color="auto" w:fill="FFFF00"/>
        </w:rPr>
        <w:br w:type="textWrapping" w:clear="all"/>
      </w:r>
    </w:p>
    <w:p w14:paraId="395D4523" w14:textId="77777777" w:rsidR="003F2302" w:rsidRPr="009F1FB4" w:rsidRDefault="00000000">
      <w:pPr>
        <w:spacing w:line="276" w:lineRule="auto"/>
        <w:jc w:val="both"/>
        <w:rPr>
          <w:rFonts w:ascii="Times New Roman" w:hAnsi="Times New Roman"/>
          <w:sz w:val="24"/>
          <w:szCs w:val="24"/>
        </w:rPr>
      </w:pPr>
      <w:bookmarkStart w:id="27" w:name="participant-characteristics"/>
      <w:bookmarkEnd w:id="27"/>
      <w:r w:rsidRPr="009F1FB4">
        <w:rPr>
          <w:rFonts w:ascii="Times New Roman" w:hAnsi="Times New Roman"/>
          <w:sz w:val="24"/>
          <w:szCs w:val="24"/>
          <w:lang w:val="en-US"/>
        </w:rPr>
        <w:lastRenderedPageBreak/>
        <w:t>Prevalence of Psychiatric Morbidity</w:t>
      </w:r>
    </w:p>
    <w:p w14:paraId="4A322BA7" w14:textId="77777777" w:rsidR="003F2302" w:rsidRPr="009F1FB4" w:rsidRDefault="00000000">
      <w:pPr>
        <w:spacing w:line="276" w:lineRule="auto"/>
        <w:jc w:val="both"/>
        <w:rPr>
          <w:rFonts w:ascii="Times New Roman" w:hAnsi="Times New Roman"/>
          <w:sz w:val="24"/>
          <w:szCs w:val="24"/>
        </w:rPr>
      </w:pPr>
      <w:bookmarkStart w:id="28" w:name="psychosocial-stressors"/>
      <w:bookmarkStart w:id="29" w:name="academic-stressors"/>
      <w:bookmarkStart w:id="30" w:name="pattern-of-psychiatric-symptoms"/>
      <w:bookmarkStart w:id="31" w:name="prevalence-of-psychiatric-morbidity"/>
      <w:bookmarkStart w:id="32" w:name="table-4.-hypothetical-academic-stressors"/>
      <w:bookmarkEnd w:id="28"/>
      <w:bookmarkEnd w:id="29"/>
      <w:bookmarkEnd w:id="30"/>
      <w:bookmarkEnd w:id="31"/>
      <w:bookmarkEnd w:id="32"/>
      <w:r w:rsidRPr="009F1FB4">
        <w:t>Using the GHQ-12 threshold of ≥3, 11 of the 40 (27.5%) students screened positive for possible psychiatric morbidity. This finding is comparable with the 25% prevalence reported among Nigerian medical students by Falade et al. (2020). The prevalence and correlation between sociodemographic characteristics and psychiatric morbidity in the study population showed an association with religion (p = 0.011). Of the 34 Christians, 7 (20.6%) had psychiatric morbidity, whereas 4 of the 6 Muslims (66.7%) had psychiatric morbidity.</w:t>
      </w:r>
    </w:p>
    <w:p w14:paraId="01C17AA4" w14:textId="77777777" w:rsidR="003F2302" w:rsidRPr="009F1FB4" w:rsidRDefault="00000000">
      <w:pPr>
        <w:spacing w:line="276" w:lineRule="auto"/>
        <w:jc w:val="both"/>
        <w:rPr>
          <w:rFonts w:ascii="Times New Roman" w:hAnsi="Times New Roman"/>
          <w:b/>
          <w:bCs/>
          <w:sz w:val="24"/>
          <w:szCs w:val="24"/>
        </w:rPr>
      </w:pPr>
      <w:r w:rsidRPr="009F1FB4">
        <w:rPr>
          <w:rFonts w:ascii="Times New Roman" w:eastAsia="Calibri" w:hAnsi="Times New Roman" w:cs="Times New Roman"/>
          <w:b/>
          <w:bCs/>
          <w:sz w:val="24"/>
          <w:szCs w:val="24"/>
          <w:lang w:val="en-US"/>
        </w:rPr>
        <w:t xml:space="preserve">Table 2: </w:t>
      </w:r>
      <w:bookmarkStart w:id="33" w:name="_Hlk237554846"/>
      <w:r w:rsidRPr="009F1FB4">
        <w:rPr>
          <w:rFonts w:ascii="Times New Roman" w:eastAsia="Calibri" w:hAnsi="Times New Roman" w:cs="Times New Roman"/>
          <w:b/>
          <w:bCs/>
          <w:sz w:val="24"/>
          <w:szCs w:val="24"/>
          <w:lang w:val="en-US"/>
        </w:rPr>
        <w:t>Prevalence and correlation between sociodemographic characteristics and Psychiatry Morbidity among the population</w:t>
      </w:r>
      <w:bookmarkEnd w:id="33"/>
    </w:p>
    <w:tbl>
      <w:tblPr>
        <w:tblStyle w:val="TableGrid"/>
        <w:tblW w:w="9246" w:type="dxa"/>
        <w:tblInd w:w="113" w:type="dxa"/>
        <w:tblLayout w:type="fixed"/>
        <w:tblLook w:val="04A0" w:firstRow="1" w:lastRow="0" w:firstColumn="1" w:lastColumn="0" w:noHBand="0" w:noVBand="1"/>
      </w:tblPr>
      <w:tblGrid>
        <w:gridCol w:w="1474"/>
        <w:gridCol w:w="1780"/>
        <w:gridCol w:w="1135"/>
        <w:gridCol w:w="1418"/>
        <w:gridCol w:w="1417"/>
        <w:gridCol w:w="992"/>
        <w:gridCol w:w="1030"/>
      </w:tblGrid>
      <w:tr w:rsidR="003F2302" w:rsidRPr="009F1FB4" w14:paraId="49F5CB82" w14:textId="77777777">
        <w:tc>
          <w:tcPr>
            <w:tcW w:w="1474" w:type="dxa"/>
          </w:tcPr>
          <w:p w14:paraId="768A984D" w14:textId="77777777" w:rsidR="003F2302" w:rsidRPr="009F1FB4" w:rsidRDefault="00000000">
            <w:pPr>
              <w:spacing w:after="0" w:line="276" w:lineRule="auto"/>
              <w:jc w:val="both"/>
              <w:rPr>
                <w:rFonts w:ascii="Times New Roman" w:eastAsia="Calibri" w:hAnsi="Times New Roman" w:cs="Times New Roman"/>
                <w:b/>
                <w:bCs/>
                <w:sz w:val="24"/>
                <w:szCs w:val="24"/>
              </w:rPr>
            </w:pPr>
            <w:r w:rsidRPr="009F1FB4">
              <w:rPr>
                <w:rFonts w:ascii="Times New Roman" w:eastAsia="Calibri" w:hAnsi="Times New Roman" w:cs="Times New Roman"/>
                <w:b/>
                <w:bCs/>
                <w:sz w:val="24"/>
                <w:szCs w:val="24"/>
              </w:rPr>
              <w:t>Category</w:t>
            </w:r>
          </w:p>
        </w:tc>
        <w:tc>
          <w:tcPr>
            <w:tcW w:w="1780" w:type="dxa"/>
          </w:tcPr>
          <w:p w14:paraId="3E01C10E" w14:textId="77777777" w:rsidR="003F2302" w:rsidRPr="009F1FB4" w:rsidRDefault="00000000">
            <w:pPr>
              <w:spacing w:after="0" w:line="276" w:lineRule="auto"/>
              <w:jc w:val="both"/>
              <w:rPr>
                <w:rFonts w:ascii="Times New Roman" w:eastAsia="Calibri" w:hAnsi="Times New Roman" w:cs="Times New Roman"/>
                <w:b/>
                <w:bCs/>
                <w:sz w:val="24"/>
                <w:szCs w:val="24"/>
              </w:rPr>
            </w:pPr>
            <w:r w:rsidRPr="009F1FB4">
              <w:rPr>
                <w:rFonts w:ascii="Times New Roman" w:eastAsia="Calibri" w:hAnsi="Times New Roman" w:cs="Times New Roman"/>
                <w:b/>
                <w:bCs/>
                <w:sz w:val="24"/>
                <w:szCs w:val="24"/>
              </w:rPr>
              <w:t>Variables</w:t>
            </w:r>
          </w:p>
        </w:tc>
        <w:tc>
          <w:tcPr>
            <w:tcW w:w="1135" w:type="dxa"/>
          </w:tcPr>
          <w:p w14:paraId="64580309" w14:textId="77777777" w:rsidR="003F2302" w:rsidRPr="009F1FB4" w:rsidRDefault="00000000">
            <w:pPr>
              <w:spacing w:after="0" w:line="276" w:lineRule="auto"/>
              <w:jc w:val="both"/>
              <w:rPr>
                <w:rFonts w:ascii="Times New Roman" w:eastAsia="Calibri" w:hAnsi="Times New Roman" w:cs="Times New Roman"/>
                <w:b/>
                <w:bCs/>
                <w:sz w:val="24"/>
                <w:szCs w:val="24"/>
              </w:rPr>
            </w:pPr>
            <w:r w:rsidRPr="009F1FB4">
              <w:rPr>
                <w:rFonts w:ascii="Times New Roman" w:eastAsia="Calibri" w:hAnsi="Times New Roman" w:cs="Times New Roman"/>
                <w:b/>
                <w:bCs/>
                <w:sz w:val="24"/>
                <w:szCs w:val="24"/>
              </w:rPr>
              <w:t>Healthy</w:t>
            </w:r>
          </w:p>
        </w:tc>
        <w:tc>
          <w:tcPr>
            <w:tcW w:w="1418" w:type="dxa"/>
          </w:tcPr>
          <w:p w14:paraId="1F795F04" w14:textId="77777777" w:rsidR="003F2302" w:rsidRPr="009F1FB4" w:rsidRDefault="00000000">
            <w:pPr>
              <w:spacing w:after="0" w:line="276" w:lineRule="auto"/>
              <w:jc w:val="both"/>
              <w:rPr>
                <w:rFonts w:ascii="Times New Roman" w:eastAsia="Calibri" w:hAnsi="Times New Roman" w:cs="Times New Roman"/>
                <w:b/>
                <w:bCs/>
                <w:sz w:val="24"/>
                <w:szCs w:val="24"/>
              </w:rPr>
            </w:pPr>
            <w:r w:rsidRPr="009F1FB4">
              <w:rPr>
                <w:rFonts w:ascii="Times New Roman" w:eastAsia="Calibri" w:hAnsi="Times New Roman" w:cs="Times New Roman"/>
                <w:b/>
                <w:bCs/>
                <w:sz w:val="24"/>
                <w:szCs w:val="24"/>
              </w:rPr>
              <w:t>Psychiatric Morbidity</w:t>
            </w:r>
          </w:p>
        </w:tc>
        <w:tc>
          <w:tcPr>
            <w:tcW w:w="1417" w:type="dxa"/>
          </w:tcPr>
          <w:p w14:paraId="0E3EE1C4" w14:textId="77777777" w:rsidR="003F2302" w:rsidRPr="009F1FB4" w:rsidRDefault="00000000">
            <w:pPr>
              <w:spacing w:after="0" w:line="276" w:lineRule="auto"/>
              <w:jc w:val="both"/>
              <w:rPr>
                <w:rFonts w:ascii="Times New Roman" w:eastAsia="Calibri" w:hAnsi="Times New Roman" w:cs="Times New Roman"/>
                <w:b/>
                <w:bCs/>
                <w:sz w:val="24"/>
                <w:szCs w:val="24"/>
              </w:rPr>
            </w:pPr>
            <w:r w:rsidRPr="009F1FB4">
              <w:rPr>
                <w:rFonts w:ascii="Times New Roman" w:eastAsia="Calibri" w:hAnsi="Times New Roman" w:cs="Times New Roman"/>
                <w:b/>
                <w:bCs/>
                <w:sz w:val="24"/>
                <w:szCs w:val="24"/>
              </w:rPr>
              <w:t>Percentage</w:t>
            </w:r>
          </w:p>
        </w:tc>
        <w:tc>
          <w:tcPr>
            <w:tcW w:w="992" w:type="dxa"/>
          </w:tcPr>
          <w:p w14:paraId="1D67D05B" w14:textId="77777777" w:rsidR="003F2302" w:rsidRPr="009F1FB4" w:rsidRDefault="00000000">
            <w:pPr>
              <w:spacing w:after="0" w:line="276" w:lineRule="auto"/>
              <w:jc w:val="both"/>
              <w:rPr>
                <w:rFonts w:ascii="Times New Roman" w:eastAsia="Calibri" w:hAnsi="Times New Roman" w:cs="Times New Roman"/>
                <w:b/>
                <w:bCs/>
                <w:sz w:val="24"/>
                <w:szCs w:val="24"/>
              </w:rPr>
            </w:pPr>
            <w:r w:rsidRPr="009F1FB4">
              <w:rPr>
                <w:rFonts w:ascii="Times New Roman" w:eastAsia="Calibri" w:hAnsi="Times New Roman" w:cs="Times New Roman"/>
                <w:b/>
                <w:bCs/>
                <w:sz w:val="24"/>
                <w:szCs w:val="24"/>
              </w:rPr>
              <w:t>X2</w:t>
            </w:r>
          </w:p>
        </w:tc>
        <w:tc>
          <w:tcPr>
            <w:tcW w:w="1030" w:type="dxa"/>
          </w:tcPr>
          <w:p w14:paraId="32B0F6B8" w14:textId="77777777" w:rsidR="003F2302" w:rsidRPr="009F1FB4" w:rsidRDefault="00000000">
            <w:pPr>
              <w:spacing w:after="0" w:line="276" w:lineRule="auto"/>
              <w:jc w:val="both"/>
              <w:rPr>
                <w:rFonts w:ascii="Times New Roman" w:eastAsia="Calibri" w:hAnsi="Times New Roman" w:cs="Times New Roman"/>
                <w:b/>
                <w:bCs/>
                <w:sz w:val="24"/>
                <w:szCs w:val="24"/>
              </w:rPr>
            </w:pPr>
            <w:r w:rsidRPr="009F1FB4">
              <w:rPr>
                <w:rFonts w:ascii="Times New Roman" w:eastAsia="Calibri" w:hAnsi="Times New Roman" w:cs="Times New Roman"/>
                <w:b/>
                <w:bCs/>
                <w:sz w:val="24"/>
                <w:szCs w:val="24"/>
              </w:rPr>
              <w:t>p-value</w:t>
            </w:r>
          </w:p>
        </w:tc>
      </w:tr>
      <w:tr w:rsidR="003F2302" w:rsidRPr="009F1FB4" w14:paraId="0877C443" w14:textId="77777777">
        <w:tc>
          <w:tcPr>
            <w:tcW w:w="1474" w:type="dxa"/>
          </w:tcPr>
          <w:p w14:paraId="758D0BD2"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Age</w:t>
            </w:r>
          </w:p>
        </w:tc>
        <w:tc>
          <w:tcPr>
            <w:tcW w:w="1780" w:type="dxa"/>
          </w:tcPr>
          <w:p w14:paraId="3F0B7013"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15 – 25 Years</w:t>
            </w:r>
          </w:p>
        </w:tc>
        <w:tc>
          <w:tcPr>
            <w:tcW w:w="1135" w:type="dxa"/>
          </w:tcPr>
          <w:p w14:paraId="34D75B40"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22</w:t>
            </w:r>
          </w:p>
        </w:tc>
        <w:tc>
          <w:tcPr>
            <w:tcW w:w="1418" w:type="dxa"/>
          </w:tcPr>
          <w:p w14:paraId="44D471A1"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9</w:t>
            </w:r>
          </w:p>
        </w:tc>
        <w:tc>
          <w:tcPr>
            <w:tcW w:w="1417" w:type="dxa"/>
          </w:tcPr>
          <w:p w14:paraId="2517FCFD"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29.0</w:t>
            </w:r>
          </w:p>
        </w:tc>
        <w:tc>
          <w:tcPr>
            <w:tcW w:w="992" w:type="dxa"/>
          </w:tcPr>
          <w:p w14:paraId="24514509"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color w:val="010205"/>
                <w:sz w:val="24"/>
                <w:szCs w:val="24"/>
              </w:rPr>
              <w:t>0.013</w:t>
            </w:r>
          </w:p>
        </w:tc>
        <w:tc>
          <w:tcPr>
            <w:tcW w:w="1030" w:type="dxa"/>
          </w:tcPr>
          <w:p w14:paraId="5CD23CEA"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0.412</w:t>
            </w:r>
          </w:p>
        </w:tc>
      </w:tr>
      <w:tr w:rsidR="003F2302" w:rsidRPr="009F1FB4" w14:paraId="1347F29A" w14:textId="77777777">
        <w:tc>
          <w:tcPr>
            <w:tcW w:w="1474" w:type="dxa"/>
          </w:tcPr>
          <w:p w14:paraId="75B0FD5A"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21F45CAF"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&gt; 25 Years</w:t>
            </w:r>
          </w:p>
        </w:tc>
        <w:tc>
          <w:tcPr>
            <w:tcW w:w="1135" w:type="dxa"/>
          </w:tcPr>
          <w:p w14:paraId="36946A22"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6</w:t>
            </w:r>
          </w:p>
        </w:tc>
        <w:tc>
          <w:tcPr>
            <w:tcW w:w="1418" w:type="dxa"/>
          </w:tcPr>
          <w:p w14:paraId="76B87BE8"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3</w:t>
            </w:r>
          </w:p>
        </w:tc>
        <w:tc>
          <w:tcPr>
            <w:tcW w:w="1417" w:type="dxa"/>
          </w:tcPr>
          <w:p w14:paraId="1E766028"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25.0</w:t>
            </w:r>
          </w:p>
        </w:tc>
        <w:tc>
          <w:tcPr>
            <w:tcW w:w="992" w:type="dxa"/>
          </w:tcPr>
          <w:p w14:paraId="3E538F29"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26A7ED51"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1164ED5F" w14:textId="77777777">
        <w:tc>
          <w:tcPr>
            <w:tcW w:w="1474" w:type="dxa"/>
          </w:tcPr>
          <w:p w14:paraId="4A32BDEF"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Sex</w:t>
            </w:r>
          </w:p>
        </w:tc>
        <w:tc>
          <w:tcPr>
            <w:tcW w:w="1780" w:type="dxa"/>
          </w:tcPr>
          <w:p w14:paraId="17AD5850"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135" w:type="dxa"/>
          </w:tcPr>
          <w:p w14:paraId="7021AA69"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418" w:type="dxa"/>
          </w:tcPr>
          <w:p w14:paraId="56936492"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417" w:type="dxa"/>
          </w:tcPr>
          <w:p w14:paraId="6F861A90"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992" w:type="dxa"/>
          </w:tcPr>
          <w:p w14:paraId="06B60B3D"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0.109</w:t>
            </w:r>
          </w:p>
        </w:tc>
        <w:tc>
          <w:tcPr>
            <w:tcW w:w="1030" w:type="dxa"/>
          </w:tcPr>
          <w:p w14:paraId="10D9DFA1"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0.252</w:t>
            </w:r>
          </w:p>
        </w:tc>
      </w:tr>
      <w:tr w:rsidR="003F2302" w:rsidRPr="009F1FB4" w14:paraId="13D69AB0" w14:textId="77777777">
        <w:tc>
          <w:tcPr>
            <w:tcW w:w="1474" w:type="dxa"/>
          </w:tcPr>
          <w:p w14:paraId="67F30CBB"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723C5D1D"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Male</w:t>
            </w:r>
          </w:p>
        </w:tc>
        <w:tc>
          <w:tcPr>
            <w:tcW w:w="1135" w:type="dxa"/>
          </w:tcPr>
          <w:p w14:paraId="10CD130E"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15</w:t>
            </w:r>
          </w:p>
        </w:tc>
        <w:tc>
          <w:tcPr>
            <w:tcW w:w="1418" w:type="dxa"/>
          </w:tcPr>
          <w:p w14:paraId="2660BAC2"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7</w:t>
            </w:r>
          </w:p>
        </w:tc>
        <w:tc>
          <w:tcPr>
            <w:tcW w:w="1417" w:type="dxa"/>
          </w:tcPr>
          <w:p w14:paraId="67E96091"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31.8</w:t>
            </w:r>
          </w:p>
        </w:tc>
        <w:tc>
          <w:tcPr>
            <w:tcW w:w="992" w:type="dxa"/>
          </w:tcPr>
          <w:p w14:paraId="7F2A8E70"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1EA750E1"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576CAD1A" w14:textId="77777777">
        <w:tc>
          <w:tcPr>
            <w:tcW w:w="1474" w:type="dxa"/>
          </w:tcPr>
          <w:p w14:paraId="2AF90856"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2EC1A023"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Female</w:t>
            </w:r>
          </w:p>
        </w:tc>
        <w:tc>
          <w:tcPr>
            <w:tcW w:w="1135" w:type="dxa"/>
          </w:tcPr>
          <w:p w14:paraId="552930D6"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14</w:t>
            </w:r>
          </w:p>
        </w:tc>
        <w:tc>
          <w:tcPr>
            <w:tcW w:w="1418" w:type="dxa"/>
          </w:tcPr>
          <w:p w14:paraId="28435E95"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4</w:t>
            </w:r>
          </w:p>
        </w:tc>
        <w:tc>
          <w:tcPr>
            <w:tcW w:w="1417" w:type="dxa"/>
          </w:tcPr>
          <w:p w14:paraId="3B902FA1"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22.2</w:t>
            </w:r>
          </w:p>
        </w:tc>
        <w:tc>
          <w:tcPr>
            <w:tcW w:w="992" w:type="dxa"/>
          </w:tcPr>
          <w:p w14:paraId="2580017E"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3AC5F59F"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5764D23A" w14:textId="77777777">
        <w:tc>
          <w:tcPr>
            <w:tcW w:w="1474" w:type="dxa"/>
          </w:tcPr>
          <w:p w14:paraId="7F399E33"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60770FF9"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135" w:type="dxa"/>
          </w:tcPr>
          <w:p w14:paraId="52ACB0A0"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418" w:type="dxa"/>
          </w:tcPr>
          <w:p w14:paraId="4600DCEA"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417" w:type="dxa"/>
          </w:tcPr>
          <w:p w14:paraId="2A27E157"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992" w:type="dxa"/>
          </w:tcPr>
          <w:p w14:paraId="56FC8266"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30235AF2"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6F3FE090" w14:textId="77777777">
        <w:tc>
          <w:tcPr>
            <w:tcW w:w="1474" w:type="dxa"/>
          </w:tcPr>
          <w:p w14:paraId="51E1CC84"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Religion</w:t>
            </w:r>
          </w:p>
        </w:tc>
        <w:tc>
          <w:tcPr>
            <w:tcW w:w="1780" w:type="dxa"/>
          </w:tcPr>
          <w:p w14:paraId="5E6FCECD"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Christian</w:t>
            </w:r>
          </w:p>
        </w:tc>
        <w:tc>
          <w:tcPr>
            <w:tcW w:w="1135" w:type="dxa"/>
          </w:tcPr>
          <w:p w14:paraId="025D6911"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27</w:t>
            </w:r>
          </w:p>
        </w:tc>
        <w:tc>
          <w:tcPr>
            <w:tcW w:w="1418" w:type="dxa"/>
          </w:tcPr>
          <w:p w14:paraId="54945571"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7</w:t>
            </w:r>
          </w:p>
        </w:tc>
        <w:tc>
          <w:tcPr>
            <w:tcW w:w="1417" w:type="dxa"/>
          </w:tcPr>
          <w:p w14:paraId="599EA698"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20.6</w:t>
            </w:r>
          </w:p>
        </w:tc>
        <w:tc>
          <w:tcPr>
            <w:tcW w:w="992" w:type="dxa"/>
          </w:tcPr>
          <w:p w14:paraId="3669FE32"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color w:val="010205"/>
                <w:sz w:val="24"/>
                <w:szCs w:val="24"/>
              </w:rPr>
              <w:t>0.655</w:t>
            </w:r>
          </w:p>
        </w:tc>
        <w:tc>
          <w:tcPr>
            <w:tcW w:w="1030" w:type="dxa"/>
          </w:tcPr>
          <w:p w14:paraId="1B498A00" w14:textId="77777777" w:rsidR="003F2302" w:rsidRPr="009F1FB4" w:rsidRDefault="00000000">
            <w:pPr>
              <w:spacing w:after="0" w:line="276" w:lineRule="auto"/>
              <w:jc w:val="both"/>
              <w:rPr>
                <w:rFonts w:ascii="Times New Roman" w:eastAsia="Calibri" w:hAnsi="Times New Roman" w:cs="Times New Roman"/>
                <w:b/>
                <w:bCs/>
                <w:sz w:val="24"/>
                <w:szCs w:val="24"/>
              </w:rPr>
            </w:pPr>
            <w:r w:rsidRPr="009F1FB4">
              <w:rPr>
                <w:rFonts w:ascii="Times New Roman" w:eastAsia="Calibri" w:hAnsi="Times New Roman" w:cs="Times New Roman"/>
                <w:b/>
                <w:bCs/>
                <w:sz w:val="24"/>
                <w:szCs w:val="24"/>
              </w:rPr>
              <w:t>0.011*</w:t>
            </w:r>
          </w:p>
        </w:tc>
      </w:tr>
      <w:tr w:rsidR="003F2302" w:rsidRPr="009F1FB4" w14:paraId="4750A866" w14:textId="77777777">
        <w:tc>
          <w:tcPr>
            <w:tcW w:w="1474" w:type="dxa"/>
          </w:tcPr>
          <w:p w14:paraId="0096E7DB"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384973A2"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Muslim</w:t>
            </w:r>
          </w:p>
        </w:tc>
        <w:tc>
          <w:tcPr>
            <w:tcW w:w="1135" w:type="dxa"/>
          </w:tcPr>
          <w:p w14:paraId="74E5D4BB"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w:t>
            </w:r>
          </w:p>
        </w:tc>
        <w:tc>
          <w:tcPr>
            <w:tcW w:w="1418" w:type="dxa"/>
          </w:tcPr>
          <w:p w14:paraId="301F0F28"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4</w:t>
            </w:r>
          </w:p>
        </w:tc>
        <w:tc>
          <w:tcPr>
            <w:tcW w:w="1417" w:type="dxa"/>
          </w:tcPr>
          <w:p w14:paraId="329549DF"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66.7</w:t>
            </w:r>
          </w:p>
        </w:tc>
        <w:tc>
          <w:tcPr>
            <w:tcW w:w="992" w:type="dxa"/>
          </w:tcPr>
          <w:p w14:paraId="243FCFC6"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3F1297A7"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207C008D" w14:textId="77777777">
        <w:tc>
          <w:tcPr>
            <w:tcW w:w="1474" w:type="dxa"/>
          </w:tcPr>
          <w:p w14:paraId="7C593CE0"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Relationship</w:t>
            </w:r>
          </w:p>
        </w:tc>
        <w:tc>
          <w:tcPr>
            <w:tcW w:w="1780" w:type="dxa"/>
          </w:tcPr>
          <w:p w14:paraId="068145D4"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Married</w:t>
            </w:r>
          </w:p>
        </w:tc>
        <w:tc>
          <w:tcPr>
            <w:tcW w:w="1135" w:type="dxa"/>
          </w:tcPr>
          <w:p w14:paraId="28609196"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w:t>
            </w:r>
          </w:p>
        </w:tc>
        <w:tc>
          <w:tcPr>
            <w:tcW w:w="1418" w:type="dxa"/>
          </w:tcPr>
          <w:p w14:paraId="1BBDEA7B"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w:t>
            </w:r>
          </w:p>
        </w:tc>
        <w:tc>
          <w:tcPr>
            <w:tcW w:w="1417" w:type="dxa"/>
          </w:tcPr>
          <w:p w14:paraId="5FD932FE"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50.0</w:t>
            </w:r>
          </w:p>
        </w:tc>
        <w:tc>
          <w:tcPr>
            <w:tcW w:w="992" w:type="dxa"/>
          </w:tcPr>
          <w:p w14:paraId="2A8630F6"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0.308</w:t>
            </w:r>
          </w:p>
        </w:tc>
        <w:tc>
          <w:tcPr>
            <w:tcW w:w="1030" w:type="dxa"/>
          </w:tcPr>
          <w:p w14:paraId="79111C6A"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0.064</w:t>
            </w:r>
          </w:p>
        </w:tc>
      </w:tr>
      <w:tr w:rsidR="003F2302" w:rsidRPr="009F1FB4" w14:paraId="378FB0D6" w14:textId="77777777">
        <w:tc>
          <w:tcPr>
            <w:tcW w:w="1474" w:type="dxa"/>
          </w:tcPr>
          <w:p w14:paraId="502DE661"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0BEC0A2F"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Engaged/Dating</w:t>
            </w:r>
          </w:p>
        </w:tc>
        <w:tc>
          <w:tcPr>
            <w:tcW w:w="1135" w:type="dxa"/>
          </w:tcPr>
          <w:p w14:paraId="794F529C"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w:t>
            </w:r>
          </w:p>
        </w:tc>
        <w:tc>
          <w:tcPr>
            <w:tcW w:w="1418" w:type="dxa"/>
          </w:tcPr>
          <w:p w14:paraId="73212AF2"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w:t>
            </w:r>
          </w:p>
        </w:tc>
        <w:tc>
          <w:tcPr>
            <w:tcW w:w="1417" w:type="dxa"/>
          </w:tcPr>
          <w:p w14:paraId="5A7984EB"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100.0</w:t>
            </w:r>
          </w:p>
        </w:tc>
        <w:tc>
          <w:tcPr>
            <w:tcW w:w="992" w:type="dxa"/>
          </w:tcPr>
          <w:p w14:paraId="02ED00B8"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5941420C"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11A03303" w14:textId="77777777">
        <w:tc>
          <w:tcPr>
            <w:tcW w:w="1474" w:type="dxa"/>
          </w:tcPr>
          <w:p w14:paraId="1E7FD07F"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286E47F1"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Single</w:t>
            </w:r>
          </w:p>
        </w:tc>
        <w:tc>
          <w:tcPr>
            <w:tcW w:w="1135" w:type="dxa"/>
          </w:tcPr>
          <w:p w14:paraId="29CABE0C"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28</w:t>
            </w:r>
          </w:p>
        </w:tc>
        <w:tc>
          <w:tcPr>
            <w:tcW w:w="1418" w:type="dxa"/>
          </w:tcPr>
          <w:p w14:paraId="61E98F80"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9</w:t>
            </w:r>
          </w:p>
        </w:tc>
        <w:tc>
          <w:tcPr>
            <w:tcW w:w="1417" w:type="dxa"/>
          </w:tcPr>
          <w:p w14:paraId="583303BB"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24.3</w:t>
            </w:r>
          </w:p>
        </w:tc>
        <w:tc>
          <w:tcPr>
            <w:tcW w:w="992" w:type="dxa"/>
          </w:tcPr>
          <w:p w14:paraId="3822FBCB"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312272F0"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653E7F33" w14:textId="77777777">
        <w:tc>
          <w:tcPr>
            <w:tcW w:w="1474" w:type="dxa"/>
          </w:tcPr>
          <w:p w14:paraId="49D1BB0D"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Personal Monthly Income</w:t>
            </w:r>
          </w:p>
        </w:tc>
        <w:tc>
          <w:tcPr>
            <w:tcW w:w="1780" w:type="dxa"/>
          </w:tcPr>
          <w:p w14:paraId="0E01CE13"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&lt; 10k</w:t>
            </w:r>
          </w:p>
        </w:tc>
        <w:tc>
          <w:tcPr>
            <w:tcW w:w="1135" w:type="dxa"/>
          </w:tcPr>
          <w:p w14:paraId="764B550A"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11</w:t>
            </w:r>
          </w:p>
        </w:tc>
        <w:tc>
          <w:tcPr>
            <w:tcW w:w="1418" w:type="dxa"/>
          </w:tcPr>
          <w:p w14:paraId="430A4BEE"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3</w:t>
            </w:r>
          </w:p>
        </w:tc>
        <w:tc>
          <w:tcPr>
            <w:tcW w:w="1417" w:type="dxa"/>
          </w:tcPr>
          <w:p w14:paraId="7D0FC77E"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21.4</w:t>
            </w:r>
          </w:p>
        </w:tc>
        <w:tc>
          <w:tcPr>
            <w:tcW w:w="992" w:type="dxa"/>
          </w:tcPr>
          <w:p w14:paraId="61652B67"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color w:val="010205"/>
                <w:sz w:val="24"/>
                <w:szCs w:val="24"/>
              </w:rPr>
              <w:t>0.958</w:t>
            </w:r>
          </w:p>
        </w:tc>
        <w:tc>
          <w:tcPr>
            <w:tcW w:w="1030" w:type="dxa"/>
          </w:tcPr>
          <w:p w14:paraId="013EE75D"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0.107</w:t>
            </w:r>
          </w:p>
        </w:tc>
      </w:tr>
      <w:tr w:rsidR="003F2302" w:rsidRPr="009F1FB4" w14:paraId="66787F08" w14:textId="77777777">
        <w:tc>
          <w:tcPr>
            <w:tcW w:w="1474" w:type="dxa"/>
          </w:tcPr>
          <w:p w14:paraId="29A2AC02"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60AD9DEB"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10k – 20k</w:t>
            </w:r>
          </w:p>
        </w:tc>
        <w:tc>
          <w:tcPr>
            <w:tcW w:w="1135" w:type="dxa"/>
          </w:tcPr>
          <w:p w14:paraId="7F902E5D"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12</w:t>
            </w:r>
          </w:p>
        </w:tc>
        <w:tc>
          <w:tcPr>
            <w:tcW w:w="1418" w:type="dxa"/>
          </w:tcPr>
          <w:p w14:paraId="594F9880"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4</w:t>
            </w:r>
          </w:p>
        </w:tc>
        <w:tc>
          <w:tcPr>
            <w:tcW w:w="1417" w:type="dxa"/>
          </w:tcPr>
          <w:p w14:paraId="5D9A43EF"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25.0</w:t>
            </w:r>
          </w:p>
        </w:tc>
        <w:tc>
          <w:tcPr>
            <w:tcW w:w="992" w:type="dxa"/>
          </w:tcPr>
          <w:p w14:paraId="022D1513"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168E26F0"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295CC38C" w14:textId="77777777">
        <w:tc>
          <w:tcPr>
            <w:tcW w:w="1474" w:type="dxa"/>
          </w:tcPr>
          <w:p w14:paraId="37AE4F71"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352A6D5B"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20k – 50k</w:t>
            </w:r>
          </w:p>
        </w:tc>
        <w:tc>
          <w:tcPr>
            <w:tcW w:w="1135" w:type="dxa"/>
          </w:tcPr>
          <w:p w14:paraId="37B20497"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4</w:t>
            </w:r>
          </w:p>
        </w:tc>
        <w:tc>
          <w:tcPr>
            <w:tcW w:w="1418" w:type="dxa"/>
          </w:tcPr>
          <w:p w14:paraId="4366E81A"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4</w:t>
            </w:r>
          </w:p>
        </w:tc>
        <w:tc>
          <w:tcPr>
            <w:tcW w:w="1417" w:type="dxa"/>
          </w:tcPr>
          <w:p w14:paraId="5DE2FFB7"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50.0</w:t>
            </w:r>
          </w:p>
        </w:tc>
        <w:tc>
          <w:tcPr>
            <w:tcW w:w="992" w:type="dxa"/>
          </w:tcPr>
          <w:p w14:paraId="6878FA40"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0425633D"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3DB866DC" w14:textId="77777777">
        <w:tc>
          <w:tcPr>
            <w:tcW w:w="1474" w:type="dxa"/>
          </w:tcPr>
          <w:p w14:paraId="66C6A806"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6E28EA09"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&gt; 50k</w:t>
            </w:r>
          </w:p>
        </w:tc>
        <w:tc>
          <w:tcPr>
            <w:tcW w:w="1135" w:type="dxa"/>
          </w:tcPr>
          <w:p w14:paraId="32A73EC7"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418" w:type="dxa"/>
          </w:tcPr>
          <w:p w14:paraId="55201429"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417" w:type="dxa"/>
          </w:tcPr>
          <w:p w14:paraId="4AB247C1"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992" w:type="dxa"/>
          </w:tcPr>
          <w:p w14:paraId="34778F4E"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69C17528"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020804FD" w14:textId="77777777">
        <w:tc>
          <w:tcPr>
            <w:tcW w:w="1474" w:type="dxa"/>
          </w:tcPr>
          <w:p w14:paraId="664ECBE7"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Family Background</w:t>
            </w:r>
          </w:p>
        </w:tc>
        <w:tc>
          <w:tcPr>
            <w:tcW w:w="1780" w:type="dxa"/>
          </w:tcPr>
          <w:p w14:paraId="77F14FC8"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Lower Class</w:t>
            </w:r>
          </w:p>
        </w:tc>
        <w:tc>
          <w:tcPr>
            <w:tcW w:w="1135" w:type="dxa"/>
          </w:tcPr>
          <w:p w14:paraId="7F8E96F3"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w:t>
            </w:r>
          </w:p>
        </w:tc>
        <w:tc>
          <w:tcPr>
            <w:tcW w:w="1418" w:type="dxa"/>
          </w:tcPr>
          <w:p w14:paraId="1C41ECAE"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w:t>
            </w:r>
          </w:p>
        </w:tc>
        <w:tc>
          <w:tcPr>
            <w:tcW w:w="1417" w:type="dxa"/>
          </w:tcPr>
          <w:p w14:paraId="28218131"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5.0</w:t>
            </w:r>
          </w:p>
        </w:tc>
        <w:tc>
          <w:tcPr>
            <w:tcW w:w="992" w:type="dxa"/>
          </w:tcPr>
          <w:p w14:paraId="2865EE33"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0.003</w:t>
            </w:r>
          </w:p>
        </w:tc>
        <w:tc>
          <w:tcPr>
            <w:tcW w:w="1030" w:type="dxa"/>
          </w:tcPr>
          <w:p w14:paraId="696FD33F"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0.428</w:t>
            </w:r>
          </w:p>
        </w:tc>
      </w:tr>
      <w:tr w:rsidR="003F2302" w:rsidRPr="009F1FB4" w14:paraId="02491E35" w14:textId="77777777">
        <w:tc>
          <w:tcPr>
            <w:tcW w:w="1474" w:type="dxa"/>
          </w:tcPr>
          <w:p w14:paraId="08B3FD02"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7BFDF7D0"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Middle Class</w:t>
            </w:r>
          </w:p>
        </w:tc>
        <w:tc>
          <w:tcPr>
            <w:tcW w:w="1135" w:type="dxa"/>
          </w:tcPr>
          <w:p w14:paraId="5918DF56"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24</w:t>
            </w:r>
          </w:p>
        </w:tc>
        <w:tc>
          <w:tcPr>
            <w:tcW w:w="1418" w:type="dxa"/>
          </w:tcPr>
          <w:p w14:paraId="2A3CCFD1"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10</w:t>
            </w:r>
          </w:p>
        </w:tc>
        <w:tc>
          <w:tcPr>
            <w:tcW w:w="1417" w:type="dxa"/>
          </w:tcPr>
          <w:p w14:paraId="79FD5C24"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85.0</w:t>
            </w:r>
          </w:p>
        </w:tc>
        <w:tc>
          <w:tcPr>
            <w:tcW w:w="992" w:type="dxa"/>
          </w:tcPr>
          <w:p w14:paraId="07C4BB68"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21562EAB"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59B107CA" w14:textId="77777777">
        <w:tc>
          <w:tcPr>
            <w:tcW w:w="1474" w:type="dxa"/>
          </w:tcPr>
          <w:p w14:paraId="4A1880B0"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290DCAF0"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Upper Class</w:t>
            </w:r>
          </w:p>
        </w:tc>
        <w:tc>
          <w:tcPr>
            <w:tcW w:w="1135" w:type="dxa"/>
          </w:tcPr>
          <w:p w14:paraId="112F325B"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3</w:t>
            </w:r>
          </w:p>
        </w:tc>
        <w:tc>
          <w:tcPr>
            <w:tcW w:w="1418" w:type="dxa"/>
          </w:tcPr>
          <w:p w14:paraId="5AAB8661"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w:t>
            </w:r>
          </w:p>
        </w:tc>
        <w:tc>
          <w:tcPr>
            <w:tcW w:w="1417" w:type="dxa"/>
          </w:tcPr>
          <w:p w14:paraId="014F0F5C"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10.0</w:t>
            </w:r>
          </w:p>
        </w:tc>
        <w:tc>
          <w:tcPr>
            <w:tcW w:w="992" w:type="dxa"/>
          </w:tcPr>
          <w:p w14:paraId="510CE0E9"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761D3617"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538CAFAC" w14:textId="77777777">
        <w:tc>
          <w:tcPr>
            <w:tcW w:w="1474" w:type="dxa"/>
          </w:tcPr>
          <w:p w14:paraId="7784BEE6"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Permanent Residence</w:t>
            </w:r>
          </w:p>
        </w:tc>
        <w:tc>
          <w:tcPr>
            <w:tcW w:w="1780" w:type="dxa"/>
          </w:tcPr>
          <w:p w14:paraId="3A9C7AB0"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Urban</w:t>
            </w:r>
          </w:p>
        </w:tc>
        <w:tc>
          <w:tcPr>
            <w:tcW w:w="1135" w:type="dxa"/>
          </w:tcPr>
          <w:p w14:paraId="201B729A"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28</w:t>
            </w:r>
          </w:p>
        </w:tc>
        <w:tc>
          <w:tcPr>
            <w:tcW w:w="1418" w:type="dxa"/>
          </w:tcPr>
          <w:p w14:paraId="58084E6B"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9</w:t>
            </w:r>
          </w:p>
        </w:tc>
        <w:tc>
          <w:tcPr>
            <w:tcW w:w="1417" w:type="dxa"/>
          </w:tcPr>
          <w:p w14:paraId="51B53BDB"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24.3</w:t>
            </w:r>
          </w:p>
        </w:tc>
        <w:tc>
          <w:tcPr>
            <w:tcW w:w="992" w:type="dxa"/>
          </w:tcPr>
          <w:p w14:paraId="30C62A5C"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0.164</w:t>
            </w:r>
          </w:p>
        </w:tc>
        <w:tc>
          <w:tcPr>
            <w:tcW w:w="1030" w:type="dxa"/>
          </w:tcPr>
          <w:p w14:paraId="3D53D12E"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0.059</w:t>
            </w:r>
          </w:p>
        </w:tc>
      </w:tr>
      <w:tr w:rsidR="003F2302" w:rsidRPr="009F1FB4" w14:paraId="1D3BFEFC" w14:textId="77777777">
        <w:tc>
          <w:tcPr>
            <w:tcW w:w="1474" w:type="dxa"/>
          </w:tcPr>
          <w:p w14:paraId="573C2AC8"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3A421791"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Rural</w:t>
            </w:r>
          </w:p>
        </w:tc>
        <w:tc>
          <w:tcPr>
            <w:tcW w:w="1135" w:type="dxa"/>
          </w:tcPr>
          <w:p w14:paraId="148EF882"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w:t>
            </w:r>
          </w:p>
        </w:tc>
        <w:tc>
          <w:tcPr>
            <w:tcW w:w="1418" w:type="dxa"/>
          </w:tcPr>
          <w:p w14:paraId="4BE05D1B"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w:t>
            </w:r>
          </w:p>
        </w:tc>
        <w:tc>
          <w:tcPr>
            <w:tcW w:w="1417" w:type="dxa"/>
          </w:tcPr>
          <w:p w14:paraId="7960B264"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66.7</w:t>
            </w:r>
          </w:p>
        </w:tc>
        <w:tc>
          <w:tcPr>
            <w:tcW w:w="992" w:type="dxa"/>
          </w:tcPr>
          <w:p w14:paraId="0DA8A183"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1948E9BF"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63326534" w14:textId="77777777">
        <w:tc>
          <w:tcPr>
            <w:tcW w:w="1474" w:type="dxa"/>
          </w:tcPr>
          <w:p w14:paraId="21B1BEAC"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Possess previous educational degree)</w:t>
            </w:r>
          </w:p>
        </w:tc>
        <w:tc>
          <w:tcPr>
            <w:tcW w:w="1780" w:type="dxa"/>
          </w:tcPr>
          <w:p w14:paraId="3AEC9E02"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Yes</w:t>
            </w:r>
          </w:p>
        </w:tc>
        <w:tc>
          <w:tcPr>
            <w:tcW w:w="1135" w:type="dxa"/>
          </w:tcPr>
          <w:p w14:paraId="22767E2E"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w:t>
            </w:r>
          </w:p>
        </w:tc>
        <w:tc>
          <w:tcPr>
            <w:tcW w:w="1418" w:type="dxa"/>
          </w:tcPr>
          <w:p w14:paraId="36D3812E"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w:t>
            </w:r>
          </w:p>
        </w:tc>
        <w:tc>
          <w:tcPr>
            <w:tcW w:w="1417" w:type="dxa"/>
          </w:tcPr>
          <w:p w14:paraId="6B0F8CB6"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992" w:type="dxa"/>
          </w:tcPr>
          <w:p w14:paraId="4E961B80"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0.000</w:t>
            </w:r>
          </w:p>
        </w:tc>
        <w:tc>
          <w:tcPr>
            <w:tcW w:w="1030" w:type="dxa"/>
          </w:tcPr>
          <w:p w14:paraId="6FA9E13A"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46FAC220" w14:textId="77777777">
        <w:tc>
          <w:tcPr>
            <w:tcW w:w="1474" w:type="dxa"/>
          </w:tcPr>
          <w:p w14:paraId="1F6174E7"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78CE82CD"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No</w:t>
            </w:r>
          </w:p>
        </w:tc>
        <w:tc>
          <w:tcPr>
            <w:tcW w:w="1135" w:type="dxa"/>
          </w:tcPr>
          <w:p w14:paraId="257CFE37"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29</w:t>
            </w:r>
          </w:p>
        </w:tc>
        <w:tc>
          <w:tcPr>
            <w:tcW w:w="1418" w:type="dxa"/>
          </w:tcPr>
          <w:p w14:paraId="473154AE"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11</w:t>
            </w:r>
          </w:p>
        </w:tc>
        <w:tc>
          <w:tcPr>
            <w:tcW w:w="1417" w:type="dxa"/>
          </w:tcPr>
          <w:p w14:paraId="4A8A62BD"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27.5</w:t>
            </w:r>
          </w:p>
        </w:tc>
        <w:tc>
          <w:tcPr>
            <w:tcW w:w="992" w:type="dxa"/>
          </w:tcPr>
          <w:p w14:paraId="39FACA19"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6527E7F6"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648AE5A1" w14:textId="77777777">
        <w:tc>
          <w:tcPr>
            <w:tcW w:w="1474" w:type="dxa"/>
          </w:tcPr>
          <w:p w14:paraId="1CF625D6"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Previous History of Mental illness</w:t>
            </w:r>
          </w:p>
        </w:tc>
        <w:tc>
          <w:tcPr>
            <w:tcW w:w="1780" w:type="dxa"/>
          </w:tcPr>
          <w:p w14:paraId="2A163EE9"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Yes</w:t>
            </w:r>
          </w:p>
        </w:tc>
        <w:tc>
          <w:tcPr>
            <w:tcW w:w="1135" w:type="dxa"/>
          </w:tcPr>
          <w:p w14:paraId="32784504"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w:t>
            </w:r>
          </w:p>
        </w:tc>
        <w:tc>
          <w:tcPr>
            <w:tcW w:w="1418" w:type="dxa"/>
          </w:tcPr>
          <w:p w14:paraId="4AFC7229"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w:t>
            </w:r>
          </w:p>
        </w:tc>
        <w:tc>
          <w:tcPr>
            <w:tcW w:w="1417" w:type="dxa"/>
          </w:tcPr>
          <w:p w14:paraId="51B46237"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992" w:type="dxa"/>
          </w:tcPr>
          <w:p w14:paraId="1028B139"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0.000</w:t>
            </w:r>
          </w:p>
        </w:tc>
        <w:tc>
          <w:tcPr>
            <w:tcW w:w="1030" w:type="dxa"/>
          </w:tcPr>
          <w:p w14:paraId="04239800"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1736A7DE" w14:textId="77777777">
        <w:trPr>
          <w:trHeight w:val="224"/>
        </w:trPr>
        <w:tc>
          <w:tcPr>
            <w:tcW w:w="1474" w:type="dxa"/>
          </w:tcPr>
          <w:p w14:paraId="3F984314"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4F523E31"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No</w:t>
            </w:r>
          </w:p>
        </w:tc>
        <w:tc>
          <w:tcPr>
            <w:tcW w:w="1135" w:type="dxa"/>
          </w:tcPr>
          <w:p w14:paraId="2128B52B"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29</w:t>
            </w:r>
          </w:p>
        </w:tc>
        <w:tc>
          <w:tcPr>
            <w:tcW w:w="1418" w:type="dxa"/>
          </w:tcPr>
          <w:p w14:paraId="31BB0485"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11</w:t>
            </w:r>
          </w:p>
        </w:tc>
        <w:tc>
          <w:tcPr>
            <w:tcW w:w="1417" w:type="dxa"/>
          </w:tcPr>
          <w:p w14:paraId="6EA92A3F"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27.5</w:t>
            </w:r>
          </w:p>
        </w:tc>
        <w:tc>
          <w:tcPr>
            <w:tcW w:w="992" w:type="dxa"/>
          </w:tcPr>
          <w:p w14:paraId="6AC69B1C"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6039747C"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46D30494" w14:textId="77777777">
        <w:tc>
          <w:tcPr>
            <w:tcW w:w="1474" w:type="dxa"/>
          </w:tcPr>
          <w:p w14:paraId="26D2BBED"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Family History of Mental Illness</w:t>
            </w:r>
          </w:p>
        </w:tc>
        <w:tc>
          <w:tcPr>
            <w:tcW w:w="1780" w:type="dxa"/>
          </w:tcPr>
          <w:p w14:paraId="7D80497D"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Yes</w:t>
            </w:r>
          </w:p>
        </w:tc>
        <w:tc>
          <w:tcPr>
            <w:tcW w:w="1135" w:type="dxa"/>
          </w:tcPr>
          <w:p w14:paraId="3D902ACF"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w:t>
            </w:r>
          </w:p>
        </w:tc>
        <w:tc>
          <w:tcPr>
            <w:tcW w:w="1418" w:type="dxa"/>
          </w:tcPr>
          <w:p w14:paraId="5EC71E57"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417" w:type="dxa"/>
          </w:tcPr>
          <w:p w14:paraId="17E3D2F7"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992" w:type="dxa"/>
          </w:tcPr>
          <w:p w14:paraId="1A20FBAA"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0.000</w:t>
            </w:r>
          </w:p>
        </w:tc>
        <w:tc>
          <w:tcPr>
            <w:tcW w:w="1030" w:type="dxa"/>
          </w:tcPr>
          <w:p w14:paraId="7E63697E"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79020B0A" w14:textId="77777777">
        <w:tc>
          <w:tcPr>
            <w:tcW w:w="1474" w:type="dxa"/>
          </w:tcPr>
          <w:p w14:paraId="28637AB5"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0B673C89"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No</w:t>
            </w:r>
          </w:p>
        </w:tc>
        <w:tc>
          <w:tcPr>
            <w:tcW w:w="1135" w:type="dxa"/>
          </w:tcPr>
          <w:p w14:paraId="128A11E3" w14:textId="77777777" w:rsidR="003F2302" w:rsidRPr="009F1FB4" w:rsidRDefault="00000000">
            <w:pPr>
              <w:pStyle w:val="ListParagraph"/>
              <w:numPr>
                <w:ilvl w:val="1"/>
                <w:numId w:val="1"/>
              </w:num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29</w:t>
            </w:r>
          </w:p>
        </w:tc>
        <w:tc>
          <w:tcPr>
            <w:tcW w:w="1418" w:type="dxa"/>
          </w:tcPr>
          <w:p w14:paraId="55DCFB31"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11</w:t>
            </w:r>
          </w:p>
        </w:tc>
        <w:tc>
          <w:tcPr>
            <w:tcW w:w="1417" w:type="dxa"/>
          </w:tcPr>
          <w:p w14:paraId="199D7CD1"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27.5</w:t>
            </w:r>
          </w:p>
        </w:tc>
        <w:tc>
          <w:tcPr>
            <w:tcW w:w="992" w:type="dxa"/>
          </w:tcPr>
          <w:p w14:paraId="49CA14A0"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68860887"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75E5E6A6" w14:textId="77777777">
        <w:tc>
          <w:tcPr>
            <w:tcW w:w="1474" w:type="dxa"/>
          </w:tcPr>
          <w:p w14:paraId="5E6E8354"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Takes Alcohol</w:t>
            </w:r>
          </w:p>
        </w:tc>
        <w:tc>
          <w:tcPr>
            <w:tcW w:w="1780" w:type="dxa"/>
          </w:tcPr>
          <w:p w14:paraId="50B121BB"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Yes</w:t>
            </w:r>
          </w:p>
        </w:tc>
        <w:tc>
          <w:tcPr>
            <w:tcW w:w="1135" w:type="dxa"/>
          </w:tcPr>
          <w:p w14:paraId="3667D235"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w:t>
            </w:r>
          </w:p>
        </w:tc>
        <w:tc>
          <w:tcPr>
            <w:tcW w:w="1418" w:type="dxa"/>
          </w:tcPr>
          <w:p w14:paraId="47F81BD6"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w:t>
            </w:r>
          </w:p>
        </w:tc>
        <w:tc>
          <w:tcPr>
            <w:tcW w:w="1417" w:type="dxa"/>
          </w:tcPr>
          <w:p w14:paraId="1450BFC1"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50.0</w:t>
            </w:r>
          </w:p>
        </w:tc>
        <w:tc>
          <w:tcPr>
            <w:tcW w:w="992" w:type="dxa"/>
          </w:tcPr>
          <w:p w14:paraId="78D90EE0"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0.023</w:t>
            </w:r>
          </w:p>
        </w:tc>
        <w:tc>
          <w:tcPr>
            <w:tcW w:w="1030" w:type="dxa"/>
          </w:tcPr>
          <w:p w14:paraId="3A1C9752"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0.235</w:t>
            </w:r>
          </w:p>
        </w:tc>
      </w:tr>
      <w:tr w:rsidR="003F2302" w:rsidRPr="009F1FB4" w14:paraId="36CCAF6C" w14:textId="77777777">
        <w:tc>
          <w:tcPr>
            <w:tcW w:w="1474" w:type="dxa"/>
          </w:tcPr>
          <w:p w14:paraId="0FCE618C"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7B80F96B"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No</w:t>
            </w:r>
          </w:p>
        </w:tc>
        <w:tc>
          <w:tcPr>
            <w:tcW w:w="1135" w:type="dxa"/>
          </w:tcPr>
          <w:p w14:paraId="1DED7B9A"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28</w:t>
            </w:r>
          </w:p>
        </w:tc>
        <w:tc>
          <w:tcPr>
            <w:tcW w:w="1418" w:type="dxa"/>
          </w:tcPr>
          <w:p w14:paraId="3AAB94FE"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10</w:t>
            </w:r>
          </w:p>
        </w:tc>
        <w:tc>
          <w:tcPr>
            <w:tcW w:w="1417" w:type="dxa"/>
          </w:tcPr>
          <w:p w14:paraId="637FAA24"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26.3</w:t>
            </w:r>
          </w:p>
        </w:tc>
        <w:tc>
          <w:tcPr>
            <w:tcW w:w="992" w:type="dxa"/>
          </w:tcPr>
          <w:p w14:paraId="33AF0710"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5CAEBE70"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44443EBA" w14:textId="77777777">
        <w:tc>
          <w:tcPr>
            <w:tcW w:w="1474" w:type="dxa"/>
          </w:tcPr>
          <w:p w14:paraId="657288D1"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Smokes</w:t>
            </w:r>
          </w:p>
        </w:tc>
        <w:tc>
          <w:tcPr>
            <w:tcW w:w="1780" w:type="dxa"/>
          </w:tcPr>
          <w:p w14:paraId="75F797CF"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Yes</w:t>
            </w:r>
          </w:p>
        </w:tc>
        <w:tc>
          <w:tcPr>
            <w:tcW w:w="1135" w:type="dxa"/>
          </w:tcPr>
          <w:p w14:paraId="3687D0E4"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418" w:type="dxa"/>
          </w:tcPr>
          <w:p w14:paraId="13659BDD"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417" w:type="dxa"/>
          </w:tcPr>
          <w:p w14:paraId="3C192961"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992" w:type="dxa"/>
          </w:tcPr>
          <w:p w14:paraId="2C553BA4"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0.000</w:t>
            </w:r>
          </w:p>
        </w:tc>
        <w:tc>
          <w:tcPr>
            <w:tcW w:w="1030" w:type="dxa"/>
          </w:tcPr>
          <w:p w14:paraId="5CDDCE67"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2B9D2006" w14:textId="77777777">
        <w:tc>
          <w:tcPr>
            <w:tcW w:w="1474" w:type="dxa"/>
          </w:tcPr>
          <w:p w14:paraId="09274256"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42288BC6"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No</w:t>
            </w:r>
          </w:p>
        </w:tc>
        <w:tc>
          <w:tcPr>
            <w:tcW w:w="1135" w:type="dxa"/>
          </w:tcPr>
          <w:p w14:paraId="2886FD0E"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29</w:t>
            </w:r>
          </w:p>
        </w:tc>
        <w:tc>
          <w:tcPr>
            <w:tcW w:w="1418" w:type="dxa"/>
          </w:tcPr>
          <w:p w14:paraId="5DA6B88F"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11</w:t>
            </w:r>
          </w:p>
        </w:tc>
        <w:tc>
          <w:tcPr>
            <w:tcW w:w="1417" w:type="dxa"/>
          </w:tcPr>
          <w:p w14:paraId="600321CF"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27.5</w:t>
            </w:r>
          </w:p>
        </w:tc>
        <w:tc>
          <w:tcPr>
            <w:tcW w:w="992" w:type="dxa"/>
          </w:tcPr>
          <w:p w14:paraId="7334F68F"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51E3CF86" w14:textId="77777777" w:rsidR="003F2302" w:rsidRPr="009F1FB4" w:rsidRDefault="003F2302">
            <w:pPr>
              <w:spacing w:after="0" w:line="276" w:lineRule="auto"/>
              <w:jc w:val="both"/>
              <w:rPr>
                <w:rFonts w:ascii="Times New Roman" w:eastAsia="Calibri" w:hAnsi="Times New Roman" w:cs="Times New Roman"/>
                <w:sz w:val="24"/>
                <w:szCs w:val="24"/>
              </w:rPr>
            </w:pPr>
          </w:p>
        </w:tc>
      </w:tr>
      <w:tr w:rsidR="003F2302" w:rsidRPr="009F1FB4" w14:paraId="4B201D1D" w14:textId="77777777">
        <w:tc>
          <w:tcPr>
            <w:tcW w:w="1474" w:type="dxa"/>
          </w:tcPr>
          <w:p w14:paraId="45E23F93"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Take Psychoactive Substance</w:t>
            </w:r>
          </w:p>
        </w:tc>
        <w:tc>
          <w:tcPr>
            <w:tcW w:w="1780" w:type="dxa"/>
          </w:tcPr>
          <w:p w14:paraId="13ADC97D"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Yes</w:t>
            </w:r>
          </w:p>
        </w:tc>
        <w:tc>
          <w:tcPr>
            <w:tcW w:w="1135" w:type="dxa"/>
          </w:tcPr>
          <w:p w14:paraId="0D178725"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w:t>
            </w:r>
          </w:p>
        </w:tc>
        <w:tc>
          <w:tcPr>
            <w:tcW w:w="1418" w:type="dxa"/>
          </w:tcPr>
          <w:p w14:paraId="5AA85BE6"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w:t>
            </w:r>
          </w:p>
        </w:tc>
        <w:tc>
          <w:tcPr>
            <w:tcW w:w="1417" w:type="dxa"/>
          </w:tcPr>
          <w:p w14:paraId="07DA6F02"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w:t>
            </w:r>
          </w:p>
        </w:tc>
        <w:tc>
          <w:tcPr>
            <w:tcW w:w="992" w:type="dxa"/>
          </w:tcPr>
          <w:p w14:paraId="61E15B25"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0.011</w:t>
            </w:r>
          </w:p>
        </w:tc>
        <w:tc>
          <w:tcPr>
            <w:tcW w:w="1030" w:type="dxa"/>
          </w:tcPr>
          <w:p w14:paraId="1D7275DB"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0.265</w:t>
            </w:r>
          </w:p>
        </w:tc>
      </w:tr>
      <w:tr w:rsidR="003F2302" w:rsidRPr="009F1FB4" w14:paraId="0EBB5579" w14:textId="77777777">
        <w:tc>
          <w:tcPr>
            <w:tcW w:w="1474" w:type="dxa"/>
          </w:tcPr>
          <w:p w14:paraId="2A09B11C"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780" w:type="dxa"/>
          </w:tcPr>
          <w:p w14:paraId="50DC5544"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No</w:t>
            </w:r>
          </w:p>
        </w:tc>
        <w:tc>
          <w:tcPr>
            <w:tcW w:w="1135" w:type="dxa"/>
          </w:tcPr>
          <w:p w14:paraId="2FBFE03B"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27</w:t>
            </w:r>
          </w:p>
        </w:tc>
        <w:tc>
          <w:tcPr>
            <w:tcW w:w="1418" w:type="dxa"/>
          </w:tcPr>
          <w:p w14:paraId="6F09F8B2"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11</w:t>
            </w:r>
          </w:p>
        </w:tc>
        <w:tc>
          <w:tcPr>
            <w:tcW w:w="1417" w:type="dxa"/>
          </w:tcPr>
          <w:p w14:paraId="6C96A685" w14:textId="77777777" w:rsidR="003F2302" w:rsidRPr="009F1FB4" w:rsidRDefault="00000000">
            <w:pPr>
              <w:spacing w:after="0" w:line="276" w:lineRule="auto"/>
              <w:jc w:val="both"/>
              <w:rPr>
                <w:rFonts w:ascii="Times New Roman" w:eastAsia="Calibri" w:hAnsi="Times New Roman" w:cs="Times New Roman"/>
                <w:sz w:val="24"/>
                <w:szCs w:val="24"/>
              </w:rPr>
            </w:pPr>
            <w:r w:rsidRPr="009F1FB4">
              <w:rPr>
                <w:rFonts w:ascii="Times New Roman" w:eastAsia="Calibri" w:hAnsi="Times New Roman" w:cs="Times New Roman"/>
                <w:sz w:val="24"/>
                <w:szCs w:val="24"/>
              </w:rPr>
              <w:t>28.9</w:t>
            </w:r>
          </w:p>
        </w:tc>
        <w:tc>
          <w:tcPr>
            <w:tcW w:w="992" w:type="dxa"/>
          </w:tcPr>
          <w:p w14:paraId="6A7F1ED8" w14:textId="77777777" w:rsidR="003F2302" w:rsidRPr="009F1FB4" w:rsidRDefault="003F2302">
            <w:pPr>
              <w:spacing w:after="0" w:line="276" w:lineRule="auto"/>
              <w:jc w:val="both"/>
              <w:rPr>
                <w:rFonts w:ascii="Times New Roman" w:eastAsia="Calibri" w:hAnsi="Times New Roman" w:cs="Times New Roman"/>
                <w:sz w:val="24"/>
                <w:szCs w:val="24"/>
              </w:rPr>
            </w:pPr>
          </w:p>
        </w:tc>
        <w:tc>
          <w:tcPr>
            <w:tcW w:w="1030" w:type="dxa"/>
          </w:tcPr>
          <w:p w14:paraId="29CF3F47" w14:textId="77777777" w:rsidR="003F2302" w:rsidRPr="009F1FB4" w:rsidRDefault="003F2302">
            <w:pPr>
              <w:spacing w:after="0" w:line="276" w:lineRule="auto"/>
              <w:jc w:val="both"/>
              <w:rPr>
                <w:rFonts w:ascii="Times New Roman" w:eastAsia="Calibri" w:hAnsi="Times New Roman" w:cs="Times New Roman"/>
                <w:sz w:val="24"/>
                <w:szCs w:val="24"/>
              </w:rPr>
            </w:pPr>
          </w:p>
        </w:tc>
      </w:tr>
      <w:bookmarkEnd w:id="22"/>
    </w:tbl>
    <w:p w14:paraId="43CAABCB" w14:textId="77777777" w:rsidR="003F2302" w:rsidRPr="009F1FB4" w:rsidRDefault="003F2302">
      <w:pPr>
        <w:spacing w:after="0" w:line="276" w:lineRule="auto"/>
        <w:jc w:val="both"/>
        <w:rPr>
          <w:lang w:val="en-US"/>
        </w:rPr>
      </w:pPr>
    </w:p>
    <w:p w14:paraId="512D645C" w14:textId="77777777" w:rsidR="003F2302" w:rsidRPr="009F1FB4" w:rsidRDefault="00000000">
      <w:pPr>
        <w:spacing w:line="276" w:lineRule="auto"/>
        <w:jc w:val="both"/>
        <w:rPr>
          <w:rFonts w:ascii="Times New Roman" w:hAnsi="Times New Roman"/>
          <w:b/>
          <w:bCs/>
          <w:sz w:val="24"/>
          <w:szCs w:val="24"/>
        </w:rPr>
      </w:pPr>
      <w:bookmarkStart w:id="34" w:name="independent-predictors"/>
      <w:bookmarkEnd w:id="34"/>
      <w:r w:rsidRPr="009F1FB4">
        <w:rPr>
          <w:rFonts w:ascii="Times New Roman" w:hAnsi="Times New Roman"/>
          <w:b/>
          <w:bCs/>
          <w:sz w:val="24"/>
          <w:szCs w:val="24"/>
          <w:lang w:val="en-US"/>
        </w:rPr>
        <w:t>Qualitative Findings</w:t>
      </w:r>
    </w:p>
    <w:p w14:paraId="5570008D" w14:textId="77777777" w:rsidR="003F2302" w:rsidRPr="009F1FB4" w:rsidRDefault="00000000">
      <w:pPr>
        <w:spacing w:line="276" w:lineRule="auto"/>
        <w:jc w:val="both"/>
        <w:rPr>
          <w:rFonts w:ascii="Times New Roman" w:hAnsi="Times New Roman"/>
          <w:sz w:val="24"/>
          <w:szCs w:val="24"/>
        </w:rPr>
      </w:pPr>
      <w:r w:rsidRPr="009F1FB4">
        <w:t>The qualitative analysis generated six major themes.</w:t>
      </w:r>
    </w:p>
    <w:p w14:paraId="44D206FA" w14:textId="77777777" w:rsidR="003F2302" w:rsidRPr="009F1FB4" w:rsidRDefault="00000000">
      <w:pPr>
        <w:spacing w:line="276" w:lineRule="auto"/>
        <w:jc w:val="both"/>
        <w:rPr>
          <w:rFonts w:ascii="Times New Roman" w:hAnsi="Times New Roman"/>
          <w:sz w:val="24"/>
          <w:szCs w:val="24"/>
        </w:rPr>
      </w:pPr>
      <w:bookmarkStart w:id="35" w:name="Xd630f91e1e6ef583c1399ff032481ae6043f737"/>
      <w:bookmarkStart w:id="36" w:name="_Hlk237629527"/>
      <w:r w:rsidRPr="009F1FB4">
        <w:rPr>
          <w:rFonts w:ascii="Times New Roman" w:hAnsi="Times New Roman"/>
          <w:sz w:val="24"/>
          <w:szCs w:val="24"/>
          <w:lang w:val="en-US"/>
        </w:rPr>
        <w:t xml:space="preserve"> a. </w:t>
      </w:r>
      <w:r w:rsidRPr="009F1FB4">
        <w:rPr>
          <w:rFonts w:ascii="Times New Roman" w:hAnsi="Times New Roman"/>
          <w:b/>
          <w:bCs/>
          <w:sz w:val="24"/>
          <w:szCs w:val="24"/>
          <w:lang w:val="en-US"/>
        </w:rPr>
        <w:t xml:space="preserve">The Transition Experience </w:t>
      </w:r>
    </w:p>
    <w:p w14:paraId="486271EC" w14:textId="77777777" w:rsidR="003F2302" w:rsidRPr="009F1FB4" w:rsidRDefault="00000000">
      <w:pPr>
        <w:spacing w:line="276" w:lineRule="auto"/>
        <w:jc w:val="both"/>
        <w:rPr>
          <w:rFonts w:ascii="Times New Roman" w:hAnsi="Times New Roman"/>
          <w:sz w:val="24"/>
          <w:szCs w:val="24"/>
        </w:rPr>
      </w:pPr>
      <w:r w:rsidRPr="009F1FB4">
        <w:t>Participants described admission into medical school as exciting but, on entering the system, found the experience overwhelming, especially upon discovering that another hurdle was required to fully qualify for entry into the College of Medicine. They also described the considerable challenge of adjusting to the lecture model, assignments, and other academic demands.</w:t>
      </w:r>
    </w:p>
    <w:p w14:paraId="03B9410E" w14:textId="77777777" w:rsidR="003F2302" w:rsidRPr="009F1FB4" w:rsidRDefault="00000000">
      <w:pPr>
        <w:spacing w:line="276" w:lineRule="auto"/>
        <w:jc w:val="both"/>
        <w:rPr>
          <w:rFonts w:ascii="Times New Roman" w:hAnsi="Times New Roman"/>
          <w:sz w:val="24"/>
          <w:szCs w:val="24"/>
        </w:rPr>
      </w:pPr>
      <w:r w:rsidRPr="009F1FB4">
        <w:t>One participant said: “Getting admission was a dream, but when lectures started, I realized that medical school was completely different from secondary school.”</w:t>
      </w:r>
    </w:p>
    <w:p w14:paraId="75017326" w14:textId="77777777" w:rsidR="003F2302" w:rsidRPr="009F1FB4" w:rsidRDefault="00000000">
      <w:pPr>
        <w:spacing w:line="276" w:lineRule="auto"/>
        <w:jc w:val="both"/>
        <w:rPr>
          <w:rFonts w:ascii="Times New Roman" w:hAnsi="Times New Roman"/>
          <w:sz w:val="24"/>
          <w:szCs w:val="24"/>
        </w:rPr>
      </w:pPr>
      <w:r w:rsidRPr="009F1FB4">
        <w:rPr>
          <w:rFonts w:ascii="Times New Roman" w:hAnsi="Times New Roman"/>
          <w:sz w:val="24"/>
          <w:szCs w:val="24"/>
          <w:lang w:val="en-US"/>
        </w:rPr>
        <w:t>Students described difficulty adapting to independent learning, unfamiliar teaching methods, and the volume of academic material.</w:t>
      </w:r>
    </w:p>
    <w:p w14:paraId="53AB7A6E" w14:textId="77777777" w:rsidR="003F2302" w:rsidRPr="009F1FB4" w:rsidRDefault="00000000">
      <w:pPr>
        <w:spacing w:line="276" w:lineRule="auto"/>
        <w:jc w:val="both"/>
        <w:rPr>
          <w:rFonts w:ascii="Times New Roman" w:hAnsi="Times New Roman"/>
          <w:sz w:val="24"/>
          <w:szCs w:val="24"/>
        </w:rPr>
      </w:pPr>
      <w:bookmarkStart w:id="37" w:name="X05173d11999c70f653cadbd0f65ac34e1b6214f"/>
      <w:bookmarkEnd w:id="35"/>
      <w:r w:rsidRPr="009F1FB4">
        <w:rPr>
          <w:rFonts w:ascii="Times New Roman" w:hAnsi="Times New Roman"/>
          <w:b/>
          <w:bCs/>
          <w:sz w:val="24"/>
          <w:szCs w:val="24"/>
          <w:lang w:val="en-US"/>
        </w:rPr>
        <w:t xml:space="preserve"> b. Fear of Failure</w:t>
      </w:r>
    </w:p>
    <w:p w14:paraId="7484B117" w14:textId="77777777" w:rsidR="003F2302" w:rsidRPr="009F1FB4" w:rsidRDefault="00000000">
      <w:pPr>
        <w:spacing w:line="276" w:lineRule="auto"/>
        <w:jc w:val="both"/>
        <w:rPr>
          <w:rFonts w:ascii="Times New Roman" w:hAnsi="Times New Roman"/>
          <w:sz w:val="24"/>
          <w:szCs w:val="24"/>
        </w:rPr>
      </w:pPr>
      <w:r w:rsidRPr="009F1FB4">
        <w:t>Heavy academic workload emerged as the dominant focus of discussion, and the continuous assessments, coupled with the expectation that students should understand large amounts of information within short periods, were described as particularly challenging.</w:t>
      </w:r>
    </w:p>
    <w:p w14:paraId="218AA51C" w14:textId="77777777" w:rsidR="003F2302" w:rsidRPr="009F1FB4" w:rsidRDefault="00000000">
      <w:pPr>
        <w:spacing w:line="276" w:lineRule="auto"/>
        <w:jc w:val="both"/>
        <w:rPr>
          <w:rFonts w:ascii="Times New Roman" w:hAnsi="Times New Roman"/>
          <w:sz w:val="24"/>
          <w:szCs w:val="24"/>
        </w:rPr>
      </w:pPr>
      <w:r w:rsidRPr="009F1FB4">
        <w:lastRenderedPageBreak/>
        <w:t>One participant said: “Sometimes it feels as if every lecturer thinks his course is the only course we are doing.”</w:t>
      </w:r>
    </w:p>
    <w:bookmarkEnd w:id="36"/>
    <w:bookmarkEnd w:id="37"/>
    <w:p w14:paraId="5EECF06C" w14:textId="77777777" w:rsidR="003F2302" w:rsidRPr="009F1FB4" w:rsidRDefault="00000000">
      <w:pPr>
        <w:spacing w:line="276" w:lineRule="auto"/>
        <w:jc w:val="both"/>
        <w:rPr>
          <w:rFonts w:ascii="Times New Roman" w:hAnsi="Times New Roman"/>
          <w:sz w:val="24"/>
          <w:szCs w:val="24"/>
        </w:rPr>
      </w:pPr>
      <w:r w:rsidRPr="009F1FB4">
        <w:t>Fear of failing examinations was closely linked to psychological distress, especially for fresher medical students who must not fail any of the prerequisite courses required to qualify fully for entry into the medical college.</w:t>
      </w:r>
    </w:p>
    <w:p w14:paraId="42D0437D" w14:textId="77777777" w:rsidR="003F2302" w:rsidRPr="009F1FB4" w:rsidRDefault="00000000">
      <w:pPr>
        <w:spacing w:line="276" w:lineRule="auto"/>
        <w:jc w:val="both"/>
        <w:rPr>
          <w:rFonts w:ascii="Times New Roman" w:hAnsi="Times New Roman"/>
          <w:sz w:val="24"/>
          <w:szCs w:val="24"/>
        </w:rPr>
      </w:pPr>
      <w:r w:rsidRPr="009F1FB4">
        <w:rPr>
          <w:rFonts w:ascii="Times New Roman" w:hAnsi="Times New Roman"/>
          <w:b/>
          <w:bCs/>
          <w:sz w:val="24"/>
          <w:szCs w:val="24"/>
          <w:lang w:val="en-US"/>
        </w:rPr>
        <w:t xml:space="preserve">c. </w:t>
      </w:r>
      <w:bookmarkStart w:id="38" w:name="Xfd982056d1e4575aaa131d41c2ea8234f236429"/>
      <w:r w:rsidRPr="009F1FB4">
        <w:rPr>
          <w:rFonts w:ascii="Times New Roman" w:hAnsi="Times New Roman"/>
          <w:b/>
          <w:bCs/>
          <w:sz w:val="24"/>
          <w:szCs w:val="24"/>
          <w:lang w:val="en-US"/>
        </w:rPr>
        <w:t xml:space="preserve">Family Expectations </w:t>
      </w:r>
    </w:p>
    <w:p w14:paraId="4AB9ED99" w14:textId="77777777" w:rsidR="003F2302" w:rsidRPr="009F1FB4" w:rsidRDefault="00000000">
      <w:pPr>
        <w:spacing w:line="276" w:lineRule="auto"/>
        <w:jc w:val="both"/>
        <w:rPr>
          <w:rFonts w:ascii="Times New Roman" w:hAnsi="Times New Roman"/>
          <w:sz w:val="24"/>
          <w:szCs w:val="24"/>
        </w:rPr>
      </w:pPr>
      <w:bookmarkStart w:id="39" w:name="_Hlk237634842"/>
      <w:r w:rsidRPr="009F1FB4">
        <w:t>Participants described medicine as a programme associated with significant family expectations, such that any event affecting the prospects of fully realising the goal could affect not only the student but also the parents.</w:t>
      </w:r>
    </w:p>
    <w:p w14:paraId="59DCE298" w14:textId="77777777" w:rsidR="003F2302" w:rsidRPr="009F1FB4" w:rsidRDefault="00000000">
      <w:pPr>
        <w:spacing w:line="276" w:lineRule="auto"/>
        <w:jc w:val="both"/>
        <w:rPr>
          <w:rFonts w:ascii="Times New Roman" w:hAnsi="Times New Roman"/>
          <w:sz w:val="24"/>
          <w:szCs w:val="24"/>
        </w:rPr>
      </w:pPr>
      <w:r w:rsidRPr="009F1FB4">
        <w:t>One participant said: “My parents sacrificed a lot for me to study medicine, so failing is not something I feel I can afford.”</w:t>
      </w:r>
    </w:p>
    <w:p w14:paraId="09EDBD29" w14:textId="77777777" w:rsidR="003F2302" w:rsidRPr="009F1FB4" w:rsidRDefault="00000000">
      <w:pPr>
        <w:spacing w:line="276" w:lineRule="auto"/>
        <w:jc w:val="both"/>
        <w:rPr>
          <w:rFonts w:ascii="Times New Roman" w:hAnsi="Times New Roman"/>
          <w:sz w:val="24"/>
          <w:szCs w:val="24"/>
        </w:rPr>
      </w:pPr>
      <w:r w:rsidRPr="009F1FB4">
        <w:rPr>
          <w:rFonts w:ascii="Times New Roman" w:hAnsi="Times New Roman"/>
          <w:sz w:val="24"/>
          <w:szCs w:val="24"/>
          <w:lang w:val="en-US"/>
        </w:rPr>
        <w:t>Some participants reported that they felt unable to disclose psychological difficulties because their families expected them to remain strong.</w:t>
      </w:r>
      <w:bookmarkStart w:id="40" w:name="Xea68d5fbdc7f5e97f3adfb0cb98c0f56c2f85e4"/>
      <w:bookmarkEnd w:id="38"/>
      <w:bookmarkEnd w:id="39"/>
    </w:p>
    <w:p w14:paraId="007E7C81" w14:textId="77777777" w:rsidR="003F2302" w:rsidRPr="009F1FB4" w:rsidRDefault="00000000">
      <w:pPr>
        <w:spacing w:line="276" w:lineRule="auto"/>
        <w:jc w:val="both"/>
        <w:rPr>
          <w:rFonts w:ascii="Times New Roman" w:hAnsi="Times New Roman"/>
          <w:sz w:val="24"/>
          <w:szCs w:val="24"/>
        </w:rPr>
      </w:pPr>
      <w:r w:rsidRPr="009F1FB4">
        <w:rPr>
          <w:rFonts w:ascii="Times New Roman" w:hAnsi="Times New Roman"/>
          <w:b/>
          <w:bCs/>
          <w:sz w:val="24"/>
          <w:szCs w:val="24"/>
          <w:lang w:val="en-US"/>
        </w:rPr>
        <w:t>d. Homesickness and Social Adjustment</w:t>
      </w:r>
    </w:p>
    <w:p w14:paraId="0F7B1398" w14:textId="77777777" w:rsidR="003F2302" w:rsidRPr="009F1FB4" w:rsidRDefault="00000000">
      <w:pPr>
        <w:spacing w:line="276" w:lineRule="auto"/>
        <w:jc w:val="both"/>
        <w:rPr>
          <w:rFonts w:ascii="Times New Roman" w:hAnsi="Times New Roman"/>
          <w:sz w:val="24"/>
          <w:szCs w:val="24"/>
        </w:rPr>
      </w:pPr>
      <w:bookmarkStart w:id="41" w:name="_Hlk237631786"/>
      <w:r w:rsidRPr="009F1FB4">
        <w:t>Students living away from home reported loneliness, as for the majority this was their first time leaving the safe confines of their homes and being disconnected from the direct support of their parents.</w:t>
      </w:r>
    </w:p>
    <w:bookmarkEnd w:id="41"/>
    <w:p w14:paraId="7FAB6091" w14:textId="77777777" w:rsidR="003F2302" w:rsidRPr="009F1FB4" w:rsidRDefault="00000000">
      <w:pPr>
        <w:spacing w:line="276" w:lineRule="auto"/>
        <w:jc w:val="both"/>
        <w:rPr>
          <w:rFonts w:ascii="Times New Roman" w:hAnsi="Times New Roman"/>
          <w:sz w:val="24"/>
          <w:szCs w:val="24"/>
        </w:rPr>
      </w:pPr>
      <w:r w:rsidRPr="009F1FB4">
        <w:t>One participant said: “There are hundreds of people around you, but sometimes you still feel alone in that crowd because your family that you have been familiar with is not around.”</w:t>
      </w:r>
    </w:p>
    <w:bookmarkEnd w:id="40"/>
    <w:p w14:paraId="6CA4A8C6" w14:textId="77777777" w:rsidR="003F2302" w:rsidRPr="009F1FB4" w:rsidRDefault="00000000">
      <w:pPr>
        <w:spacing w:line="276" w:lineRule="auto"/>
        <w:jc w:val="both"/>
        <w:rPr>
          <w:rFonts w:ascii="Times New Roman" w:hAnsi="Times New Roman"/>
          <w:sz w:val="24"/>
          <w:szCs w:val="24"/>
        </w:rPr>
      </w:pPr>
      <w:r w:rsidRPr="009F1FB4">
        <w:t>Peer relationships, however, were described as an important source of succour.</w:t>
      </w:r>
    </w:p>
    <w:p w14:paraId="03EBB389" w14:textId="77777777" w:rsidR="003F2302" w:rsidRPr="009F1FB4" w:rsidRDefault="00000000">
      <w:pPr>
        <w:spacing w:line="276" w:lineRule="auto"/>
        <w:jc w:val="both"/>
        <w:rPr>
          <w:rFonts w:ascii="Times New Roman" w:hAnsi="Times New Roman"/>
          <w:sz w:val="24"/>
          <w:szCs w:val="24"/>
        </w:rPr>
      </w:pPr>
      <w:r w:rsidRPr="009F1FB4">
        <w:rPr>
          <w:rFonts w:ascii="Times New Roman" w:hAnsi="Times New Roman"/>
          <w:sz w:val="24"/>
          <w:szCs w:val="24"/>
          <w:lang w:val="en-US"/>
        </w:rPr>
        <w:t xml:space="preserve">e. </w:t>
      </w:r>
      <w:bookmarkStart w:id="42" w:name="X5d5669c6ba248fc17f1732bdef03c2136c168f6"/>
      <w:r w:rsidRPr="009F1FB4">
        <w:rPr>
          <w:rFonts w:ascii="Times New Roman" w:hAnsi="Times New Roman"/>
          <w:b/>
          <w:bCs/>
          <w:sz w:val="24"/>
          <w:szCs w:val="24"/>
          <w:lang w:val="en-US"/>
        </w:rPr>
        <w:t xml:space="preserve">Spirituality and Coping </w:t>
      </w:r>
    </w:p>
    <w:bookmarkEnd w:id="42"/>
    <w:p w14:paraId="04534F23" w14:textId="77777777" w:rsidR="003F2302" w:rsidRPr="009F1FB4" w:rsidRDefault="00000000">
      <w:pPr>
        <w:spacing w:line="276" w:lineRule="auto"/>
        <w:jc w:val="both"/>
        <w:rPr>
          <w:rFonts w:ascii="Times New Roman" w:hAnsi="Times New Roman"/>
          <w:sz w:val="24"/>
          <w:szCs w:val="24"/>
        </w:rPr>
      </w:pPr>
      <w:r w:rsidRPr="009F1FB4">
        <w:t>Participants deployed a range of coping strategies, and the majority of the adaptive strategies included prayer, talking with friends, listening to music, using structured study plans, seeking family support, and seeking advice from senior students in the college about how they had navigated this challenge. Religious coping was frequently described as a source of hope and emotional stability.</w:t>
      </w:r>
    </w:p>
    <w:p w14:paraId="0B0FA651" w14:textId="77777777" w:rsidR="003F2302" w:rsidRPr="009F1FB4" w:rsidRDefault="00000000">
      <w:pPr>
        <w:spacing w:line="276" w:lineRule="auto"/>
        <w:jc w:val="both"/>
        <w:rPr>
          <w:rFonts w:ascii="Times New Roman" w:hAnsi="Times New Roman"/>
          <w:sz w:val="24"/>
          <w:szCs w:val="24"/>
        </w:rPr>
      </w:pPr>
      <w:r w:rsidRPr="009F1FB4">
        <w:rPr>
          <w:rFonts w:ascii="Times New Roman" w:hAnsi="Times New Roman"/>
          <w:b/>
          <w:bCs/>
          <w:sz w:val="24"/>
          <w:szCs w:val="24"/>
          <w:lang w:val="en-US"/>
        </w:rPr>
        <w:t xml:space="preserve">f. </w:t>
      </w:r>
      <w:bookmarkStart w:id="43" w:name="Xdd3de63c220b231880dda08a53c4736b96fc888"/>
      <w:r w:rsidRPr="009F1FB4">
        <w:rPr>
          <w:rFonts w:ascii="Times New Roman" w:hAnsi="Times New Roman"/>
          <w:b/>
          <w:bCs/>
          <w:sz w:val="24"/>
          <w:szCs w:val="24"/>
          <w:lang w:val="en-US"/>
        </w:rPr>
        <w:t>Stigma and Help-Seeking</w:t>
      </w:r>
    </w:p>
    <w:p w14:paraId="726C3888" w14:textId="77777777" w:rsidR="003F2302" w:rsidRPr="009F1FB4" w:rsidRDefault="00000000">
      <w:pPr>
        <w:spacing w:line="276" w:lineRule="auto"/>
        <w:jc w:val="both"/>
        <w:rPr>
          <w:rFonts w:ascii="Times New Roman" w:hAnsi="Times New Roman"/>
          <w:sz w:val="24"/>
          <w:szCs w:val="24"/>
        </w:rPr>
      </w:pPr>
      <w:bookmarkStart w:id="44" w:name="_Hlk237637324"/>
      <w:r w:rsidRPr="009F1FB4">
        <w:t>Stigma was a major barrier to professional help-seeking, such that seeing a psychiatrist could lead to a person being regarded as insane, and friends might begin to withdraw from associating with that person.</w:t>
      </w:r>
    </w:p>
    <w:p w14:paraId="3CC1A1B5" w14:textId="77777777" w:rsidR="003F2302" w:rsidRPr="009F1FB4" w:rsidRDefault="00000000">
      <w:pPr>
        <w:spacing w:line="276" w:lineRule="auto"/>
        <w:jc w:val="both"/>
        <w:rPr>
          <w:rFonts w:ascii="Times New Roman" w:hAnsi="Times New Roman"/>
          <w:sz w:val="24"/>
          <w:szCs w:val="24"/>
        </w:rPr>
      </w:pPr>
      <w:r w:rsidRPr="009F1FB4">
        <w:t>One participant said: “If people see you going to the psychiatrist, they may start wondering what is wrong with you.”</w:t>
      </w:r>
    </w:p>
    <w:p w14:paraId="6B657099" w14:textId="77777777" w:rsidR="003F2302" w:rsidRPr="009F1FB4" w:rsidRDefault="00000000">
      <w:pPr>
        <w:spacing w:line="276" w:lineRule="auto"/>
        <w:jc w:val="both"/>
        <w:rPr>
          <w:rFonts w:ascii="Times New Roman" w:hAnsi="Times New Roman"/>
          <w:sz w:val="24"/>
          <w:szCs w:val="24"/>
        </w:rPr>
      </w:pPr>
      <w:r w:rsidRPr="009F1FB4">
        <w:t>Some participants were uncomfortable with the perceived professionalism and confidentiality of university counselling services.</w:t>
      </w:r>
    </w:p>
    <w:bookmarkEnd w:id="43"/>
    <w:bookmarkEnd w:id="44"/>
    <w:p w14:paraId="2D9D813D" w14:textId="77777777" w:rsidR="003F2302" w:rsidRPr="009F1FB4" w:rsidRDefault="00000000">
      <w:pPr>
        <w:spacing w:line="276" w:lineRule="auto"/>
        <w:jc w:val="both"/>
        <w:rPr>
          <w:rFonts w:ascii="Times New Roman" w:hAnsi="Times New Roman"/>
          <w:sz w:val="24"/>
          <w:szCs w:val="24"/>
        </w:rPr>
      </w:pPr>
      <w:r w:rsidRPr="009F1FB4">
        <w:lastRenderedPageBreak/>
        <w:t>These findings are consistent with Nigerian research demonstrating mental-health stigma among university health-care students (Pederson et al., 2020).</w:t>
      </w:r>
    </w:p>
    <w:p w14:paraId="0E73CB1E" w14:textId="77777777" w:rsidR="003F2302" w:rsidRPr="009F1FB4" w:rsidRDefault="00000000">
      <w:pPr>
        <w:spacing w:line="276" w:lineRule="auto"/>
        <w:jc w:val="both"/>
        <w:rPr>
          <w:rFonts w:ascii="Times New Roman" w:hAnsi="Times New Roman"/>
          <w:b/>
          <w:bCs/>
          <w:sz w:val="24"/>
          <w:szCs w:val="24"/>
          <w:lang w:val="en-US"/>
        </w:rPr>
      </w:pPr>
      <w:r w:rsidRPr="009F1FB4">
        <w:br w:type="page"/>
      </w:r>
    </w:p>
    <w:p w14:paraId="0B43FC18" w14:textId="77777777" w:rsidR="003F2302" w:rsidRPr="009F1FB4" w:rsidRDefault="00000000">
      <w:pPr>
        <w:spacing w:line="276" w:lineRule="auto"/>
        <w:jc w:val="both"/>
        <w:rPr>
          <w:rFonts w:ascii="Times New Roman" w:hAnsi="Times New Roman"/>
          <w:b/>
          <w:bCs/>
          <w:sz w:val="24"/>
          <w:szCs w:val="24"/>
          <w:lang w:val="en-US"/>
        </w:rPr>
      </w:pPr>
      <w:bookmarkStart w:id="45" w:name="discussion"/>
      <w:r w:rsidRPr="009F1FB4">
        <w:rPr>
          <w:rFonts w:ascii="Times New Roman" w:hAnsi="Times New Roman"/>
          <w:b/>
          <w:bCs/>
          <w:sz w:val="24"/>
          <w:szCs w:val="24"/>
          <w:lang w:val="en-US"/>
        </w:rPr>
        <w:lastRenderedPageBreak/>
        <w:t>Discussion</w:t>
      </w:r>
    </w:p>
    <w:p w14:paraId="4A2ACF0E" w14:textId="77777777" w:rsidR="003F2302" w:rsidRPr="009F1FB4" w:rsidRDefault="00000000">
      <w:pPr>
        <w:jc w:val="both"/>
        <w:rPr>
          <w:rFonts w:ascii="Times New Roman" w:hAnsi="Times New Roman"/>
        </w:rPr>
      </w:pPr>
      <w:r w:rsidRPr="009F1FB4">
        <w:t>This study found that 27.5% of participants screened positive for psychiatric morbidity. The finding suggests that psychological difficulties may be present from the beginning of medical education. This is comparable with the 25% psychiatric-morbidity prevalence reported by Falade et al. (2020) among Nigerian medical students. It is also consistent with Rotenstein et al. (2016), who reported substantial psychological morbidity among medical students in the international literature. Mekonnen et al. (2024) estimated a pooled depression prevalence of 38.8% among African medical students, although the individual studies varied widely. It should be noted that screening instruments, cut-off scores, populations, and timing of assessment differ considerably between studies. The GHQ-12 is a broad measure of psychological distress rather than a depression-specific instrument.</w:t>
      </w:r>
    </w:p>
    <w:p w14:paraId="6756179D" w14:textId="77777777" w:rsidR="003F2302" w:rsidRPr="009F1FB4" w:rsidRDefault="00000000">
      <w:pPr>
        <w:spacing w:line="276" w:lineRule="auto"/>
        <w:jc w:val="both"/>
        <w:rPr>
          <w:rFonts w:ascii="Times New Roman" w:hAnsi="Times New Roman"/>
          <w:sz w:val="24"/>
          <w:szCs w:val="24"/>
        </w:rPr>
      </w:pPr>
      <w:r w:rsidRPr="009F1FB4">
        <w:t>The FGDs and KIIs showed that the transition experience could be psychologically challenging when the reality of lectures and other academic responsibilities became apparent. Participants reiterated that a considerable number of them had sat the university qualifying examinations several times and, after gaining admission, had imagined that all the struggles were over. The shock came from realising that they were not fully in medical school until certain prerequisite courses in the Faculty of Science had been completed, which created another round of pressure.</w:t>
      </w:r>
    </w:p>
    <w:p w14:paraId="6CD4BF78" w14:textId="77777777" w:rsidR="003F2302" w:rsidRPr="009F1FB4" w:rsidRDefault="00000000">
      <w:pPr>
        <w:spacing w:line="276" w:lineRule="auto"/>
        <w:jc w:val="both"/>
        <w:rPr>
          <w:rFonts w:ascii="Times New Roman" w:hAnsi="Times New Roman"/>
          <w:sz w:val="24"/>
          <w:szCs w:val="24"/>
        </w:rPr>
      </w:pPr>
      <w:r w:rsidRPr="009F1FB4">
        <w:t>One participant said: “Getting admission was a dream, but when lectures started and I realized that I was not fully in the medical school then I realized that it’s one pressure after the other”</w:t>
      </w:r>
    </w:p>
    <w:p w14:paraId="38C24BD7" w14:textId="77777777" w:rsidR="003F2302" w:rsidRPr="009F1FB4" w:rsidRDefault="00000000">
      <w:pPr>
        <w:spacing w:line="276" w:lineRule="auto"/>
        <w:jc w:val="both"/>
        <w:rPr>
          <w:rFonts w:ascii="Times New Roman" w:hAnsi="Times New Roman"/>
          <w:sz w:val="24"/>
          <w:szCs w:val="24"/>
        </w:rPr>
      </w:pPr>
      <w:r w:rsidRPr="009F1FB4">
        <w:t>Students described difficulty adapting to the lecture model, the large volume of academic material to be mastered, and poor reading skills.</w:t>
      </w:r>
    </w:p>
    <w:p w14:paraId="10E44AA7" w14:textId="77777777" w:rsidR="003F2302" w:rsidRPr="009F1FB4" w:rsidRDefault="00000000">
      <w:pPr>
        <w:spacing w:line="276" w:lineRule="auto"/>
        <w:jc w:val="both"/>
        <w:rPr>
          <w:rFonts w:ascii="Times New Roman" w:hAnsi="Times New Roman"/>
          <w:sz w:val="24"/>
          <w:szCs w:val="24"/>
        </w:rPr>
      </w:pPr>
      <w:r w:rsidRPr="009F1FB4">
        <w:t>The fear of failure, especially of dropping out of the college, was particularly strong in the first year for fresher medical students; heavy academic workload was the dominant theme. One participant said: “Sometimes it feels as if every lecturer thinks his course is the only course we are doing and for us as medical student fresher who must pass all the courses it poses enormous pressure.”</w:t>
      </w:r>
    </w:p>
    <w:p w14:paraId="2110B074" w14:textId="77777777" w:rsidR="003F2302" w:rsidRPr="009F1FB4" w:rsidRDefault="00000000">
      <w:pPr>
        <w:spacing w:line="276" w:lineRule="auto"/>
        <w:jc w:val="both"/>
        <w:rPr>
          <w:rFonts w:ascii="Times New Roman" w:hAnsi="Times New Roman"/>
          <w:sz w:val="24"/>
          <w:szCs w:val="24"/>
        </w:rPr>
      </w:pPr>
      <w:r w:rsidRPr="009F1FB4">
        <w:t>Another major issue was the significant family expectations associated with students studying medicine as a programme, especially freshers who now had to contend with qualifying for full admission into the college despite already being called ‘doctor’.</w:t>
      </w:r>
    </w:p>
    <w:p w14:paraId="184E0612" w14:textId="77777777" w:rsidR="003F2302" w:rsidRPr="009F1FB4" w:rsidRDefault="00000000">
      <w:pPr>
        <w:spacing w:line="276" w:lineRule="auto"/>
        <w:jc w:val="both"/>
        <w:rPr>
          <w:rFonts w:ascii="Times New Roman" w:hAnsi="Times New Roman"/>
          <w:i/>
          <w:iCs/>
          <w:sz w:val="24"/>
          <w:szCs w:val="24"/>
        </w:rPr>
      </w:pPr>
      <w:r w:rsidRPr="009F1FB4">
        <w:rPr>
          <w:rFonts w:ascii="Times New Roman" w:hAnsi="Times New Roman"/>
          <w:i/>
          <w:iCs/>
          <w:sz w:val="24"/>
          <w:szCs w:val="24"/>
          <w:lang w:val="en-US"/>
        </w:rPr>
        <w:t>“My parents sacrificed a lot for me to study medicine, so failing is not something I feel I can afford to happen and any psychological difficulty will not be entertained.”</w:t>
      </w:r>
    </w:p>
    <w:p w14:paraId="044B8F4C" w14:textId="77777777" w:rsidR="003F2302" w:rsidRPr="009F1FB4" w:rsidRDefault="00000000">
      <w:pPr>
        <w:spacing w:line="276" w:lineRule="auto"/>
        <w:jc w:val="both"/>
      </w:pPr>
      <w:r w:rsidRPr="009F1FB4">
        <w:t>Female, 19 years, hypothetical in-depth interview (IDI).</w:t>
      </w:r>
    </w:p>
    <w:p w14:paraId="61C51745" w14:textId="77777777" w:rsidR="003F2302" w:rsidRPr="009F1FB4" w:rsidRDefault="00000000">
      <w:pPr>
        <w:rPr>
          <w:rFonts w:ascii="Times New Roman" w:hAnsi="Times New Roman"/>
          <w:sz w:val="24"/>
          <w:szCs w:val="24"/>
        </w:rPr>
      </w:pPr>
      <w:r w:rsidRPr="009F1FB4">
        <w:t>It was observed that most participants survived on 10,000–20,000 Naira monthly, while only a few lived on more than 50,000 Naira per month. Isara et al. (2022) identified financial challenges as an independent predictor of depression among undergraduate medical students, while Falade et al. (2020) found an association between dissatisfaction with monthly allowance and psychiatric morbidity. Financial stress deserves greater attention in medical education because it may be relatively invisible to educators. A student who is academically sound, based on the available records, may begin to find it difficult to obtain the basic necessities of life. Such a student may experience psychological distress and even drop out of the college.</w:t>
      </w:r>
    </w:p>
    <w:bookmarkEnd w:id="45"/>
    <w:p w14:paraId="611AA8E7" w14:textId="77777777" w:rsidR="003F2302" w:rsidRPr="009F1FB4" w:rsidRDefault="00000000">
      <w:pPr>
        <w:spacing w:line="276" w:lineRule="auto"/>
        <w:jc w:val="both"/>
        <w:rPr>
          <w:rFonts w:ascii="Times New Roman" w:hAnsi="Times New Roman"/>
          <w:sz w:val="24"/>
          <w:szCs w:val="24"/>
        </w:rPr>
      </w:pPr>
      <w:r w:rsidRPr="009F1FB4">
        <w:lastRenderedPageBreak/>
        <w:t>The majority of the respondents were in the 15–25-year age bracket. None had a previous university degree. This age range encompasses adolescence and young adulthood. Medical students are frequently surrounded by peers but may nevertheless experience emotional isolation. The qualitative findings suggest that peer relationships can function as an important protective factor. Students frequently rely on classmates for emotional reassurance, academic information, and practical assistance.</w:t>
      </w:r>
    </w:p>
    <w:p w14:paraId="56CE82E7" w14:textId="77777777" w:rsidR="003F2302" w:rsidRPr="009F1FB4" w:rsidRDefault="00000000">
      <w:pPr>
        <w:spacing w:line="276" w:lineRule="auto"/>
        <w:jc w:val="both"/>
        <w:rPr>
          <w:rFonts w:ascii="Times New Roman" w:hAnsi="Times New Roman"/>
          <w:sz w:val="24"/>
          <w:szCs w:val="24"/>
        </w:rPr>
      </w:pPr>
      <w:r w:rsidRPr="009F1FB4">
        <w:t>The FGDs and KIIs showed that freshers, many of whom were living away from home for the first time, reported homesickness and loneliness.</w:t>
      </w:r>
    </w:p>
    <w:p w14:paraId="4B80C1B7" w14:textId="77777777" w:rsidR="003F2302" w:rsidRPr="009F1FB4" w:rsidRDefault="00000000">
      <w:pPr>
        <w:spacing w:line="276" w:lineRule="auto"/>
        <w:jc w:val="both"/>
        <w:rPr>
          <w:rFonts w:ascii="Times New Roman" w:hAnsi="Times New Roman"/>
          <w:i/>
          <w:iCs/>
          <w:sz w:val="24"/>
          <w:szCs w:val="24"/>
        </w:rPr>
      </w:pPr>
      <w:r w:rsidRPr="009F1FB4">
        <w:rPr>
          <w:rFonts w:ascii="Times New Roman" w:hAnsi="Times New Roman"/>
          <w:i/>
          <w:iCs/>
          <w:sz w:val="24"/>
          <w:szCs w:val="24"/>
          <w:lang w:val="en-US"/>
        </w:rPr>
        <w:t>“There could be several hundreds of people around you but sometimes you still feel alone because your family members that can connect with you are not within reach.”</w:t>
      </w:r>
    </w:p>
    <w:p w14:paraId="2594759B" w14:textId="77777777" w:rsidR="003F2302" w:rsidRPr="009F1FB4" w:rsidRDefault="00000000">
      <w:pPr>
        <w:spacing w:line="276" w:lineRule="auto"/>
        <w:jc w:val="both"/>
        <w:rPr>
          <w:rFonts w:ascii="Times New Roman" w:hAnsi="Times New Roman"/>
          <w:sz w:val="24"/>
          <w:szCs w:val="24"/>
        </w:rPr>
      </w:pPr>
      <w:r w:rsidRPr="009F1FB4">
        <w:t>Unfortunately, most teenagers are easily influenced by their peers during this period to experiment with psychoactive substances as a means of coping with psychological distress; hence, strong surveillance for distractions must be maintained for this group during this critical period. Only 2 (5%) were married, while only 1 (2.5%) was dating, which shows that members of the cohort studied had not moved into protective interpersonal relationships, as they were mostly teenagers.</w:t>
      </w:r>
    </w:p>
    <w:p w14:paraId="4B7072E8" w14:textId="77777777" w:rsidR="003F2302" w:rsidRPr="009F1FB4" w:rsidRDefault="00000000">
      <w:pPr>
        <w:spacing w:line="276" w:lineRule="auto"/>
        <w:jc w:val="both"/>
        <w:rPr>
          <w:rFonts w:ascii="Times New Roman" w:hAnsi="Times New Roman"/>
          <w:sz w:val="24"/>
          <w:szCs w:val="24"/>
        </w:rPr>
      </w:pPr>
      <w:r w:rsidRPr="009F1FB4">
        <w:t>The prevalence and correlation between sociodemographic characteristics and psychiatric morbidity in the study population showed an association with religion. This is noteworthy because both Islam and Christianity include activities that should protect the mental health of their adherents. There was an association with higher scores among Muslim participants, which may signal a need for more intentional counselling, support, and mentorship for this cohort in the medical college by finding practical connections between mental health and spirituality in the Muslim community.</w:t>
      </w:r>
    </w:p>
    <w:p w14:paraId="33F4FF94" w14:textId="77777777" w:rsidR="003F2302" w:rsidRPr="009F1FB4" w:rsidRDefault="00000000">
      <w:pPr>
        <w:spacing w:line="276" w:lineRule="auto"/>
        <w:jc w:val="both"/>
        <w:rPr>
          <w:rFonts w:ascii="Times New Roman" w:hAnsi="Times New Roman"/>
          <w:sz w:val="24"/>
          <w:szCs w:val="24"/>
        </w:rPr>
      </w:pPr>
      <w:r w:rsidRPr="009F1FB4">
        <w:t>The FGDs and KIIs explored whether any participants would seek help for psychological distress, and the majority argued that psychological distress is not the same as mental illness. They also felt that people have negative attitudes towards those who seek help from psychiatrists; hence, they were unsure whether they would see a psychiatrist. Participants also felt that the university counselling support services were not sufficiently professional because they were uncertain about confidentiality.</w:t>
      </w:r>
    </w:p>
    <w:p w14:paraId="58FDADAD" w14:textId="77777777" w:rsidR="003F2302" w:rsidRPr="009F1FB4" w:rsidRDefault="00000000">
      <w:pPr>
        <w:spacing w:line="276" w:lineRule="auto"/>
        <w:jc w:val="both"/>
        <w:rPr>
          <w:rFonts w:ascii="Times New Roman" w:hAnsi="Times New Roman"/>
          <w:i/>
          <w:iCs/>
          <w:sz w:val="24"/>
          <w:szCs w:val="24"/>
        </w:rPr>
      </w:pPr>
      <w:r w:rsidRPr="009F1FB4">
        <w:rPr>
          <w:rFonts w:ascii="Times New Roman" w:hAnsi="Times New Roman"/>
          <w:i/>
          <w:iCs/>
          <w:sz w:val="24"/>
          <w:szCs w:val="24"/>
          <w:lang w:val="en-US"/>
        </w:rPr>
        <w:t>“If people see you going to the psychiatrist, they may start withdrawing from you and relating to you from afar.”</w:t>
      </w:r>
    </w:p>
    <w:p w14:paraId="16FCA8AE" w14:textId="77777777" w:rsidR="003F2302" w:rsidRPr="009F1FB4" w:rsidRDefault="00000000">
      <w:pPr>
        <w:jc w:val="both"/>
        <w:rPr>
          <w:rFonts w:ascii="Times New Roman" w:hAnsi="Times New Roman"/>
          <w:sz w:val="24"/>
          <w:szCs w:val="24"/>
        </w:rPr>
      </w:pPr>
      <w:bookmarkStart w:id="46" w:name="qualitative-findings"/>
      <w:bookmarkEnd w:id="46"/>
      <w:r w:rsidRPr="009F1FB4">
        <w:t>These findings are consistent with a report demonstrating mental-health stigma among university health-care students (Pederson et al., 2020). One of the most important findings was reluctance to seek professional help. This is also consistent with a report by Ayinde et al. (2022), in which fewer than 5% of medical students experiencing mental-health problems had received help. Pederson et al. (2020) similarly identified stigma as an important issue among Nigerian university health-care students. The paradox is particularly important: medical students are being trained to recognise mental illness in patients while potentially experiencing stigma regarding their own mental-health needs. Mental-health programmes should therefore not merely make services available. They must actively create a culture in which help-seeking is regarded as a sign of responsible self-care rather than weakness.</w:t>
      </w:r>
    </w:p>
    <w:p w14:paraId="75DFE516" w14:textId="77777777" w:rsidR="003F2302" w:rsidRPr="009F1FB4" w:rsidRDefault="00000000">
      <w:pPr>
        <w:spacing w:line="276" w:lineRule="auto"/>
        <w:jc w:val="both"/>
        <w:rPr>
          <w:rFonts w:ascii="Times New Roman" w:hAnsi="Times New Roman"/>
          <w:sz w:val="24"/>
          <w:szCs w:val="24"/>
        </w:rPr>
      </w:pPr>
      <w:bookmarkStart w:id="47" w:name="longitudinal-research"/>
      <w:bookmarkEnd w:id="47"/>
      <w:r w:rsidRPr="009F1FB4">
        <w:rPr>
          <w:rFonts w:ascii="Times New Roman" w:hAnsi="Times New Roman"/>
          <w:b/>
          <w:bCs/>
          <w:sz w:val="24"/>
          <w:szCs w:val="24"/>
          <w:lang w:val="en-US"/>
        </w:rPr>
        <w:lastRenderedPageBreak/>
        <w:t>Conclusion</w:t>
      </w:r>
    </w:p>
    <w:p w14:paraId="296480F1" w14:textId="370945BE" w:rsidR="003F2302" w:rsidRPr="009F1FB4" w:rsidRDefault="009F1FB4">
      <w:pPr>
        <w:spacing w:line="276" w:lineRule="auto"/>
        <w:jc w:val="both"/>
        <w:rPr>
          <w:rFonts w:ascii="Times New Roman" w:hAnsi="Times New Roman"/>
          <w:sz w:val="24"/>
          <w:szCs w:val="24"/>
          <w:shd w:val="clear" w:color="auto" w:fill="FFFF00"/>
          <w:lang w:val="en-US"/>
        </w:rPr>
      </w:pPr>
      <w:r w:rsidRPr="009F1FB4">
        <w:t>This mixed-methods study identified possible psychiatric morbidity among more than one-quarter of the participating first-year medical students in a Nigerian public medical school. The qualitative findings indicate that the transition into medical training was accompanied by academic workload, fear of failure, family expectations, homesickness, social adjustment, financial concerns, and uncertainty about seeking professional mental-health support. Participants also described peer relationships, family support, spirituality, and structured study practices as important coping resources. These findings suggest that student mental health should be considered from the beginning of medical training rather than only after difficulties become severe. Institutional responses should therefore emphasise early identification, accessible and confidential support, appropriate counselling, and a learning environment that reduces barriers to help-seeking. Because the study involved a small, single-centre sample and used a screening measure rather than a diagnostic assessment, the findings should be interpreted cautiously. Larger multicentre studies across different regions are needed to assess the consistency and broader applicability of these observations.</w:t>
      </w:r>
    </w:p>
    <w:p w14:paraId="0FB37273" w14:textId="77777777" w:rsidR="004F6F62" w:rsidRPr="009F1FB4" w:rsidRDefault="004F6F62">
      <w:pPr>
        <w:spacing w:line="276" w:lineRule="auto"/>
        <w:jc w:val="both"/>
        <w:rPr>
          <w:rFonts w:ascii="Times New Roman" w:hAnsi="Times New Roman"/>
          <w:sz w:val="24"/>
          <w:szCs w:val="24"/>
          <w:shd w:val="clear" w:color="auto" w:fill="FFFF00"/>
          <w:lang w:val="en-US"/>
        </w:rPr>
      </w:pPr>
    </w:p>
    <w:p w14:paraId="723A5188" w14:textId="77777777" w:rsidR="004F6F62" w:rsidRPr="009F1FB4" w:rsidRDefault="004F6F62" w:rsidP="004F6F62">
      <w:pPr>
        <w:suppressAutoHyphens w:val="0"/>
        <w:spacing w:after="200" w:line="276" w:lineRule="auto"/>
        <w:rPr>
          <w:rFonts w:ascii="Calibri" w:eastAsia="Calibri" w:hAnsi="Calibri" w:cs="Times New Roman"/>
          <w:b/>
          <w:lang w:val="en-US"/>
        </w:rPr>
      </w:pPr>
      <w:r w:rsidRPr="009F1FB4">
        <w:rPr>
          <w:rFonts w:ascii="Calibri" w:eastAsia="Calibri" w:hAnsi="Calibri" w:cs="Times New Roman"/>
          <w:b/>
          <w:lang w:val="en-US"/>
        </w:rPr>
        <w:t xml:space="preserve">Consent </w:t>
      </w:r>
    </w:p>
    <w:p w14:paraId="4256D19B" w14:textId="77777777" w:rsidR="004F6F62" w:rsidRPr="009F1FB4" w:rsidRDefault="004F6F62" w:rsidP="004F6F62">
      <w:pPr>
        <w:suppressAutoHyphens w:val="0"/>
        <w:spacing w:after="200" w:line="276" w:lineRule="auto"/>
        <w:rPr>
          <w:rFonts w:ascii="Calibri" w:eastAsia="Calibri" w:hAnsi="Calibri" w:cs="Times New Roman"/>
          <w:lang w:val="en-US"/>
        </w:rPr>
      </w:pPr>
      <w:r w:rsidRPr="009F1FB4">
        <w:rPr>
          <w:rFonts w:ascii="Calibri" w:eastAsia="Calibri" w:hAnsi="Calibri" w:cs="Times New Roman"/>
          <w:lang w:val="en-US"/>
        </w:rPr>
        <w:t>As per international standards or university standards, Participants’ written consent has been collected and preserved by the author(s).</w:t>
      </w:r>
    </w:p>
    <w:p w14:paraId="17B40340" w14:textId="77777777" w:rsidR="004F6F62" w:rsidRPr="009F1FB4" w:rsidRDefault="004F6F62">
      <w:pPr>
        <w:spacing w:line="276" w:lineRule="auto"/>
        <w:jc w:val="both"/>
        <w:rPr>
          <w:shd w:val="clear" w:color="auto" w:fill="FFFF00"/>
        </w:rPr>
      </w:pPr>
    </w:p>
    <w:p w14:paraId="6FED5CDA" w14:textId="77777777" w:rsidR="003F2302" w:rsidRPr="009F1FB4" w:rsidRDefault="00000000">
      <w:pPr>
        <w:spacing w:line="276" w:lineRule="auto"/>
        <w:jc w:val="both"/>
        <w:rPr>
          <w:rFonts w:ascii="Times New Roman" w:hAnsi="Times New Roman"/>
          <w:b/>
          <w:bCs/>
          <w:sz w:val="24"/>
          <w:szCs w:val="24"/>
          <w:lang w:val="en-US"/>
        </w:rPr>
      </w:pPr>
      <w:r w:rsidRPr="009F1FB4">
        <w:rPr>
          <w:rFonts w:ascii="Times New Roman" w:hAnsi="Times New Roman"/>
          <w:b/>
          <w:bCs/>
          <w:sz w:val="24"/>
          <w:szCs w:val="24"/>
          <w:lang w:val="en-US"/>
        </w:rPr>
        <w:t>Study Limitation</w:t>
      </w:r>
    </w:p>
    <w:p w14:paraId="001016A7" w14:textId="77777777" w:rsidR="003F2302" w:rsidRPr="009F1FB4" w:rsidRDefault="00000000">
      <w:pPr>
        <w:spacing w:line="276" w:lineRule="auto"/>
        <w:jc w:val="both"/>
        <w:rPr>
          <w:rFonts w:ascii="Times New Roman" w:hAnsi="Times New Roman"/>
          <w:sz w:val="24"/>
          <w:szCs w:val="24"/>
          <w:lang w:val="en-US"/>
        </w:rPr>
      </w:pPr>
      <w:r w:rsidRPr="009F1FB4">
        <w:t>The mixed-methods design, with its focus on fresher students and the use of screening instruments, was a strength of the study. However, the relatively small sample size and single-centre design require further corroborative research involving larger populations and multicentre, multiregional approaches to strengthen the generalisability of these findings.</w:t>
      </w:r>
    </w:p>
    <w:p w14:paraId="0441B719" w14:textId="77777777" w:rsidR="003F2302" w:rsidRPr="009F1FB4" w:rsidRDefault="003F2302">
      <w:pPr>
        <w:spacing w:line="276" w:lineRule="auto"/>
        <w:jc w:val="both"/>
        <w:rPr>
          <w:lang w:val="en-US"/>
        </w:rPr>
      </w:pPr>
      <w:bookmarkStart w:id="48" w:name="references"/>
    </w:p>
    <w:p w14:paraId="6819F6EC" w14:textId="77777777" w:rsidR="003F2302" w:rsidRPr="009F1FB4" w:rsidRDefault="00000000">
      <w:pPr>
        <w:spacing w:after="0" w:line="240" w:lineRule="auto"/>
        <w:jc w:val="both"/>
        <w:rPr>
          <w:shd w:val="clear" w:color="auto" w:fill="FFFF00"/>
        </w:rPr>
      </w:pPr>
      <w:r w:rsidRPr="009F1FB4">
        <w:rPr>
          <w:rFonts w:ascii="Times New Roman" w:hAnsi="Times New Roman" w:cs="Times New Roman"/>
          <w:b/>
          <w:shd w:val="clear" w:color="auto" w:fill="FFFF00"/>
        </w:rPr>
        <w:t>Declaration of AI Use</w:t>
      </w:r>
    </w:p>
    <w:p w14:paraId="4722B61C" w14:textId="77777777" w:rsidR="003F2302" w:rsidRPr="009F1FB4" w:rsidRDefault="003F2302">
      <w:pPr>
        <w:spacing w:after="0" w:line="240" w:lineRule="auto"/>
        <w:jc w:val="both"/>
        <w:rPr>
          <w:rFonts w:ascii="Times New Roman" w:hAnsi="Times New Roman" w:cs="Times New Roman"/>
          <w:b/>
          <w:shd w:val="clear" w:color="auto" w:fill="FFFF00"/>
        </w:rPr>
      </w:pPr>
    </w:p>
    <w:p w14:paraId="19B139E6" w14:textId="77777777" w:rsidR="003F2302" w:rsidRPr="009F1FB4" w:rsidRDefault="00000000" w:rsidP="009F1FB4">
      <w:pPr>
        <w:shd w:val="clear" w:color="auto" w:fill="FFFFFF" w:themeFill="background1"/>
        <w:spacing w:after="0" w:line="240" w:lineRule="auto"/>
        <w:jc w:val="both"/>
        <w:rPr>
          <w:shd w:val="clear" w:color="auto" w:fill="FFFF00"/>
        </w:rPr>
      </w:pPr>
      <w:r w:rsidRPr="009F1FB4">
        <w:rPr>
          <w:rFonts w:ascii="Arial" w:hAnsi="Arial" w:cs="Arial"/>
          <w:sz w:val="20"/>
          <w:szCs w:val="20"/>
          <w:shd w:val="clear" w:color="auto" w:fill="FFFF00"/>
        </w:rPr>
        <w:t>This manuscript was prepared through the intellectual contributions of the author(s) to the study design, data analysis, interpretation of results, and scholarly content. The author(s) accept full responsibility for the accuracy, integrity, and final content of the manuscript.</w:t>
      </w:r>
    </w:p>
    <w:p w14:paraId="3F06EB58" w14:textId="77777777" w:rsidR="003F2302" w:rsidRPr="009F1FB4" w:rsidRDefault="003F2302">
      <w:pPr>
        <w:spacing w:line="276" w:lineRule="auto"/>
        <w:jc w:val="both"/>
        <w:rPr>
          <w:lang w:val="en-US"/>
        </w:rPr>
      </w:pPr>
    </w:p>
    <w:p w14:paraId="077F710E" w14:textId="77777777" w:rsidR="003F2302" w:rsidRPr="009F1FB4" w:rsidRDefault="003F2302">
      <w:pPr>
        <w:spacing w:line="276" w:lineRule="auto"/>
        <w:jc w:val="both"/>
        <w:rPr>
          <w:rFonts w:ascii="Times New Roman" w:hAnsi="Times New Roman"/>
          <w:sz w:val="24"/>
          <w:szCs w:val="24"/>
          <w:lang w:val="en-US"/>
        </w:rPr>
      </w:pPr>
    </w:p>
    <w:p w14:paraId="3F20D0A5" w14:textId="77777777" w:rsidR="003F2302" w:rsidRPr="009F1FB4" w:rsidRDefault="003F2302">
      <w:pPr>
        <w:spacing w:line="276" w:lineRule="auto"/>
        <w:jc w:val="both"/>
        <w:rPr>
          <w:rFonts w:ascii="Times New Roman" w:hAnsi="Times New Roman"/>
          <w:sz w:val="24"/>
          <w:szCs w:val="24"/>
          <w:lang w:val="en-US"/>
        </w:rPr>
      </w:pPr>
    </w:p>
    <w:p w14:paraId="68F12A5F" w14:textId="77777777" w:rsidR="003F2302" w:rsidRPr="009F1FB4" w:rsidRDefault="003F2302">
      <w:pPr>
        <w:spacing w:line="276" w:lineRule="auto"/>
        <w:jc w:val="both"/>
        <w:rPr>
          <w:rFonts w:ascii="Times New Roman" w:hAnsi="Times New Roman"/>
          <w:sz w:val="24"/>
          <w:szCs w:val="24"/>
          <w:lang w:val="en-US"/>
        </w:rPr>
      </w:pPr>
    </w:p>
    <w:p w14:paraId="06F375F4" w14:textId="77777777" w:rsidR="003F2302" w:rsidRPr="009F1FB4" w:rsidRDefault="003F2302">
      <w:pPr>
        <w:spacing w:line="276" w:lineRule="auto"/>
        <w:jc w:val="both"/>
        <w:rPr>
          <w:rFonts w:ascii="Times New Roman" w:hAnsi="Times New Roman"/>
          <w:sz w:val="24"/>
          <w:szCs w:val="24"/>
          <w:lang w:val="en-US"/>
        </w:rPr>
      </w:pPr>
    </w:p>
    <w:bookmarkEnd w:id="48"/>
    <w:p w14:paraId="4500B349" w14:textId="77777777" w:rsidR="003F2302" w:rsidRPr="009F1FB4" w:rsidRDefault="003F2302">
      <w:pPr>
        <w:spacing w:line="276" w:lineRule="auto"/>
        <w:jc w:val="both"/>
        <w:rPr>
          <w:rFonts w:ascii="Times New Roman" w:hAnsi="Times New Roman"/>
          <w:sz w:val="24"/>
          <w:szCs w:val="24"/>
          <w:lang w:val="en-US"/>
        </w:rPr>
      </w:pPr>
    </w:p>
    <w:p w14:paraId="46EAC05A" w14:textId="77777777" w:rsidR="003F2302" w:rsidRPr="009F1FB4" w:rsidRDefault="003F2302">
      <w:pPr>
        <w:spacing w:line="276" w:lineRule="auto"/>
        <w:jc w:val="both"/>
        <w:rPr>
          <w:rFonts w:ascii="Times New Roman" w:hAnsi="Times New Roman"/>
          <w:sz w:val="24"/>
          <w:szCs w:val="24"/>
          <w:lang w:val="en-US"/>
        </w:rPr>
      </w:pPr>
    </w:p>
    <w:p w14:paraId="36E20574" w14:textId="77777777" w:rsidR="003F2302" w:rsidRPr="009F1FB4" w:rsidRDefault="003F2302">
      <w:pPr>
        <w:spacing w:line="276" w:lineRule="auto"/>
        <w:jc w:val="both"/>
        <w:rPr>
          <w:rFonts w:ascii="Times New Roman" w:hAnsi="Times New Roman"/>
          <w:sz w:val="24"/>
          <w:szCs w:val="24"/>
        </w:rPr>
      </w:pPr>
    </w:p>
    <w:p w14:paraId="17F7F4EE" w14:textId="77777777" w:rsidR="003F2302" w:rsidRPr="009F1FB4" w:rsidRDefault="003F2302">
      <w:pPr>
        <w:spacing w:line="276" w:lineRule="auto"/>
        <w:jc w:val="both"/>
        <w:rPr>
          <w:rFonts w:ascii="Times New Roman" w:hAnsi="Times New Roman"/>
          <w:sz w:val="24"/>
          <w:szCs w:val="24"/>
        </w:rPr>
      </w:pPr>
    </w:p>
    <w:p w14:paraId="1E7C145F" w14:textId="77777777" w:rsidR="003F2302" w:rsidRPr="009F1FB4" w:rsidRDefault="00000000">
      <w:pPr>
        <w:spacing w:line="276" w:lineRule="auto"/>
        <w:jc w:val="both"/>
        <w:rPr>
          <w:rFonts w:ascii="Times New Roman" w:eastAsia="Calibri" w:hAnsi="Times New Roman" w:cs="Times New Roman"/>
          <w:b/>
          <w:bCs/>
          <w:sz w:val="24"/>
          <w:szCs w:val="24"/>
        </w:rPr>
      </w:pPr>
      <w:r w:rsidRPr="009F1FB4">
        <w:rPr>
          <w:rFonts w:ascii="Times New Roman" w:eastAsia="Calibri" w:hAnsi="Times New Roman" w:cs="Times New Roman"/>
          <w:b/>
          <w:bCs/>
          <w:sz w:val="24"/>
          <w:szCs w:val="24"/>
          <w:lang w:val="en-US"/>
        </w:rPr>
        <w:t>Reference</w:t>
      </w:r>
    </w:p>
    <w:p w14:paraId="1926460C" w14:textId="77777777" w:rsidR="003F2302" w:rsidRPr="009F1FB4" w:rsidRDefault="003F2302">
      <w:pPr>
        <w:sectPr w:rsidR="003F2302" w:rsidRPr="009F1FB4">
          <w:headerReference w:type="even" r:id="rId7"/>
          <w:headerReference w:type="default" r:id="rId8"/>
          <w:footerReference w:type="even" r:id="rId9"/>
          <w:footerReference w:type="default" r:id="rId10"/>
          <w:headerReference w:type="first" r:id="rId11"/>
          <w:footerReference w:type="first" r:id="rId12"/>
          <w:pgSz w:w="11906" w:h="16838"/>
          <w:pgMar w:top="1440" w:right="1440" w:bottom="2172" w:left="1440" w:header="0" w:footer="1440" w:gutter="0"/>
          <w:cols w:space="720"/>
          <w:formProt w:val="0"/>
          <w:docGrid w:linePitch="360"/>
        </w:sectPr>
      </w:pPr>
    </w:p>
    <w:p w14:paraId="6C5A0369" w14:textId="77777777" w:rsidR="000F69F7" w:rsidRPr="009F1FB4" w:rsidRDefault="000F69F7" w:rsidP="000F69F7">
      <w:pPr>
        <w:suppressAutoHyphens w:val="0"/>
        <w:spacing w:after="0" w:line="240" w:lineRule="auto"/>
        <w:ind w:left="540" w:hanging="540"/>
        <w:jc w:val="both"/>
        <w:rPr>
          <w:rFonts w:ascii="Times New Roman" w:eastAsia="Times New Roman" w:hAnsi="Times New Roman" w:cs="Times New Roman"/>
          <w:sz w:val="24"/>
          <w:szCs w:val="24"/>
          <w:lang w:val="en-US"/>
        </w:rPr>
      </w:pPr>
      <w:r w:rsidRPr="009F1FB4">
        <w:rPr>
          <w:rFonts w:ascii="Times New Roman" w:eastAsia="Times New Roman" w:hAnsi="Times New Roman" w:cs="Times New Roman"/>
          <w:sz w:val="24"/>
          <w:szCs w:val="24"/>
          <w:lang w:val="en-US"/>
        </w:rPr>
        <w:t xml:space="preserve">World Health Organization. (2022). </w:t>
      </w:r>
      <w:r w:rsidRPr="009F1FB4">
        <w:rPr>
          <w:rFonts w:ascii="Times New Roman" w:eastAsia="Times New Roman" w:hAnsi="Times New Roman" w:cs="Times New Roman"/>
          <w:i/>
          <w:iCs/>
          <w:sz w:val="24"/>
          <w:szCs w:val="24"/>
          <w:lang w:val="en-US"/>
        </w:rPr>
        <w:t>World mental health report: Transforming mental health for all</w:t>
      </w:r>
      <w:r w:rsidRPr="009F1FB4">
        <w:rPr>
          <w:rFonts w:ascii="Times New Roman" w:eastAsia="Times New Roman" w:hAnsi="Times New Roman" w:cs="Times New Roman"/>
          <w:sz w:val="24"/>
          <w:szCs w:val="24"/>
          <w:lang w:val="en-US"/>
        </w:rPr>
        <w:t xml:space="preserve">. </w:t>
      </w:r>
      <w:hyperlink r:id="rId13" w:tgtFrame="_blank" w:history="1">
        <w:r w:rsidRPr="009F1FB4">
          <w:rPr>
            <w:rFonts w:ascii="Times New Roman" w:eastAsia="Times New Roman" w:hAnsi="Times New Roman" w:cs="Times New Roman"/>
            <w:color w:val="0000FF"/>
            <w:sz w:val="24"/>
            <w:szCs w:val="24"/>
            <w:u w:val="single"/>
            <w:lang w:val="en-US"/>
          </w:rPr>
          <w:t>https://www.who.int/publications/i/item/9789240049338</w:t>
        </w:r>
      </w:hyperlink>
      <w:r w:rsidRPr="009F1FB4">
        <w:rPr>
          <w:rFonts w:ascii="Times New Roman" w:eastAsia="Times New Roman" w:hAnsi="Times New Roman" w:cs="Times New Roman"/>
          <w:sz w:val="24"/>
          <w:szCs w:val="24"/>
          <w:lang w:val="en-US"/>
        </w:rPr>
        <w:t xml:space="preserve"> </w:t>
      </w:r>
    </w:p>
    <w:p w14:paraId="5441D72B" w14:textId="77777777" w:rsidR="000F69F7" w:rsidRPr="009F1FB4" w:rsidRDefault="000F69F7" w:rsidP="000F69F7">
      <w:pPr>
        <w:suppressAutoHyphens w:val="0"/>
        <w:spacing w:after="0" w:line="240" w:lineRule="auto"/>
        <w:ind w:left="540" w:hanging="540"/>
        <w:jc w:val="both"/>
        <w:rPr>
          <w:rFonts w:ascii="Times New Roman" w:eastAsia="Times New Roman" w:hAnsi="Times New Roman" w:cs="Times New Roman"/>
          <w:sz w:val="24"/>
          <w:szCs w:val="24"/>
          <w:lang w:val="en-US"/>
        </w:rPr>
      </w:pPr>
      <w:r w:rsidRPr="009F1FB4">
        <w:rPr>
          <w:rFonts w:ascii="Times New Roman" w:eastAsia="Times New Roman" w:hAnsi="Times New Roman" w:cs="Times New Roman"/>
          <w:sz w:val="24"/>
          <w:szCs w:val="24"/>
          <w:lang w:val="en-US"/>
        </w:rPr>
        <w:t xml:space="preserve">Bergmann, C., Muth, T., &amp; </w:t>
      </w:r>
      <w:proofErr w:type="spellStart"/>
      <w:r w:rsidRPr="009F1FB4">
        <w:rPr>
          <w:rFonts w:ascii="Times New Roman" w:eastAsia="Times New Roman" w:hAnsi="Times New Roman" w:cs="Times New Roman"/>
          <w:sz w:val="24"/>
          <w:szCs w:val="24"/>
          <w:lang w:val="en-US"/>
        </w:rPr>
        <w:t>Loerbroks</w:t>
      </w:r>
      <w:proofErr w:type="spellEnd"/>
      <w:r w:rsidRPr="009F1FB4">
        <w:rPr>
          <w:rFonts w:ascii="Times New Roman" w:eastAsia="Times New Roman" w:hAnsi="Times New Roman" w:cs="Times New Roman"/>
          <w:sz w:val="24"/>
          <w:szCs w:val="24"/>
          <w:lang w:val="en-US"/>
        </w:rPr>
        <w:t xml:space="preserve">, A. (2019). Medical students’ perceptions of stress due to academic studies and its interrelationships with other domains of life: A qualitative study. </w:t>
      </w:r>
      <w:r w:rsidRPr="009F1FB4">
        <w:rPr>
          <w:rFonts w:ascii="Times New Roman" w:eastAsia="Times New Roman" w:hAnsi="Times New Roman" w:cs="Times New Roman"/>
          <w:i/>
          <w:iCs/>
          <w:sz w:val="24"/>
          <w:szCs w:val="24"/>
          <w:lang w:val="en-US"/>
        </w:rPr>
        <w:t>Medical Education Online, 24</w:t>
      </w:r>
      <w:r w:rsidRPr="009F1FB4">
        <w:rPr>
          <w:rFonts w:ascii="Times New Roman" w:eastAsia="Times New Roman" w:hAnsi="Times New Roman" w:cs="Times New Roman"/>
          <w:sz w:val="24"/>
          <w:szCs w:val="24"/>
          <w:lang w:val="en-US"/>
        </w:rPr>
        <w:t xml:space="preserve">(1), 1603526. </w:t>
      </w:r>
      <w:hyperlink r:id="rId14" w:tgtFrame="_blank" w:history="1">
        <w:r w:rsidRPr="009F1FB4">
          <w:rPr>
            <w:rFonts w:ascii="Times New Roman" w:eastAsia="Times New Roman" w:hAnsi="Times New Roman" w:cs="Times New Roman"/>
            <w:color w:val="0000FF"/>
            <w:sz w:val="24"/>
            <w:szCs w:val="24"/>
            <w:u w:val="single"/>
            <w:lang w:val="en-US"/>
          </w:rPr>
          <w:t>https://doi.org/10.1080/10872981.2019.1603526</w:t>
        </w:r>
      </w:hyperlink>
      <w:r w:rsidRPr="009F1FB4">
        <w:rPr>
          <w:rFonts w:ascii="Times New Roman" w:eastAsia="Times New Roman" w:hAnsi="Times New Roman" w:cs="Times New Roman"/>
          <w:sz w:val="24"/>
          <w:szCs w:val="24"/>
          <w:lang w:val="en-US"/>
        </w:rPr>
        <w:t xml:space="preserve"> </w:t>
      </w:r>
    </w:p>
    <w:p w14:paraId="7CE8688E" w14:textId="77777777" w:rsidR="000F69F7" w:rsidRPr="009F1FB4" w:rsidRDefault="000F69F7" w:rsidP="000F69F7">
      <w:pPr>
        <w:suppressAutoHyphens w:val="0"/>
        <w:spacing w:after="0" w:line="240" w:lineRule="auto"/>
        <w:ind w:left="540" w:hanging="540"/>
        <w:jc w:val="both"/>
        <w:rPr>
          <w:rFonts w:ascii="Times New Roman" w:eastAsia="Times New Roman" w:hAnsi="Times New Roman" w:cs="Times New Roman"/>
          <w:sz w:val="24"/>
          <w:szCs w:val="24"/>
          <w:lang w:val="en-US"/>
        </w:rPr>
      </w:pPr>
      <w:r w:rsidRPr="009F1FB4">
        <w:rPr>
          <w:rFonts w:ascii="Times New Roman" w:eastAsia="Times New Roman" w:hAnsi="Times New Roman" w:cs="Times New Roman"/>
          <w:sz w:val="24"/>
          <w:szCs w:val="24"/>
          <w:lang w:val="en-US"/>
        </w:rPr>
        <w:t xml:space="preserve">Oladele, O. T., Suleiman, B. A., Oyewole, A. O., </w:t>
      </w:r>
      <w:proofErr w:type="spellStart"/>
      <w:r w:rsidRPr="009F1FB4">
        <w:rPr>
          <w:rFonts w:ascii="Times New Roman" w:eastAsia="Times New Roman" w:hAnsi="Times New Roman" w:cs="Times New Roman"/>
          <w:sz w:val="24"/>
          <w:szCs w:val="24"/>
          <w:lang w:val="en-US"/>
        </w:rPr>
        <w:t>Opadola</w:t>
      </w:r>
      <w:proofErr w:type="spellEnd"/>
      <w:r w:rsidRPr="009F1FB4">
        <w:rPr>
          <w:rFonts w:ascii="Times New Roman" w:eastAsia="Times New Roman" w:hAnsi="Times New Roman" w:cs="Times New Roman"/>
          <w:sz w:val="24"/>
          <w:szCs w:val="24"/>
          <w:lang w:val="en-US"/>
        </w:rPr>
        <w:t xml:space="preserve">, O. A., </w:t>
      </w:r>
      <w:proofErr w:type="spellStart"/>
      <w:r w:rsidRPr="009F1FB4">
        <w:rPr>
          <w:rFonts w:ascii="Times New Roman" w:eastAsia="Times New Roman" w:hAnsi="Times New Roman" w:cs="Times New Roman"/>
          <w:sz w:val="24"/>
          <w:szCs w:val="24"/>
          <w:lang w:val="en-US"/>
        </w:rPr>
        <w:t>Oladibu</w:t>
      </w:r>
      <w:proofErr w:type="spellEnd"/>
      <w:r w:rsidRPr="009F1FB4">
        <w:rPr>
          <w:rFonts w:ascii="Times New Roman" w:eastAsia="Times New Roman" w:hAnsi="Times New Roman" w:cs="Times New Roman"/>
          <w:sz w:val="24"/>
          <w:szCs w:val="24"/>
          <w:lang w:val="en-US"/>
        </w:rPr>
        <w:t xml:space="preserve">, O. T., Oloyede, T. W., </w:t>
      </w:r>
      <w:proofErr w:type="spellStart"/>
      <w:r w:rsidRPr="009F1FB4">
        <w:rPr>
          <w:rFonts w:ascii="Times New Roman" w:eastAsia="Times New Roman" w:hAnsi="Times New Roman" w:cs="Times New Roman"/>
          <w:sz w:val="24"/>
          <w:szCs w:val="24"/>
          <w:lang w:val="en-US"/>
        </w:rPr>
        <w:t>Ojedokun</w:t>
      </w:r>
      <w:proofErr w:type="spellEnd"/>
      <w:r w:rsidRPr="009F1FB4">
        <w:rPr>
          <w:rFonts w:ascii="Times New Roman" w:eastAsia="Times New Roman" w:hAnsi="Times New Roman" w:cs="Times New Roman"/>
          <w:sz w:val="24"/>
          <w:szCs w:val="24"/>
          <w:lang w:val="en-US"/>
        </w:rPr>
        <w:t xml:space="preserve">, S. A., &amp; </w:t>
      </w:r>
      <w:proofErr w:type="spellStart"/>
      <w:r w:rsidRPr="009F1FB4">
        <w:rPr>
          <w:rFonts w:ascii="Times New Roman" w:eastAsia="Times New Roman" w:hAnsi="Times New Roman" w:cs="Times New Roman"/>
          <w:sz w:val="24"/>
          <w:szCs w:val="24"/>
          <w:lang w:val="en-US"/>
        </w:rPr>
        <w:t>Alatishe</w:t>
      </w:r>
      <w:proofErr w:type="spellEnd"/>
      <w:r w:rsidRPr="009F1FB4">
        <w:rPr>
          <w:rFonts w:ascii="Times New Roman" w:eastAsia="Times New Roman" w:hAnsi="Times New Roman" w:cs="Times New Roman"/>
          <w:sz w:val="24"/>
          <w:szCs w:val="24"/>
          <w:lang w:val="en-US"/>
        </w:rPr>
        <w:t xml:space="preserve">, T. A. (2022). Depression and personality traits among undergraduates in a Southwest Nigerian institution. </w:t>
      </w:r>
      <w:r w:rsidRPr="009F1FB4">
        <w:rPr>
          <w:rFonts w:ascii="Times New Roman" w:eastAsia="Times New Roman" w:hAnsi="Times New Roman" w:cs="Times New Roman"/>
          <w:i/>
          <w:iCs/>
          <w:sz w:val="24"/>
          <w:szCs w:val="24"/>
          <w:lang w:val="en-US"/>
        </w:rPr>
        <w:t>Western Nigeria Journal of Medical Sciences, 5</w:t>
      </w:r>
      <w:r w:rsidRPr="009F1FB4">
        <w:rPr>
          <w:rFonts w:ascii="Times New Roman" w:eastAsia="Times New Roman" w:hAnsi="Times New Roman" w:cs="Times New Roman"/>
          <w:sz w:val="24"/>
          <w:szCs w:val="24"/>
          <w:lang w:val="en-US"/>
        </w:rPr>
        <w:t xml:space="preserve">(2), 73–81. </w:t>
      </w:r>
      <w:hyperlink r:id="rId15" w:tgtFrame="_blank" w:history="1">
        <w:r w:rsidRPr="009F1FB4">
          <w:rPr>
            <w:rFonts w:ascii="Times New Roman" w:eastAsia="Times New Roman" w:hAnsi="Times New Roman" w:cs="Times New Roman"/>
            <w:color w:val="0000FF"/>
            <w:sz w:val="24"/>
            <w:szCs w:val="24"/>
            <w:u w:val="single"/>
            <w:lang w:val="en-US"/>
          </w:rPr>
          <w:t>https://wnjms.com.ng/journal/index.php/wnjms/article/view/99</w:t>
        </w:r>
      </w:hyperlink>
      <w:r w:rsidRPr="009F1FB4">
        <w:rPr>
          <w:rFonts w:ascii="Times New Roman" w:eastAsia="Times New Roman" w:hAnsi="Times New Roman" w:cs="Times New Roman"/>
          <w:sz w:val="24"/>
          <w:szCs w:val="24"/>
          <w:lang w:val="en-US"/>
        </w:rPr>
        <w:t xml:space="preserve"> </w:t>
      </w:r>
    </w:p>
    <w:p w14:paraId="7B000AEA" w14:textId="77777777" w:rsidR="000F69F7" w:rsidRPr="009F1FB4" w:rsidRDefault="000F69F7" w:rsidP="000F69F7">
      <w:pPr>
        <w:suppressAutoHyphens w:val="0"/>
        <w:spacing w:after="0" w:line="240" w:lineRule="auto"/>
        <w:ind w:left="540" w:hanging="540"/>
        <w:jc w:val="both"/>
        <w:rPr>
          <w:rFonts w:ascii="Times New Roman" w:eastAsia="Times New Roman" w:hAnsi="Times New Roman" w:cs="Times New Roman"/>
          <w:sz w:val="24"/>
          <w:szCs w:val="24"/>
          <w:lang w:val="en-US"/>
        </w:rPr>
      </w:pPr>
      <w:proofErr w:type="spellStart"/>
      <w:r w:rsidRPr="009F1FB4">
        <w:rPr>
          <w:rFonts w:ascii="Times New Roman" w:eastAsia="Times New Roman" w:hAnsi="Times New Roman" w:cs="Times New Roman"/>
          <w:sz w:val="24"/>
          <w:szCs w:val="24"/>
          <w:lang w:val="en-US"/>
        </w:rPr>
        <w:t>Rotenstein</w:t>
      </w:r>
      <w:proofErr w:type="spellEnd"/>
      <w:r w:rsidRPr="009F1FB4">
        <w:rPr>
          <w:rFonts w:ascii="Times New Roman" w:eastAsia="Times New Roman" w:hAnsi="Times New Roman" w:cs="Times New Roman"/>
          <w:sz w:val="24"/>
          <w:szCs w:val="24"/>
          <w:lang w:val="en-US"/>
        </w:rPr>
        <w:t xml:space="preserve">, L. S., Ramos, M. A., Torre, M., Segal, J. B., Peluso, M. J., Guille, C., Sen, S., &amp; Mata, D. A. (2016). Prevalence of depression, depressive symptoms, and suicidal ideation among medical students: A systematic review and meta-analysis. </w:t>
      </w:r>
      <w:r w:rsidRPr="009F1FB4">
        <w:rPr>
          <w:rFonts w:ascii="Times New Roman" w:eastAsia="Times New Roman" w:hAnsi="Times New Roman" w:cs="Times New Roman"/>
          <w:i/>
          <w:iCs/>
          <w:sz w:val="24"/>
          <w:szCs w:val="24"/>
          <w:lang w:val="en-US"/>
        </w:rPr>
        <w:t>JAMA, 316</w:t>
      </w:r>
      <w:r w:rsidRPr="009F1FB4">
        <w:rPr>
          <w:rFonts w:ascii="Times New Roman" w:eastAsia="Times New Roman" w:hAnsi="Times New Roman" w:cs="Times New Roman"/>
          <w:sz w:val="24"/>
          <w:szCs w:val="24"/>
          <w:lang w:val="en-US"/>
        </w:rPr>
        <w:t xml:space="preserve">(21), 2214–2236. </w:t>
      </w:r>
      <w:hyperlink r:id="rId16" w:tgtFrame="_blank" w:history="1">
        <w:r w:rsidRPr="009F1FB4">
          <w:rPr>
            <w:rFonts w:ascii="Times New Roman" w:eastAsia="Times New Roman" w:hAnsi="Times New Roman" w:cs="Times New Roman"/>
            <w:color w:val="0000FF"/>
            <w:sz w:val="24"/>
            <w:szCs w:val="24"/>
            <w:u w:val="single"/>
            <w:lang w:val="en-US"/>
          </w:rPr>
          <w:t>https://doi.org/10.1001/jama.2016.17324</w:t>
        </w:r>
      </w:hyperlink>
      <w:r w:rsidRPr="009F1FB4">
        <w:rPr>
          <w:rFonts w:ascii="Times New Roman" w:eastAsia="Times New Roman" w:hAnsi="Times New Roman" w:cs="Times New Roman"/>
          <w:sz w:val="24"/>
          <w:szCs w:val="24"/>
          <w:lang w:val="en-US"/>
        </w:rPr>
        <w:t xml:space="preserve"> </w:t>
      </w:r>
    </w:p>
    <w:p w14:paraId="4BAFB29C" w14:textId="77777777" w:rsidR="000F69F7" w:rsidRPr="009F1FB4" w:rsidRDefault="000F69F7" w:rsidP="000F69F7">
      <w:pPr>
        <w:suppressAutoHyphens w:val="0"/>
        <w:spacing w:after="0" w:line="240" w:lineRule="auto"/>
        <w:ind w:left="540" w:hanging="540"/>
        <w:jc w:val="both"/>
        <w:rPr>
          <w:rFonts w:ascii="Times New Roman" w:eastAsia="Times New Roman" w:hAnsi="Times New Roman" w:cs="Times New Roman"/>
          <w:sz w:val="24"/>
          <w:szCs w:val="24"/>
          <w:lang w:val="en-US"/>
        </w:rPr>
      </w:pPr>
      <w:r w:rsidRPr="009F1FB4">
        <w:rPr>
          <w:rFonts w:ascii="Times New Roman" w:eastAsia="Times New Roman" w:hAnsi="Times New Roman" w:cs="Times New Roman"/>
          <w:sz w:val="24"/>
          <w:szCs w:val="24"/>
          <w:lang w:val="en-US"/>
        </w:rPr>
        <w:t xml:space="preserve">Falade, J., </w:t>
      </w:r>
      <w:proofErr w:type="spellStart"/>
      <w:r w:rsidRPr="009F1FB4">
        <w:rPr>
          <w:rFonts w:ascii="Times New Roman" w:eastAsia="Times New Roman" w:hAnsi="Times New Roman" w:cs="Times New Roman"/>
          <w:sz w:val="24"/>
          <w:szCs w:val="24"/>
          <w:lang w:val="en-US"/>
        </w:rPr>
        <w:t>Oyebanji</w:t>
      </w:r>
      <w:proofErr w:type="spellEnd"/>
      <w:r w:rsidRPr="009F1FB4">
        <w:rPr>
          <w:rFonts w:ascii="Times New Roman" w:eastAsia="Times New Roman" w:hAnsi="Times New Roman" w:cs="Times New Roman"/>
          <w:sz w:val="24"/>
          <w:szCs w:val="24"/>
          <w:lang w:val="en-US"/>
        </w:rPr>
        <w:t xml:space="preserve">, A. H., Babatola, A. O., Falade, O. O., &amp; Olumuyiwa, T. O. (2020). Prevalence and correlates of psychiatric morbidity, comorbid anxiety and depression among medical students in public and private tertiary institutions in a Nigerian state: A cross-sectional analytical study. </w:t>
      </w:r>
      <w:r w:rsidRPr="009F1FB4">
        <w:rPr>
          <w:rFonts w:ascii="Times New Roman" w:eastAsia="Times New Roman" w:hAnsi="Times New Roman" w:cs="Times New Roman"/>
          <w:i/>
          <w:iCs/>
          <w:sz w:val="24"/>
          <w:szCs w:val="24"/>
          <w:lang w:val="en-US"/>
        </w:rPr>
        <w:t>Pan African Medical Journal, 37</w:t>
      </w:r>
      <w:r w:rsidRPr="009F1FB4">
        <w:rPr>
          <w:rFonts w:ascii="Times New Roman" w:eastAsia="Times New Roman" w:hAnsi="Times New Roman" w:cs="Times New Roman"/>
          <w:sz w:val="24"/>
          <w:szCs w:val="24"/>
          <w:lang w:val="en-US"/>
        </w:rPr>
        <w:t xml:space="preserve">, 53. https://doi.org/10.11604/pamj.2020.37.53.24994 </w:t>
      </w:r>
    </w:p>
    <w:p w14:paraId="2E63F166" w14:textId="77777777" w:rsidR="000F69F7" w:rsidRPr="009F1FB4" w:rsidRDefault="000F69F7" w:rsidP="000F69F7">
      <w:pPr>
        <w:suppressAutoHyphens w:val="0"/>
        <w:spacing w:after="0" w:line="240" w:lineRule="auto"/>
        <w:ind w:left="540" w:hanging="540"/>
        <w:jc w:val="both"/>
        <w:rPr>
          <w:rFonts w:ascii="Times New Roman" w:eastAsia="Times New Roman" w:hAnsi="Times New Roman" w:cs="Times New Roman"/>
          <w:sz w:val="24"/>
          <w:szCs w:val="24"/>
          <w:lang w:val="en-US"/>
        </w:rPr>
      </w:pPr>
      <w:r w:rsidRPr="009F1FB4">
        <w:rPr>
          <w:rFonts w:ascii="Times New Roman" w:eastAsia="Times New Roman" w:hAnsi="Times New Roman" w:cs="Times New Roman"/>
          <w:sz w:val="24"/>
          <w:szCs w:val="24"/>
          <w:lang w:val="nl-BE"/>
        </w:rPr>
        <w:t xml:space="preserve">Ossai, E. N., Eze, I. I., Onyenakazi, R. C., Ugebe, E., Eze, B., &amp; Obasi, O. (2021). </w:t>
      </w:r>
      <w:r w:rsidRPr="009F1FB4">
        <w:rPr>
          <w:rFonts w:ascii="Times New Roman" w:eastAsia="Times New Roman" w:hAnsi="Times New Roman" w:cs="Times New Roman"/>
          <w:sz w:val="24"/>
          <w:szCs w:val="24"/>
          <w:lang w:val="en-US"/>
        </w:rPr>
        <w:t xml:space="preserve">How large is the burden of depression in a medical school? A cross-sectional study among medical students in Nigeria. </w:t>
      </w:r>
      <w:r w:rsidRPr="009F1FB4">
        <w:rPr>
          <w:rFonts w:ascii="Times New Roman" w:eastAsia="Times New Roman" w:hAnsi="Times New Roman" w:cs="Times New Roman"/>
          <w:i/>
          <w:iCs/>
          <w:sz w:val="24"/>
          <w:szCs w:val="24"/>
          <w:lang w:val="en-US"/>
        </w:rPr>
        <w:t>Pan African Medical Journal, 40</w:t>
      </w:r>
      <w:r w:rsidRPr="009F1FB4">
        <w:rPr>
          <w:rFonts w:ascii="Times New Roman" w:eastAsia="Times New Roman" w:hAnsi="Times New Roman" w:cs="Times New Roman"/>
          <w:sz w:val="24"/>
          <w:szCs w:val="24"/>
          <w:lang w:val="en-US"/>
        </w:rPr>
        <w:t xml:space="preserve">, 71. https://doi.org/10.11604/pamj.2021.40.71.29079 </w:t>
      </w:r>
    </w:p>
    <w:p w14:paraId="4B30B104" w14:textId="77777777" w:rsidR="000F69F7" w:rsidRPr="009F1FB4" w:rsidRDefault="000F69F7" w:rsidP="000F69F7">
      <w:pPr>
        <w:suppressAutoHyphens w:val="0"/>
        <w:spacing w:after="0" w:line="240" w:lineRule="auto"/>
        <w:ind w:left="540" w:hanging="540"/>
        <w:jc w:val="both"/>
        <w:rPr>
          <w:rFonts w:ascii="Times New Roman" w:eastAsia="Times New Roman" w:hAnsi="Times New Roman" w:cs="Times New Roman"/>
          <w:sz w:val="24"/>
          <w:szCs w:val="24"/>
          <w:lang w:val="en-US"/>
        </w:rPr>
      </w:pPr>
      <w:r w:rsidRPr="009F1FB4">
        <w:rPr>
          <w:rFonts w:ascii="Times New Roman" w:eastAsia="Times New Roman" w:hAnsi="Times New Roman" w:cs="Times New Roman"/>
          <w:sz w:val="24"/>
          <w:szCs w:val="24"/>
          <w:lang w:val="en-US"/>
        </w:rPr>
        <w:t xml:space="preserve">Di Vincenzo, M., Arsenio, E., Della Rocca, B., Rosa, A., Tretola, L., </w:t>
      </w:r>
      <w:proofErr w:type="spellStart"/>
      <w:r w:rsidRPr="009F1FB4">
        <w:rPr>
          <w:rFonts w:ascii="Times New Roman" w:eastAsia="Times New Roman" w:hAnsi="Times New Roman" w:cs="Times New Roman"/>
          <w:sz w:val="24"/>
          <w:szCs w:val="24"/>
          <w:lang w:val="en-US"/>
        </w:rPr>
        <w:t>Toricco</w:t>
      </w:r>
      <w:proofErr w:type="spellEnd"/>
      <w:r w:rsidRPr="009F1FB4">
        <w:rPr>
          <w:rFonts w:ascii="Times New Roman" w:eastAsia="Times New Roman" w:hAnsi="Times New Roman" w:cs="Times New Roman"/>
          <w:sz w:val="24"/>
          <w:szCs w:val="24"/>
          <w:lang w:val="en-US"/>
        </w:rPr>
        <w:t xml:space="preserve">, R., Boiano, A., Catapano, P., Cavaliere, S., Volpicelli, A., Sampogna, G., &amp; Fiorillo, A. (2024). Is there a burnout epidemic among medical students? Results from a systematic review. </w:t>
      </w:r>
      <w:r w:rsidRPr="009F1FB4">
        <w:rPr>
          <w:rFonts w:ascii="Times New Roman" w:eastAsia="Times New Roman" w:hAnsi="Times New Roman" w:cs="Times New Roman"/>
          <w:i/>
          <w:iCs/>
          <w:sz w:val="24"/>
          <w:szCs w:val="24"/>
          <w:lang w:val="en-US"/>
        </w:rPr>
        <w:t>Medicina, 60</w:t>
      </w:r>
      <w:r w:rsidRPr="009F1FB4">
        <w:rPr>
          <w:rFonts w:ascii="Times New Roman" w:eastAsia="Times New Roman" w:hAnsi="Times New Roman" w:cs="Times New Roman"/>
          <w:sz w:val="24"/>
          <w:szCs w:val="24"/>
          <w:lang w:val="en-US"/>
        </w:rPr>
        <w:t xml:space="preserve">(4), 575. </w:t>
      </w:r>
      <w:hyperlink r:id="rId17" w:tgtFrame="_blank" w:history="1">
        <w:r w:rsidRPr="009F1FB4">
          <w:rPr>
            <w:rFonts w:ascii="Times New Roman" w:eastAsia="Times New Roman" w:hAnsi="Times New Roman" w:cs="Times New Roman"/>
            <w:color w:val="0000FF"/>
            <w:sz w:val="24"/>
            <w:szCs w:val="24"/>
            <w:u w:val="single"/>
            <w:lang w:val="en-US"/>
          </w:rPr>
          <w:t>https://doi.org/10.3390/medicina60040575</w:t>
        </w:r>
      </w:hyperlink>
      <w:r w:rsidRPr="009F1FB4">
        <w:rPr>
          <w:rFonts w:ascii="Times New Roman" w:eastAsia="Times New Roman" w:hAnsi="Times New Roman" w:cs="Times New Roman"/>
          <w:sz w:val="24"/>
          <w:szCs w:val="24"/>
          <w:lang w:val="en-US"/>
        </w:rPr>
        <w:t xml:space="preserve"> </w:t>
      </w:r>
    </w:p>
    <w:p w14:paraId="2603D3ED" w14:textId="77777777" w:rsidR="000F69F7" w:rsidRPr="009F1FB4" w:rsidRDefault="000F69F7" w:rsidP="000F69F7">
      <w:pPr>
        <w:suppressAutoHyphens w:val="0"/>
        <w:spacing w:after="0" w:line="240" w:lineRule="auto"/>
        <w:ind w:left="540" w:hanging="540"/>
        <w:jc w:val="both"/>
        <w:rPr>
          <w:rFonts w:ascii="Times New Roman" w:eastAsia="Times New Roman" w:hAnsi="Times New Roman" w:cs="Times New Roman"/>
          <w:sz w:val="24"/>
          <w:szCs w:val="24"/>
          <w:lang w:val="en-US"/>
        </w:rPr>
      </w:pPr>
      <w:r w:rsidRPr="009F1FB4">
        <w:rPr>
          <w:rFonts w:ascii="Times New Roman" w:eastAsia="Times New Roman" w:hAnsi="Times New Roman" w:cs="Times New Roman"/>
          <w:sz w:val="24"/>
          <w:szCs w:val="24"/>
          <w:lang w:val="nl-BE"/>
        </w:rPr>
        <w:t xml:space="preserve">Mekonnen, C. K., Abate, H. K., Beko, Z. W., Zegeye, A. F., &amp; Azagew, A. W. (2024). </w:t>
      </w:r>
      <w:r w:rsidRPr="009F1FB4">
        <w:rPr>
          <w:rFonts w:ascii="Times New Roman" w:eastAsia="Times New Roman" w:hAnsi="Times New Roman" w:cs="Times New Roman"/>
          <w:sz w:val="24"/>
          <w:szCs w:val="24"/>
          <w:lang w:val="en-US"/>
        </w:rPr>
        <w:t xml:space="preserve">Prevalence of depression among medical students in Africa: Systematic review and meta-analysis. </w:t>
      </w:r>
      <w:r w:rsidRPr="009F1FB4">
        <w:rPr>
          <w:rFonts w:ascii="Times New Roman" w:eastAsia="Times New Roman" w:hAnsi="Times New Roman" w:cs="Times New Roman"/>
          <w:i/>
          <w:iCs/>
          <w:sz w:val="24"/>
          <w:szCs w:val="24"/>
          <w:lang w:val="en-US"/>
        </w:rPr>
        <w:t>PLOS ONE, 19</w:t>
      </w:r>
      <w:r w:rsidRPr="009F1FB4">
        <w:rPr>
          <w:rFonts w:ascii="Times New Roman" w:eastAsia="Times New Roman" w:hAnsi="Times New Roman" w:cs="Times New Roman"/>
          <w:sz w:val="24"/>
          <w:szCs w:val="24"/>
          <w:lang w:val="en-US"/>
        </w:rPr>
        <w:t xml:space="preserve">(12), e0312281. </w:t>
      </w:r>
      <w:hyperlink r:id="rId18" w:tgtFrame="_blank" w:history="1">
        <w:r w:rsidRPr="009F1FB4">
          <w:rPr>
            <w:rFonts w:ascii="Times New Roman" w:eastAsia="Times New Roman" w:hAnsi="Times New Roman" w:cs="Times New Roman"/>
            <w:color w:val="0000FF"/>
            <w:sz w:val="24"/>
            <w:szCs w:val="24"/>
            <w:u w:val="single"/>
            <w:lang w:val="en-US"/>
          </w:rPr>
          <w:t>https://doi.org/10.1371/journal.pone.0312281</w:t>
        </w:r>
      </w:hyperlink>
      <w:r w:rsidRPr="009F1FB4">
        <w:rPr>
          <w:rFonts w:ascii="Times New Roman" w:eastAsia="Times New Roman" w:hAnsi="Times New Roman" w:cs="Times New Roman"/>
          <w:sz w:val="24"/>
          <w:szCs w:val="24"/>
          <w:lang w:val="en-US"/>
        </w:rPr>
        <w:t xml:space="preserve"> </w:t>
      </w:r>
    </w:p>
    <w:p w14:paraId="7BE5ED08" w14:textId="77777777" w:rsidR="000F69F7" w:rsidRPr="009F1FB4" w:rsidRDefault="000F69F7" w:rsidP="000F69F7">
      <w:pPr>
        <w:suppressAutoHyphens w:val="0"/>
        <w:spacing w:after="0" w:line="240" w:lineRule="auto"/>
        <w:ind w:left="540" w:hanging="540"/>
        <w:jc w:val="both"/>
        <w:rPr>
          <w:rFonts w:ascii="Times New Roman" w:eastAsia="Times New Roman" w:hAnsi="Times New Roman" w:cs="Times New Roman"/>
          <w:sz w:val="24"/>
          <w:szCs w:val="24"/>
          <w:lang w:val="en-US"/>
        </w:rPr>
      </w:pPr>
      <w:r w:rsidRPr="009F1FB4">
        <w:rPr>
          <w:rFonts w:ascii="Times New Roman" w:eastAsia="Times New Roman" w:hAnsi="Times New Roman" w:cs="Times New Roman"/>
          <w:sz w:val="24"/>
          <w:szCs w:val="24"/>
          <w:lang w:val="en-US"/>
        </w:rPr>
        <w:t xml:space="preserve">Isara, A. R., </w:t>
      </w:r>
      <w:proofErr w:type="spellStart"/>
      <w:r w:rsidRPr="009F1FB4">
        <w:rPr>
          <w:rFonts w:ascii="Times New Roman" w:eastAsia="Times New Roman" w:hAnsi="Times New Roman" w:cs="Times New Roman"/>
          <w:sz w:val="24"/>
          <w:szCs w:val="24"/>
          <w:lang w:val="en-US"/>
        </w:rPr>
        <w:t>Nwokoye</w:t>
      </w:r>
      <w:proofErr w:type="spellEnd"/>
      <w:r w:rsidRPr="009F1FB4">
        <w:rPr>
          <w:rFonts w:ascii="Times New Roman" w:eastAsia="Times New Roman" w:hAnsi="Times New Roman" w:cs="Times New Roman"/>
          <w:sz w:val="24"/>
          <w:szCs w:val="24"/>
          <w:lang w:val="en-US"/>
        </w:rPr>
        <w:t xml:space="preserve">, O. I., &amp; </w:t>
      </w:r>
      <w:proofErr w:type="spellStart"/>
      <w:r w:rsidRPr="009F1FB4">
        <w:rPr>
          <w:rFonts w:ascii="Times New Roman" w:eastAsia="Times New Roman" w:hAnsi="Times New Roman" w:cs="Times New Roman"/>
          <w:sz w:val="24"/>
          <w:szCs w:val="24"/>
          <w:lang w:val="en-US"/>
        </w:rPr>
        <w:t>Odaman</w:t>
      </w:r>
      <w:proofErr w:type="spellEnd"/>
      <w:r w:rsidRPr="009F1FB4">
        <w:rPr>
          <w:rFonts w:ascii="Times New Roman" w:eastAsia="Times New Roman" w:hAnsi="Times New Roman" w:cs="Times New Roman"/>
          <w:sz w:val="24"/>
          <w:szCs w:val="24"/>
          <w:lang w:val="en-US"/>
        </w:rPr>
        <w:t xml:space="preserve">, A. O. (2022). Prevalence and risk factors of depression among undergraduate medical students in a Nigerian university. </w:t>
      </w:r>
      <w:r w:rsidRPr="009F1FB4">
        <w:rPr>
          <w:rFonts w:ascii="Times New Roman" w:eastAsia="Times New Roman" w:hAnsi="Times New Roman" w:cs="Times New Roman"/>
          <w:i/>
          <w:iCs/>
          <w:sz w:val="24"/>
          <w:szCs w:val="24"/>
          <w:lang w:val="en-US"/>
        </w:rPr>
        <w:t>Ghana Medical Journal, 56</w:t>
      </w:r>
      <w:r w:rsidRPr="009F1FB4">
        <w:rPr>
          <w:rFonts w:ascii="Times New Roman" w:eastAsia="Times New Roman" w:hAnsi="Times New Roman" w:cs="Times New Roman"/>
          <w:sz w:val="24"/>
          <w:szCs w:val="24"/>
          <w:lang w:val="en-US"/>
        </w:rPr>
        <w:t xml:space="preserve">(4), 303–310. https://doi.org/10.4314/gmj.v56i4.9 </w:t>
      </w:r>
    </w:p>
    <w:p w14:paraId="3EC3461D" w14:textId="77777777" w:rsidR="000F69F7" w:rsidRPr="009F1FB4" w:rsidRDefault="000F69F7" w:rsidP="000F69F7">
      <w:pPr>
        <w:suppressAutoHyphens w:val="0"/>
        <w:spacing w:after="0" w:line="240" w:lineRule="auto"/>
        <w:ind w:left="540" w:hanging="540"/>
        <w:jc w:val="both"/>
        <w:rPr>
          <w:rFonts w:ascii="Times New Roman" w:eastAsia="Times New Roman" w:hAnsi="Times New Roman" w:cs="Times New Roman"/>
          <w:sz w:val="24"/>
          <w:szCs w:val="24"/>
          <w:lang w:val="en-US"/>
        </w:rPr>
      </w:pPr>
      <w:proofErr w:type="spellStart"/>
      <w:r w:rsidRPr="009F1FB4">
        <w:rPr>
          <w:rFonts w:ascii="Times New Roman" w:eastAsia="Times New Roman" w:hAnsi="Times New Roman" w:cs="Times New Roman"/>
          <w:sz w:val="24"/>
          <w:szCs w:val="24"/>
          <w:lang w:val="en-US"/>
        </w:rPr>
        <w:t>Ojedokun</w:t>
      </w:r>
      <w:proofErr w:type="spellEnd"/>
      <w:r w:rsidRPr="009F1FB4">
        <w:rPr>
          <w:rFonts w:ascii="Times New Roman" w:eastAsia="Times New Roman" w:hAnsi="Times New Roman" w:cs="Times New Roman"/>
          <w:sz w:val="24"/>
          <w:szCs w:val="24"/>
          <w:lang w:val="en-US"/>
        </w:rPr>
        <w:t xml:space="preserve">, S. A., </w:t>
      </w:r>
      <w:proofErr w:type="spellStart"/>
      <w:r w:rsidRPr="009F1FB4">
        <w:rPr>
          <w:rFonts w:ascii="Times New Roman" w:eastAsia="Times New Roman" w:hAnsi="Times New Roman" w:cs="Times New Roman"/>
          <w:sz w:val="24"/>
          <w:szCs w:val="24"/>
          <w:lang w:val="en-US"/>
        </w:rPr>
        <w:t>Ilelaboye</w:t>
      </w:r>
      <w:proofErr w:type="spellEnd"/>
      <w:r w:rsidRPr="009F1FB4">
        <w:rPr>
          <w:rFonts w:ascii="Times New Roman" w:eastAsia="Times New Roman" w:hAnsi="Times New Roman" w:cs="Times New Roman"/>
          <w:sz w:val="24"/>
          <w:szCs w:val="24"/>
          <w:lang w:val="en-US"/>
        </w:rPr>
        <w:t xml:space="preserve">, A. I., </w:t>
      </w:r>
      <w:proofErr w:type="spellStart"/>
      <w:r w:rsidRPr="009F1FB4">
        <w:rPr>
          <w:rFonts w:ascii="Times New Roman" w:eastAsia="Times New Roman" w:hAnsi="Times New Roman" w:cs="Times New Roman"/>
          <w:sz w:val="24"/>
          <w:szCs w:val="24"/>
          <w:lang w:val="en-US"/>
        </w:rPr>
        <w:t>Aderinto</w:t>
      </w:r>
      <w:proofErr w:type="spellEnd"/>
      <w:r w:rsidRPr="009F1FB4">
        <w:rPr>
          <w:rFonts w:ascii="Times New Roman" w:eastAsia="Times New Roman" w:hAnsi="Times New Roman" w:cs="Times New Roman"/>
          <w:sz w:val="24"/>
          <w:szCs w:val="24"/>
          <w:lang w:val="en-US"/>
        </w:rPr>
        <w:t xml:space="preserve">, N. O., </w:t>
      </w:r>
      <w:proofErr w:type="spellStart"/>
      <w:r w:rsidRPr="009F1FB4">
        <w:rPr>
          <w:rFonts w:ascii="Times New Roman" w:eastAsia="Times New Roman" w:hAnsi="Times New Roman" w:cs="Times New Roman"/>
          <w:sz w:val="24"/>
          <w:szCs w:val="24"/>
          <w:lang w:val="en-US"/>
        </w:rPr>
        <w:t>Ayantoyinbo</w:t>
      </w:r>
      <w:proofErr w:type="spellEnd"/>
      <w:r w:rsidRPr="009F1FB4">
        <w:rPr>
          <w:rFonts w:ascii="Times New Roman" w:eastAsia="Times New Roman" w:hAnsi="Times New Roman" w:cs="Times New Roman"/>
          <w:sz w:val="24"/>
          <w:szCs w:val="24"/>
          <w:lang w:val="en-US"/>
        </w:rPr>
        <w:t xml:space="preserve">, O. A., Afolabi, A. C., Akande, Y. F., Adebayo, J. A., Olaitan, A. O., &amp; </w:t>
      </w:r>
      <w:proofErr w:type="spellStart"/>
      <w:r w:rsidRPr="009F1FB4">
        <w:rPr>
          <w:rFonts w:ascii="Times New Roman" w:eastAsia="Times New Roman" w:hAnsi="Times New Roman" w:cs="Times New Roman"/>
          <w:sz w:val="24"/>
          <w:szCs w:val="24"/>
          <w:lang w:val="en-US"/>
        </w:rPr>
        <w:t>Alatishe</w:t>
      </w:r>
      <w:proofErr w:type="spellEnd"/>
      <w:r w:rsidRPr="009F1FB4">
        <w:rPr>
          <w:rFonts w:ascii="Times New Roman" w:eastAsia="Times New Roman" w:hAnsi="Times New Roman" w:cs="Times New Roman"/>
          <w:sz w:val="24"/>
          <w:szCs w:val="24"/>
          <w:lang w:val="en-US"/>
        </w:rPr>
        <w:t xml:space="preserve">, T. A. (2023). Perceived stress and coping strategies among medical students in a tertiary institution in Southwest Nigeria. </w:t>
      </w:r>
      <w:r w:rsidRPr="009F1FB4">
        <w:rPr>
          <w:rFonts w:ascii="Times New Roman" w:eastAsia="Times New Roman" w:hAnsi="Times New Roman" w:cs="Times New Roman"/>
          <w:i/>
          <w:iCs/>
          <w:sz w:val="24"/>
          <w:szCs w:val="24"/>
          <w:lang w:val="en-US"/>
        </w:rPr>
        <w:t>Asian Journal of Medical Principles and Clinical Practice, 6</w:t>
      </w:r>
      <w:r w:rsidRPr="009F1FB4">
        <w:rPr>
          <w:rFonts w:ascii="Times New Roman" w:eastAsia="Times New Roman" w:hAnsi="Times New Roman" w:cs="Times New Roman"/>
          <w:sz w:val="24"/>
          <w:szCs w:val="24"/>
          <w:lang w:val="en-US"/>
        </w:rPr>
        <w:t xml:space="preserve">(1), 26–34. </w:t>
      </w:r>
      <w:hyperlink r:id="rId19" w:tgtFrame="_blank" w:history="1">
        <w:r w:rsidRPr="009F1FB4">
          <w:rPr>
            <w:rFonts w:ascii="Times New Roman" w:eastAsia="Times New Roman" w:hAnsi="Times New Roman" w:cs="Times New Roman"/>
            <w:color w:val="0000FF"/>
            <w:sz w:val="24"/>
            <w:szCs w:val="24"/>
            <w:u w:val="single"/>
            <w:lang w:val="en-US"/>
          </w:rPr>
          <w:t>https://journalajmpcp.com/index.php/AJMPCP/article/view/157</w:t>
        </w:r>
      </w:hyperlink>
      <w:r w:rsidRPr="009F1FB4">
        <w:rPr>
          <w:rFonts w:ascii="Times New Roman" w:eastAsia="Times New Roman" w:hAnsi="Times New Roman" w:cs="Times New Roman"/>
          <w:sz w:val="24"/>
          <w:szCs w:val="24"/>
          <w:lang w:val="en-US"/>
        </w:rPr>
        <w:t xml:space="preserve"> </w:t>
      </w:r>
    </w:p>
    <w:p w14:paraId="6465AA43" w14:textId="77777777" w:rsidR="000F69F7" w:rsidRPr="009F1FB4" w:rsidRDefault="000F69F7" w:rsidP="000F69F7">
      <w:pPr>
        <w:suppressAutoHyphens w:val="0"/>
        <w:spacing w:after="0" w:line="240" w:lineRule="auto"/>
        <w:ind w:left="540" w:hanging="540"/>
        <w:jc w:val="both"/>
        <w:rPr>
          <w:rFonts w:ascii="Times New Roman" w:eastAsia="Times New Roman" w:hAnsi="Times New Roman" w:cs="Times New Roman"/>
          <w:sz w:val="24"/>
          <w:szCs w:val="24"/>
          <w:lang w:val="en-US"/>
        </w:rPr>
      </w:pPr>
      <w:proofErr w:type="spellStart"/>
      <w:r w:rsidRPr="009F1FB4">
        <w:rPr>
          <w:rFonts w:ascii="Times New Roman" w:eastAsia="Times New Roman" w:hAnsi="Times New Roman" w:cs="Times New Roman"/>
          <w:sz w:val="24"/>
          <w:szCs w:val="24"/>
          <w:lang w:val="en-US"/>
        </w:rPr>
        <w:lastRenderedPageBreak/>
        <w:t>Gureje</w:t>
      </w:r>
      <w:proofErr w:type="spellEnd"/>
      <w:r w:rsidRPr="009F1FB4">
        <w:rPr>
          <w:rFonts w:ascii="Times New Roman" w:eastAsia="Times New Roman" w:hAnsi="Times New Roman" w:cs="Times New Roman"/>
          <w:sz w:val="24"/>
          <w:szCs w:val="24"/>
          <w:lang w:val="en-US"/>
        </w:rPr>
        <w:t xml:space="preserve">, O., &amp; </w:t>
      </w:r>
      <w:proofErr w:type="spellStart"/>
      <w:r w:rsidRPr="009F1FB4">
        <w:rPr>
          <w:rFonts w:ascii="Times New Roman" w:eastAsia="Times New Roman" w:hAnsi="Times New Roman" w:cs="Times New Roman"/>
          <w:sz w:val="24"/>
          <w:szCs w:val="24"/>
          <w:lang w:val="en-US"/>
        </w:rPr>
        <w:t>Obikoya</w:t>
      </w:r>
      <w:proofErr w:type="spellEnd"/>
      <w:r w:rsidRPr="009F1FB4">
        <w:rPr>
          <w:rFonts w:ascii="Times New Roman" w:eastAsia="Times New Roman" w:hAnsi="Times New Roman" w:cs="Times New Roman"/>
          <w:sz w:val="24"/>
          <w:szCs w:val="24"/>
          <w:lang w:val="en-US"/>
        </w:rPr>
        <w:t xml:space="preserve">, B. (1990). The GHQ-12 as a screening tool in a primary care setting. </w:t>
      </w:r>
      <w:r w:rsidRPr="009F1FB4">
        <w:rPr>
          <w:rFonts w:ascii="Times New Roman" w:eastAsia="Times New Roman" w:hAnsi="Times New Roman" w:cs="Times New Roman"/>
          <w:i/>
          <w:iCs/>
          <w:sz w:val="24"/>
          <w:szCs w:val="24"/>
          <w:lang w:val="en-US"/>
        </w:rPr>
        <w:t>Social Psychiatry and Psychiatric Epidemiology, 25</w:t>
      </w:r>
      <w:r w:rsidRPr="009F1FB4">
        <w:rPr>
          <w:rFonts w:ascii="Times New Roman" w:eastAsia="Times New Roman" w:hAnsi="Times New Roman" w:cs="Times New Roman"/>
          <w:sz w:val="24"/>
          <w:szCs w:val="24"/>
          <w:lang w:val="en-US"/>
        </w:rPr>
        <w:t xml:space="preserve">(5), 276–280. https://doi.org/10.1007/BF00788650 </w:t>
      </w:r>
    </w:p>
    <w:p w14:paraId="2B41C37A" w14:textId="77777777" w:rsidR="000F69F7" w:rsidRPr="009F1FB4" w:rsidRDefault="000F69F7" w:rsidP="000F69F7">
      <w:pPr>
        <w:suppressAutoHyphens w:val="0"/>
        <w:spacing w:after="0" w:line="240" w:lineRule="auto"/>
        <w:ind w:left="540" w:hanging="540"/>
        <w:jc w:val="both"/>
        <w:rPr>
          <w:rFonts w:ascii="Times New Roman" w:eastAsia="Times New Roman" w:hAnsi="Times New Roman" w:cs="Times New Roman"/>
          <w:sz w:val="24"/>
          <w:szCs w:val="24"/>
          <w:lang w:val="en-US"/>
        </w:rPr>
      </w:pPr>
      <w:r w:rsidRPr="009F1FB4">
        <w:rPr>
          <w:rFonts w:ascii="Times New Roman" w:eastAsia="Times New Roman" w:hAnsi="Times New Roman" w:cs="Times New Roman"/>
          <w:sz w:val="24"/>
          <w:szCs w:val="24"/>
          <w:lang w:val="en-US"/>
        </w:rPr>
        <w:t xml:space="preserve">Braun, V., &amp; Clarke, V. (2012). Thematic analysis. In H. Cooper, P. M. Camic, D. L. Long, A. T. Panter, D. </w:t>
      </w:r>
      <w:proofErr w:type="spellStart"/>
      <w:r w:rsidRPr="009F1FB4">
        <w:rPr>
          <w:rFonts w:ascii="Times New Roman" w:eastAsia="Times New Roman" w:hAnsi="Times New Roman" w:cs="Times New Roman"/>
          <w:sz w:val="24"/>
          <w:szCs w:val="24"/>
          <w:lang w:val="en-US"/>
        </w:rPr>
        <w:t>Rindskopf</w:t>
      </w:r>
      <w:proofErr w:type="spellEnd"/>
      <w:r w:rsidRPr="009F1FB4">
        <w:rPr>
          <w:rFonts w:ascii="Times New Roman" w:eastAsia="Times New Roman" w:hAnsi="Times New Roman" w:cs="Times New Roman"/>
          <w:sz w:val="24"/>
          <w:szCs w:val="24"/>
          <w:lang w:val="en-US"/>
        </w:rPr>
        <w:t xml:space="preserve">, &amp; K. J. Sher (Eds.), </w:t>
      </w:r>
      <w:r w:rsidRPr="009F1FB4">
        <w:rPr>
          <w:rFonts w:ascii="Times New Roman" w:eastAsia="Times New Roman" w:hAnsi="Times New Roman" w:cs="Times New Roman"/>
          <w:i/>
          <w:iCs/>
          <w:sz w:val="24"/>
          <w:szCs w:val="24"/>
          <w:lang w:val="en-US"/>
        </w:rPr>
        <w:t>APA handbook of research methods in psychology, Vol. 2: Research designs: Quantitative, qualitative, neuropsychological, and biological</w:t>
      </w:r>
      <w:r w:rsidRPr="009F1FB4">
        <w:rPr>
          <w:rFonts w:ascii="Times New Roman" w:eastAsia="Times New Roman" w:hAnsi="Times New Roman" w:cs="Times New Roman"/>
          <w:sz w:val="24"/>
          <w:szCs w:val="24"/>
          <w:lang w:val="en-US"/>
        </w:rPr>
        <w:t xml:space="preserve"> (pp. 57–71). American Psychological Association. </w:t>
      </w:r>
      <w:hyperlink r:id="rId20" w:tgtFrame="_blank" w:history="1">
        <w:r w:rsidRPr="009F1FB4">
          <w:rPr>
            <w:rFonts w:ascii="Times New Roman" w:eastAsia="Times New Roman" w:hAnsi="Times New Roman" w:cs="Times New Roman"/>
            <w:color w:val="0000FF"/>
            <w:sz w:val="24"/>
            <w:szCs w:val="24"/>
            <w:u w:val="single"/>
            <w:lang w:val="en-US"/>
          </w:rPr>
          <w:t>https://doi.org/10.1037/13620-004</w:t>
        </w:r>
      </w:hyperlink>
      <w:r w:rsidRPr="009F1FB4">
        <w:rPr>
          <w:rFonts w:ascii="Times New Roman" w:eastAsia="Times New Roman" w:hAnsi="Times New Roman" w:cs="Times New Roman"/>
          <w:sz w:val="24"/>
          <w:szCs w:val="24"/>
          <w:lang w:val="en-US"/>
        </w:rPr>
        <w:t xml:space="preserve"> </w:t>
      </w:r>
    </w:p>
    <w:p w14:paraId="14F4F1D2" w14:textId="77777777" w:rsidR="000F69F7" w:rsidRPr="009F1FB4" w:rsidRDefault="000F69F7" w:rsidP="000F69F7">
      <w:pPr>
        <w:suppressAutoHyphens w:val="0"/>
        <w:spacing w:after="0" w:line="240" w:lineRule="auto"/>
        <w:ind w:left="540" w:hanging="540"/>
        <w:jc w:val="both"/>
        <w:rPr>
          <w:rFonts w:ascii="Times New Roman" w:eastAsia="Times New Roman" w:hAnsi="Times New Roman" w:cs="Times New Roman"/>
          <w:sz w:val="24"/>
          <w:szCs w:val="24"/>
          <w:lang w:val="en-US"/>
        </w:rPr>
      </w:pPr>
      <w:r w:rsidRPr="009F1FB4">
        <w:rPr>
          <w:rFonts w:ascii="Times New Roman" w:eastAsia="Times New Roman" w:hAnsi="Times New Roman" w:cs="Times New Roman"/>
          <w:sz w:val="24"/>
          <w:szCs w:val="24"/>
          <w:lang w:val="en-US"/>
        </w:rPr>
        <w:t xml:space="preserve">Pederson, A. B., Burnett-Zeigler, I., </w:t>
      </w:r>
      <w:proofErr w:type="spellStart"/>
      <w:r w:rsidRPr="009F1FB4">
        <w:rPr>
          <w:rFonts w:ascii="Times New Roman" w:eastAsia="Times New Roman" w:hAnsi="Times New Roman" w:cs="Times New Roman"/>
          <w:sz w:val="24"/>
          <w:szCs w:val="24"/>
          <w:lang w:val="en-US"/>
        </w:rPr>
        <w:t>Fokuo</w:t>
      </w:r>
      <w:proofErr w:type="spellEnd"/>
      <w:r w:rsidRPr="009F1FB4">
        <w:rPr>
          <w:rFonts w:ascii="Times New Roman" w:eastAsia="Times New Roman" w:hAnsi="Times New Roman" w:cs="Times New Roman"/>
          <w:sz w:val="24"/>
          <w:szCs w:val="24"/>
          <w:lang w:val="en-US"/>
        </w:rPr>
        <w:t xml:space="preserve">, J. K., Wisner, K. L., Zumpf, K., &amp; Oshodi, Y. (2020). Mental health stigma among university health care students in Nigeria: A cross-sectional observational study. </w:t>
      </w:r>
      <w:r w:rsidRPr="009F1FB4">
        <w:rPr>
          <w:rFonts w:ascii="Times New Roman" w:eastAsia="Times New Roman" w:hAnsi="Times New Roman" w:cs="Times New Roman"/>
          <w:i/>
          <w:iCs/>
          <w:sz w:val="24"/>
          <w:szCs w:val="24"/>
          <w:lang w:val="en-US"/>
        </w:rPr>
        <w:t>Pan African Medical Journal, 37</w:t>
      </w:r>
      <w:r w:rsidRPr="009F1FB4">
        <w:rPr>
          <w:rFonts w:ascii="Times New Roman" w:eastAsia="Times New Roman" w:hAnsi="Times New Roman" w:cs="Times New Roman"/>
          <w:sz w:val="24"/>
          <w:szCs w:val="24"/>
          <w:lang w:val="en-US"/>
        </w:rPr>
        <w:t xml:space="preserve">, 5. </w:t>
      </w:r>
      <w:hyperlink r:id="rId21" w:tgtFrame="_blank" w:history="1">
        <w:r w:rsidRPr="009F1FB4">
          <w:rPr>
            <w:rFonts w:ascii="Times New Roman" w:eastAsia="Times New Roman" w:hAnsi="Times New Roman" w:cs="Times New Roman"/>
            <w:color w:val="0000FF"/>
            <w:sz w:val="24"/>
            <w:szCs w:val="24"/>
            <w:u w:val="single"/>
            <w:lang w:val="en-US"/>
          </w:rPr>
          <w:t>https://doi.org/10.11604/pamj.2020.37.5.24898</w:t>
        </w:r>
      </w:hyperlink>
      <w:r w:rsidRPr="009F1FB4">
        <w:rPr>
          <w:rFonts w:ascii="Times New Roman" w:eastAsia="Times New Roman" w:hAnsi="Times New Roman" w:cs="Times New Roman"/>
          <w:sz w:val="24"/>
          <w:szCs w:val="24"/>
          <w:lang w:val="en-US"/>
        </w:rPr>
        <w:t xml:space="preserve"> </w:t>
      </w:r>
    </w:p>
    <w:p w14:paraId="13EDB83E" w14:textId="77777777" w:rsidR="003F2302" w:rsidRPr="009F1FB4" w:rsidRDefault="000F69F7" w:rsidP="000F69F7">
      <w:pPr>
        <w:spacing w:line="276" w:lineRule="auto"/>
        <w:ind w:left="540" w:hanging="540"/>
        <w:jc w:val="both"/>
        <w:rPr>
          <w:rFonts w:ascii="Times New Roman" w:hAnsi="Times New Roman"/>
          <w:sz w:val="24"/>
          <w:szCs w:val="24"/>
        </w:rPr>
      </w:pPr>
      <w:r w:rsidRPr="009F1FB4">
        <w:rPr>
          <w:rFonts w:ascii="Times New Roman" w:eastAsia="Times New Roman" w:hAnsi="Times New Roman" w:cs="Times New Roman"/>
          <w:sz w:val="24"/>
          <w:szCs w:val="24"/>
          <w:lang w:val="en-US"/>
        </w:rPr>
        <w:t xml:space="preserve">Ayinde, O. O., </w:t>
      </w:r>
      <w:proofErr w:type="spellStart"/>
      <w:r w:rsidRPr="009F1FB4">
        <w:rPr>
          <w:rFonts w:ascii="Times New Roman" w:eastAsia="Times New Roman" w:hAnsi="Times New Roman" w:cs="Times New Roman"/>
          <w:sz w:val="24"/>
          <w:szCs w:val="24"/>
          <w:lang w:val="en-US"/>
        </w:rPr>
        <w:t>Akinnuoye</w:t>
      </w:r>
      <w:proofErr w:type="spellEnd"/>
      <w:r w:rsidRPr="009F1FB4">
        <w:rPr>
          <w:rFonts w:ascii="Times New Roman" w:eastAsia="Times New Roman" w:hAnsi="Times New Roman" w:cs="Times New Roman"/>
          <w:sz w:val="24"/>
          <w:szCs w:val="24"/>
          <w:lang w:val="en-US"/>
        </w:rPr>
        <w:t xml:space="preserve">, E. R., Molodynski, A., Battrick, O., &amp; </w:t>
      </w:r>
      <w:proofErr w:type="spellStart"/>
      <w:r w:rsidRPr="009F1FB4">
        <w:rPr>
          <w:rFonts w:ascii="Times New Roman" w:eastAsia="Times New Roman" w:hAnsi="Times New Roman" w:cs="Times New Roman"/>
          <w:sz w:val="24"/>
          <w:szCs w:val="24"/>
          <w:lang w:val="en-US"/>
        </w:rPr>
        <w:t>Gureje</w:t>
      </w:r>
      <w:proofErr w:type="spellEnd"/>
      <w:r w:rsidRPr="009F1FB4">
        <w:rPr>
          <w:rFonts w:ascii="Times New Roman" w:eastAsia="Times New Roman" w:hAnsi="Times New Roman" w:cs="Times New Roman"/>
          <w:sz w:val="24"/>
          <w:szCs w:val="24"/>
          <w:lang w:val="en-US"/>
        </w:rPr>
        <w:t xml:space="preserve">, O. (2022). A descriptive study of mental health and burnout among Nigerian medical students. </w:t>
      </w:r>
      <w:r w:rsidRPr="009F1FB4">
        <w:rPr>
          <w:rFonts w:ascii="Times New Roman" w:eastAsia="Times New Roman" w:hAnsi="Times New Roman" w:cs="Times New Roman"/>
          <w:i/>
          <w:iCs/>
          <w:sz w:val="24"/>
          <w:szCs w:val="24"/>
          <w:lang w:val="en-US"/>
        </w:rPr>
        <w:t>International Journal of Social Psychiatry, 68</w:t>
      </w:r>
      <w:r w:rsidRPr="009F1FB4">
        <w:rPr>
          <w:rFonts w:ascii="Times New Roman" w:eastAsia="Times New Roman" w:hAnsi="Times New Roman" w:cs="Times New Roman"/>
          <w:sz w:val="24"/>
          <w:szCs w:val="24"/>
          <w:lang w:val="en-US"/>
        </w:rPr>
        <w:t xml:space="preserve">(6), 1223–1231. </w:t>
      </w:r>
      <w:hyperlink r:id="rId22" w:tgtFrame="_blank" w:history="1">
        <w:r w:rsidRPr="009F1FB4">
          <w:rPr>
            <w:rFonts w:ascii="Times New Roman" w:eastAsia="Times New Roman" w:hAnsi="Times New Roman" w:cs="Times New Roman"/>
            <w:color w:val="0000FF"/>
            <w:sz w:val="24"/>
            <w:szCs w:val="24"/>
            <w:u w:val="single"/>
            <w:lang w:val="en-US"/>
          </w:rPr>
          <w:t>https://doi.org/10.1177/00207640211057706</w:t>
        </w:r>
      </w:hyperlink>
    </w:p>
    <w:p w14:paraId="21C1E9C8" w14:textId="77777777" w:rsidR="00CE75BB" w:rsidRPr="009F1FB4" w:rsidRDefault="00000000">
      <w:pPr>
        <w:spacing w:line="276" w:lineRule="auto"/>
        <w:ind w:left="540" w:hanging="540"/>
        <w:jc w:val="both"/>
        <w:rPr>
          <w:rFonts w:ascii="Times New Roman" w:hAnsi="Times New Roman"/>
          <w:sz w:val="24"/>
          <w:szCs w:val="24"/>
        </w:rPr>
      </w:pPr>
      <w:r w:rsidRPr="009F1FB4">
        <w:rPr>
          <w:rFonts w:ascii="Times New Roman" w:eastAsia="Times New Roman" w:hAnsi="Times New Roman"/>
          <w:b/>
          <w:sz w:val="24"/>
        </w:rPr>
        <w:t xml:space="preserve">Polujanski, S., Nett, U., Rotthoff, T., Oezsoy, M., &amp; Schindler, A.-K. (2024). Uncovering heterogeneity in mental health changes among first-year medical students. </w:t>
      </w:r>
      <w:r w:rsidRPr="009F1FB4">
        <w:rPr>
          <w:rFonts w:ascii="Times New Roman" w:eastAsia="Times New Roman" w:hAnsi="Times New Roman"/>
          <w:b/>
          <w:i/>
          <w:sz w:val="24"/>
        </w:rPr>
        <w:t>Medical Education Online, 29</w:t>
      </w:r>
      <w:r w:rsidRPr="009F1FB4">
        <w:rPr>
          <w:rFonts w:ascii="Times New Roman" w:eastAsia="Times New Roman" w:hAnsi="Times New Roman"/>
          <w:b/>
          <w:sz w:val="24"/>
        </w:rPr>
        <w:t>(1), 2317493. https://doi.org/10.1080/10872981.2024.2317493</w:t>
      </w:r>
    </w:p>
    <w:p w14:paraId="27326D88" w14:textId="77777777" w:rsidR="00CE75BB" w:rsidRPr="009F1FB4" w:rsidRDefault="00000000">
      <w:pPr>
        <w:spacing w:line="276" w:lineRule="auto"/>
        <w:ind w:left="540" w:hanging="540"/>
        <w:jc w:val="both"/>
        <w:rPr>
          <w:rFonts w:ascii="Times New Roman" w:hAnsi="Times New Roman"/>
          <w:sz w:val="24"/>
          <w:szCs w:val="24"/>
        </w:rPr>
      </w:pPr>
      <w:r w:rsidRPr="009F1FB4">
        <w:rPr>
          <w:rFonts w:ascii="Times New Roman" w:eastAsia="Times New Roman" w:hAnsi="Times New Roman"/>
          <w:b/>
          <w:sz w:val="24"/>
        </w:rPr>
        <w:t xml:space="preserve">Gellisch, M., Olk, B., Schäfer, T., &amp; Brand-Saberi, B. (2024). Unraveling psychological burden: The interplay of socio-economic status, anxiety sensitivity, intolerance of uncertainty, and stress in first-year medical students. </w:t>
      </w:r>
      <w:r w:rsidRPr="009F1FB4">
        <w:rPr>
          <w:rFonts w:ascii="Times New Roman" w:eastAsia="Times New Roman" w:hAnsi="Times New Roman"/>
          <w:b/>
          <w:i/>
          <w:sz w:val="24"/>
        </w:rPr>
        <w:t>BMC Medical Education, 24</w:t>
      </w:r>
      <w:r w:rsidRPr="009F1FB4">
        <w:rPr>
          <w:rFonts w:ascii="Times New Roman" w:eastAsia="Times New Roman" w:hAnsi="Times New Roman"/>
          <w:b/>
          <w:sz w:val="24"/>
        </w:rPr>
        <w:t>, 945. https://doi.org/10.1186/s12909-024-05924-y</w:t>
      </w:r>
    </w:p>
    <w:p w14:paraId="54A0C602" w14:textId="77777777" w:rsidR="00CE75BB" w:rsidRPr="009F1FB4" w:rsidRDefault="00000000">
      <w:pPr>
        <w:spacing w:line="276" w:lineRule="auto"/>
        <w:ind w:left="540" w:hanging="540"/>
        <w:jc w:val="both"/>
        <w:rPr>
          <w:rFonts w:ascii="Times New Roman" w:hAnsi="Times New Roman"/>
          <w:sz w:val="24"/>
          <w:szCs w:val="24"/>
        </w:rPr>
      </w:pPr>
      <w:r w:rsidRPr="009F1FB4">
        <w:rPr>
          <w:rFonts w:ascii="Times New Roman" w:eastAsia="Times New Roman" w:hAnsi="Times New Roman"/>
          <w:b/>
          <w:sz w:val="24"/>
        </w:rPr>
        <w:t xml:space="preserve">Oyewole, A., Oyewole, A., Mustapha, A., &amp; Ojedokun, S. (2026). Pattern of psychiatric morbidity among final-year medical students in a private faith-based university in Nigeria: A mixed-methods study. </w:t>
      </w:r>
      <w:r w:rsidRPr="009F1FB4">
        <w:rPr>
          <w:rFonts w:ascii="Times New Roman" w:eastAsia="Times New Roman" w:hAnsi="Times New Roman"/>
          <w:b/>
          <w:i/>
          <w:sz w:val="24"/>
        </w:rPr>
        <w:t>Journal of Education, Society and Behavioural Science, 39</w:t>
      </w:r>
      <w:r w:rsidRPr="009F1FB4">
        <w:rPr>
          <w:rFonts w:ascii="Times New Roman" w:eastAsia="Times New Roman" w:hAnsi="Times New Roman"/>
          <w:b/>
          <w:sz w:val="24"/>
        </w:rPr>
        <w:t>(5), 150–159. https://doi.org/10.9734/jesbs/2026/v39i51518</w:t>
      </w:r>
    </w:p>
    <w:p w14:paraId="36D91F22" w14:textId="77777777" w:rsidR="00CE75BB" w:rsidRPr="009F1FB4" w:rsidRDefault="00000000">
      <w:pPr>
        <w:spacing w:line="276" w:lineRule="auto"/>
        <w:ind w:left="540" w:hanging="540"/>
        <w:jc w:val="both"/>
        <w:rPr>
          <w:rFonts w:ascii="Times New Roman" w:hAnsi="Times New Roman"/>
          <w:sz w:val="24"/>
          <w:szCs w:val="24"/>
        </w:rPr>
      </w:pPr>
      <w:r w:rsidRPr="009F1FB4">
        <w:rPr>
          <w:rFonts w:ascii="Times New Roman" w:eastAsia="Times New Roman" w:hAnsi="Times New Roman"/>
          <w:b/>
          <w:sz w:val="24"/>
        </w:rPr>
        <w:t xml:space="preserve">Shaw, J., Lai, C., Bota, P., &amp; Wright, D. (2025). Burnout and depression in first-year medical students across the academic year in the United States. </w:t>
      </w:r>
      <w:r w:rsidRPr="009F1FB4">
        <w:rPr>
          <w:rFonts w:ascii="Times New Roman" w:eastAsia="Times New Roman" w:hAnsi="Times New Roman"/>
          <w:b/>
          <w:i/>
          <w:sz w:val="24"/>
        </w:rPr>
        <w:t>Discover Mental Health, 5</w:t>
      </w:r>
      <w:r w:rsidRPr="009F1FB4">
        <w:rPr>
          <w:rFonts w:ascii="Times New Roman" w:eastAsia="Times New Roman" w:hAnsi="Times New Roman"/>
          <w:b/>
          <w:sz w:val="24"/>
        </w:rPr>
        <w:t>, 45. https://doi.org/10.1007/s44192-025-00175-9</w:t>
      </w:r>
    </w:p>
    <w:p w14:paraId="428C1E1D" w14:textId="77777777" w:rsidR="00CE75BB" w:rsidRDefault="00000000">
      <w:pPr>
        <w:spacing w:line="276" w:lineRule="auto"/>
        <w:ind w:left="540" w:hanging="540"/>
        <w:jc w:val="both"/>
        <w:rPr>
          <w:rFonts w:ascii="Times New Roman" w:hAnsi="Times New Roman"/>
          <w:sz w:val="24"/>
          <w:szCs w:val="24"/>
        </w:rPr>
      </w:pPr>
      <w:r w:rsidRPr="009F1FB4">
        <w:rPr>
          <w:rFonts w:ascii="Times New Roman" w:eastAsia="Times New Roman" w:hAnsi="Times New Roman"/>
          <w:b/>
          <w:sz w:val="24"/>
        </w:rPr>
        <w:t xml:space="preserve">Wang, Q., Xie, D., &amp; Ai, L. (2026). The influence of teacher parental leadership on medical students’ learning burnout in Guangxi, China. </w:t>
      </w:r>
      <w:r w:rsidRPr="009F1FB4">
        <w:rPr>
          <w:rFonts w:ascii="Times New Roman" w:eastAsia="Times New Roman" w:hAnsi="Times New Roman"/>
          <w:b/>
          <w:i/>
          <w:sz w:val="24"/>
        </w:rPr>
        <w:t>Asian Journal of Current Research, 11</w:t>
      </w:r>
      <w:r w:rsidRPr="009F1FB4">
        <w:rPr>
          <w:rFonts w:ascii="Times New Roman" w:eastAsia="Times New Roman" w:hAnsi="Times New Roman"/>
          <w:b/>
          <w:sz w:val="24"/>
        </w:rPr>
        <w:t>(2), 75–84. https://doi.org/10.56557/ajocr/2026/v11i210400</w:t>
      </w:r>
    </w:p>
    <w:sectPr w:rsidR="00CE75BB">
      <w:type w:val="continuous"/>
      <w:pgSz w:w="11906" w:h="16838"/>
      <w:pgMar w:top="1440" w:right="1440" w:bottom="2172" w:left="1440" w:header="0" w:footer="144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7DE1C" w14:textId="77777777" w:rsidR="008C4A6C" w:rsidRDefault="008C4A6C">
      <w:pPr>
        <w:spacing w:after="0" w:line="240" w:lineRule="auto"/>
      </w:pPr>
      <w:r>
        <w:separator/>
      </w:r>
    </w:p>
  </w:endnote>
  <w:endnote w:type="continuationSeparator" w:id="0">
    <w:p w14:paraId="203A8C40" w14:textId="77777777" w:rsidR="008C4A6C" w:rsidRDefault="008C4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3358D" w14:textId="77777777" w:rsidR="003F2302" w:rsidRDefault="003F23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43BE" w14:textId="77777777" w:rsidR="003F2302" w:rsidRDefault="00000000">
    <w:pPr>
      <w:pStyle w:val="Footer"/>
      <w:jc w:val="center"/>
    </w:pPr>
    <w:r>
      <w:fldChar w:fldCharType="begin"/>
    </w:r>
    <w:r>
      <w:instrText xml:space="preserve"> PAGE </w:instrText>
    </w:r>
    <w:r>
      <w:fldChar w:fldCharType="separate"/>
    </w:r>
    <w: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9" w:name="PageNumWizard_FOOTER_Default_Page_Style1"/>
  <w:p w14:paraId="677A89BE" w14:textId="77777777" w:rsidR="003F2302" w:rsidRDefault="00000000">
    <w:pPr>
      <w:pStyle w:val="Footer"/>
      <w:jc w:val="center"/>
    </w:pPr>
    <w:r>
      <w:fldChar w:fldCharType="begin"/>
    </w:r>
    <w:r>
      <w:instrText xml:space="preserve"> PAGE </w:instrText>
    </w:r>
    <w:r>
      <w:fldChar w:fldCharType="separate"/>
    </w:r>
    <w:r>
      <w:t>15</w:t>
    </w:r>
    <w:r>
      <w:fldChar w:fldCharType="end"/>
    </w:r>
    <w:bookmarkEnd w:id="4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563B3" w14:textId="77777777" w:rsidR="008C4A6C" w:rsidRDefault="008C4A6C">
      <w:pPr>
        <w:spacing w:after="0" w:line="240" w:lineRule="auto"/>
      </w:pPr>
      <w:r>
        <w:separator/>
      </w:r>
    </w:p>
  </w:footnote>
  <w:footnote w:type="continuationSeparator" w:id="0">
    <w:p w14:paraId="0142B80F" w14:textId="77777777" w:rsidR="008C4A6C" w:rsidRDefault="008C4A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FD93F" w14:textId="77777777" w:rsidR="003F2302" w:rsidRDefault="00000000">
    <w:pPr>
      <w:pStyle w:val="Header"/>
    </w:pPr>
    <w:r>
      <w:pict w14:anchorId="754703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9974047" o:spid="_x0000_s1027" type="#_x0000_t136" style="position:absolute;margin-left:0;margin-top:0;width:535.75pt;height:61.85pt;rotation:315;z-index:251656704;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EC16F" w14:textId="77777777" w:rsidR="003F2302" w:rsidRDefault="00000000">
    <w:pPr>
      <w:pStyle w:val="Header"/>
    </w:pPr>
    <w:r>
      <w:pict w14:anchorId="406698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9974048" o:spid="_x0000_s1026" type="#_x0000_t136" style="position:absolute;margin-left:0;margin-top:0;width:535.75pt;height:61.85pt;rotation:315;z-index:251657728;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44781" w14:textId="77777777" w:rsidR="003F2302" w:rsidRDefault="00000000">
    <w:pPr>
      <w:pStyle w:val="Header"/>
    </w:pPr>
    <w:r>
      <w:pict w14:anchorId="3AE47F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style="position:absolute;margin-left:0;margin-top:0;width:535.75pt;height:61.85pt;rotation:315;z-index:251658752;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48366E"/>
    <w:multiLevelType w:val="hybridMultilevel"/>
    <w:tmpl w:val="B8786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4A1896"/>
    <w:multiLevelType w:val="multilevel"/>
    <w:tmpl w:val="E67E379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E7E69E0"/>
    <w:multiLevelType w:val="multilevel"/>
    <w:tmpl w:val="165E663A"/>
    <w:lvl w:ilvl="0">
      <w:start w:val="1"/>
      <w:numFmt w:val="bullet"/>
      <w:lvlText w:val=""/>
      <w:lvlJc w:val="left"/>
      <w:pPr>
        <w:tabs>
          <w:tab w:val="num" w:pos="720"/>
        </w:tabs>
        <w:ind w:left="720" w:hanging="360"/>
      </w:pPr>
      <w:rPr>
        <w:rFonts w:ascii="Symbol" w:hAnsi="Symbol" w:cs="Symbol" w:hint="default"/>
        <w:sz w:val="20"/>
      </w:rPr>
    </w:lvl>
    <w:lvl w:ilvl="1">
      <w:numFmt w:val="bullet"/>
      <w:lvlText w:val="-"/>
      <w:lvlJc w:val="left"/>
      <w:pPr>
        <w:tabs>
          <w:tab w:val="num" w:pos="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num w:numId="1" w16cid:durableId="1487621742">
    <w:abstractNumId w:val="2"/>
  </w:num>
  <w:num w:numId="2" w16cid:durableId="1595283548">
    <w:abstractNumId w:val="1"/>
  </w:num>
  <w:num w:numId="3" w16cid:durableId="1511942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3F2302"/>
    <w:rsid w:val="000F0BF6"/>
    <w:rsid w:val="000F69F7"/>
    <w:rsid w:val="001011A9"/>
    <w:rsid w:val="00242355"/>
    <w:rsid w:val="003F2302"/>
    <w:rsid w:val="004F6F62"/>
    <w:rsid w:val="008C4A6C"/>
    <w:rsid w:val="00987F53"/>
    <w:rsid w:val="009F1FB4"/>
    <w:rsid w:val="00CE75BB"/>
    <w:rsid w:val="00EB7403"/>
    <w:rsid w:val="00EC40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DE8F3"/>
  <w15:docId w15:val="{00C7E6D4-4EF0-4893-A94C-34C57CB69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9440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440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440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440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440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440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40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40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40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9440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9440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9440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9440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9440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9440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9440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9440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944078"/>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944078"/>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944078"/>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944078"/>
    <w:rPr>
      <w:i/>
      <w:iCs/>
      <w:color w:val="404040" w:themeColor="text1" w:themeTint="BF"/>
    </w:rPr>
  </w:style>
  <w:style w:type="character" w:styleId="IntenseEmphasis">
    <w:name w:val="Intense Emphasis"/>
    <w:basedOn w:val="DefaultParagraphFont"/>
    <w:uiPriority w:val="21"/>
    <w:qFormat/>
    <w:rsid w:val="00944078"/>
    <w:rPr>
      <w:i/>
      <w:iCs/>
      <w:color w:val="2F5496" w:themeColor="accent1" w:themeShade="BF"/>
    </w:rPr>
  </w:style>
  <w:style w:type="character" w:customStyle="1" w:styleId="IntenseQuoteChar">
    <w:name w:val="Intense Quote Char"/>
    <w:basedOn w:val="DefaultParagraphFont"/>
    <w:link w:val="IntenseQuote"/>
    <w:uiPriority w:val="30"/>
    <w:qFormat/>
    <w:rsid w:val="00944078"/>
    <w:rPr>
      <w:i/>
      <w:iCs/>
      <w:color w:val="2F5496" w:themeColor="accent1" w:themeShade="BF"/>
    </w:rPr>
  </w:style>
  <w:style w:type="character" w:styleId="IntenseReference">
    <w:name w:val="Intense Reference"/>
    <w:basedOn w:val="DefaultParagraphFont"/>
    <w:uiPriority w:val="32"/>
    <w:qFormat/>
    <w:rsid w:val="00944078"/>
    <w:rPr>
      <w:b/>
      <w:bCs/>
      <w:smallCaps/>
      <w:color w:val="2F5496" w:themeColor="accent1" w:themeShade="BF"/>
      <w:spacing w:val="5"/>
    </w:rPr>
  </w:style>
  <w:style w:type="character" w:styleId="Hyperlink">
    <w:name w:val="Hyperlink"/>
    <w:basedOn w:val="DefaultParagraphFont"/>
    <w:uiPriority w:val="99"/>
    <w:unhideWhenUsed/>
    <w:rsid w:val="00944078"/>
    <w:rPr>
      <w:color w:val="0000FF"/>
      <w:u w:val="single"/>
    </w:rPr>
  </w:style>
  <w:style w:type="character" w:styleId="FollowedHyperlink">
    <w:name w:val="FollowedHyperlink"/>
    <w:basedOn w:val="DefaultParagraphFont"/>
    <w:uiPriority w:val="99"/>
    <w:semiHidden/>
    <w:unhideWhenUsed/>
    <w:rsid w:val="00944078"/>
    <w:rPr>
      <w:color w:val="800080"/>
      <w:u w:val="single"/>
    </w:rPr>
  </w:style>
  <w:style w:type="character" w:customStyle="1" w:styleId="header-wordmark">
    <w:name w:val="header-wordmark"/>
    <w:basedOn w:val="DefaultParagraphFont"/>
    <w:qFormat/>
    <w:rsid w:val="00944078"/>
  </w:style>
  <w:style w:type="character" w:customStyle="1" w:styleId="sr-only">
    <w:name w:val="sr-only"/>
    <w:basedOn w:val="DefaultParagraphFont"/>
    <w:qFormat/>
    <w:rsid w:val="00944078"/>
  </w:style>
  <w:style w:type="character" w:styleId="Strong">
    <w:name w:val="Strong"/>
    <w:basedOn w:val="DefaultParagraphFont"/>
    <w:uiPriority w:val="22"/>
    <w:qFormat/>
    <w:rsid w:val="00944078"/>
    <w:rPr>
      <w:b/>
      <w:bCs/>
    </w:rPr>
  </w:style>
  <w:style w:type="character" w:styleId="Emphasis">
    <w:name w:val="Emphasis"/>
    <w:basedOn w:val="DefaultParagraphFont"/>
    <w:uiPriority w:val="20"/>
    <w:qFormat/>
    <w:rsid w:val="00944078"/>
    <w:rPr>
      <w:i/>
      <w:iCs/>
    </w:rPr>
  </w:style>
  <w:style w:type="character" w:customStyle="1" w:styleId="katex-display">
    <w:name w:val="katex-display"/>
    <w:basedOn w:val="DefaultParagraphFont"/>
    <w:qFormat/>
    <w:rsid w:val="00944078"/>
  </w:style>
  <w:style w:type="character" w:customStyle="1" w:styleId="katex">
    <w:name w:val="katex"/>
    <w:basedOn w:val="DefaultParagraphFont"/>
    <w:qFormat/>
    <w:rsid w:val="00944078"/>
  </w:style>
  <w:style w:type="character" w:customStyle="1" w:styleId="katex-mathml">
    <w:name w:val="katex-mathml"/>
    <w:basedOn w:val="DefaultParagraphFont"/>
    <w:qFormat/>
    <w:rsid w:val="00944078"/>
  </w:style>
  <w:style w:type="character" w:customStyle="1" w:styleId="katex-html">
    <w:name w:val="katex-html"/>
    <w:basedOn w:val="DefaultParagraphFont"/>
    <w:qFormat/>
    <w:rsid w:val="00944078"/>
  </w:style>
  <w:style w:type="character" w:customStyle="1" w:styleId="base">
    <w:name w:val="base"/>
    <w:basedOn w:val="DefaultParagraphFont"/>
    <w:qFormat/>
    <w:rsid w:val="00944078"/>
  </w:style>
  <w:style w:type="character" w:customStyle="1" w:styleId="strut">
    <w:name w:val="strut"/>
    <w:basedOn w:val="DefaultParagraphFont"/>
    <w:qFormat/>
    <w:rsid w:val="00944078"/>
  </w:style>
  <w:style w:type="character" w:customStyle="1" w:styleId="mord">
    <w:name w:val="mord"/>
    <w:basedOn w:val="DefaultParagraphFont"/>
    <w:qFormat/>
    <w:rsid w:val="00944078"/>
  </w:style>
  <w:style w:type="character" w:customStyle="1" w:styleId="mspace">
    <w:name w:val="mspace"/>
    <w:basedOn w:val="DefaultParagraphFont"/>
    <w:qFormat/>
    <w:rsid w:val="00944078"/>
  </w:style>
  <w:style w:type="character" w:customStyle="1" w:styleId="mrel">
    <w:name w:val="mrel"/>
    <w:basedOn w:val="DefaultParagraphFont"/>
    <w:qFormat/>
    <w:rsid w:val="00944078"/>
  </w:style>
  <w:style w:type="character" w:customStyle="1" w:styleId="mopen">
    <w:name w:val="mopen"/>
    <w:basedOn w:val="DefaultParagraphFont"/>
    <w:qFormat/>
    <w:rsid w:val="00944078"/>
  </w:style>
  <w:style w:type="character" w:customStyle="1" w:styleId="mfrac">
    <w:name w:val="mfrac"/>
    <w:basedOn w:val="DefaultParagraphFont"/>
    <w:qFormat/>
    <w:rsid w:val="00944078"/>
  </w:style>
  <w:style w:type="character" w:customStyle="1" w:styleId="vlist-t">
    <w:name w:val="vlist-t"/>
    <w:basedOn w:val="DefaultParagraphFont"/>
    <w:qFormat/>
    <w:rsid w:val="00944078"/>
  </w:style>
  <w:style w:type="character" w:customStyle="1" w:styleId="vlist-r">
    <w:name w:val="vlist-r"/>
    <w:basedOn w:val="DefaultParagraphFont"/>
    <w:qFormat/>
    <w:rsid w:val="00944078"/>
  </w:style>
  <w:style w:type="character" w:customStyle="1" w:styleId="vlist">
    <w:name w:val="vlist"/>
    <w:basedOn w:val="DefaultParagraphFont"/>
    <w:qFormat/>
    <w:rsid w:val="00944078"/>
  </w:style>
  <w:style w:type="character" w:customStyle="1" w:styleId="pstrut">
    <w:name w:val="pstrut"/>
    <w:basedOn w:val="DefaultParagraphFont"/>
    <w:qFormat/>
    <w:rsid w:val="00944078"/>
  </w:style>
  <w:style w:type="character" w:customStyle="1" w:styleId="msupsub">
    <w:name w:val="msupsub"/>
    <w:basedOn w:val="DefaultParagraphFont"/>
    <w:qFormat/>
    <w:rsid w:val="00944078"/>
  </w:style>
  <w:style w:type="character" w:customStyle="1" w:styleId="sizing">
    <w:name w:val="sizing"/>
    <w:basedOn w:val="DefaultParagraphFont"/>
    <w:qFormat/>
    <w:rsid w:val="00944078"/>
  </w:style>
  <w:style w:type="character" w:customStyle="1" w:styleId="frac-line">
    <w:name w:val="frac-line"/>
    <w:basedOn w:val="DefaultParagraphFont"/>
    <w:qFormat/>
    <w:rsid w:val="00944078"/>
  </w:style>
  <w:style w:type="character" w:customStyle="1" w:styleId="vlist-s">
    <w:name w:val="vlist-s"/>
    <w:basedOn w:val="DefaultParagraphFont"/>
    <w:qFormat/>
    <w:rsid w:val="00944078"/>
  </w:style>
  <w:style w:type="character" w:customStyle="1" w:styleId="mclose">
    <w:name w:val="mclose"/>
    <w:basedOn w:val="DefaultParagraphFont"/>
    <w:qFormat/>
    <w:rsid w:val="00944078"/>
  </w:style>
  <w:style w:type="character" w:customStyle="1" w:styleId="z-TopofFormChar">
    <w:name w:val="z-Top of Form Char"/>
    <w:basedOn w:val="DefaultParagraphFont"/>
    <w:link w:val="z-TopofForm"/>
    <w:uiPriority w:val="99"/>
    <w:semiHidden/>
    <w:qFormat/>
    <w:rsid w:val="00944078"/>
    <w:rPr>
      <w:rFonts w:ascii="Arial" w:eastAsia="Times New Roman" w:hAnsi="Arial" w:cs="Arial"/>
      <w:vanish/>
      <w:sz w:val="16"/>
      <w:szCs w:val="16"/>
    </w:rPr>
  </w:style>
  <w:style w:type="character" w:customStyle="1" w:styleId="flex">
    <w:name w:val="flex"/>
    <w:basedOn w:val="DefaultParagraphFont"/>
    <w:qFormat/>
    <w:rsid w:val="00944078"/>
  </w:style>
  <w:style w:type="character" w:customStyle="1" w:styleId="z-BottomofFormChar">
    <w:name w:val="z-Bottom of Form Char"/>
    <w:basedOn w:val="DefaultParagraphFont"/>
    <w:link w:val="z-BottomofForm"/>
    <w:uiPriority w:val="99"/>
    <w:semiHidden/>
    <w:qFormat/>
    <w:rsid w:val="00944078"/>
    <w:rPr>
      <w:rFonts w:ascii="Arial" w:eastAsia="Times New Roman" w:hAnsi="Arial" w:cs="Arial"/>
      <w:vanish/>
      <w:sz w:val="16"/>
      <w:szCs w:val="16"/>
    </w:rPr>
  </w:style>
  <w:style w:type="character" w:styleId="UnresolvedMention">
    <w:name w:val="Unresolved Mention"/>
    <w:basedOn w:val="DefaultParagraphFont"/>
    <w:uiPriority w:val="99"/>
    <w:semiHidden/>
    <w:unhideWhenUsed/>
    <w:qFormat/>
    <w:rsid w:val="00944078"/>
    <w:rPr>
      <w:color w:val="605E5C"/>
      <w:shd w:val="clear" w:color="auto" w:fill="E1DFDD"/>
    </w:rPr>
  </w:style>
  <w:style w:type="character" w:customStyle="1" w:styleId="FootnoteTextChar">
    <w:name w:val="Footnote Text Char"/>
    <w:basedOn w:val="DefaultParagraphFont"/>
    <w:link w:val="FootnoteText"/>
    <w:uiPriority w:val="99"/>
    <w:semiHidden/>
    <w:qFormat/>
    <w:rsid w:val="00C021A6"/>
    <w:rPr>
      <w:sz w:val="20"/>
      <w:szCs w:val="20"/>
    </w:rPr>
  </w:style>
  <w:style w:type="character" w:customStyle="1" w:styleId="HeaderChar">
    <w:name w:val="Header Char"/>
    <w:basedOn w:val="DefaultParagraphFont"/>
    <w:link w:val="Header"/>
    <w:uiPriority w:val="99"/>
    <w:qFormat/>
    <w:rsid w:val="00E460B2"/>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styleId="Title">
    <w:name w:val="Title"/>
    <w:basedOn w:val="Normal"/>
    <w:next w:val="Normal"/>
    <w:link w:val="TitleChar"/>
    <w:uiPriority w:val="10"/>
    <w:qFormat/>
    <w:rsid w:val="00944078"/>
    <w:pPr>
      <w:spacing w:after="80" w:line="240" w:lineRule="auto"/>
      <w:contextualSpacing/>
    </w:pPr>
    <w:rPr>
      <w:rFonts w:asciiTheme="majorHAnsi" w:eastAsiaTheme="majorEastAsia" w:hAnsiTheme="majorHAnsi" w:cstheme="majorBidi"/>
      <w:spacing w:val="-10"/>
      <w:kern w:val="2"/>
      <w:sz w:val="56"/>
      <w:szCs w:val="56"/>
    </w:rPr>
  </w:style>
  <w:style w:type="paragraph" w:styleId="Subtitle">
    <w:name w:val="Subtitle"/>
    <w:basedOn w:val="Normal"/>
    <w:next w:val="Normal"/>
    <w:link w:val="SubtitleChar"/>
    <w:uiPriority w:val="11"/>
    <w:qFormat/>
    <w:rsid w:val="009440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4078"/>
    <w:pPr>
      <w:spacing w:before="160"/>
      <w:jc w:val="center"/>
    </w:pPr>
    <w:rPr>
      <w:i/>
      <w:iCs/>
      <w:color w:val="404040" w:themeColor="text1" w:themeTint="BF"/>
    </w:rPr>
  </w:style>
  <w:style w:type="paragraph" w:styleId="ListParagraph">
    <w:name w:val="List Paragraph"/>
    <w:basedOn w:val="Normal"/>
    <w:uiPriority w:val="34"/>
    <w:qFormat/>
    <w:rsid w:val="00944078"/>
    <w:pPr>
      <w:ind w:left="720"/>
      <w:contextualSpacing/>
    </w:pPr>
  </w:style>
  <w:style w:type="paragraph" w:styleId="IntenseQuote">
    <w:name w:val="Intense Quote"/>
    <w:basedOn w:val="Normal"/>
    <w:next w:val="Normal"/>
    <w:link w:val="IntenseQuoteChar"/>
    <w:uiPriority w:val="30"/>
    <w:qFormat/>
    <w:rsid w:val="009440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customStyle="1" w:styleId="msonormal0">
    <w:name w:val="msonormal"/>
    <w:basedOn w:val="Normal"/>
    <w:qFormat/>
    <w:rsid w:val="00944078"/>
    <w:pPr>
      <w:spacing w:beforeAutospacing="1" w:afterAutospacing="1" w:line="240" w:lineRule="auto"/>
    </w:pPr>
    <w:rPr>
      <w:rFonts w:ascii="Times New Roman" w:eastAsia="Times New Roman" w:hAnsi="Times New Roman" w:cs="Times New Roman"/>
      <w:sz w:val="24"/>
      <w:szCs w:val="24"/>
    </w:rPr>
  </w:style>
  <w:style w:type="paragraph" w:customStyle="1" w:styleId="list-none">
    <w:name w:val="list-none"/>
    <w:basedOn w:val="Normal"/>
    <w:qFormat/>
    <w:rsid w:val="00944078"/>
    <w:pPr>
      <w:spacing w:beforeAutospacing="1"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qFormat/>
    <w:rsid w:val="00944078"/>
    <w:pPr>
      <w:spacing w:beforeAutospacing="1"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uiPriority w:val="99"/>
    <w:semiHidden/>
    <w:unhideWhenUsed/>
    <w:qFormat/>
    <w:rsid w:val="00944078"/>
    <w:pPr>
      <w:pBdr>
        <w:bottom w:val="single" w:sz="6" w:space="1" w:color="000000"/>
      </w:pBdr>
      <w:spacing w:after="0" w:line="240" w:lineRule="auto"/>
      <w:jc w:val="center"/>
    </w:pPr>
    <w:rPr>
      <w:rFonts w:ascii="Arial" w:eastAsia="Times New Roman" w:hAnsi="Arial" w:cs="Arial"/>
      <w:vanish/>
      <w:sz w:val="16"/>
      <w:szCs w:val="16"/>
    </w:rPr>
  </w:style>
  <w:style w:type="paragraph" w:customStyle="1" w:styleId="placeholder">
    <w:name w:val="placeholder"/>
    <w:basedOn w:val="Normal"/>
    <w:qFormat/>
    <w:rsid w:val="00944078"/>
    <w:pPr>
      <w:spacing w:beforeAutospacing="1"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uiPriority w:val="99"/>
    <w:semiHidden/>
    <w:unhideWhenUsed/>
    <w:qFormat/>
    <w:rsid w:val="00944078"/>
    <w:pPr>
      <w:pBdr>
        <w:top w:val="single" w:sz="6" w:space="1" w:color="000000"/>
      </w:pBdr>
      <w:spacing w:after="0" w:line="240" w:lineRule="auto"/>
      <w:jc w:val="center"/>
    </w:pPr>
    <w:rPr>
      <w:rFonts w:ascii="Arial" w:eastAsia="Times New Roman" w:hAnsi="Arial" w:cs="Arial"/>
      <w:vanish/>
      <w:sz w:val="16"/>
      <w:szCs w:val="16"/>
    </w:rPr>
  </w:style>
  <w:style w:type="paragraph" w:styleId="FootnoteText">
    <w:name w:val="footnote text"/>
    <w:basedOn w:val="Normal"/>
    <w:link w:val="FootnoteTextChar"/>
    <w:uiPriority w:val="99"/>
    <w:semiHidden/>
    <w:unhideWhenUsed/>
    <w:rsid w:val="00C021A6"/>
    <w:pPr>
      <w:spacing w:after="0" w:line="240" w:lineRule="auto"/>
    </w:pPr>
    <w:rPr>
      <w:sz w:val="20"/>
      <w:szCs w:val="20"/>
    </w:rPr>
  </w:style>
  <w:style w:type="paragraph" w:customStyle="1" w:styleId="FrameContentsuser">
    <w:name w:val="Frame Contents (user)"/>
    <w:basedOn w:val="Normal"/>
    <w:qFormat/>
  </w:style>
  <w:style w:type="paragraph" w:customStyle="1" w:styleId="HeaderandFooter">
    <w:name w:val="Header and Footer"/>
    <w:basedOn w:val="Normal"/>
    <w:qFormat/>
    <w:pPr>
      <w:suppressLineNumbers/>
      <w:tabs>
        <w:tab w:val="center" w:pos="4513"/>
        <w:tab w:val="right" w:pos="9026"/>
      </w:tabs>
    </w:pPr>
  </w:style>
  <w:style w:type="paragraph" w:styleId="Footer">
    <w:name w:val="footer"/>
    <w:basedOn w:val="HeaderandFooter"/>
  </w:style>
  <w:style w:type="paragraph" w:customStyle="1" w:styleId="Bibliography1">
    <w:name w:val="Bibliography 1"/>
    <w:basedOn w:val="Index"/>
    <w:qFormat/>
    <w:pPr>
      <w:tabs>
        <w:tab w:val="left" w:pos="384"/>
      </w:tabs>
      <w:spacing w:after="240" w:line="240" w:lineRule="atLeast"/>
      <w:ind w:left="384" w:hanging="384"/>
    </w:pPr>
  </w:style>
  <w:style w:type="paragraph" w:styleId="Header">
    <w:name w:val="header"/>
    <w:basedOn w:val="Normal"/>
    <w:link w:val="HeaderChar"/>
    <w:uiPriority w:val="99"/>
    <w:unhideWhenUsed/>
    <w:rsid w:val="00E460B2"/>
    <w:pPr>
      <w:tabs>
        <w:tab w:val="center" w:pos="4680"/>
        <w:tab w:val="right" w:pos="9360"/>
      </w:tabs>
      <w:spacing w:after="0" w:line="240" w:lineRule="auto"/>
    </w:pPr>
  </w:style>
  <w:style w:type="paragraph" w:customStyle="1" w:styleId="FrameContents">
    <w:name w:val="Frame Contents"/>
    <w:basedOn w:val="Normal"/>
    <w:qFormat/>
  </w:style>
  <w:style w:type="table" w:styleId="TableGrid">
    <w:name w:val="Table Grid"/>
    <w:basedOn w:val="TableNormal"/>
    <w:uiPriority w:val="39"/>
    <w:rsid w:val="00723E8E"/>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who.int/publications/i/item/9789240049338?utm_source=chatgpt.com" TargetMode="External"/><Relationship Id="rId18" Type="http://schemas.openxmlformats.org/officeDocument/2006/relationships/hyperlink" Target="https://doi.org/10.1371/journal.pone.0312281?utm_source=chatgpt.com" TargetMode="External"/><Relationship Id="rId3" Type="http://schemas.openxmlformats.org/officeDocument/2006/relationships/settings" Target="settings.xml"/><Relationship Id="rId21" Type="http://schemas.openxmlformats.org/officeDocument/2006/relationships/hyperlink" Target="https://doi.org/10.11604/pamj.2020.37.5.24898?utm_source=chatgpt.com"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doi.org/10.3390/medicina60040575?utm_source=chatgpt.com" TargetMode="External"/><Relationship Id="rId2" Type="http://schemas.openxmlformats.org/officeDocument/2006/relationships/styles" Target="styles.xml"/><Relationship Id="rId16" Type="http://schemas.openxmlformats.org/officeDocument/2006/relationships/hyperlink" Target="https://doi.org/10.1001/jama.2016.17324?utm_source=chatgpt.com" TargetMode="External"/><Relationship Id="rId20" Type="http://schemas.openxmlformats.org/officeDocument/2006/relationships/hyperlink" Target="https://doi.org/10.1037/13620-004?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njms.com.ng/journal/index.php/wnjms/article/view/99?utm_source=chatgpt.com"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journalajmpcp.com/index.php/AJMPCP/article/view/157?utm_source=chatgpt.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i.org/10.1080/10872981.2019.1603526?utm_source=chatgpt.com" TargetMode="External"/><Relationship Id="rId22" Type="http://schemas.openxmlformats.org/officeDocument/2006/relationships/hyperlink" Target="https://doi.org/10.1177/00207640211057706?utm_source=chatgpt.com"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3363</TotalTime>
  <Pages>16</Pages>
  <Words>4881</Words>
  <Characters>27823</Characters>
  <Application>Microsoft Office Word</Application>
  <DocSecurity>0</DocSecurity>
  <Lines>231</Lines>
  <Paragraphs>65</Paragraphs>
  <ScaleCrop>false</ScaleCrop>
  <Company/>
  <LinksUpToDate>false</LinksUpToDate>
  <CharactersWithSpaces>32639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Adeoye Oyewole</dc:creator>
  <dc:description/>
  <cp:lastModifiedBy>SDI CPU 1019</cp:lastModifiedBy>
  <cp:revision>48</cp:revision>
  <dcterms:created xsi:type="dcterms:W3CDTF">2026-07-19T05:30:00Z</dcterms:created>
  <dcterms:modified xsi:type="dcterms:W3CDTF">2026-08-31T09:33:00Z</dcterms:modified>
  <dc:language>en-NG</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0dc5fcb2-4b1f-415f-879f-f83c98ba0a1b</vt:lpwstr>
  </property>
  <property fmtid="{D5CDD505-2E9C-101B-9397-08002B2CF9AE}" pid="3" name="ZOTERO_PREF_1">
    <vt:lpwstr>&lt;data data-version="3" zotero-version="9.0.6"&gt;&lt;session id="ml07Rekr"/&gt;&lt;style id="http://www.zotero.org/styles/vancouver-ama" hasBibliography="1" bibliographyStyleHasBeenSet="1"/&gt;&lt;prefs&gt;&lt;pref name="fieldType" value="ReferenceMark"/&gt;&lt;pref name="automaticJou</vt:lpwstr>
  </property>
  <property fmtid="{D5CDD505-2E9C-101B-9397-08002B2CF9AE}" pid="4" name="ZOTERO_PREF_2">
    <vt:lpwstr>rnalAbbreviations" value="true"/&gt;&lt;/prefs&gt;&lt;/data&gt;</vt:lpwstr>
  </property>
</Properties>
</file>