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6F441" w14:textId="77777777" w:rsidR="00C200E0" w:rsidRPr="00C200E0" w:rsidRDefault="00C200E0" w:rsidP="00C200E0">
      <w:pPr>
        <w:pStyle w:val="Title"/>
        <w:jc w:val="both"/>
        <w:rPr>
          <w:rFonts w:ascii="Arial" w:hAnsi="Arial" w:cs="Arial"/>
          <w:bCs/>
          <w:i/>
          <w:iCs/>
          <w:u w:val="single"/>
          <w:lang w:val="en-US"/>
        </w:rPr>
      </w:pPr>
      <w:r w:rsidRPr="00C200E0">
        <w:rPr>
          <w:rFonts w:ascii="Arial" w:hAnsi="Arial" w:cs="Arial"/>
          <w:bCs/>
          <w:i/>
          <w:iCs/>
          <w:u w:val="single"/>
          <w:lang w:val="en-US"/>
        </w:rPr>
        <w:t>Original Research Article</w:t>
      </w:r>
    </w:p>
    <w:p w14:paraId="62954A23" w14:textId="77777777" w:rsidR="00754C9A" w:rsidRDefault="00754C9A" w:rsidP="00441B6F">
      <w:pPr>
        <w:pStyle w:val="Title"/>
        <w:spacing w:after="0"/>
        <w:jc w:val="both"/>
        <w:rPr>
          <w:rFonts w:ascii="Arial" w:hAnsi="Arial" w:cs="Arial"/>
        </w:rPr>
      </w:pPr>
    </w:p>
    <w:p w14:paraId="144A0978" w14:textId="77777777" w:rsidR="00163BC4" w:rsidRPr="00163BC4" w:rsidRDefault="00975A41" w:rsidP="00441B6F">
      <w:pPr>
        <w:pStyle w:val="Author"/>
        <w:spacing w:line="240" w:lineRule="auto"/>
        <w:rPr>
          <w:rFonts w:ascii="Arial" w:hAnsi="Arial" w:cs="Arial"/>
          <w:bCs/>
          <w:iCs/>
          <w:kern w:val="28"/>
          <w:sz w:val="36"/>
        </w:rPr>
      </w:pPr>
      <w:r w:rsidRPr="00975A41">
        <w:rPr>
          <w:rFonts w:ascii="Arial" w:hAnsi="Arial" w:cs="Arial"/>
          <w:color w:val="000000"/>
          <w:sz w:val="36"/>
          <w:szCs w:val="36"/>
        </w:rPr>
        <w:t>Measuring Student Engagement Through LMS Analytics: A Comparative Content Analysis of Moodle, Canvas, Blackboard Learn, and D2L Brightspace</w:t>
      </w:r>
    </w:p>
    <w:p w14:paraId="7759F185" w14:textId="77777777" w:rsidR="00A258C3" w:rsidRPr="00790ADA" w:rsidRDefault="00A258C3" w:rsidP="00441B6F">
      <w:pPr>
        <w:pStyle w:val="Author"/>
        <w:spacing w:line="240" w:lineRule="auto"/>
        <w:jc w:val="both"/>
        <w:rPr>
          <w:rFonts w:ascii="Arial" w:hAnsi="Arial" w:cs="Arial"/>
          <w:sz w:val="36"/>
        </w:rPr>
      </w:pPr>
    </w:p>
    <w:p w14:paraId="50936C9B" w14:textId="77777777" w:rsidR="00841EBD" w:rsidRPr="00FB3A86" w:rsidRDefault="00841EBD" w:rsidP="00441B6F">
      <w:pPr>
        <w:pStyle w:val="Affiliation"/>
        <w:spacing w:after="0" w:line="240" w:lineRule="auto"/>
        <w:jc w:val="both"/>
        <w:rPr>
          <w:rFonts w:ascii="Arial" w:hAnsi="Arial" w:cs="Arial"/>
        </w:rPr>
      </w:pPr>
    </w:p>
    <w:p w14:paraId="42BA68B9" w14:textId="77777777" w:rsidR="00B01FCD" w:rsidRPr="00FB3A86" w:rsidRDefault="00FC4AE7" w:rsidP="00441B6F">
      <w:pPr>
        <w:pStyle w:val="Copyright"/>
        <w:spacing w:after="0" w:line="240" w:lineRule="auto"/>
        <w:jc w:val="both"/>
        <w:rPr>
          <w:rFonts w:ascii="Arial" w:hAnsi="Arial" w:cs="Arial"/>
        </w:rPr>
        <w:sectPr w:rsidR="00B01FCD" w:rsidRPr="00FB3A86" w:rsidSect="008A4597">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08EFAC1B" wp14:editId="6DAA30CB">
                <wp:extent cx="5303520" cy="635"/>
                <wp:effectExtent l="0" t="12700" r="5080" b="12065"/>
                <wp:docPr id="64625511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C6F3400"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" strokeweight="1.5pt">
                <o:lock v:ext="edit" shapetype="f"/>
                <w10:anchorlock/>
              </v:shape>
            </w:pict>
          </mc:Fallback>
        </mc:AlternateContent>
      </w:r>
      <w:r w:rsidR="00FB3A86">
        <w:rPr>
          <w:rFonts w:ascii="Arial" w:hAnsi="Arial" w:cs="Arial"/>
        </w:rPr>
        <w:t>.</w:t>
      </w:r>
    </w:p>
    <w:p w14:paraId="04506910" w14:textId="77777777" w:rsidR="00B01FCD" w:rsidRDefault="00B01FCD" w:rsidP="00441B6F">
      <w:pPr>
        <w:pStyle w:val="AbstHead"/>
        <w:spacing w:after="0"/>
        <w:jc w:val="both"/>
        <w:rPr>
          <w:rFonts w:ascii="Arial" w:hAnsi="Arial" w:cs="Arial"/>
        </w:rPr>
      </w:pPr>
      <w:r w:rsidRPr="00FB3A86">
        <w:rPr>
          <w:rFonts w:ascii="Arial" w:hAnsi="Arial" w:cs="Arial"/>
        </w:rPr>
        <w:t>ABSTRACT</w:t>
      </w:r>
    </w:p>
    <w:p w14:paraId="1BDB34DA" w14:textId="77777777" w:rsidR="00790ADA" w:rsidRPr="00FB3A86"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3682F8C1" w14:textId="77777777" w:rsidTr="001E44FE">
        <w:tc>
          <w:tcPr>
            <w:tcW w:w="9576" w:type="dxa"/>
            <w:shd w:val="clear" w:color="auto" w:fill="F2F2F2"/>
          </w:tcPr>
          <w:p w14:paraId="43873EDA" w14:textId="77777777" w:rsidR="00505F06" w:rsidRPr="00B2615A" w:rsidRDefault="00975A41" w:rsidP="00975A41">
            <w:pPr>
              <w:pStyle w:val="NormalWeb"/>
              <w:spacing w:before="120" w:beforeAutospacing="0" w:after="120" w:afterAutospacing="0"/>
            </w:pPr>
            <w:r>
              <w:rPr>
                <w:rFonts w:ascii="Arial" w:hAnsi="Arial" w:cs="Arial"/>
                <w:color w:val="000000"/>
                <w:sz w:val="20"/>
                <w:szCs w:val="20"/>
              </w:rPr>
              <w:t xml:space="preserve">Student engagement is an increasingly significant concern in higher education as learning management systems (LMSs) generate and </w:t>
            </w:r>
            <w:r>
              <w:rPr>
                <w:rFonts w:ascii="Arial" w:hAnsi="Arial" w:cs="Arial"/>
                <w:color w:val="000000"/>
                <w:sz w:val="20"/>
                <w:szCs w:val="20"/>
                <w:highlight w:val="yellow"/>
              </w:rPr>
              <w:t>organise</w:t>
            </w:r>
            <w:r>
              <w:rPr>
                <w:rFonts w:ascii="Arial" w:hAnsi="Arial" w:cs="Arial"/>
                <w:color w:val="000000"/>
                <w:sz w:val="20"/>
                <w:szCs w:val="20"/>
              </w:rPr>
              <w:t xml:space="preserve"> extensive data on students' learning activities and interactions. However, LMS analytics do not represent all dimensions of student engagement equally, and limited comparative evidence exists regarding how major LMS platforms publicly document engagement-related indicators. This study addresses this gap through a comparative documentary content analysis of learning analytics in Moodle, Canvas, Blackboard Learn, and D2L Brightspace. </w:t>
            </w:r>
            <w:r>
              <w:rPr>
                <w:rFonts w:ascii="Arial" w:hAnsi="Arial" w:cs="Arial"/>
                <w:color w:val="000000"/>
                <w:sz w:val="20"/>
                <w:szCs w:val="20"/>
                <w:highlight w:val="yellow"/>
              </w:rPr>
              <w:t>Utilising</w:t>
            </w:r>
            <w:r>
              <w:rPr>
                <w:rFonts w:ascii="Arial" w:hAnsi="Arial" w:cs="Arial"/>
                <w:color w:val="000000"/>
                <w:sz w:val="20"/>
                <w:szCs w:val="20"/>
              </w:rPr>
              <w:t xml:space="preserve"> the Student Engagement in Digital Learning (SEDL) Framework, the analysis classifies documented analytics indicators across four engagement dimensions: </w:t>
            </w:r>
            <w:r>
              <w:rPr>
                <w:rFonts w:ascii="Arial" w:hAnsi="Arial" w:cs="Arial"/>
                <w:color w:val="000000"/>
                <w:sz w:val="20"/>
                <w:szCs w:val="20"/>
                <w:highlight w:val="yellow"/>
              </w:rPr>
              <w:t>behavioural</w:t>
            </w:r>
            <w:r>
              <w:rPr>
                <w:rFonts w:ascii="Arial" w:hAnsi="Arial" w:cs="Arial"/>
                <w:color w:val="000000"/>
                <w:sz w:val="20"/>
                <w:szCs w:val="20"/>
              </w:rPr>
              <w:t xml:space="preserve">, cognitive, emotional, and social. The study examines publicly accessible official LMS documentation, including analytics documentation, reporting and dashboard materials, administrator and instructor documentation, and official developer or API documentation that explicitly identifies learner- or learning-related measures. A </w:t>
            </w:r>
            <w:r>
              <w:rPr>
                <w:rFonts w:ascii="Arial" w:hAnsi="Arial" w:cs="Arial"/>
                <w:color w:val="000000"/>
                <w:sz w:val="20"/>
                <w:szCs w:val="20"/>
                <w:highlight w:val="yellow"/>
              </w:rPr>
              <w:t>standardised</w:t>
            </w:r>
            <w:r>
              <w:rPr>
                <w:rFonts w:ascii="Arial" w:hAnsi="Arial" w:cs="Arial"/>
                <w:color w:val="000000"/>
                <w:sz w:val="20"/>
                <w:szCs w:val="20"/>
              </w:rPr>
              <w:t xml:space="preserve"> search protocol, inclusion and exclusion criteria, unit of analysis, and coding procedure yielded a corpus of 101 distinct student engagement indicators. The findings demonstrate that these indicators are unevenly distributed across platforms and engagement dimensions. </w:t>
            </w:r>
            <w:r>
              <w:rPr>
                <w:rFonts w:ascii="Arial" w:hAnsi="Arial" w:cs="Arial"/>
                <w:color w:val="000000"/>
                <w:sz w:val="20"/>
                <w:szCs w:val="20"/>
                <w:highlight w:val="yellow"/>
              </w:rPr>
              <w:t>Behavioural</w:t>
            </w:r>
            <w:r>
              <w:rPr>
                <w:rFonts w:ascii="Arial" w:hAnsi="Arial" w:cs="Arial"/>
                <w:color w:val="000000"/>
                <w:sz w:val="20"/>
                <w:szCs w:val="20"/>
              </w:rPr>
              <w:t xml:space="preserve"> indicators account for 44 indicators (43.6%), social indicators for 35 (34.7%), and cognitive indicators for 22 (21.8%), while no explicit native emotional engagement indicators were identified. Moodle presents the broadest documented measurement profile, with indicators spanning </w:t>
            </w:r>
            <w:r>
              <w:rPr>
                <w:rFonts w:ascii="Arial" w:hAnsi="Arial" w:cs="Arial"/>
                <w:color w:val="000000"/>
                <w:sz w:val="20"/>
                <w:szCs w:val="20"/>
                <w:highlight w:val="yellow"/>
              </w:rPr>
              <w:t>behavioural</w:t>
            </w:r>
            <w:r>
              <w:rPr>
                <w:rFonts w:ascii="Arial" w:hAnsi="Arial" w:cs="Arial"/>
                <w:color w:val="000000"/>
                <w:sz w:val="20"/>
                <w:szCs w:val="20"/>
              </w:rPr>
              <w:t xml:space="preserve">, cognitive, and social engagement, whereas Canvas, Blackboard Learn, and D2L Brightspace are more strongly concentrated on </w:t>
            </w:r>
            <w:r>
              <w:rPr>
                <w:rFonts w:ascii="Arial" w:hAnsi="Arial" w:cs="Arial"/>
                <w:color w:val="000000"/>
                <w:sz w:val="20"/>
                <w:szCs w:val="20"/>
                <w:highlight w:val="yellow"/>
              </w:rPr>
              <w:t>behavioural</w:t>
            </w:r>
            <w:r>
              <w:rPr>
                <w:rFonts w:ascii="Arial" w:hAnsi="Arial" w:cs="Arial"/>
                <w:color w:val="000000"/>
                <w:sz w:val="20"/>
                <w:szCs w:val="20"/>
              </w:rPr>
              <w:t xml:space="preserve"> and social indicators. In total, 78.2% of the documented indicators represent </w:t>
            </w:r>
            <w:r>
              <w:rPr>
                <w:rFonts w:ascii="Arial" w:hAnsi="Arial" w:cs="Arial"/>
                <w:color w:val="000000"/>
                <w:sz w:val="20"/>
                <w:szCs w:val="20"/>
                <w:highlight w:val="yellow"/>
              </w:rPr>
              <w:t>behavioural</w:t>
            </w:r>
            <w:r>
              <w:rPr>
                <w:rFonts w:ascii="Arial" w:hAnsi="Arial" w:cs="Arial"/>
                <w:color w:val="000000"/>
                <w:sz w:val="20"/>
                <w:szCs w:val="20"/>
              </w:rPr>
              <w:t xml:space="preserve"> or social engagement, suggesting a hierarchy of measurement visibility in which engagement that produces observable digital traces is more readily represented within native LMS analytics than cognitive or emotional engagement. These findings indicate that LMS analytics do not merely measure a pre-existing construct of student engagement; rather, they shape which aspects of engagement become visible and measurable through digital data. As the analysis relies exclusively on publicly accessible official documentation, the findings reflect documented measurement visibility and may not capture proprietary, configured, or otherwise undocumented capabilities. This study contributes to research on learning analytics and student engagement by demonstrating that comparative analysis of LMS documentation can reveal differences in how </w:t>
            </w:r>
            <w:r>
              <w:rPr>
                <w:rFonts w:ascii="Arial" w:hAnsi="Arial" w:cs="Arial"/>
                <w:color w:val="000000"/>
                <w:sz w:val="20"/>
                <w:szCs w:val="20"/>
              </w:rPr>
              <w:lastRenderedPageBreak/>
              <w:t xml:space="preserve">contemporary learning management systems </w:t>
            </w:r>
            <w:r>
              <w:rPr>
                <w:rFonts w:ascii="Arial" w:hAnsi="Arial" w:cs="Arial"/>
                <w:color w:val="000000"/>
                <w:sz w:val="20"/>
                <w:szCs w:val="20"/>
                <w:highlight w:val="yellow"/>
              </w:rPr>
              <w:t>operationalise</w:t>
            </w:r>
            <w:r>
              <w:rPr>
                <w:rFonts w:ascii="Arial" w:hAnsi="Arial" w:cs="Arial"/>
                <w:color w:val="000000"/>
                <w:sz w:val="20"/>
                <w:szCs w:val="20"/>
              </w:rPr>
              <w:t xml:space="preserve"> and render student engagement measurable.</w:t>
            </w:r>
          </w:p>
        </w:tc>
      </w:tr>
    </w:tbl>
    <w:p w14:paraId="598DC97F" w14:textId="77777777" w:rsidR="00636EB2" w:rsidRDefault="00636EB2" w:rsidP="00441B6F">
      <w:pPr>
        <w:pStyle w:val="Body"/>
        <w:spacing w:after="0"/>
        <w:rPr>
          <w:rFonts w:ascii="Arial" w:hAnsi="Arial" w:cs="Arial"/>
          <w:i/>
        </w:rPr>
      </w:pPr>
    </w:p>
    <w:p w14:paraId="272E69F8" w14:textId="77777777" w:rsidR="000C42D8" w:rsidRDefault="00975A41" w:rsidP="000C42D8">
      <w:pPr>
        <w:pStyle w:val="Body"/>
        <w:spacing w:after="0"/>
        <w:rPr>
          <w:rFonts w:ascii="Arial" w:hAnsi="Arial" w:cs="Arial"/>
          <w:i/>
          <w:iCs/>
          <w:color w:val="000000"/>
          <w:sz w:val="20"/>
          <w:szCs w:val="20"/>
        </w:rPr>
      </w:pPr>
      <w:r w:rsidRPr="00FE1013">
        <w:rPr>
          <w:rFonts w:ascii="Arial" w:hAnsi="Arial" w:cs="Arial"/>
          <w:i/>
          <w:iCs/>
          <w:color w:val="000000"/>
          <w:sz w:val="20"/>
          <w:szCs w:val="20"/>
        </w:rPr>
        <w:t xml:space="preserve">Keywords: </w:t>
      </w:r>
      <w:r w:rsidR="000C42D8" w:rsidRPr="000C42D8">
        <w:rPr>
          <w:rFonts w:ascii="Arial" w:hAnsi="Arial" w:cs="Arial"/>
          <w:i/>
          <w:iCs/>
          <w:color w:val="000000"/>
          <w:sz w:val="20"/>
          <w:szCs w:val="20"/>
        </w:rPr>
        <w:t>Learning management systems; learning analytics; student engagement; behavioural engagement; cognitive engagement; emotional engagement; social engagement; Student Engagement in Digital Learning; comparative content analysis; measurement visibility</w:t>
      </w:r>
    </w:p>
    <w:p w14:paraId="4713AA03" w14:textId="11EF5F79" w:rsidR="007F7B32" w:rsidRDefault="00902823" w:rsidP="000C42D8">
      <w:pPr>
        <w:pStyle w:val="Body"/>
        <w:spacing w:after="0"/>
        <w:rPr>
          <w:rFonts w:ascii="Arial" w:hAnsi="Arial" w:cs="Arial"/>
        </w:rPr>
      </w:pPr>
      <w:r>
        <w:rPr>
          <w:rFonts w:ascii="Arial" w:hAnsi="Arial" w:cs="Arial"/>
        </w:rPr>
        <w:t xml:space="preserve">1. </w:t>
      </w:r>
      <w:r w:rsidR="00B01FCD" w:rsidRPr="00FB3A86">
        <w:rPr>
          <w:rFonts w:ascii="Arial" w:hAnsi="Arial" w:cs="Arial"/>
        </w:rPr>
        <w:t>INTRODUCTION</w:t>
      </w:r>
    </w:p>
    <w:p w14:paraId="586E032A" w14:textId="77777777" w:rsidR="00790ADA" w:rsidRPr="00FB3A86" w:rsidRDefault="00790ADA" w:rsidP="00441B6F">
      <w:pPr>
        <w:pStyle w:val="AbstHead"/>
        <w:spacing w:after="0"/>
        <w:jc w:val="both"/>
        <w:rPr>
          <w:rFonts w:ascii="Arial" w:hAnsi="Arial" w:cs="Arial"/>
        </w:rPr>
      </w:pPr>
    </w:p>
    <w:p w14:paraId="2DA70AE9" w14:textId="620D76AC" w:rsidR="007F61F3" w:rsidRPr="00787C80" w:rsidRDefault="001C63E6" w:rsidP="00787C80">
      <w:pPr>
        <w:pStyle w:val="NormalWeb"/>
        <w:spacing w:before="0" w:beforeAutospacing="0" w:after="0" w:afterAutospacing="0"/>
        <w:rPr>
          <w:bCs/>
          <w:sz w:val="20"/>
          <w:szCs w:val="20"/>
        </w:rPr>
      </w:pPr>
      <w:r w:rsidRPr="001C63E6">
        <w:rPr>
          <w:rFonts w:ascii="Arial" w:hAnsi="Arial" w:cs="Arial"/>
          <w:color w:val="000000"/>
          <w:sz w:val="20"/>
          <w:szCs w:val="20"/>
        </w:rPr>
        <w:t xml:space="preserve">Learning management systems (LMSs) are now fundamental to higher education, offering digital environments for students to access materials, complete assessments, engage in discussions, communicate with instructors and peers, and track their progress. As these activities increasingly take place on digital platforms, LMSs generate extensive records of learner interactions that can be systematically collected and </w:t>
      </w:r>
      <w:r w:rsidRPr="001C63E6">
        <w:rPr>
          <w:rFonts w:ascii="Arial" w:hAnsi="Arial" w:cs="Arial"/>
          <w:color w:val="000000"/>
          <w:sz w:val="20"/>
          <w:szCs w:val="20"/>
          <w:highlight w:val="yellow"/>
        </w:rPr>
        <w:t>analysed</w:t>
      </w:r>
      <w:r w:rsidRPr="001C63E6">
        <w:rPr>
          <w:rFonts w:ascii="Arial" w:hAnsi="Arial" w:cs="Arial"/>
          <w:color w:val="000000"/>
          <w:sz w:val="20"/>
          <w:szCs w:val="20"/>
        </w:rPr>
        <w:t xml:space="preserve">. This development has driven the expansion of learning analytics in higher education, allowing institutions and educators to examine patterns of participation, learning activity, and student </w:t>
      </w:r>
      <w:r w:rsidRPr="001C63E6">
        <w:rPr>
          <w:rFonts w:ascii="Arial" w:hAnsi="Arial" w:cs="Arial"/>
          <w:color w:val="000000"/>
          <w:sz w:val="20"/>
          <w:szCs w:val="20"/>
          <w:highlight w:val="yellow"/>
        </w:rPr>
        <w:t>behaviour</w:t>
      </w:r>
      <w:r w:rsidRPr="001C63E6">
        <w:rPr>
          <w:rFonts w:ascii="Arial" w:hAnsi="Arial" w:cs="Arial"/>
          <w:color w:val="000000"/>
          <w:sz w:val="20"/>
          <w:szCs w:val="20"/>
        </w:rPr>
        <w:t>. Recent research highlights the ongoing advancement of analytics-driven approaches, such as leveraging digital learning data to enhance learning design and extracting learner indicators from online trace data (Drugova et al., 2024; Alhazbi et al., 2024). As a result, LMSs have evolved from simple repositories of instructional materials to environments where student activity becomes observable through data.</w:t>
      </w:r>
      <w:r w:rsidR="00787C80">
        <w:rPr>
          <w:sz w:val="20"/>
          <w:szCs w:val="20"/>
        </w:rPr>
        <w:t xml:space="preserve"> </w:t>
      </w:r>
      <w:r w:rsidRPr="00787C80">
        <w:rPr>
          <w:bCs/>
          <w:highlight w:val="yellow"/>
        </w:rPr>
        <w:t>Recent work on AI-driven personalized education similarly illustrates how learner-performance data can be used to identify support needs and inform tailored interventions, although such data-driven applications remain conceptually distinct from the direct measurement of multidimensional student engagement (Singh et al., 2024).</w:t>
      </w:r>
    </w:p>
    <w:p w14:paraId="7C5A4669"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Student engagement is central to this development because it addresses how students participate in and experience learning. However, engagement cannot be captured by a single </w:t>
      </w:r>
      <w:r w:rsidRPr="001C63E6">
        <w:rPr>
          <w:rFonts w:ascii="Arial" w:hAnsi="Arial" w:cs="Arial"/>
          <w:color w:val="000000"/>
          <w:sz w:val="20"/>
          <w:szCs w:val="20"/>
          <w:highlight w:val="yellow"/>
        </w:rPr>
        <w:t>behaviour</w:t>
      </w:r>
      <w:r w:rsidRPr="001C63E6">
        <w:rPr>
          <w:rFonts w:ascii="Arial" w:hAnsi="Arial" w:cs="Arial"/>
          <w:color w:val="000000"/>
          <w:sz w:val="20"/>
          <w:szCs w:val="20"/>
        </w:rPr>
        <w:t xml:space="preserve"> or observable event. Recent research </w:t>
      </w:r>
      <w:r w:rsidRPr="001C63E6">
        <w:rPr>
          <w:rFonts w:ascii="Arial" w:hAnsi="Arial" w:cs="Arial"/>
          <w:color w:val="000000"/>
          <w:sz w:val="20"/>
          <w:szCs w:val="20"/>
          <w:highlight w:val="yellow"/>
        </w:rPr>
        <w:t>conceptualises</w:t>
      </w:r>
      <w:r w:rsidRPr="001C63E6">
        <w:rPr>
          <w:rFonts w:ascii="Arial" w:hAnsi="Arial" w:cs="Arial"/>
          <w:color w:val="000000"/>
          <w:sz w:val="20"/>
          <w:szCs w:val="20"/>
        </w:rPr>
        <w:t xml:space="preserve"> student engagement as multidimensional, with various forms of involvement reflecting distinct aspects of the learning experience. For instance, Heilporn et al. (2024) developed and validated a multidimensional measure of student engagement in higher education, distinguishing emotional-cognitive, social, agentic, and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dimensions across face-to-face, blended, and online modalities. Similarly, Reeve et al. (2025) demonstrated through a large meta-analysis that different forms of engagement serve distinct functions related to achievement, social support, motivation, and well-being. These findings underscore the necessity of examining engagement through multiple dimensions rather than relying solely on participation counts or isolated measures.</w:t>
      </w:r>
    </w:p>
    <w:p w14:paraId="2E4C2C1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This study </w:t>
      </w:r>
      <w:r w:rsidRPr="001C63E6">
        <w:rPr>
          <w:rFonts w:ascii="Arial" w:hAnsi="Arial" w:cs="Arial"/>
          <w:color w:val="000000"/>
          <w:sz w:val="20"/>
          <w:szCs w:val="20"/>
          <w:highlight w:val="yellow"/>
        </w:rPr>
        <w:t>operationalises</w:t>
      </w:r>
      <w:r w:rsidRPr="001C63E6">
        <w:rPr>
          <w:rFonts w:ascii="Arial" w:hAnsi="Arial" w:cs="Arial"/>
          <w:color w:val="000000"/>
          <w:sz w:val="20"/>
          <w:szCs w:val="20"/>
        </w:rPr>
        <w:t xml:space="preserve"> the multidimensional perspective using the Student Engagement in Digital Learning (SEDL) Framework, which differentiates </w:t>
      </w:r>
      <w:r w:rsidRPr="001C63E6">
        <w:rPr>
          <w:rFonts w:ascii="Arial" w:hAnsi="Arial" w:cs="Arial"/>
          <w:color w:val="000000"/>
          <w:sz w:val="20"/>
          <w:szCs w:val="20"/>
          <w:highlight w:val="yellow"/>
        </w:rPr>
        <w:t>behavioural</w:t>
      </w:r>
      <w:r w:rsidRPr="001C63E6">
        <w:rPr>
          <w:rFonts w:ascii="Arial" w:hAnsi="Arial" w:cs="Arial"/>
          <w:color w:val="000000"/>
          <w:sz w:val="20"/>
          <w:szCs w:val="20"/>
        </w:rPr>
        <w:t>, cognitive, emotional, and social dimensions of engagement in digitally mediated learning (Bergdahl et al., 2024). The framework enables analysis not only of the availability of engagement-related data, but also of which specific dimensions are explicitly represented in LMS analytics. This distinction is significant because different forms of engagement may produce varying types and quantities of observable digital evidence.</w:t>
      </w:r>
    </w:p>
    <w:p w14:paraId="28A5C4FB" w14:textId="4D75FAA6" w:rsidR="007F61F3" w:rsidRPr="00E3642D" w:rsidRDefault="001C63E6" w:rsidP="00E3642D">
      <w:pPr>
        <w:pStyle w:val="NormalWeb"/>
        <w:spacing w:before="0" w:beforeAutospacing="0" w:after="0" w:afterAutospacing="0"/>
        <w:rPr>
          <w:bCs/>
          <w:sz w:val="20"/>
          <w:szCs w:val="20"/>
        </w:rPr>
      </w:pPr>
      <w:r w:rsidRPr="001C63E6">
        <w:rPr>
          <w:rFonts w:ascii="Arial" w:hAnsi="Arial" w:cs="Arial"/>
          <w:color w:val="000000"/>
          <w:sz w:val="20"/>
          <w:szCs w:val="20"/>
        </w:rPr>
        <w:t xml:space="preserve">The measurement challenge is therefore not limited to whether LMSs generate learner data, but extends to what these data can reasonably represent. LMSs can record logins, resource access, assignment submissions, discussion activity, and time spent interacting with course materials. These records provide scalable evidence of learner activity. For example, McKenna et al. (2024) used LMS data to quantify patterns of online engagement among undergraduates by </w:t>
      </w:r>
      <w:r w:rsidRPr="001C63E6">
        <w:rPr>
          <w:rFonts w:ascii="Arial" w:hAnsi="Arial" w:cs="Arial"/>
          <w:color w:val="000000"/>
          <w:sz w:val="20"/>
          <w:szCs w:val="20"/>
          <w:highlight w:val="yellow"/>
        </w:rPr>
        <w:t>analysing</w:t>
      </w:r>
      <w:r w:rsidRPr="001C63E6">
        <w:rPr>
          <w:rFonts w:ascii="Arial" w:hAnsi="Arial" w:cs="Arial"/>
          <w:color w:val="000000"/>
          <w:sz w:val="20"/>
          <w:szCs w:val="20"/>
        </w:rPr>
        <w:t xml:space="preserve"> the frequency and timing of resource access. However, an observable trace does not necessarily reveal the underlying psychological or educational process it may signify. An access event may indicate interaction with a resource without </w:t>
      </w:r>
      <w:r w:rsidRPr="001C63E6">
        <w:rPr>
          <w:rFonts w:ascii="Arial" w:hAnsi="Arial" w:cs="Arial"/>
          <w:color w:val="000000"/>
          <w:sz w:val="20"/>
          <w:szCs w:val="20"/>
        </w:rPr>
        <w:lastRenderedPageBreak/>
        <w:t>confirming attention, comprehension, motivation, or emotional involvement.</w:t>
      </w:r>
      <w:r w:rsidR="00E3642D">
        <w:rPr>
          <w:sz w:val="20"/>
          <w:szCs w:val="20"/>
        </w:rPr>
        <w:t xml:space="preserve"> </w:t>
      </w:r>
      <w:r w:rsidRPr="00E3642D">
        <w:rPr>
          <w:bCs/>
          <w:highlight w:val="yellow"/>
        </w:rPr>
        <w:t>Longitudinal evidence combining LMS trace data with repeated self-regulation measures further demonstrates that engagement patterns can change over time, reinforcing the need to avoid treating a single digital trace as a stable representation of engagement (Heikkinen et al., 2025).</w:t>
      </w:r>
    </w:p>
    <w:p w14:paraId="7A829FC8"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This issue becomes more significant when analytics are employed to represent complex learning processes. Alhazbi et al. (2024) found that learning analytics researchers have extracted various indicators from LMS trace data to examine self-regulated learning, including engagement, regularity, and time-management measures, while emphasizing the need to validate such indicators against theoretical models. Similarly, Bernacki et al. (202</w:t>
      </w:r>
      <w:r w:rsidR="0042734B">
        <w:rPr>
          <w:rFonts w:ascii="Arial" w:hAnsi="Arial" w:cs="Arial"/>
          <w:color w:val="000000"/>
          <w:sz w:val="20"/>
          <w:szCs w:val="20"/>
        </w:rPr>
        <w:t>5</w:t>
      </w:r>
      <w:r w:rsidRPr="001C63E6">
        <w:rPr>
          <w:rFonts w:ascii="Arial" w:hAnsi="Arial" w:cs="Arial"/>
          <w:color w:val="000000"/>
          <w:sz w:val="20"/>
          <w:szCs w:val="20"/>
        </w:rPr>
        <w:t>) demonstrated that digital events can be validated as traces of self-regulated learning processes, highlighting that the relationship between an observable event and the inferred construct cannot be assumed. Thus, the increasing availability of detailed learner data does not imply that student engagement is comprehensively measurable.</w:t>
      </w:r>
    </w:p>
    <w:p w14:paraId="0038AA41"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 central issue, therefore, is which aspects of student engagement are represented as measurable indicators within an LMS.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engagement aligns well with digital measurement because many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activities generate discrete records. Social engagement can also be observed through discussion participation, messaging, collaboration, and other recorded interactions. In contrast, cognitive and emotional engagement are less directly observable through standard LMS activity records. Recent research on online learning demonstrates that engagement is shaped by multiple interacting dimensions and factors, including motivation, attitudes, interactions, and learning behaviors (Zhang et al., 2025). Consequently, the types of data an LMS records and organizes influence which dimensions of engagement are available for analysis.</w:t>
      </w:r>
    </w:p>
    <w:p w14:paraId="1F92444E" w14:textId="4D84B8F5" w:rsidR="007F61F3" w:rsidRPr="00317CD1" w:rsidRDefault="001C63E6" w:rsidP="000D2A43">
      <w:pPr>
        <w:pStyle w:val="NormalWeb"/>
        <w:spacing w:before="0" w:beforeAutospacing="0" w:after="0" w:afterAutospacing="0"/>
        <w:rPr>
          <w:bCs/>
          <w:sz w:val="20"/>
          <w:szCs w:val="20"/>
        </w:rPr>
      </w:pPr>
      <w:r w:rsidRPr="001C63E6">
        <w:rPr>
          <w:rFonts w:ascii="Arial" w:hAnsi="Arial" w:cs="Arial"/>
          <w:color w:val="000000"/>
          <w:sz w:val="20"/>
          <w:szCs w:val="20"/>
        </w:rPr>
        <w:t>These considerations have significant implications for the interpretation and application of learning analytics. Analytics can inform learning design, instructional decision-making, and students’ understanding of their own learning</w:t>
      </w:r>
      <w:r w:rsidRPr="001C63E6">
        <w:rPr>
          <w:rFonts w:ascii="Arial" w:hAnsi="Arial" w:cs="Arial"/>
          <w:color w:val="000000"/>
          <w:sz w:val="20"/>
          <w:szCs w:val="20"/>
          <w:highlight w:val="yellow"/>
        </w:rPr>
        <w:t xml:space="preserve"> (Jung &amp; Wise, 2025)</w:t>
      </w:r>
      <w:r w:rsidRPr="001C63E6">
        <w:rPr>
          <w:rFonts w:ascii="Arial" w:hAnsi="Arial" w:cs="Arial"/>
          <w:color w:val="000000"/>
          <w:sz w:val="20"/>
          <w:szCs w:val="20"/>
        </w:rPr>
        <w:t>. For example, Drugova et al. (2024) examined analytics-driven improvements in higher education learning design and highlighted the increasing interest in linking analytics with pedagogical decisions. However, the value of analytics depends in part on whether the generated indicators meaningfully correspond to the learning processes they are intended to represent. Determining what an analytics system measures is therefore fundamental to understanding the legitimacy of its interpretations and applications</w:t>
      </w:r>
      <w:r w:rsidR="000D2A43">
        <w:rPr>
          <w:rFonts w:ascii="Arial" w:hAnsi="Arial" w:cs="Arial"/>
          <w:color w:val="000000"/>
          <w:sz w:val="20"/>
          <w:szCs w:val="20"/>
        </w:rPr>
        <w:t xml:space="preserve">. </w:t>
      </w:r>
      <w:r w:rsidRPr="00317CD1">
        <w:rPr>
          <w:bCs/>
          <w:highlight w:val="yellow"/>
        </w:rPr>
        <w:t>Recent scoping evidence further indicates that the usefulness of learning analytics depends not only on data availability but also on whether analytics can be translated into pedagogically actionable information for teaching and assessment (Ajayi et al., 2025).</w:t>
      </w:r>
    </w:p>
    <w:p w14:paraId="183CACD1" w14:textId="3921A920" w:rsidR="007F61F3" w:rsidRPr="005B31B5" w:rsidRDefault="001C63E6" w:rsidP="00317CD1">
      <w:pPr>
        <w:pStyle w:val="NormalWeb"/>
        <w:spacing w:before="0" w:beforeAutospacing="0" w:after="0" w:afterAutospacing="0"/>
        <w:rPr>
          <w:bCs/>
          <w:sz w:val="20"/>
          <w:szCs w:val="20"/>
        </w:rPr>
      </w:pPr>
      <w:r w:rsidRPr="001C63E6">
        <w:rPr>
          <w:rFonts w:ascii="Arial" w:hAnsi="Arial" w:cs="Arial"/>
          <w:color w:val="000000"/>
          <w:sz w:val="20"/>
          <w:szCs w:val="20"/>
        </w:rPr>
        <w:t>Despite the growing literature on learning analytics, student engagement, and LMS-generated data, a key comparative issue remains underexplored. Existing research has examined engagement using surveys, LMS trace data, learning analytics models, dashboards, and empirical interventions. Some studies have developed or validated specific indicators of engagement or related learning processes. However, less attention has been given to LMS platforms themselves as documented measurement systems. Specifically, there is limited comparative evidence regarding which student-engagement indicators major LMS platforms publicly identify, how these indicators correspond to different engagement dimensions, and whether comparable forms of engagement measurement are documented across platforms</w:t>
      </w:r>
      <w:r w:rsidR="00317CD1">
        <w:rPr>
          <w:rFonts w:ascii="Arial" w:hAnsi="Arial" w:cs="Arial"/>
          <w:color w:val="000000"/>
          <w:sz w:val="20"/>
          <w:szCs w:val="20"/>
        </w:rPr>
        <w:t xml:space="preserve"> .</w:t>
      </w:r>
      <w:r w:rsidRPr="005B31B5">
        <w:rPr>
          <w:bCs/>
          <w:highlight w:val="yellow"/>
        </w:rPr>
        <w:t>Recent intervention research also shows that analytics-based support can increase multiple forms of online engagement while it is available, yet these gains may not persist after the support is removed, underscoring the context- and time-dependent meaning of engagement indicators (Jung et al., 2026).</w:t>
      </w:r>
    </w:p>
    <w:p w14:paraId="6ABE8D2A"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Examining LMS documentation offers a distinct approach to addressing this gap. The focus is not on whether students using one platform are more engaged or whether a particular </w:t>
      </w:r>
      <w:r w:rsidRPr="001C63E6">
        <w:rPr>
          <w:rFonts w:ascii="Arial" w:hAnsi="Arial" w:cs="Arial"/>
          <w:color w:val="000000"/>
          <w:sz w:val="20"/>
          <w:szCs w:val="20"/>
        </w:rPr>
        <w:lastRenderedPageBreak/>
        <w:t xml:space="preserve">indicator better predicts academic success. Instead, the central question concerns what the LMS platform explicitly identifies as a measurable learner- or learning-related characteristic. This perspective </w:t>
      </w:r>
      <w:r w:rsidRPr="001C63E6">
        <w:rPr>
          <w:rFonts w:ascii="Arial" w:hAnsi="Arial" w:cs="Arial"/>
          <w:color w:val="000000"/>
          <w:sz w:val="20"/>
          <w:szCs w:val="20"/>
          <w:highlight w:val="yellow"/>
        </w:rPr>
        <w:t>emphasises</w:t>
      </w:r>
      <w:r w:rsidRPr="001C63E6">
        <w:rPr>
          <w:rFonts w:ascii="Arial" w:hAnsi="Arial" w:cs="Arial"/>
          <w:color w:val="000000"/>
          <w:sz w:val="20"/>
          <w:szCs w:val="20"/>
        </w:rPr>
        <w:t xml:space="preserve"> the documented measurement architecture of LMS analytics. Since providers </w:t>
      </w:r>
      <w:r w:rsidRPr="001C63E6">
        <w:rPr>
          <w:rFonts w:ascii="Arial" w:hAnsi="Arial" w:cs="Arial"/>
          <w:color w:val="000000"/>
          <w:sz w:val="20"/>
          <w:szCs w:val="20"/>
          <w:highlight w:val="yellow"/>
        </w:rPr>
        <w:t>organise</w:t>
      </w:r>
      <w:r w:rsidRPr="001C63E6">
        <w:rPr>
          <w:rFonts w:ascii="Arial" w:hAnsi="Arial" w:cs="Arial"/>
          <w:color w:val="000000"/>
          <w:sz w:val="20"/>
          <w:szCs w:val="20"/>
        </w:rPr>
        <w:t xml:space="preserve"> and describe analytics using varying terminology, detail, and reporting structures, meaningful comparison requires a common conceptual framework and a </w:t>
      </w:r>
      <w:r w:rsidRPr="001C63E6">
        <w:rPr>
          <w:rFonts w:ascii="Arial" w:hAnsi="Arial" w:cs="Arial"/>
          <w:color w:val="000000"/>
          <w:sz w:val="20"/>
          <w:szCs w:val="20"/>
          <w:highlight w:val="yellow"/>
        </w:rPr>
        <w:t>standardised</w:t>
      </w:r>
      <w:r w:rsidRPr="001C63E6">
        <w:rPr>
          <w:rFonts w:ascii="Arial" w:hAnsi="Arial" w:cs="Arial"/>
          <w:color w:val="000000"/>
          <w:sz w:val="20"/>
          <w:szCs w:val="20"/>
        </w:rPr>
        <w:t xml:space="preserve"> definition of engagement indicators.</w:t>
      </w:r>
    </w:p>
    <w:p w14:paraId="2B3A69CA"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Accordingly, this study examines Moodle, Canvas, Blackboard Learn, and D2L Brightspace through a comparative documentary content analysis of their publicly accessible official analytics documentation. The SEDL Framework is used to classify documented indicators according to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cognitive, emotional, and social engagement (Bergdahl et al., 2024). The analysis focuses specifically on documented measurement visibility: what each LMS platform explicitly provides as learner- or learning-related analytics indicators under a </w:t>
      </w:r>
      <w:r w:rsidRPr="001C63E6">
        <w:rPr>
          <w:rFonts w:ascii="Arial" w:hAnsi="Arial" w:cs="Arial"/>
          <w:color w:val="000000"/>
          <w:sz w:val="20"/>
          <w:szCs w:val="20"/>
          <w:highlight w:val="yellow"/>
        </w:rPr>
        <w:t>standardised</w:t>
      </w:r>
      <w:r w:rsidRPr="001C63E6">
        <w:rPr>
          <w:rFonts w:ascii="Arial" w:hAnsi="Arial" w:cs="Arial"/>
          <w:color w:val="000000"/>
          <w:sz w:val="20"/>
          <w:szCs w:val="20"/>
        </w:rPr>
        <w:t xml:space="preserve"> documentary protocol. The study does not assume that undocumented capabilities are absent, nor does it interpret the number of documented indicators as a measure of analytics quality or platform sophistication.</w:t>
      </w:r>
    </w:p>
    <w:p w14:paraId="7AF92293"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 xml:space="preserve">The study aimed to: </w:t>
      </w:r>
      <w:r w:rsidRPr="001C63E6">
        <w:rPr>
          <w:rFonts w:ascii="Arial" w:hAnsi="Arial" w:cs="Arial"/>
          <w:b/>
          <w:bCs/>
          <w:color w:val="000000"/>
          <w:sz w:val="20"/>
          <w:szCs w:val="20"/>
        </w:rPr>
        <w:t>(1)</w:t>
      </w:r>
      <w:r w:rsidRPr="001C63E6">
        <w:rPr>
          <w:rFonts w:ascii="Arial" w:hAnsi="Arial" w:cs="Arial"/>
          <w:color w:val="000000"/>
          <w:sz w:val="20"/>
          <w:szCs w:val="20"/>
        </w:rPr>
        <w:t xml:space="preserve"> identify the student-engagement indicators publicly documented in Moodle, Canvas, Blackboard Learn, and D2L Brightspace; </w:t>
      </w:r>
      <w:r w:rsidRPr="001C63E6">
        <w:rPr>
          <w:rFonts w:ascii="Arial" w:hAnsi="Arial" w:cs="Arial"/>
          <w:b/>
          <w:bCs/>
          <w:color w:val="000000"/>
          <w:sz w:val="20"/>
          <w:szCs w:val="20"/>
        </w:rPr>
        <w:t>(2)</w:t>
      </w:r>
      <w:r w:rsidRPr="001C63E6">
        <w:rPr>
          <w:rFonts w:ascii="Arial" w:hAnsi="Arial" w:cs="Arial"/>
          <w:color w:val="000000"/>
          <w:sz w:val="20"/>
          <w:szCs w:val="20"/>
        </w:rPr>
        <w:t xml:space="preserve"> classify these indicators according to the </w:t>
      </w:r>
      <w:r w:rsidRPr="001C63E6">
        <w:rPr>
          <w:rFonts w:ascii="Arial" w:hAnsi="Arial" w:cs="Arial"/>
          <w:color w:val="000000"/>
          <w:sz w:val="20"/>
          <w:szCs w:val="20"/>
          <w:highlight w:val="yellow"/>
        </w:rPr>
        <w:t>behavioural</w:t>
      </w:r>
      <w:r w:rsidRPr="001C63E6">
        <w:rPr>
          <w:rFonts w:ascii="Arial" w:hAnsi="Arial" w:cs="Arial"/>
          <w:color w:val="000000"/>
          <w:sz w:val="20"/>
          <w:szCs w:val="20"/>
        </w:rPr>
        <w:t xml:space="preserve">, cognitive, emotional, and social dimensions of student engagement; </w:t>
      </w:r>
      <w:r w:rsidRPr="001C63E6">
        <w:rPr>
          <w:rFonts w:ascii="Arial" w:hAnsi="Arial" w:cs="Arial"/>
          <w:b/>
          <w:bCs/>
          <w:color w:val="000000"/>
          <w:sz w:val="20"/>
          <w:szCs w:val="20"/>
        </w:rPr>
        <w:t>(3)</w:t>
      </w:r>
      <w:r w:rsidRPr="001C63E6">
        <w:rPr>
          <w:rFonts w:ascii="Arial" w:hAnsi="Arial" w:cs="Arial"/>
          <w:color w:val="000000"/>
          <w:sz w:val="20"/>
          <w:szCs w:val="20"/>
        </w:rPr>
        <w:t xml:space="preserve"> compare the four LMS platforms in terms of their documented student-engagement dimensions and measurement patterns; and </w:t>
      </w:r>
      <w:r w:rsidRPr="001C63E6">
        <w:rPr>
          <w:rFonts w:ascii="Arial" w:hAnsi="Arial" w:cs="Arial"/>
          <w:b/>
          <w:bCs/>
          <w:color w:val="000000"/>
          <w:sz w:val="20"/>
          <w:szCs w:val="20"/>
        </w:rPr>
        <w:t>(4)</w:t>
      </w:r>
      <w:r w:rsidRPr="001C63E6">
        <w:rPr>
          <w:rFonts w:ascii="Arial" w:hAnsi="Arial" w:cs="Arial"/>
          <w:color w:val="000000"/>
          <w:sz w:val="20"/>
          <w:szCs w:val="20"/>
        </w:rPr>
        <w:t xml:space="preserve"> interpret what the distribution of documented indicators reveals about how contemporary LMS analytics </w:t>
      </w:r>
      <w:r w:rsidRPr="001C63E6">
        <w:rPr>
          <w:rFonts w:ascii="Arial" w:hAnsi="Arial" w:cs="Arial"/>
          <w:color w:val="000000"/>
          <w:sz w:val="20"/>
          <w:szCs w:val="20"/>
          <w:highlight w:val="yellow"/>
        </w:rPr>
        <w:t>conceptualise</w:t>
      </w:r>
      <w:r w:rsidRPr="001C63E6">
        <w:rPr>
          <w:rFonts w:ascii="Arial" w:hAnsi="Arial" w:cs="Arial"/>
          <w:color w:val="000000"/>
          <w:sz w:val="20"/>
          <w:szCs w:val="20"/>
        </w:rPr>
        <w:t xml:space="preserve"> and </w:t>
      </w:r>
      <w:r w:rsidRPr="001C63E6">
        <w:rPr>
          <w:rFonts w:ascii="Arial" w:hAnsi="Arial" w:cs="Arial"/>
          <w:color w:val="000000"/>
          <w:sz w:val="20"/>
          <w:szCs w:val="20"/>
          <w:highlight w:val="yellow"/>
        </w:rPr>
        <w:t>operationalise</w:t>
      </w:r>
      <w:r w:rsidRPr="001C63E6">
        <w:rPr>
          <w:rFonts w:ascii="Arial" w:hAnsi="Arial" w:cs="Arial"/>
          <w:color w:val="000000"/>
          <w:sz w:val="20"/>
          <w:szCs w:val="20"/>
        </w:rPr>
        <w:t xml:space="preserve"> student engagement.</w:t>
      </w:r>
    </w:p>
    <w:p w14:paraId="42B06A7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color w:val="000000"/>
          <w:sz w:val="20"/>
          <w:szCs w:val="20"/>
        </w:rPr>
        <w:t>These objectives were addressed through the following research questions:</w:t>
      </w:r>
    </w:p>
    <w:p w14:paraId="04F079CD"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RQ1.</w:t>
      </w:r>
      <w:r w:rsidRPr="001C63E6">
        <w:rPr>
          <w:rFonts w:ascii="Arial" w:hAnsi="Arial" w:cs="Arial"/>
          <w:color w:val="000000"/>
          <w:sz w:val="20"/>
          <w:szCs w:val="20"/>
        </w:rPr>
        <w:t xml:space="preserve"> What student-engagement indicators are publicly documented in Moodle, Canvas, Blackboard Learn, and D2L Brightspace?</w:t>
      </w:r>
    </w:p>
    <w:p w14:paraId="187D4D8B"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RQ2.</w:t>
      </w:r>
      <w:r w:rsidRPr="001C63E6">
        <w:rPr>
          <w:rFonts w:ascii="Arial" w:hAnsi="Arial" w:cs="Arial"/>
          <w:color w:val="000000"/>
          <w:sz w:val="20"/>
          <w:szCs w:val="20"/>
        </w:rPr>
        <w:t xml:space="preserve"> How are the documented LMS analytics indicators distributed across the </w:t>
      </w:r>
      <w:r w:rsidRPr="001C63E6">
        <w:rPr>
          <w:rFonts w:ascii="Arial" w:hAnsi="Arial" w:cs="Arial"/>
          <w:color w:val="000000"/>
          <w:sz w:val="20"/>
          <w:szCs w:val="20"/>
          <w:highlight w:val="yellow"/>
        </w:rPr>
        <w:t>behavioural</w:t>
      </w:r>
      <w:r w:rsidRPr="001C63E6">
        <w:rPr>
          <w:rFonts w:ascii="Arial" w:hAnsi="Arial" w:cs="Arial"/>
          <w:color w:val="000000"/>
          <w:sz w:val="20"/>
          <w:szCs w:val="20"/>
        </w:rPr>
        <w:t>, cognitive, emotional, and social dimensions of student engagement?</w:t>
      </w:r>
    </w:p>
    <w:p w14:paraId="1A149D72"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RQ3.</w:t>
      </w:r>
      <w:r w:rsidRPr="001C63E6">
        <w:rPr>
          <w:rFonts w:ascii="Arial" w:hAnsi="Arial" w:cs="Arial"/>
          <w:color w:val="000000"/>
          <w:sz w:val="20"/>
          <w:szCs w:val="20"/>
        </w:rPr>
        <w:t xml:space="preserve"> How do the four LMS platforms differ in their representation of student-engagement dimensions and measurement patterns?</w:t>
      </w:r>
    </w:p>
    <w:p w14:paraId="23E8F0FD" w14:textId="77777777" w:rsidR="001C63E6" w:rsidRPr="001C63E6" w:rsidRDefault="001C63E6" w:rsidP="001C63E6">
      <w:pPr>
        <w:pStyle w:val="NormalWeb"/>
        <w:spacing w:before="0" w:beforeAutospacing="0" w:after="0" w:afterAutospacing="0"/>
        <w:rPr>
          <w:sz w:val="20"/>
          <w:szCs w:val="20"/>
        </w:rPr>
      </w:pPr>
      <w:r w:rsidRPr="001C63E6">
        <w:rPr>
          <w:rFonts w:ascii="Arial" w:hAnsi="Arial" w:cs="Arial"/>
          <w:b/>
          <w:bCs/>
          <w:color w:val="000000"/>
          <w:sz w:val="20"/>
          <w:szCs w:val="20"/>
        </w:rPr>
        <w:t>RQ4.</w:t>
      </w:r>
      <w:r w:rsidRPr="001C63E6">
        <w:rPr>
          <w:rFonts w:ascii="Arial" w:hAnsi="Arial" w:cs="Arial"/>
          <w:color w:val="000000"/>
          <w:sz w:val="20"/>
          <w:szCs w:val="20"/>
        </w:rPr>
        <w:t xml:space="preserve"> What does the distribution of LMS analytics indicators reveal about how contemporary learning management systems </w:t>
      </w:r>
      <w:r w:rsidRPr="001C63E6">
        <w:rPr>
          <w:rFonts w:ascii="Arial" w:hAnsi="Arial" w:cs="Arial"/>
          <w:color w:val="000000"/>
          <w:sz w:val="20"/>
          <w:szCs w:val="20"/>
          <w:highlight w:val="yellow"/>
        </w:rPr>
        <w:t>conceptualise</w:t>
      </w:r>
      <w:r w:rsidRPr="001C63E6">
        <w:rPr>
          <w:rFonts w:ascii="Arial" w:hAnsi="Arial" w:cs="Arial"/>
          <w:color w:val="000000"/>
          <w:sz w:val="20"/>
          <w:szCs w:val="20"/>
        </w:rPr>
        <w:t xml:space="preserve"> and make student engagement measurable?</w:t>
      </w:r>
    </w:p>
    <w:p w14:paraId="3A71D3D5" w14:textId="77777777" w:rsidR="00790ADA" w:rsidRPr="00244F25" w:rsidRDefault="00790ADA" w:rsidP="00441B6F">
      <w:pPr>
        <w:pStyle w:val="Body"/>
        <w:spacing w:after="0"/>
        <w:rPr>
          <w:rFonts w:ascii="Arial" w:hAnsi="Arial" w:cs="Arial"/>
          <w:sz w:val="20"/>
          <w:szCs w:val="20"/>
        </w:rPr>
      </w:pPr>
    </w:p>
    <w:p w14:paraId="3BD85584" w14:textId="77777777" w:rsidR="007F7B32" w:rsidRDefault="00902823" w:rsidP="00441B6F">
      <w:pPr>
        <w:pStyle w:val="AbstHead"/>
        <w:spacing w:after="0"/>
        <w:jc w:val="both"/>
        <w:rPr>
          <w:rFonts w:ascii="Arial" w:hAnsi="Arial" w:cs="Arial"/>
        </w:rPr>
      </w:pPr>
      <w:r>
        <w:rPr>
          <w:rFonts w:ascii="Arial" w:hAnsi="Arial" w:cs="Arial"/>
        </w:rPr>
        <w:t xml:space="preserve">2. </w:t>
      </w:r>
      <w:r w:rsidR="00360E33">
        <w:rPr>
          <w:rFonts w:ascii="Arial" w:hAnsi="Arial" w:cs="Arial"/>
        </w:rPr>
        <w:t>METHODOLOGY</w:t>
      </w:r>
    </w:p>
    <w:p w14:paraId="75557933" w14:textId="77777777" w:rsidR="00790ADA" w:rsidRPr="00FB3A86" w:rsidRDefault="00790ADA" w:rsidP="00441B6F">
      <w:pPr>
        <w:pStyle w:val="AbstHead"/>
        <w:spacing w:after="0"/>
        <w:jc w:val="both"/>
        <w:rPr>
          <w:rFonts w:ascii="Arial" w:hAnsi="Arial" w:cs="Arial"/>
        </w:rPr>
      </w:pPr>
    </w:p>
    <w:p w14:paraId="6B1787F8" w14:textId="77777777" w:rsidR="00B57BC1" w:rsidRPr="00B57BC1" w:rsidRDefault="00B57BC1" w:rsidP="00B57BC1">
      <w:pPr>
        <w:pStyle w:val="Heading3"/>
        <w:spacing w:before="0"/>
        <w:rPr>
          <w:rFonts w:ascii="Times New Roman" w:hAnsi="Times New Roman"/>
          <w:b/>
          <w:bCs/>
          <w:sz w:val="22"/>
          <w:szCs w:val="22"/>
        </w:rPr>
      </w:pPr>
      <w:r w:rsidRPr="00B57BC1">
        <w:rPr>
          <w:rFonts w:ascii="Arial" w:hAnsi="Arial" w:cs="Arial"/>
          <w:b/>
          <w:bCs/>
          <w:color w:val="000000"/>
          <w:sz w:val="22"/>
          <w:szCs w:val="22"/>
        </w:rPr>
        <w:t>2.1 Research Design</w:t>
      </w:r>
    </w:p>
    <w:p w14:paraId="00C82B69" w14:textId="77777777" w:rsidR="00B57BC1" w:rsidRDefault="00B57BC1" w:rsidP="00B57BC1"/>
    <w:p w14:paraId="1A36076E" w14:textId="77777777" w:rsidR="00856782" w:rsidRDefault="00856782" w:rsidP="00856782">
      <w:pPr>
        <w:pStyle w:val="NormalWeb"/>
        <w:spacing w:before="0" w:beforeAutospacing="0" w:after="0" w:afterAutospacing="0"/>
      </w:pPr>
      <w:r>
        <w:rPr>
          <w:rFonts w:ascii="Arial" w:hAnsi="Arial" w:cs="Arial"/>
          <w:color w:val="000000"/>
          <w:sz w:val="20"/>
          <w:szCs w:val="20"/>
        </w:rPr>
        <w:t xml:space="preserve">A comparative documentary content analysis was employed to systematically examine how Moodle, Canvas, Blackboard Learn, and D2L Brightspace publicly document the measurement of student engagement. This documentary approach was appropriate because the evidence base consisted of official learning management system (LMS) analytics documentation, rather than user observations, institutional datasets, or proprietary system data. Content analysis was used to identify, </w:t>
      </w:r>
      <w:r>
        <w:rPr>
          <w:rFonts w:ascii="Arial" w:hAnsi="Arial" w:cs="Arial"/>
          <w:color w:val="000000"/>
          <w:sz w:val="20"/>
          <w:szCs w:val="20"/>
          <w:highlight w:val="yellow"/>
        </w:rPr>
        <w:t>normalise</w:t>
      </w:r>
      <w:r>
        <w:rPr>
          <w:rFonts w:ascii="Arial" w:hAnsi="Arial" w:cs="Arial"/>
          <w:color w:val="000000"/>
          <w:sz w:val="20"/>
          <w:szCs w:val="20"/>
        </w:rPr>
        <w:t xml:space="preserve">, and systematically </w:t>
      </w:r>
      <w:r>
        <w:rPr>
          <w:rFonts w:ascii="Arial" w:hAnsi="Arial" w:cs="Arial"/>
          <w:color w:val="000000"/>
          <w:sz w:val="20"/>
          <w:szCs w:val="20"/>
          <w:highlight w:val="yellow"/>
        </w:rPr>
        <w:t>categorise</w:t>
      </w:r>
      <w:r>
        <w:rPr>
          <w:rFonts w:ascii="Arial" w:hAnsi="Arial" w:cs="Arial"/>
          <w:color w:val="000000"/>
          <w:sz w:val="20"/>
          <w:szCs w:val="20"/>
        </w:rPr>
        <w:t xml:space="preserve"> discrete analytics indicators according to a common set of criteria (Ji, 2024; Nicmanis, 2024). The comparative design enabled the application of the same analytical procedure across all four platforms, facilitating consistent examination of the various dimensions of engagement represented in their documented analytics.</w:t>
      </w:r>
    </w:p>
    <w:p w14:paraId="25C7C7DA" w14:textId="77777777" w:rsidR="00856782" w:rsidRDefault="00856782" w:rsidP="00856782">
      <w:pPr>
        <w:pStyle w:val="NormalWeb"/>
        <w:spacing w:before="0" w:beforeAutospacing="0" w:after="0" w:afterAutospacing="0"/>
      </w:pPr>
      <w:r>
        <w:rPr>
          <w:rFonts w:ascii="Arial" w:hAnsi="Arial" w:cs="Arial"/>
          <w:color w:val="000000"/>
          <w:sz w:val="20"/>
          <w:szCs w:val="20"/>
        </w:rPr>
        <w:t xml:space="preserve">A theory-driven, directed content analysis was conducted using the Student Engagement in Digital Learning (SEDL) Framework to classify documented analytics indicators according to </w:t>
      </w:r>
      <w:r>
        <w:rPr>
          <w:rFonts w:ascii="Arial" w:hAnsi="Arial" w:cs="Arial"/>
          <w:color w:val="000000"/>
          <w:sz w:val="20"/>
          <w:szCs w:val="20"/>
          <w:highlight w:val="yellow"/>
        </w:rPr>
        <w:t>behavioural</w:t>
      </w:r>
      <w:r>
        <w:rPr>
          <w:rFonts w:ascii="Arial" w:hAnsi="Arial" w:cs="Arial"/>
          <w:color w:val="000000"/>
          <w:sz w:val="20"/>
          <w:szCs w:val="20"/>
        </w:rPr>
        <w:t xml:space="preserve">, cognitive, emotional, and social dimensions. This approach was appropriate because learning analytics may </w:t>
      </w:r>
      <w:r>
        <w:rPr>
          <w:rFonts w:ascii="Arial" w:hAnsi="Arial" w:cs="Arial"/>
          <w:color w:val="000000"/>
          <w:sz w:val="20"/>
          <w:szCs w:val="20"/>
          <w:highlight w:val="yellow"/>
        </w:rPr>
        <w:t>operationalise</w:t>
      </w:r>
      <w:r>
        <w:rPr>
          <w:rFonts w:ascii="Arial" w:hAnsi="Arial" w:cs="Arial"/>
          <w:color w:val="000000"/>
          <w:sz w:val="20"/>
          <w:szCs w:val="20"/>
        </w:rPr>
        <w:t xml:space="preserve"> student engagement through various types of observable digital traces, necessitating a theoretically informed coding framework for systematic comparison (Bergdahl et al., 2024).</w:t>
      </w:r>
    </w:p>
    <w:p w14:paraId="7C4AC0B5" w14:textId="77777777" w:rsidR="00856782" w:rsidRDefault="00856782" w:rsidP="00856782">
      <w:pPr>
        <w:pStyle w:val="NormalWeb"/>
        <w:spacing w:before="0" w:beforeAutospacing="0" w:after="0" w:afterAutospacing="0"/>
      </w:pPr>
      <w:r>
        <w:rPr>
          <w:rFonts w:ascii="Arial" w:hAnsi="Arial" w:cs="Arial"/>
          <w:color w:val="000000"/>
          <w:sz w:val="20"/>
          <w:szCs w:val="20"/>
        </w:rPr>
        <w:lastRenderedPageBreak/>
        <w:t>Each LMS was treated as a separate case, and its official analytics documentation was examined using consistent documentary search, inclusion, exclusion, and coding procedures. The analysis combined qualitative classification with descriptive frequencies and percentages to identify patterns within the documented analytics corpus. This approach enabled comparison of the types and engagement dimensions represented across the four platforms, without making claims regarding their relative effectiveness or the actual engagement of students. The focus of comparison was the publicly documented measurement architecture of LMS analytics, rather than student outcomes or proprietary system capabilities.</w:t>
      </w:r>
    </w:p>
    <w:p w14:paraId="5ACFE563" w14:textId="77777777" w:rsidR="00B57BC1" w:rsidRDefault="00B57BC1" w:rsidP="00B57BC1"/>
    <w:p w14:paraId="749FF256"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2.2 Selection of Learning Management System Platforms</w:t>
      </w:r>
    </w:p>
    <w:p w14:paraId="3720B23F" w14:textId="77777777" w:rsidR="00102507" w:rsidRDefault="00102507" w:rsidP="00102507"/>
    <w:p w14:paraId="7C62EF07"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Moodle, Canvas, Blackboard Learn, and D2L Brightspace were selected for comparison due to their status as established learning management environments with publicly accessible documentation on analytics, reports, dashboards, and related learner or learning measures. The selection process was purposive and guided by two criteria: relevance to higher education learning environments and the availability of sufficient official documentation to support systematic analysis of analytics capabilities. Consistent application of these criteria across the four cases ensured a comparable documentary basis for examining how different LMS platforms represent and </w:t>
      </w:r>
      <w:r>
        <w:rPr>
          <w:rFonts w:ascii="Arial" w:hAnsi="Arial" w:cs="Arial"/>
          <w:color w:val="000000"/>
          <w:sz w:val="20"/>
          <w:szCs w:val="20"/>
          <w:highlight w:val="yellow"/>
        </w:rPr>
        <w:t>operationalise</w:t>
      </w:r>
      <w:r>
        <w:rPr>
          <w:rFonts w:ascii="Arial" w:hAnsi="Arial" w:cs="Arial"/>
          <w:color w:val="000000"/>
          <w:sz w:val="20"/>
          <w:szCs w:val="20"/>
        </w:rPr>
        <w:t xml:space="preserve"> student engagement.</w:t>
      </w:r>
    </w:p>
    <w:p w14:paraId="7A78DF11"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Each of the four platforms was </w:t>
      </w:r>
      <w:r>
        <w:rPr>
          <w:rFonts w:ascii="Arial" w:hAnsi="Arial" w:cs="Arial"/>
          <w:color w:val="000000"/>
          <w:sz w:val="20"/>
          <w:szCs w:val="20"/>
          <w:highlight w:val="yellow"/>
        </w:rPr>
        <w:t>analysed</w:t>
      </w:r>
      <w:r>
        <w:rPr>
          <w:rFonts w:ascii="Arial" w:hAnsi="Arial" w:cs="Arial"/>
          <w:color w:val="000000"/>
          <w:sz w:val="20"/>
          <w:szCs w:val="20"/>
        </w:rPr>
        <w:t xml:space="preserve"> as an individual case, rather than as a representative sample of all learning management systems. This study does not assume that these platforms encompass the full range of analytics approaches available across LMSs. Additionally, the number of documented indicators was not interpreted as evidence of greater analytics sophistication or effectiveness. Instead, these cases were selected to facilitate systematic comparison of the publicly documented measurement of student engagement across four established LMS environments.</w:t>
      </w:r>
    </w:p>
    <w:p w14:paraId="0A129560" w14:textId="77777777" w:rsidR="00102507" w:rsidRDefault="00102507" w:rsidP="00102507"/>
    <w:p w14:paraId="05F943A5"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2.3 Documentary Corpus and Source Selection</w:t>
      </w:r>
    </w:p>
    <w:p w14:paraId="46A4B428" w14:textId="77777777" w:rsidR="00102507" w:rsidRDefault="00102507" w:rsidP="00102507"/>
    <w:p w14:paraId="37A04A9C" w14:textId="48AEEC14" w:rsidR="00102507" w:rsidRDefault="00102507" w:rsidP="00102507">
      <w:pPr>
        <w:pStyle w:val="NormalWeb"/>
        <w:spacing w:before="0" w:beforeAutospacing="0" w:after="0" w:afterAutospacing="0"/>
      </w:pPr>
      <w:r>
        <w:rPr>
          <w:rFonts w:ascii="Arial" w:hAnsi="Arial" w:cs="Arial"/>
          <w:color w:val="000000"/>
          <w:sz w:val="20"/>
          <w:szCs w:val="20"/>
        </w:rPr>
        <w:t xml:space="preserve">The documentary corpus was restricted to publicly accessible, official documentation produced by four learning management system (LMS) providers: Moodle, Instructure (Canvas), Anthology (Blackboard Learn), and D2L (Brightspace). This restriction ensured that the indicators represented measures explicitly documented by the LMS providers, rather than interpretations from third-party reviews or empirical studies. The corpus included analytics documentation, reporting and dashboard documentation, administrator and instructor documentation, and official developer or API documentation, provided these sources explicitly identified learner- or learning-related measures (Anthology, </w:t>
      </w:r>
      <w:r w:rsidR="00A0031F">
        <w:rPr>
          <w:rFonts w:ascii="Arial" w:hAnsi="Arial" w:cs="Arial"/>
          <w:color w:val="000000"/>
          <w:sz w:val="20"/>
          <w:szCs w:val="20"/>
        </w:rPr>
        <w:t>n.d.</w:t>
      </w:r>
      <w:r>
        <w:rPr>
          <w:rFonts w:ascii="Arial" w:hAnsi="Arial" w:cs="Arial"/>
          <w:color w:val="000000"/>
          <w:sz w:val="20"/>
          <w:szCs w:val="20"/>
        </w:rPr>
        <w:t>; D2L, n.d.; Instructure, n.d.; Moodle, 2024).</w:t>
      </w:r>
    </w:p>
    <w:p w14:paraId="1B5B019D"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A </w:t>
      </w:r>
      <w:r>
        <w:rPr>
          <w:rFonts w:ascii="Arial" w:hAnsi="Arial" w:cs="Arial"/>
          <w:color w:val="000000"/>
          <w:sz w:val="20"/>
          <w:szCs w:val="20"/>
          <w:highlight w:val="yellow"/>
        </w:rPr>
        <w:t>standardised</w:t>
      </w:r>
      <w:r>
        <w:rPr>
          <w:rFonts w:ascii="Arial" w:hAnsi="Arial" w:cs="Arial"/>
          <w:color w:val="000000"/>
          <w:sz w:val="20"/>
          <w:szCs w:val="20"/>
        </w:rPr>
        <w:t xml:space="preserve"> search protocol was applied to each platform, encompassing seven domains: (a) general analytics, (b) activity and </w:t>
      </w:r>
      <w:r>
        <w:rPr>
          <w:rFonts w:ascii="Arial" w:hAnsi="Arial" w:cs="Arial"/>
          <w:color w:val="000000"/>
          <w:sz w:val="20"/>
          <w:szCs w:val="20"/>
          <w:highlight w:val="yellow"/>
        </w:rPr>
        <w:t>behaviour</w:t>
      </w:r>
      <w:r>
        <w:rPr>
          <w:rFonts w:ascii="Arial" w:hAnsi="Arial" w:cs="Arial"/>
          <w:color w:val="000000"/>
          <w:sz w:val="20"/>
          <w:szCs w:val="20"/>
        </w:rPr>
        <w:t>, (c) assessment and performance, (d) social interaction, (e) cognitive and self-regulatory activity, (f) emotional or affective activity, and (g) prediction and intervention. Documents were included only if they explicitly identified a learner- or learning-related variable, event, measure, analytic output, or report relevant to student engagement. General descriptions of LMS functionality were not considered sufficient evidence of an analytics indicator.</w:t>
      </w:r>
    </w:p>
    <w:p w14:paraId="0D59ADB1"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Third-party reviews, academic studies used as empirical evidence, user forums, plugins or extensions, private institutional data, and technical documentation lacking explicit identification of a learner- or learning-related measure were excluded. This approach established a consistent evidentiary boundary across the four platforms and limited the analysis to the publicly documented core analytics corpus. Consequently, the absence of a documented indicator was interpreted as an absence of documented evidence according to </w:t>
      </w:r>
      <w:r>
        <w:rPr>
          <w:rFonts w:ascii="Arial" w:hAnsi="Arial" w:cs="Arial"/>
          <w:color w:val="000000"/>
          <w:sz w:val="20"/>
          <w:szCs w:val="20"/>
        </w:rPr>
        <w:lastRenderedPageBreak/>
        <w:t>the study's search and coding protocol, rather than as evidence that the underlying capability is absent.</w:t>
      </w:r>
    </w:p>
    <w:p w14:paraId="446927FB" w14:textId="77777777" w:rsidR="00102507" w:rsidRDefault="00102507" w:rsidP="00102507"/>
    <w:p w14:paraId="112FA95E"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2.4 Unit of Analysis and Inclusion/Exclusion Criteria</w:t>
      </w:r>
    </w:p>
    <w:p w14:paraId="6C81452D" w14:textId="77777777" w:rsidR="00102507" w:rsidRPr="002856DD" w:rsidRDefault="00102507" w:rsidP="00102507">
      <w:pPr>
        <w:rPr>
          <w:rFonts w:ascii="Arial" w:hAnsi="Arial" w:cs="Arial"/>
          <w:sz w:val="20"/>
          <w:szCs w:val="20"/>
        </w:rPr>
      </w:pPr>
    </w:p>
    <w:p w14:paraId="3647BADF" w14:textId="77777777" w:rsidR="002856DD" w:rsidRPr="002856DD" w:rsidRDefault="002856DD" w:rsidP="00102507">
      <w:pPr>
        <w:pStyle w:val="NormalWeb"/>
        <w:spacing w:before="0" w:beforeAutospacing="0" w:after="0" w:afterAutospacing="0"/>
        <w:rPr>
          <w:rStyle w:val="Strong"/>
          <w:rFonts w:ascii="Arial" w:hAnsi="Arial" w:cs="Arial"/>
          <w:color w:val="000000"/>
          <w:sz w:val="20"/>
          <w:szCs w:val="20"/>
        </w:rPr>
      </w:pPr>
      <w:r w:rsidRPr="002856DD">
        <w:rPr>
          <w:rFonts w:ascii="Arial" w:hAnsi="Arial" w:cs="Arial"/>
          <w:color w:val="000000"/>
          <w:sz w:val="20"/>
          <w:szCs w:val="20"/>
        </w:rPr>
        <w:t>The unit of analysis was defined as a distinct, publicly documented LMS analytics indicator or measure representing a learner- or learning-related characteristic relevant to student engagement. Each indicator was counted once when documentation identified it as a distinct measure, regardless of its appearance in multiple reports, dashboards, or visualizations. This approach ensured that the same underlying measure was not counted repeatedly across different documentation formats</w:t>
      </w:r>
      <w:r w:rsidRPr="002856DD">
        <w:rPr>
          <w:rFonts w:ascii="Arial" w:hAnsi="Arial" w:cs="Arial"/>
          <w:b/>
          <w:bCs/>
          <w:color w:val="000000"/>
          <w:sz w:val="20"/>
          <w:szCs w:val="20"/>
        </w:rPr>
        <w:t>.</w:t>
      </w:r>
      <w:r w:rsidRPr="002856DD">
        <w:rPr>
          <w:rStyle w:val="apple-converted-space"/>
          <w:rFonts w:ascii="Arial" w:hAnsi="Arial" w:cs="Arial"/>
          <w:b/>
          <w:bCs/>
          <w:color w:val="000000"/>
          <w:sz w:val="20"/>
          <w:szCs w:val="20"/>
        </w:rPr>
        <w:t> </w:t>
      </w:r>
      <w:r w:rsidRPr="002856DD">
        <w:rPr>
          <w:rStyle w:val="Strong"/>
          <w:rFonts w:ascii="Arial" w:hAnsi="Arial" w:cs="Arial"/>
          <w:b w:val="0"/>
          <w:bCs w:val="0"/>
          <w:color w:val="000000"/>
          <w:sz w:val="20"/>
          <w:szCs w:val="20"/>
        </w:rPr>
        <w:t xml:space="preserve">Accordingly, the final indicator count represents distinct </w:t>
      </w:r>
      <w:r w:rsidRPr="002856DD">
        <w:rPr>
          <w:rStyle w:val="Strong"/>
          <w:rFonts w:ascii="Arial" w:hAnsi="Arial" w:cs="Arial"/>
          <w:b w:val="0"/>
          <w:bCs w:val="0"/>
          <w:color w:val="000000"/>
          <w:sz w:val="20"/>
          <w:szCs w:val="20"/>
          <w:highlight w:val="yellow"/>
        </w:rPr>
        <w:t>normalised</w:t>
      </w:r>
      <w:r w:rsidRPr="002856DD">
        <w:rPr>
          <w:rStyle w:val="Strong"/>
          <w:rFonts w:ascii="Arial" w:hAnsi="Arial" w:cs="Arial"/>
          <w:b w:val="0"/>
          <w:bCs w:val="0"/>
          <w:color w:val="000000"/>
          <w:sz w:val="20"/>
          <w:szCs w:val="20"/>
        </w:rPr>
        <w:t xml:space="preserve"> measures rather than the number of times an indicator appeared across individual documents, reports, dashboards, or system outputs.</w:t>
      </w:r>
    </w:p>
    <w:p w14:paraId="78D8C9A9" w14:textId="77777777" w:rsidR="00102507" w:rsidRDefault="00102507" w:rsidP="00102507">
      <w:pPr>
        <w:pStyle w:val="NormalWeb"/>
        <w:spacing w:before="0" w:beforeAutospacing="0" w:after="0" w:afterAutospacing="0"/>
      </w:pPr>
      <w:r>
        <w:rPr>
          <w:rFonts w:ascii="Arial" w:hAnsi="Arial" w:cs="Arial"/>
          <w:color w:val="000000"/>
          <w:sz w:val="20"/>
          <w:szCs w:val="20"/>
        </w:rPr>
        <w:t>Inclusion required explicit documentary evidence of the measure. General LMS features, instructional activities, or technical functions were excluded as analytics indicators unless official documentation specifically identified a corresponding learner- or learning-related measure. Likewise, raw system events were not considered separate indicators if they served as underlying data for a documented measure.</w:t>
      </w:r>
    </w:p>
    <w:p w14:paraId="2FBD51A1"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Measures were excluded from the engagement corpus if they represented educational outcomes, such as grades, or if they constituted analytics outputs, including predictions, alerts, or recommendations, rather than indicators of engagement. Only measures classified as direct or proxy indicators of engagement were retained in the final corpus. These criteria were applied consistently across all four platforms to maintain a common level of analytical granularity and to </w:t>
      </w:r>
      <w:r>
        <w:rPr>
          <w:rFonts w:ascii="Arial" w:hAnsi="Arial" w:cs="Arial"/>
          <w:color w:val="000000"/>
          <w:sz w:val="20"/>
          <w:szCs w:val="20"/>
          <w:highlight w:val="yellow"/>
        </w:rPr>
        <w:t>minimise</w:t>
      </w:r>
      <w:r>
        <w:rPr>
          <w:rFonts w:ascii="Arial" w:hAnsi="Arial" w:cs="Arial"/>
          <w:color w:val="000000"/>
          <w:sz w:val="20"/>
          <w:szCs w:val="20"/>
        </w:rPr>
        <w:t xml:space="preserve"> double-counting.</w:t>
      </w:r>
    </w:p>
    <w:p w14:paraId="0CF1636F" w14:textId="77777777" w:rsidR="00102507" w:rsidRDefault="00102507" w:rsidP="00102507"/>
    <w:p w14:paraId="238059EA"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2.5 Analytical Framework and Coding Procedure</w:t>
      </w:r>
    </w:p>
    <w:p w14:paraId="0E062F84" w14:textId="77777777" w:rsidR="00102507" w:rsidRPr="00825174" w:rsidRDefault="00102507" w:rsidP="00825174">
      <w:pPr>
        <w:rPr>
          <w:rFonts w:ascii="Arial" w:hAnsi="Arial" w:cs="Arial"/>
          <w:sz w:val="20"/>
          <w:szCs w:val="20"/>
        </w:rPr>
      </w:pPr>
    </w:p>
    <w:p w14:paraId="1E5995B3" w14:textId="77777777" w:rsidR="00825174" w:rsidRPr="00825174" w:rsidRDefault="00825174" w:rsidP="00825174">
      <w:pPr>
        <w:pStyle w:val="pdq2pgselectionanchorcontainer"/>
        <w:spacing w:before="0" w:beforeAutospacing="0" w:after="0" w:afterAutospacing="0"/>
        <w:rPr>
          <w:rFonts w:ascii="Arial" w:hAnsi="Arial" w:cs="Arial"/>
          <w:color w:val="000000"/>
          <w:sz w:val="20"/>
          <w:szCs w:val="20"/>
        </w:rPr>
      </w:pPr>
      <w:r w:rsidRPr="00825174">
        <w:rPr>
          <w:rFonts w:ascii="Arial" w:hAnsi="Arial" w:cs="Arial"/>
          <w:color w:val="000000"/>
          <w:sz w:val="20"/>
          <w:szCs w:val="20"/>
        </w:rPr>
        <w:t xml:space="preserve">The coding procedure was informed by theory and followed a deductive approach, with initial coding categories established prior to analysis. This method aligns with directed content analysis, where existing theory or relevant research informs the development of coding categories (Hsieh &amp; Shannon, 2005). The Student Engagement in Digital Learning (SEDL) Framework was employed as the primary analytical framework, </w:t>
      </w:r>
      <w:r w:rsidRPr="00825174">
        <w:rPr>
          <w:rFonts w:ascii="Arial" w:hAnsi="Arial" w:cs="Arial"/>
          <w:color w:val="000000"/>
          <w:sz w:val="20"/>
          <w:szCs w:val="20"/>
          <w:highlight w:val="yellow"/>
        </w:rPr>
        <w:t>categorising</w:t>
      </w:r>
      <w:r w:rsidRPr="00825174">
        <w:rPr>
          <w:rFonts w:ascii="Arial" w:hAnsi="Arial" w:cs="Arial"/>
          <w:color w:val="000000"/>
          <w:sz w:val="20"/>
          <w:szCs w:val="20"/>
        </w:rPr>
        <w:t xml:space="preserve"> documented indicators into four dimensions: </w:t>
      </w:r>
      <w:r w:rsidRPr="00825174">
        <w:rPr>
          <w:rFonts w:ascii="Arial" w:hAnsi="Arial" w:cs="Arial"/>
          <w:color w:val="000000"/>
          <w:sz w:val="20"/>
          <w:szCs w:val="20"/>
          <w:highlight w:val="yellow"/>
        </w:rPr>
        <w:t>behavioural</w:t>
      </w:r>
      <w:r w:rsidRPr="00825174">
        <w:rPr>
          <w:rFonts w:ascii="Arial" w:hAnsi="Arial" w:cs="Arial"/>
          <w:color w:val="000000"/>
          <w:sz w:val="20"/>
          <w:szCs w:val="20"/>
        </w:rPr>
        <w:t>, cognitive, emotional, and social engagement (Bergdahl et al., 2024). Each documented measure was coded according to the learner activity or learning-related process explicitly represented in the source documentation.</w:t>
      </w:r>
    </w:p>
    <w:p w14:paraId="6DD0B716"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Style w:val="Strong"/>
          <w:rFonts w:ascii="Arial" w:hAnsi="Arial" w:cs="Arial"/>
          <w:b w:val="0"/>
          <w:bCs w:val="0"/>
          <w:color w:val="000000"/>
          <w:sz w:val="20"/>
          <w:szCs w:val="20"/>
        </w:rPr>
        <w:t>For each eligible documentary source, the coding process proceeded sequentially from source identification to indicator extraction, indicator normalization, SEDL dimension assignment, and measurement-status classification. An indicator was retained in the final corpus only when the official documentation explicitly supported its representation as a learner- or learning-related measure relevant to engagement. The measure was assigned to the SEDL dimension most directly represented by the documented learner activity or learning process and was then classified according to its measurement status.</w:t>
      </w:r>
    </w:p>
    <w:p w14:paraId="7B0CB6A2"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Fonts w:ascii="Arial" w:hAnsi="Arial" w:cs="Arial"/>
          <w:color w:val="000000"/>
          <w:sz w:val="20"/>
          <w:szCs w:val="20"/>
        </w:rPr>
        <w:t xml:space="preserve">A second coding layer classified each measure by its measurement status: direct indicator, proxy indicator, outcome, analytics output, or non-engagement analytics. Direct indicators explicitly represented aspects of engagement, while proxy indicators could suggest engagement without directly confirming it. Outcomes, such as grades, were differentiated from engagement indicators. Predictions, alerts, and recommendations were </w:t>
      </w:r>
      <w:r w:rsidRPr="00825174">
        <w:rPr>
          <w:rFonts w:ascii="Arial" w:hAnsi="Arial" w:cs="Arial"/>
          <w:color w:val="000000"/>
          <w:sz w:val="20"/>
          <w:szCs w:val="20"/>
          <w:highlight w:val="yellow"/>
        </w:rPr>
        <w:t>categorised</w:t>
      </w:r>
      <w:r w:rsidRPr="00825174">
        <w:rPr>
          <w:rFonts w:ascii="Arial" w:hAnsi="Arial" w:cs="Arial"/>
          <w:color w:val="000000"/>
          <w:sz w:val="20"/>
          <w:szCs w:val="20"/>
        </w:rPr>
        <w:t xml:space="preserve"> as analytics outputs rather than engagement measures. The final engagement corpus included only direct and proxy indicators.</w:t>
      </w:r>
    </w:p>
    <w:p w14:paraId="31C75791" w14:textId="77777777" w:rsidR="00825174" w:rsidRPr="00825174" w:rsidRDefault="00825174" w:rsidP="00825174">
      <w:pPr>
        <w:pStyle w:val="NormalWeb"/>
        <w:spacing w:before="0" w:beforeAutospacing="0" w:after="0" w:afterAutospacing="0"/>
        <w:rPr>
          <w:rFonts w:ascii="Arial" w:hAnsi="Arial" w:cs="Arial"/>
          <w:color w:val="000000"/>
          <w:sz w:val="20"/>
          <w:szCs w:val="20"/>
        </w:rPr>
      </w:pPr>
      <w:r w:rsidRPr="00825174">
        <w:rPr>
          <w:rFonts w:ascii="Arial" w:hAnsi="Arial" w:cs="Arial"/>
          <w:color w:val="000000"/>
          <w:sz w:val="20"/>
          <w:szCs w:val="20"/>
        </w:rPr>
        <w:t xml:space="preserve">The coded data were </w:t>
      </w:r>
      <w:r w:rsidRPr="00825174">
        <w:rPr>
          <w:rFonts w:ascii="Arial" w:hAnsi="Arial" w:cs="Arial"/>
          <w:color w:val="000000"/>
          <w:sz w:val="20"/>
          <w:szCs w:val="20"/>
          <w:highlight w:val="yellow"/>
        </w:rPr>
        <w:t>organised</w:t>
      </w:r>
      <w:r w:rsidRPr="00825174">
        <w:rPr>
          <w:rFonts w:ascii="Arial" w:hAnsi="Arial" w:cs="Arial"/>
          <w:color w:val="000000"/>
          <w:sz w:val="20"/>
          <w:szCs w:val="20"/>
        </w:rPr>
        <w:t xml:space="preserve"> by LMS platform and compared across the four SEDL dimensions. Frequencies and percentages were calculated to determine the distribution of documented indicators within and across platforms. This procedure enabled examination of the extent to which student engagement dimensions are represented in LMS analytics and </w:t>
      </w:r>
      <w:r w:rsidRPr="00825174">
        <w:rPr>
          <w:rFonts w:ascii="Arial" w:hAnsi="Arial" w:cs="Arial"/>
          <w:color w:val="000000"/>
          <w:sz w:val="20"/>
          <w:szCs w:val="20"/>
        </w:rPr>
        <w:lastRenderedPageBreak/>
        <w:t>the differences in measurement patterns across platforms, without assuming that the number of documented indicators reflects overall analytics quality or platform sophistication.</w:t>
      </w:r>
    </w:p>
    <w:p w14:paraId="4777331C" w14:textId="77777777" w:rsidR="00102507" w:rsidRDefault="00102507" w:rsidP="00102507">
      <w:pPr>
        <w:pStyle w:val="NormalWeb"/>
        <w:spacing w:before="0" w:beforeAutospacing="0" w:after="0" w:afterAutospacing="0"/>
      </w:pPr>
    </w:p>
    <w:p w14:paraId="42F0A66B" w14:textId="77777777" w:rsidR="00102507" w:rsidRPr="00102507" w:rsidRDefault="00102507" w:rsidP="00102507">
      <w:pPr>
        <w:pStyle w:val="Heading2"/>
        <w:spacing w:before="0"/>
        <w:rPr>
          <w:b/>
          <w:bCs/>
          <w:sz w:val="22"/>
          <w:szCs w:val="22"/>
        </w:rPr>
      </w:pPr>
      <w:r w:rsidRPr="00102507">
        <w:rPr>
          <w:rFonts w:ascii="Arial" w:hAnsi="Arial" w:cs="Arial"/>
          <w:b/>
          <w:bCs/>
          <w:color w:val="000000"/>
          <w:sz w:val="22"/>
          <w:szCs w:val="22"/>
        </w:rPr>
        <w:t>2.6 Data Analysis and Comparative Procedure</w:t>
      </w:r>
    </w:p>
    <w:p w14:paraId="252D2A45" w14:textId="77777777" w:rsidR="00102507" w:rsidRDefault="00102507" w:rsidP="00102507"/>
    <w:p w14:paraId="50BB52E9"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coded indicators were first </w:t>
      </w:r>
      <w:r>
        <w:rPr>
          <w:rFonts w:ascii="Arial" w:hAnsi="Arial" w:cs="Arial"/>
          <w:color w:val="000000"/>
          <w:sz w:val="20"/>
          <w:szCs w:val="20"/>
          <w:highlight w:val="yellow"/>
        </w:rPr>
        <w:t>normalised</w:t>
      </w:r>
      <w:r>
        <w:rPr>
          <w:rFonts w:ascii="Arial" w:hAnsi="Arial" w:cs="Arial"/>
          <w:color w:val="000000"/>
          <w:sz w:val="20"/>
          <w:szCs w:val="20"/>
        </w:rPr>
        <w:t xml:space="preserve"> within and across platforms to prevent duplicate measurement and to ensure consistent granularity in the analysis. The dataset was then </w:t>
      </w:r>
      <w:r>
        <w:rPr>
          <w:rFonts w:ascii="Arial" w:hAnsi="Arial" w:cs="Arial"/>
          <w:color w:val="000000"/>
          <w:sz w:val="20"/>
          <w:szCs w:val="20"/>
          <w:highlight w:val="yellow"/>
        </w:rPr>
        <w:t>organised</w:t>
      </w:r>
      <w:r>
        <w:rPr>
          <w:rFonts w:ascii="Arial" w:hAnsi="Arial" w:cs="Arial"/>
          <w:color w:val="000000"/>
          <w:sz w:val="20"/>
          <w:szCs w:val="20"/>
        </w:rPr>
        <w:t xml:space="preserve"> by LMS platform, engagement dimension, and measurement status. This procedure followed the study's predefined coding rules and enabled transparent comparison of engagement </w:t>
      </w:r>
      <w:r>
        <w:rPr>
          <w:rFonts w:ascii="Arial" w:hAnsi="Arial" w:cs="Arial"/>
          <w:color w:val="000000"/>
          <w:sz w:val="20"/>
          <w:szCs w:val="20"/>
          <w:highlight w:val="yellow"/>
        </w:rPr>
        <w:t>operationalisation</w:t>
      </w:r>
      <w:r>
        <w:rPr>
          <w:rFonts w:ascii="Arial" w:hAnsi="Arial" w:cs="Arial"/>
          <w:color w:val="000000"/>
          <w:sz w:val="20"/>
          <w:szCs w:val="20"/>
        </w:rPr>
        <w:t xml:space="preserve"> across the four platforms.</w:t>
      </w:r>
    </w:p>
    <w:p w14:paraId="3D68972D"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Descriptive analysis was used to calculate frequency counts and percentages for the documented indicators. Frequencies were determined for each platform and for each SEDL dimension: </w:t>
      </w:r>
      <w:r>
        <w:rPr>
          <w:rFonts w:ascii="Arial" w:hAnsi="Arial" w:cs="Arial"/>
          <w:color w:val="000000"/>
          <w:sz w:val="20"/>
          <w:szCs w:val="20"/>
          <w:highlight w:val="yellow"/>
        </w:rPr>
        <w:t>behavioural</w:t>
      </w:r>
      <w:r>
        <w:rPr>
          <w:rFonts w:ascii="Arial" w:hAnsi="Arial" w:cs="Arial"/>
          <w:color w:val="000000"/>
          <w:sz w:val="20"/>
          <w:szCs w:val="20"/>
        </w:rPr>
        <w:t>, cognitive, emotional, and social. Platform-level distributions were compared to identify similarities and differences in the types of engagement indicators present in publicly documented analytics.</w:t>
      </w:r>
    </w:p>
    <w:p w14:paraId="707C6DB7" w14:textId="77777777" w:rsidR="00102507" w:rsidRDefault="00102507" w:rsidP="00102507">
      <w:pPr>
        <w:pStyle w:val="NormalWeb"/>
        <w:spacing w:before="0" w:beforeAutospacing="0" w:after="0" w:afterAutospacing="0"/>
      </w:pPr>
      <w:r>
        <w:rPr>
          <w:rFonts w:ascii="Arial" w:hAnsi="Arial" w:cs="Arial"/>
          <w:color w:val="000000"/>
          <w:sz w:val="20"/>
          <w:szCs w:val="20"/>
        </w:rPr>
        <w:t>The comparative findings addressed the four research questions sequentially: RQ1 established the inventory of documented indicators; RQ2 examined their distribution across engagement dimensions; RQ3 compared the resulting measurement profiles across platforms; and RQ4 interpreted the broader patterns by which LMS analytics render student engagement measurable. The analysis was descriptive and comparative rather than inferential, and did not assess platform effectiveness, student outcomes, or the relative quality of LMS analytics.</w:t>
      </w:r>
    </w:p>
    <w:p w14:paraId="7089F38C" w14:textId="77777777" w:rsidR="00102507" w:rsidRDefault="00102507" w:rsidP="00102507"/>
    <w:p w14:paraId="77513B9D"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 xml:space="preserve">2.7 Trustworthiness and Methodological </w:t>
      </w:r>
      <w:r w:rsidRPr="00102507">
        <w:rPr>
          <w:rFonts w:ascii="Arial" w:hAnsi="Arial" w:cs="Arial"/>
          <w:b/>
          <w:bCs/>
          <w:color w:val="000000"/>
          <w:sz w:val="22"/>
          <w:szCs w:val="22"/>
          <w:highlight w:val="yellow"/>
        </w:rPr>
        <w:t>Rigour</w:t>
      </w:r>
    </w:p>
    <w:p w14:paraId="0268FCAF" w14:textId="77777777" w:rsidR="00102507" w:rsidRDefault="00102507" w:rsidP="00102507"/>
    <w:p w14:paraId="10B288CA"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Methodological </w:t>
      </w:r>
      <w:r>
        <w:rPr>
          <w:rFonts w:ascii="Arial" w:hAnsi="Arial" w:cs="Arial"/>
          <w:color w:val="000000"/>
          <w:sz w:val="20"/>
          <w:szCs w:val="20"/>
          <w:highlight w:val="yellow"/>
        </w:rPr>
        <w:t>rigour</w:t>
      </w:r>
      <w:r>
        <w:rPr>
          <w:rFonts w:ascii="Arial" w:hAnsi="Arial" w:cs="Arial"/>
          <w:color w:val="000000"/>
          <w:sz w:val="20"/>
          <w:szCs w:val="20"/>
        </w:rPr>
        <w:t xml:space="preserve"> was ensured by applying </w:t>
      </w:r>
      <w:r>
        <w:rPr>
          <w:rFonts w:ascii="Arial" w:hAnsi="Arial" w:cs="Arial"/>
          <w:color w:val="000000"/>
          <w:sz w:val="20"/>
          <w:szCs w:val="20"/>
          <w:highlight w:val="yellow"/>
        </w:rPr>
        <w:t>standardisation</w:t>
      </w:r>
      <w:r>
        <w:rPr>
          <w:rFonts w:ascii="Arial" w:hAnsi="Arial" w:cs="Arial"/>
          <w:color w:val="000000"/>
          <w:sz w:val="20"/>
          <w:szCs w:val="20"/>
        </w:rPr>
        <w:t>, traceability, and consistency throughout the documentary analysis. The same source-selection protocol, search areas, inclusion and exclusion criteria, unit of analysis, and coding categories were used for all four LMS platforms. A documented decision trail for source selection, indicator normalization, and coding decisions enhanced the analysis's dependability and transparency (Ahmed, 2024).</w:t>
      </w:r>
    </w:p>
    <w:p w14:paraId="2C365E3D" w14:textId="77777777" w:rsidR="00102507" w:rsidRDefault="00102507" w:rsidP="00102507">
      <w:pPr>
        <w:pStyle w:val="NormalWeb"/>
        <w:spacing w:before="0" w:beforeAutospacing="0" w:after="0" w:afterAutospacing="0"/>
      </w:pPr>
      <w:r>
        <w:rPr>
          <w:rFonts w:ascii="Arial" w:hAnsi="Arial" w:cs="Arial"/>
          <w:color w:val="000000"/>
          <w:sz w:val="20"/>
          <w:szCs w:val="20"/>
        </w:rPr>
        <w:t>Coding decisions were verified against the original official documentation to ensure that each retained indicator was supported by explicit documentary evidence. Duplicate measures were consolidated, and indicators were coded according to the predefined SEDL dimensions and measurement-status categories. These procedures maintained analytical consistency and minimized the risk that differences in documentation structure across platforms would artificially affect indicator counts.</w:t>
      </w:r>
    </w:p>
    <w:p w14:paraId="3CCA2520"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analysis adopted a conservative approach regarding undocumented evidence. The absence of an indicator in the corpus was interpreted as a lack of publicly documented evidence, in accordance with the study's </w:t>
      </w:r>
      <w:r>
        <w:rPr>
          <w:rFonts w:ascii="Arial" w:hAnsi="Arial" w:cs="Arial"/>
          <w:color w:val="000000"/>
          <w:sz w:val="20"/>
          <w:szCs w:val="20"/>
          <w:highlight w:val="yellow"/>
        </w:rPr>
        <w:t>standardised</w:t>
      </w:r>
      <w:r>
        <w:rPr>
          <w:rFonts w:ascii="Arial" w:hAnsi="Arial" w:cs="Arial"/>
          <w:color w:val="000000"/>
          <w:sz w:val="20"/>
          <w:szCs w:val="20"/>
        </w:rPr>
        <w:t xml:space="preserve"> protocol, rather than as confirmation that a platform lacks the underlying capability. This distinction is essential when interpreting differences among commercial LMS platforms, whose analytics capabilities may vary based on configuration, licensing, or non-public documentation. Collectively, these procedures established a transparent analytical trail from source selection through coding and comparative interpretation.</w:t>
      </w:r>
    </w:p>
    <w:p w14:paraId="31FF03BC" w14:textId="77777777" w:rsidR="00102507" w:rsidRDefault="00102507" w:rsidP="00102507"/>
    <w:p w14:paraId="1F3F053C"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2.8 Ethical Considerations</w:t>
      </w:r>
    </w:p>
    <w:p w14:paraId="4FB8A2A4" w14:textId="77777777" w:rsidR="00102507" w:rsidRDefault="00102507" w:rsidP="00102507"/>
    <w:p w14:paraId="7944513B"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study did not involve human participants, personal data, institutional records, or private information. The documentary corpus consisted exclusively of publicly accessible materials published by the respective learning management system (LMS) providers. As a result, the analysis did not require participant recruitment, informed consent, or access to confidential educational data. The analysis attributed all documentary sources to their respective </w:t>
      </w:r>
      <w:r>
        <w:rPr>
          <w:rFonts w:ascii="Arial" w:hAnsi="Arial" w:cs="Arial"/>
          <w:color w:val="000000"/>
          <w:sz w:val="20"/>
          <w:szCs w:val="20"/>
        </w:rPr>
        <w:lastRenderedPageBreak/>
        <w:t>organizations and limited it to information explicitly available in the public domain. The study did not claim undocumented or proprietary capabilities and did not use the documentation to evaluate individual users, institutions, or identifiable persons. These procedures ensured responsible use and transparent interpretation of publicly available documentary evidence.</w:t>
      </w:r>
    </w:p>
    <w:p w14:paraId="4CED349A" w14:textId="77777777" w:rsidR="00790ADA" w:rsidRPr="00FB3A86" w:rsidRDefault="00790ADA" w:rsidP="00441B6F">
      <w:pPr>
        <w:pStyle w:val="Body"/>
        <w:spacing w:after="0"/>
        <w:rPr>
          <w:rFonts w:ascii="Arial" w:hAnsi="Arial" w:cs="Arial"/>
        </w:rPr>
      </w:pPr>
    </w:p>
    <w:p w14:paraId="4307CEA3"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highlight w:val="yellow"/>
        </w:rPr>
        <w:t>RESULTS AND DISCUSSION</w:t>
      </w:r>
    </w:p>
    <w:p w14:paraId="1D8F2320" w14:textId="77777777" w:rsidR="00790ADA" w:rsidRPr="00FB3A86" w:rsidRDefault="00790ADA" w:rsidP="00441B6F">
      <w:pPr>
        <w:pStyle w:val="Head1"/>
        <w:spacing w:after="0"/>
        <w:jc w:val="both"/>
        <w:rPr>
          <w:rFonts w:ascii="Arial" w:hAnsi="Arial" w:cs="Arial"/>
        </w:rPr>
      </w:pPr>
    </w:p>
    <w:p w14:paraId="17434949" w14:textId="77777777" w:rsidR="00102507" w:rsidRPr="00102507" w:rsidRDefault="00102507" w:rsidP="00102507">
      <w:pPr>
        <w:pStyle w:val="Heading3"/>
        <w:spacing w:before="0"/>
        <w:rPr>
          <w:b/>
          <w:bCs/>
          <w:sz w:val="22"/>
          <w:szCs w:val="22"/>
        </w:rPr>
      </w:pPr>
      <w:r w:rsidRPr="00102507">
        <w:rPr>
          <w:rFonts w:ascii="Arial" w:hAnsi="Arial" w:cs="Arial"/>
          <w:b/>
          <w:bCs/>
          <w:color w:val="000000"/>
          <w:sz w:val="22"/>
          <w:szCs w:val="22"/>
        </w:rPr>
        <w:t>3.1 Documented Student-Engagement Indicators</w:t>
      </w:r>
    </w:p>
    <w:p w14:paraId="0B5F3403" w14:textId="77777777" w:rsidR="00102507" w:rsidRDefault="00102507" w:rsidP="00102507"/>
    <w:p w14:paraId="5E5B1D4C" w14:textId="77777777" w:rsidR="00102507" w:rsidRDefault="00102507" w:rsidP="00102507">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Research Question 1 (RQ1) investigated which student-engagement indicators are publicly documented in Moodle, Canvas, Blackboard Learn, and D2L Brightspace. The application of a </w:t>
      </w:r>
      <w:r>
        <w:rPr>
          <w:rFonts w:ascii="Arial" w:hAnsi="Arial" w:cs="Arial"/>
          <w:color w:val="000000"/>
          <w:sz w:val="20"/>
          <w:szCs w:val="20"/>
          <w:highlight w:val="yellow"/>
        </w:rPr>
        <w:t>standardised</w:t>
      </w:r>
      <w:r>
        <w:rPr>
          <w:rFonts w:ascii="Arial" w:hAnsi="Arial" w:cs="Arial"/>
          <w:color w:val="000000"/>
          <w:sz w:val="20"/>
          <w:szCs w:val="20"/>
        </w:rPr>
        <w:t xml:space="preserve"> documentary search protocol, along with defined inclusion and exclusion criteria, unit of analysis, and coding procedure, resulted in a final corpus of 101 distinct student-engagement indicators across the four learning management system (LMS) platforms. The distribution of indicators was uneven: Moodle accounted for 51 indicators (50.5%), Blackboard Learn for 19 (18.8%), Canvas for 16 (15.8%), and D2L Brightspace for 15 (14.9%).</w:t>
      </w:r>
    </w:p>
    <w:p w14:paraId="687FCE04" w14:textId="77777777" w:rsidR="00102507" w:rsidRDefault="00102507" w:rsidP="00102507">
      <w:pPr>
        <w:pStyle w:val="NormalWeb"/>
        <w:spacing w:before="0" w:beforeAutospacing="0" w:after="0" w:afterAutospacing="0"/>
      </w:pPr>
    </w:p>
    <w:p w14:paraId="0A0F4E64" w14:textId="77777777" w:rsidR="00102507" w:rsidRDefault="00102507" w:rsidP="00102507">
      <w:pPr>
        <w:pStyle w:val="NormalWeb"/>
        <w:spacing w:before="0" w:beforeAutospacing="0" w:after="0" w:afterAutospacing="0"/>
        <w:jc w:val="center"/>
      </w:pPr>
      <w:r>
        <w:rPr>
          <w:rFonts w:ascii="Arial" w:hAnsi="Arial" w:cs="Arial"/>
          <w:b/>
          <w:bCs/>
          <w:color w:val="000000"/>
          <w:sz w:val="20"/>
          <w:szCs w:val="20"/>
        </w:rPr>
        <w:t>Table 1. Documented Student-Engagement Indicators by LMS Platform</w:t>
      </w:r>
    </w:p>
    <w:p w14:paraId="083F0B21" w14:textId="77777777" w:rsidR="00102507" w:rsidRDefault="00102507" w:rsidP="00102507"/>
    <w:tbl>
      <w:tblPr>
        <w:tblW w:w="0" w:type="auto"/>
        <w:jc w:val="center"/>
        <w:tblCellMar>
          <w:top w:w="15" w:type="dxa"/>
          <w:left w:w="15" w:type="dxa"/>
          <w:bottom w:w="15" w:type="dxa"/>
          <w:right w:w="15" w:type="dxa"/>
        </w:tblCellMar>
        <w:tblLook w:val="04A0" w:firstRow="1" w:lastRow="0" w:firstColumn="1" w:lastColumn="0" w:noHBand="0" w:noVBand="1"/>
      </w:tblPr>
      <w:tblGrid>
        <w:gridCol w:w="2038"/>
        <w:gridCol w:w="2423"/>
        <w:gridCol w:w="2279"/>
      </w:tblGrid>
      <w:tr w:rsidR="00102507" w:rsidRPr="00102507" w14:paraId="7E79A913" w14:textId="77777777" w:rsidTr="00102507">
        <w:trPr>
          <w:trHeight w:val="155"/>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759A9853"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LMS Platform</w:t>
            </w:r>
          </w:p>
        </w:tc>
        <w:tc>
          <w:tcPr>
            <w:tcW w:w="0" w:type="auto"/>
            <w:tcBorders>
              <w:top w:val="single" w:sz="4" w:space="0" w:color="auto"/>
              <w:bottom w:val="single" w:sz="4" w:space="0" w:color="auto"/>
            </w:tcBorders>
            <w:tcMar>
              <w:top w:w="100" w:type="dxa"/>
              <w:left w:w="100" w:type="dxa"/>
              <w:bottom w:w="100" w:type="dxa"/>
              <w:right w:w="100" w:type="dxa"/>
            </w:tcMar>
            <w:hideMark/>
          </w:tcPr>
          <w:p w14:paraId="46D28FDA"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Documented Indicators</w:t>
            </w:r>
          </w:p>
        </w:tc>
        <w:tc>
          <w:tcPr>
            <w:tcW w:w="0" w:type="auto"/>
            <w:tcBorders>
              <w:top w:val="single" w:sz="4" w:space="0" w:color="auto"/>
              <w:bottom w:val="single" w:sz="4" w:space="0" w:color="auto"/>
            </w:tcBorders>
            <w:tcMar>
              <w:top w:w="100" w:type="dxa"/>
              <w:left w:w="100" w:type="dxa"/>
              <w:bottom w:w="100" w:type="dxa"/>
              <w:right w:w="100" w:type="dxa"/>
            </w:tcMar>
            <w:hideMark/>
          </w:tcPr>
          <w:p w14:paraId="16E58706" w14:textId="77777777" w:rsidR="00102507" w:rsidRPr="00102507" w:rsidRDefault="00102507">
            <w:pPr>
              <w:pStyle w:val="NormalWeb"/>
              <w:spacing w:before="0" w:beforeAutospacing="0" w:after="0" w:afterAutospacing="0"/>
              <w:rPr>
                <w:b/>
                <w:bCs/>
              </w:rPr>
            </w:pPr>
            <w:r w:rsidRPr="00102507">
              <w:rPr>
                <w:rFonts w:ascii="Arial" w:hAnsi="Arial" w:cs="Arial"/>
                <w:b/>
                <w:bCs/>
                <w:color w:val="000000"/>
                <w:sz w:val="20"/>
                <w:szCs w:val="20"/>
              </w:rPr>
              <w:t>Percentage of Corpus</w:t>
            </w:r>
          </w:p>
        </w:tc>
      </w:tr>
      <w:tr w:rsidR="00102507" w14:paraId="713B6083" w14:textId="77777777" w:rsidTr="00102507">
        <w:trPr>
          <w:trHeight w:val="22"/>
          <w:jc w:val="center"/>
        </w:trPr>
        <w:tc>
          <w:tcPr>
            <w:tcW w:w="2038" w:type="dxa"/>
            <w:tcBorders>
              <w:top w:val="single" w:sz="4" w:space="0" w:color="auto"/>
            </w:tcBorders>
            <w:tcMar>
              <w:top w:w="100" w:type="dxa"/>
              <w:left w:w="100" w:type="dxa"/>
              <w:bottom w:w="100" w:type="dxa"/>
              <w:right w:w="100" w:type="dxa"/>
            </w:tcMar>
            <w:hideMark/>
          </w:tcPr>
          <w:p w14:paraId="1C582B13" w14:textId="77777777" w:rsidR="00102507" w:rsidRDefault="00102507">
            <w:pPr>
              <w:pStyle w:val="NormalWeb"/>
              <w:spacing w:before="0" w:beforeAutospacing="0" w:after="0" w:afterAutospacing="0"/>
            </w:pPr>
            <w:r>
              <w:rPr>
                <w:rFonts w:ascii="Arial" w:hAnsi="Arial" w:cs="Arial"/>
                <w:color w:val="000000"/>
                <w:sz w:val="20"/>
                <w:szCs w:val="20"/>
              </w:rPr>
              <w:t>Moodle</w:t>
            </w:r>
          </w:p>
        </w:tc>
        <w:tc>
          <w:tcPr>
            <w:tcW w:w="0" w:type="auto"/>
            <w:tcBorders>
              <w:top w:val="single" w:sz="4" w:space="0" w:color="auto"/>
            </w:tcBorders>
            <w:tcMar>
              <w:top w:w="100" w:type="dxa"/>
              <w:left w:w="100" w:type="dxa"/>
              <w:bottom w:w="100" w:type="dxa"/>
              <w:right w:w="100" w:type="dxa"/>
            </w:tcMar>
            <w:hideMark/>
          </w:tcPr>
          <w:p w14:paraId="7D794467" w14:textId="77777777" w:rsidR="00102507" w:rsidRDefault="00102507">
            <w:pPr>
              <w:pStyle w:val="NormalWeb"/>
              <w:spacing w:before="0" w:beforeAutospacing="0" w:after="0" w:afterAutospacing="0"/>
            </w:pPr>
            <w:r>
              <w:rPr>
                <w:rFonts w:ascii="Arial" w:hAnsi="Arial" w:cs="Arial"/>
                <w:color w:val="000000"/>
                <w:sz w:val="20"/>
                <w:szCs w:val="20"/>
              </w:rPr>
              <w:t>51</w:t>
            </w:r>
          </w:p>
        </w:tc>
        <w:tc>
          <w:tcPr>
            <w:tcW w:w="0" w:type="auto"/>
            <w:tcBorders>
              <w:top w:val="single" w:sz="4" w:space="0" w:color="auto"/>
            </w:tcBorders>
            <w:tcMar>
              <w:top w:w="100" w:type="dxa"/>
              <w:left w:w="100" w:type="dxa"/>
              <w:bottom w:w="100" w:type="dxa"/>
              <w:right w:w="100" w:type="dxa"/>
            </w:tcMar>
            <w:hideMark/>
          </w:tcPr>
          <w:p w14:paraId="30420EB7" w14:textId="77777777" w:rsidR="00102507" w:rsidRDefault="00102507">
            <w:pPr>
              <w:pStyle w:val="NormalWeb"/>
              <w:spacing w:before="0" w:beforeAutospacing="0" w:after="0" w:afterAutospacing="0"/>
            </w:pPr>
            <w:r>
              <w:rPr>
                <w:rFonts w:ascii="Arial" w:hAnsi="Arial" w:cs="Arial"/>
                <w:color w:val="000000"/>
                <w:sz w:val="20"/>
                <w:szCs w:val="20"/>
              </w:rPr>
              <w:t>50.5%</w:t>
            </w:r>
          </w:p>
        </w:tc>
      </w:tr>
      <w:tr w:rsidR="00102507" w14:paraId="26EB9C17" w14:textId="77777777" w:rsidTr="00102507">
        <w:trPr>
          <w:trHeight w:val="47"/>
          <w:jc w:val="center"/>
        </w:trPr>
        <w:tc>
          <w:tcPr>
            <w:tcW w:w="2038" w:type="dxa"/>
            <w:tcMar>
              <w:top w:w="100" w:type="dxa"/>
              <w:left w:w="100" w:type="dxa"/>
              <w:bottom w:w="100" w:type="dxa"/>
              <w:right w:w="100" w:type="dxa"/>
            </w:tcMar>
            <w:hideMark/>
          </w:tcPr>
          <w:p w14:paraId="0DF28039" w14:textId="77777777" w:rsidR="00102507" w:rsidRDefault="00102507">
            <w:pPr>
              <w:pStyle w:val="NormalWeb"/>
              <w:spacing w:before="0" w:beforeAutospacing="0" w:after="0" w:afterAutospacing="0"/>
            </w:pPr>
            <w:r>
              <w:rPr>
                <w:rFonts w:ascii="Arial" w:hAnsi="Arial" w:cs="Arial"/>
                <w:color w:val="000000"/>
                <w:sz w:val="20"/>
                <w:szCs w:val="20"/>
              </w:rPr>
              <w:t>Blackboard Learn</w:t>
            </w:r>
          </w:p>
        </w:tc>
        <w:tc>
          <w:tcPr>
            <w:tcW w:w="0" w:type="auto"/>
            <w:tcMar>
              <w:top w:w="100" w:type="dxa"/>
              <w:left w:w="100" w:type="dxa"/>
              <w:bottom w:w="100" w:type="dxa"/>
              <w:right w:w="100" w:type="dxa"/>
            </w:tcMar>
            <w:hideMark/>
          </w:tcPr>
          <w:p w14:paraId="2B2DBD49" w14:textId="77777777" w:rsidR="00102507" w:rsidRDefault="00102507">
            <w:pPr>
              <w:pStyle w:val="NormalWeb"/>
              <w:spacing w:before="0" w:beforeAutospacing="0" w:after="0" w:afterAutospacing="0"/>
            </w:pPr>
            <w:r>
              <w:rPr>
                <w:rFonts w:ascii="Arial" w:hAnsi="Arial" w:cs="Arial"/>
                <w:color w:val="000000"/>
                <w:sz w:val="20"/>
                <w:szCs w:val="20"/>
              </w:rPr>
              <w:t>19</w:t>
            </w:r>
          </w:p>
        </w:tc>
        <w:tc>
          <w:tcPr>
            <w:tcW w:w="0" w:type="auto"/>
            <w:tcMar>
              <w:top w:w="100" w:type="dxa"/>
              <w:left w:w="100" w:type="dxa"/>
              <w:bottom w:w="100" w:type="dxa"/>
              <w:right w:w="100" w:type="dxa"/>
            </w:tcMar>
            <w:hideMark/>
          </w:tcPr>
          <w:p w14:paraId="14C3644D" w14:textId="77777777" w:rsidR="00102507" w:rsidRDefault="00102507">
            <w:pPr>
              <w:pStyle w:val="NormalWeb"/>
              <w:spacing w:before="0" w:beforeAutospacing="0" w:after="0" w:afterAutospacing="0"/>
            </w:pPr>
            <w:r>
              <w:rPr>
                <w:rFonts w:ascii="Arial" w:hAnsi="Arial" w:cs="Arial"/>
                <w:color w:val="000000"/>
                <w:sz w:val="20"/>
                <w:szCs w:val="20"/>
              </w:rPr>
              <w:t>18.8%</w:t>
            </w:r>
          </w:p>
        </w:tc>
      </w:tr>
      <w:tr w:rsidR="00102507" w14:paraId="0B42C8FC" w14:textId="77777777" w:rsidTr="00102507">
        <w:trPr>
          <w:trHeight w:val="22"/>
          <w:jc w:val="center"/>
        </w:trPr>
        <w:tc>
          <w:tcPr>
            <w:tcW w:w="2038" w:type="dxa"/>
            <w:tcMar>
              <w:top w:w="100" w:type="dxa"/>
              <w:left w:w="100" w:type="dxa"/>
              <w:bottom w:w="100" w:type="dxa"/>
              <w:right w:w="100" w:type="dxa"/>
            </w:tcMar>
            <w:hideMark/>
          </w:tcPr>
          <w:p w14:paraId="37CFE816" w14:textId="77777777" w:rsidR="00102507" w:rsidRDefault="00102507">
            <w:pPr>
              <w:pStyle w:val="NormalWeb"/>
              <w:spacing w:before="0" w:beforeAutospacing="0" w:after="0" w:afterAutospacing="0"/>
            </w:pPr>
            <w:r>
              <w:rPr>
                <w:rFonts w:ascii="Arial" w:hAnsi="Arial" w:cs="Arial"/>
                <w:color w:val="000000"/>
                <w:sz w:val="20"/>
                <w:szCs w:val="20"/>
              </w:rPr>
              <w:t>Canvas</w:t>
            </w:r>
          </w:p>
        </w:tc>
        <w:tc>
          <w:tcPr>
            <w:tcW w:w="0" w:type="auto"/>
            <w:tcMar>
              <w:top w:w="100" w:type="dxa"/>
              <w:left w:w="100" w:type="dxa"/>
              <w:bottom w:w="100" w:type="dxa"/>
              <w:right w:w="100" w:type="dxa"/>
            </w:tcMar>
            <w:hideMark/>
          </w:tcPr>
          <w:p w14:paraId="3E0763A4" w14:textId="77777777" w:rsidR="00102507" w:rsidRDefault="00102507">
            <w:pPr>
              <w:pStyle w:val="NormalWeb"/>
              <w:spacing w:before="0" w:beforeAutospacing="0" w:after="0" w:afterAutospacing="0"/>
            </w:pPr>
            <w:r>
              <w:rPr>
                <w:rFonts w:ascii="Arial" w:hAnsi="Arial" w:cs="Arial"/>
                <w:color w:val="000000"/>
                <w:sz w:val="20"/>
                <w:szCs w:val="20"/>
              </w:rPr>
              <w:t>16</w:t>
            </w:r>
          </w:p>
        </w:tc>
        <w:tc>
          <w:tcPr>
            <w:tcW w:w="0" w:type="auto"/>
            <w:tcMar>
              <w:top w:w="100" w:type="dxa"/>
              <w:left w:w="100" w:type="dxa"/>
              <w:bottom w:w="100" w:type="dxa"/>
              <w:right w:w="100" w:type="dxa"/>
            </w:tcMar>
            <w:hideMark/>
          </w:tcPr>
          <w:p w14:paraId="3C8667A4" w14:textId="77777777" w:rsidR="00102507" w:rsidRDefault="00102507">
            <w:pPr>
              <w:pStyle w:val="NormalWeb"/>
              <w:spacing w:before="0" w:beforeAutospacing="0" w:after="0" w:afterAutospacing="0"/>
            </w:pPr>
            <w:r>
              <w:rPr>
                <w:rFonts w:ascii="Arial" w:hAnsi="Arial" w:cs="Arial"/>
                <w:color w:val="000000"/>
                <w:sz w:val="20"/>
                <w:szCs w:val="20"/>
              </w:rPr>
              <w:t>15.8%</w:t>
            </w:r>
          </w:p>
        </w:tc>
      </w:tr>
      <w:tr w:rsidR="00102507" w14:paraId="2C6CBD0B" w14:textId="77777777" w:rsidTr="00102507">
        <w:trPr>
          <w:trHeight w:val="22"/>
          <w:jc w:val="center"/>
        </w:trPr>
        <w:tc>
          <w:tcPr>
            <w:tcW w:w="2038" w:type="dxa"/>
            <w:tcBorders>
              <w:bottom w:val="single" w:sz="4" w:space="0" w:color="auto"/>
            </w:tcBorders>
            <w:tcMar>
              <w:top w:w="100" w:type="dxa"/>
              <w:left w:w="100" w:type="dxa"/>
              <w:bottom w:w="100" w:type="dxa"/>
              <w:right w:w="100" w:type="dxa"/>
            </w:tcMar>
            <w:hideMark/>
          </w:tcPr>
          <w:p w14:paraId="1C252D30" w14:textId="77777777" w:rsidR="00102507" w:rsidRDefault="00102507">
            <w:pPr>
              <w:pStyle w:val="NormalWeb"/>
              <w:spacing w:before="0" w:beforeAutospacing="0" w:after="0" w:afterAutospacing="0"/>
            </w:pPr>
            <w:r>
              <w:rPr>
                <w:rFonts w:ascii="Arial" w:hAnsi="Arial" w:cs="Arial"/>
                <w:color w:val="000000"/>
                <w:sz w:val="20"/>
                <w:szCs w:val="20"/>
              </w:rPr>
              <w:t>D2L Brightspace</w:t>
            </w:r>
          </w:p>
        </w:tc>
        <w:tc>
          <w:tcPr>
            <w:tcW w:w="0" w:type="auto"/>
            <w:tcBorders>
              <w:bottom w:val="single" w:sz="4" w:space="0" w:color="auto"/>
            </w:tcBorders>
            <w:tcMar>
              <w:top w:w="100" w:type="dxa"/>
              <w:left w:w="100" w:type="dxa"/>
              <w:bottom w:w="100" w:type="dxa"/>
              <w:right w:w="100" w:type="dxa"/>
            </w:tcMar>
            <w:hideMark/>
          </w:tcPr>
          <w:p w14:paraId="59434268" w14:textId="77777777" w:rsidR="00102507" w:rsidRDefault="00102507">
            <w:pPr>
              <w:pStyle w:val="NormalWeb"/>
              <w:spacing w:before="0" w:beforeAutospacing="0" w:after="0" w:afterAutospacing="0"/>
            </w:pPr>
            <w:r>
              <w:rPr>
                <w:rFonts w:ascii="Arial" w:hAnsi="Arial" w:cs="Arial"/>
                <w:color w:val="000000"/>
                <w:sz w:val="20"/>
                <w:szCs w:val="20"/>
              </w:rPr>
              <w:t>15</w:t>
            </w:r>
          </w:p>
        </w:tc>
        <w:tc>
          <w:tcPr>
            <w:tcW w:w="0" w:type="auto"/>
            <w:tcBorders>
              <w:bottom w:val="single" w:sz="4" w:space="0" w:color="auto"/>
            </w:tcBorders>
            <w:tcMar>
              <w:top w:w="100" w:type="dxa"/>
              <w:left w:w="100" w:type="dxa"/>
              <w:bottom w:w="100" w:type="dxa"/>
              <w:right w:w="100" w:type="dxa"/>
            </w:tcMar>
            <w:hideMark/>
          </w:tcPr>
          <w:p w14:paraId="045783ED" w14:textId="77777777" w:rsidR="00102507" w:rsidRDefault="00102507">
            <w:pPr>
              <w:pStyle w:val="NormalWeb"/>
              <w:spacing w:before="0" w:beforeAutospacing="0" w:after="0" w:afterAutospacing="0"/>
            </w:pPr>
            <w:r>
              <w:rPr>
                <w:rFonts w:ascii="Arial" w:hAnsi="Arial" w:cs="Arial"/>
                <w:color w:val="000000"/>
                <w:sz w:val="20"/>
                <w:szCs w:val="20"/>
              </w:rPr>
              <w:t>14.9%</w:t>
            </w:r>
          </w:p>
        </w:tc>
      </w:tr>
      <w:tr w:rsidR="00102507" w14:paraId="01213D5E" w14:textId="77777777" w:rsidTr="00102507">
        <w:trPr>
          <w:trHeight w:val="22"/>
          <w:jc w:val="center"/>
        </w:trPr>
        <w:tc>
          <w:tcPr>
            <w:tcW w:w="2038" w:type="dxa"/>
            <w:tcBorders>
              <w:top w:val="single" w:sz="4" w:space="0" w:color="auto"/>
              <w:bottom w:val="single" w:sz="4" w:space="0" w:color="auto"/>
            </w:tcBorders>
            <w:tcMar>
              <w:top w:w="100" w:type="dxa"/>
              <w:left w:w="100" w:type="dxa"/>
              <w:bottom w:w="100" w:type="dxa"/>
              <w:right w:w="100" w:type="dxa"/>
            </w:tcMar>
            <w:hideMark/>
          </w:tcPr>
          <w:p w14:paraId="629D0D56" w14:textId="77777777" w:rsidR="00102507" w:rsidRDefault="00102507">
            <w:pPr>
              <w:pStyle w:val="NormalWeb"/>
              <w:spacing w:before="0" w:beforeAutospacing="0" w:after="0" w:afterAutospacing="0"/>
            </w:pPr>
            <w:r>
              <w:rPr>
                <w:rFonts w:ascii="Arial" w:hAnsi="Arial" w:cs="Arial"/>
                <w:color w:val="000000"/>
                <w:sz w:val="20"/>
                <w:szCs w:val="20"/>
              </w:rPr>
              <w:t>Total</w:t>
            </w:r>
          </w:p>
        </w:tc>
        <w:tc>
          <w:tcPr>
            <w:tcW w:w="0" w:type="auto"/>
            <w:tcBorders>
              <w:top w:val="single" w:sz="4" w:space="0" w:color="auto"/>
              <w:bottom w:val="single" w:sz="4" w:space="0" w:color="auto"/>
            </w:tcBorders>
            <w:tcMar>
              <w:top w:w="100" w:type="dxa"/>
              <w:left w:w="100" w:type="dxa"/>
              <w:bottom w:w="100" w:type="dxa"/>
              <w:right w:w="100" w:type="dxa"/>
            </w:tcMar>
            <w:hideMark/>
          </w:tcPr>
          <w:p w14:paraId="3E157AE1" w14:textId="77777777" w:rsidR="00102507" w:rsidRDefault="00102507">
            <w:pPr>
              <w:pStyle w:val="NormalWeb"/>
              <w:spacing w:before="0" w:beforeAutospacing="0" w:after="0" w:afterAutospacing="0"/>
            </w:pPr>
            <w:r>
              <w:rPr>
                <w:rFonts w:ascii="Arial" w:hAnsi="Arial" w:cs="Arial"/>
                <w:color w:val="000000"/>
                <w:sz w:val="20"/>
                <w:szCs w:val="20"/>
              </w:rPr>
              <w:t>101</w:t>
            </w:r>
          </w:p>
        </w:tc>
        <w:tc>
          <w:tcPr>
            <w:tcW w:w="0" w:type="auto"/>
            <w:tcBorders>
              <w:top w:val="single" w:sz="4" w:space="0" w:color="auto"/>
              <w:bottom w:val="single" w:sz="4" w:space="0" w:color="auto"/>
            </w:tcBorders>
            <w:tcMar>
              <w:top w:w="100" w:type="dxa"/>
              <w:left w:w="100" w:type="dxa"/>
              <w:bottom w:w="100" w:type="dxa"/>
              <w:right w:w="100" w:type="dxa"/>
            </w:tcMar>
            <w:hideMark/>
          </w:tcPr>
          <w:p w14:paraId="5917CD06" w14:textId="77777777" w:rsidR="00102507" w:rsidRDefault="00102507">
            <w:pPr>
              <w:pStyle w:val="NormalWeb"/>
              <w:spacing w:before="0" w:beforeAutospacing="0" w:after="0" w:afterAutospacing="0"/>
            </w:pPr>
            <w:r>
              <w:rPr>
                <w:rFonts w:ascii="Arial" w:hAnsi="Arial" w:cs="Arial"/>
                <w:color w:val="000000"/>
                <w:sz w:val="20"/>
                <w:szCs w:val="20"/>
              </w:rPr>
              <w:t>100.0%</w:t>
            </w:r>
          </w:p>
        </w:tc>
      </w:tr>
    </w:tbl>
    <w:p w14:paraId="733BFEFC" w14:textId="77777777" w:rsidR="00102507" w:rsidRDefault="00102507" w:rsidP="00102507">
      <w:pPr>
        <w:pStyle w:val="NormalWeb"/>
        <w:spacing w:before="0" w:beforeAutospacing="0" w:after="0" w:afterAutospacing="0"/>
        <w:rPr>
          <w:rFonts w:ascii="Arial" w:hAnsi="Arial" w:cs="Arial"/>
          <w:b/>
          <w:bCs/>
          <w:color w:val="000000"/>
          <w:sz w:val="20"/>
          <w:szCs w:val="20"/>
        </w:rPr>
      </w:pPr>
    </w:p>
    <w:p w14:paraId="5FB20075"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Moodle yielded the largest documented corpus, representing approximately half of all indicators identified in the study. This higher count reflects the more detailed structure of Moodle’s publicly documented analytics indicators, which differentiate multiple forms of learner activity and include explicit measures related to </w:t>
      </w:r>
      <w:r>
        <w:rPr>
          <w:rFonts w:ascii="Arial" w:hAnsi="Arial" w:cs="Arial"/>
          <w:color w:val="000000"/>
          <w:sz w:val="20"/>
          <w:szCs w:val="20"/>
          <w:highlight w:val="yellow"/>
        </w:rPr>
        <w:t>behavioural</w:t>
      </w:r>
      <w:r>
        <w:rPr>
          <w:rFonts w:ascii="Arial" w:hAnsi="Arial" w:cs="Arial"/>
          <w:color w:val="000000"/>
          <w:sz w:val="20"/>
          <w:szCs w:val="20"/>
        </w:rPr>
        <w:t xml:space="preserve">, cognitive, and social engagement. In contrast, the documented indicators in Canvas, Blackboard Learn, and D2L Brightspace were more strongly concentrated on observable activity and interaction measures. These differences should not be interpreted as rankings of analytics sophistication, effectiveness, or overall platform capability. Instead, they reflect differences in the number of distinct engagement-related measures that could be explicitly identified and </w:t>
      </w:r>
      <w:r>
        <w:rPr>
          <w:rFonts w:ascii="Arial" w:hAnsi="Arial" w:cs="Arial"/>
          <w:color w:val="000000"/>
          <w:sz w:val="20"/>
          <w:szCs w:val="20"/>
          <w:highlight w:val="yellow"/>
        </w:rPr>
        <w:t>normalised</w:t>
      </w:r>
      <w:r>
        <w:rPr>
          <w:rFonts w:ascii="Arial" w:hAnsi="Arial" w:cs="Arial"/>
          <w:color w:val="000000"/>
          <w:sz w:val="20"/>
          <w:szCs w:val="20"/>
        </w:rPr>
        <w:t xml:space="preserve"> using the study’s common documentary protocol.</w:t>
      </w:r>
    </w:p>
    <w:p w14:paraId="4AC87812"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finding aligns with recent learning analytics research indicating that engagement is frequently operationalized through data generated by students’ interactions with digital learning environments. Bergdahl et al. (2024), in a systematic review of 159 higher-education learning analytics studies, found that observable </w:t>
      </w:r>
      <w:r>
        <w:rPr>
          <w:rFonts w:ascii="Arial" w:hAnsi="Arial" w:cs="Arial"/>
          <w:color w:val="000000"/>
          <w:sz w:val="20"/>
          <w:szCs w:val="20"/>
          <w:highlight w:val="yellow"/>
        </w:rPr>
        <w:t>behavioural</w:t>
      </w:r>
      <w:r>
        <w:rPr>
          <w:rFonts w:ascii="Arial" w:hAnsi="Arial" w:cs="Arial"/>
          <w:color w:val="000000"/>
          <w:sz w:val="20"/>
          <w:szCs w:val="20"/>
        </w:rPr>
        <w:t xml:space="preserve"> measures such as clicks, activity counts, and task duration were substantially more common than measures representing other dimensions of engagement. Similarly, Winter et al. (2024) demonstrated that </w:t>
      </w:r>
      <w:r>
        <w:rPr>
          <w:rFonts w:ascii="Arial" w:hAnsi="Arial" w:cs="Arial"/>
          <w:color w:val="000000"/>
          <w:sz w:val="20"/>
          <w:szCs w:val="20"/>
          <w:highlight w:val="yellow"/>
        </w:rPr>
        <w:t>behavioural</w:t>
      </w:r>
      <w:r>
        <w:rPr>
          <w:rFonts w:ascii="Arial" w:hAnsi="Arial" w:cs="Arial"/>
          <w:color w:val="000000"/>
          <w:sz w:val="20"/>
          <w:szCs w:val="20"/>
        </w:rPr>
        <w:t xml:space="preserve"> trace data generated within online learning environments can provide information about various dimensions of learning engagement, while also emphasizing the importance of examining multiple indicators rather than relying on any single trace as a complete representation of engagement. Goh (202</w:t>
      </w:r>
      <w:r w:rsidR="006C20C3">
        <w:rPr>
          <w:rFonts w:ascii="Arial" w:hAnsi="Arial" w:cs="Arial"/>
          <w:color w:val="000000"/>
          <w:sz w:val="20"/>
          <w:szCs w:val="20"/>
        </w:rPr>
        <w:t>6</w:t>
      </w:r>
      <w:r>
        <w:rPr>
          <w:rFonts w:ascii="Arial" w:hAnsi="Arial" w:cs="Arial"/>
          <w:color w:val="000000"/>
          <w:sz w:val="20"/>
          <w:szCs w:val="20"/>
        </w:rPr>
        <w:t xml:space="preserve">) further showed that LMS log data can </w:t>
      </w:r>
      <w:r>
        <w:rPr>
          <w:rFonts w:ascii="Arial" w:hAnsi="Arial" w:cs="Arial"/>
          <w:color w:val="000000"/>
          <w:sz w:val="20"/>
          <w:szCs w:val="20"/>
        </w:rPr>
        <w:lastRenderedPageBreak/>
        <w:t xml:space="preserve">be used to characterize persistence and consistency in students’ engagement </w:t>
      </w:r>
      <w:r>
        <w:rPr>
          <w:rFonts w:ascii="Arial" w:hAnsi="Arial" w:cs="Arial"/>
          <w:color w:val="000000"/>
          <w:sz w:val="20"/>
          <w:szCs w:val="20"/>
          <w:highlight w:val="yellow"/>
        </w:rPr>
        <w:t>behaviour</w:t>
      </w:r>
      <w:r>
        <w:rPr>
          <w:rFonts w:ascii="Arial" w:hAnsi="Arial" w:cs="Arial"/>
          <w:color w:val="000000"/>
          <w:sz w:val="20"/>
          <w:szCs w:val="20"/>
        </w:rPr>
        <w:t xml:space="preserve"> over time. Collectively, these studies underscore the importance of examining not only whether LMSs generate data, but also which forms of student activity are rendered measurable as indicators.</w:t>
      </w:r>
    </w:p>
    <w:p w14:paraId="07B33624"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 variation in documented indicator counts also reflects differences in the granularity of documentation. This study counted a measure only when official documentation identified it as a distinct learner- or learning-related indicator. Reports, dashboards, visualizations, and raw system events were not automatically counted as separate indicators. Similarly, repeated appearances of the same underlying measure across different documentation pages or reporting formats were consolidated. This normalization was necessary because LMS providers </w:t>
      </w:r>
      <w:r>
        <w:rPr>
          <w:rFonts w:ascii="Arial" w:hAnsi="Arial" w:cs="Arial"/>
          <w:color w:val="000000"/>
          <w:sz w:val="20"/>
          <w:szCs w:val="20"/>
          <w:highlight w:val="yellow"/>
        </w:rPr>
        <w:t>organise</w:t>
      </w:r>
      <w:r>
        <w:rPr>
          <w:rFonts w:ascii="Arial" w:hAnsi="Arial" w:cs="Arial"/>
          <w:color w:val="000000"/>
          <w:sz w:val="20"/>
          <w:szCs w:val="20"/>
        </w:rPr>
        <w:t xml:space="preserve"> and describe analytics in diverse ways. As a result, the reported counts represent comparable analytical units rather than simple tallies of available reports or documentation pages.</w:t>
      </w:r>
    </w:p>
    <w:p w14:paraId="0130B044"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This distinction is significant because learning analytics systems can make certain aspects of student activity considerably more visible than others. Research on learning analytics dashboards has similarly </w:t>
      </w:r>
      <w:r>
        <w:rPr>
          <w:rFonts w:ascii="Arial" w:hAnsi="Arial" w:cs="Arial"/>
          <w:color w:val="000000"/>
          <w:sz w:val="20"/>
          <w:szCs w:val="20"/>
          <w:highlight w:val="yellow"/>
        </w:rPr>
        <w:t>emphasised</w:t>
      </w:r>
      <w:r>
        <w:rPr>
          <w:rFonts w:ascii="Arial" w:hAnsi="Arial" w:cs="Arial"/>
          <w:color w:val="000000"/>
          <w:sz w:val="20"/>
          <w:szCs w:val="20"/>
        </w:rPr>
        <w:t xml:space="preserve"> the role of analytics in presenting information about students’ observable learning behaviors and supporting reflection on those behaviors (de Vreugd et al., 2024; Lee &amp; Kim, 2025). Thus, the documented indicators represent not the entirety of student engagement, but rather the portions of engagement that are explicitly rendered measurable through the analytics structures documented by each platform.</w:t>
      </w:r>
    </w:p>
    <w:p w14:paraId="43E6C21F" w14:textId="77777777" w:rsidR="00102507" w:rsidRDefault="00102507" w:rsidP="00102507">
      <w:pPr>
        <w:pStyle w:val="NormalWeb"/>
        <w:spacing w:before="0" w:beforeAutospacing="0" w:after="0" w:afterAutospacing="0"/>
      </w:pPr>
      <w:r>
        <w:rPr>
          <w:rFonts w:ascii="Arial" w:hAnsi="Arial" w:cs="Arial"/>
          <w:color w:val="000000"/>
          <w:sz w:val="20"/>
          <w:szCs w:val="20"/>
        </w:rPr>
        <w:t xml:space="preserve">Therefore, the 101-indicator corpus should be interpreted as evidence of documented measurement visibility, not as an indication that one LMS has more comprehensive or effective analytics than another. The findings demonstrate that all four platforms provide publicly documented measures relevant to student engagement, although the number and composition of these measures vary. This variation becomes more analytically meaningful when the indicators are examined according to the four dimensions of the Student Engagement in Digital Learning (SEDL) Framework. Accordingly, Research Question 2 (RQ2) investigates whether the documented indicators are distributed evenly across </w:t>
      </w:r>
      <w:r>
        <w:rPr>
          <w:rFonts w:ascii="Arial" w:hAnsi="Arial" w:cs="Arial"/>
          <w:color w:val="000000"/>
          <w:sz w:val="20"/>
          <w:szCs w:val="20"/>
          <w:highlight w:val="yellow"/>
        </w:rPr>
        <w:t>behavioural</w:t>
      </w:r>
      <w:r>
        <w:rPr>
          <w:rFonts w:ascii="Arial" w:hAnsi="Arial" w:cs="Arial"/>
          <w:color w:val="000000"/>
          <w:sz w:val="20"/>
          <w:szCs w:val="20"/>
        </w:rPr>
        <w:t>, cognitive, emotional, and social engagement, or whether particular dimensions are more strongly represented in contemporary LMS analytics.</w:t>
      </w:r>
    </w:p>
    <w:p w14:paraId="06B1F98E" w14:textId="77777777" w:rsidR="00472000" w:rsidRDefault="00472000" w:rsidP="00472000">
      <w:pPr>
        <w:rPr>
          <w:rFonts w:ascii="Arial" w:hAnsi="Arial" w:cs="Arial"/>
          <w:color w:val="000000"/>
        </w:rPr>
      </w:pPr>
    </w:p>
    <w:p w14:paraId="74BF76CD" w14:textId="77777777" w:rsidR="00557081" w:rsidRPr="00557081" w:rsidRDefault="00557081" w:rsidP="00557081">
      <w:pPr>
        <w:pStyle w:val="Heading3"/>
        <w:spacing w:before="0"/>
        <w:rPr>
          <w:b/>
          <w:bCs/>
          <w:sz w:val="22"/>
          <w:szCs w:val="22"/>
        </w:rPr>
      </w:pPr>
      <w:r w:rsidRPr="00557081">
        <w:rPr>
          <w:rFonts w:ascii="Arial" w:hAnsi="Arial" w:cs="Arial"/>
          <w:b/>
          <w:bCs/>
          <w:color w:val="000000"/>
          <w:sz w:val="22"/>
          <w:szCs w:val="22"/>
        </w:rPr>
        <w:t>3.2 Distribution Across Student-Engagement Dimensions</w:t>
      </w:r>
    </w:p>
    <w:p w14:paraId="703D9BD8" w14:textId="77777777" w:rsidR="00557081" w:rsidRDefault="00557081" w:rsidP="00557081"/>
    <w:p w14:paraId="0690939A" w14:textId="77777777" w:rsidR="00557081" w:rsidRDefault="00557081" w:rsidP="00557081">
      <w:pPr>
        <w:pStyle w:val="NormalWeb"/>
        <w:spacing w:before="0" w:beforeAutospacing="0" w:after="0" w:afterAutospacing="0"/>
      </w:pPr>
      <w:r>
        <w:rPr>
          <w:rFonts w:ascii="Arial" w:hAnsi="Arial" w:cs="Arial"/>
          <w:color w:val="000000"/>
          <w:sz w:val="20"/>
          <w:szCs w:val="20"/>
        </w:rPr>
        <w:t xml:space="preserve">Research Question 2 (RQ2) investigated the distribution of 101 documented learning management system (LMS) analytics indicators across the four dimensions of the Student Engagement in Digital Learning (SEDL) Framework: </w:t>
      </w:r>
      <w:r>
        <w:rPr>
          <w:rFonts w:ascii="Arial" w:hAnsi="Arial" w:cs="Arial"/>
          <w:color w:val="000000"/>
          <w:sz w:val="20"/>
          <w:szCs w:val="20"/>
          <w:highlight w:val="yellow"/>
        </w:rPr>
        <w:t>behavioural</w:t>
      </w:r>
      <w:r>
        <w:rPr>
          <w:rFonts w:ascii="Arial" w:hAnsi="Arial" w:cs="Arial"/>
          <w:color w:val="000000"/>
          <w:sz w:val="20"/>
          <w:szCs w:val="20"/>
        </w:rPr>
        <w:t xml:space="preserve">, cognitive, emotional, and social engagement. The findings indicate a pronounced concentration in </w:t>
      </w:r>
      <w:r>
        <w:rPr>
          <w:rFonts w:ascii="Arial" w:hAnsi="Arial" w:cs="Arial"/>
          <w:color w:val="000000"/>
          <w:sz w:val="20"/>
          <w:szCs w:val="20"/>
          <w:highlight w:val="yellow"/>
        </w:rPr>
        <w:t>behavioural</w:t>
      </w:r>
      <w:r>
        <w:rPr>
          <w:rFonts w:ascii="Arial" w:hAnsi="Arial" w:cs="Arial"/>
          <w:color w:val="000000"/>
          <w:sz w:val="20"/>
          <w:szCs w:val="20"/>
        </w:rPr>
        <w:t xml:space="preserve"> and social engagement indicators, with cognitive engagement less extensively represented and emotional engagement not explicitly documented in the corpus.</w:t>
      </w:r>
    </w:p>
    <w:p w14:paraId="737B1E3C" w14:textId="77777777" w:rsidR="00557081" w:rsidRDefault="00557081" w:rsidP="00557081"/>
    <w:p w14:paraId="5543D2D7" w14:textId="77777777" w:rsidR="00557081" w:rsidRDefault="00557081" w:rsidP="00557081">
      <w:pPr>
        <w:pStyle w:val="NormalWeb"/>
        <w:spacing w:before="0" w:beforeAutospacing="0" w:after="0" w:afterAutospacing="0"/>
        <w:jc w:val="center"/>
      </w:pPr>
      <w:r>
        <w:rPr>
          <w:rFonts w:ascii="Arial" w:hAnsi="Arial" w:cs="Arial"/>
          <w:b/>
          <w:bCs/>
          <w:color w:val="000000"/>
          <w:sz w:val="20"/>
          <w:szCs w:val="20"/>
        </w:rPr>
        <w:t>Table 2. Distribution of Documented Indicators by Student-Engagement Dimension</w:t>
      </w:r>
    </w:p>
    <w:p w14:paraId="25FC6370" w14:textId="77777777" w:rsidR="00557081" w:rsidRDefault="00557081" w:rsidP="00557081"/>
    <w:tbl>
      <w:tblPr>
        <w:tblW w:w="0" w:type="auto"/>
        <w:jc w:val="center"/>
        <w:tblCellMar>
          <w:top w:w="15" w:type="dxa"/>
          <w:left w:w="15" w:type="dxa"/>
          <w:bottom w:w="15" w:type="dxa"/>
          <w:right w:w="15" w:type="dxa"/>
        </w:tblCellMar>
        <w:tblLook w:val="04A0" w:firstRow="1" w:lastRow="0" w:firstColumn="1" w:lastColumn="0" w:noHBand="0" w:noVBand="1"/>
      </w:tblPr>
      <w:tblGrid>
        <w:gridCol w:w="2613"/>
        <w:gridCol w:w="1527"/>
        <w:gridCol w:w="1800"/>
      </w:tblGrid>
      <w:tr w:rsidR="00557081" w:rsidRPr="00557081" w14:paraId="6A6DDE2A"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5E7F97A7"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Engagement Dimension</w:t>
            </w:r>
          </w:p>
        </w:tc>
        <w:tc>
          <w:tcPr>
            <w:tcW w:w="1527" w:type="dxa"/>
            <w:tcBorders>
              <w:top w:val="single" w:sz="4" w:space="0" w:color="auto"/>
              <w:bottom w:val="single" w:sz="4" w:space="0" w:color="auto"/>
            </w:tcBorders>
            <w:tcMar>
              <w:top w:w="100" w:type="dxa"/>
              <w:left w:w="100" w:type="dxa"/>
              <w:bottom w:w="100" w:type="dxa"/>
              <w:right w:w="100" w:type="dxa"/>
            </w:tcMar>
            <w:hideMark/>
          </w:tcPr>
          <w:p w14:paraId="5FE9C4F2"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Frequency</w:t>
            </w:r>
          </w:p>
        </w:tc>
        <w:tc>
          <w:tcPr>
            <w:tcW w:w="1800" w:type="dxa"/>
            <w:tcBorders>
              <w:top w:val="single" w:sz="4" w:space="0" w:color="auto"/>
              <w:bottom w:val="single" w:sz="4" w:space="0" w:color="auto"/>
            </w:tcBorders>
            <w:tcMar>
              <w:top w:w="100" w:type="dxa"/>
              <w:left w:w="100" w:type="dxa"/>
              <w:bottom w:w="100" w:type="dxa"/>
              <w:right w:w="100" w:type="dxa"/>
            </w:tcMar>
            <w:hideMark/>
          </w:tcPr>
          <w:p w14:paraId="26356B9B" w14:textId="77777777" w:rsidR="00557081" w:rsidRPr="00557081" w:rsidRDefault="00557081">
            <w:pPr>
              <w:pStyle w:val="NormalWeb"/>
              <w:spacing w:before="0" w:beforeAutospacing="0" w:after="0" w:afterAutospacing="0"/>
              <w:rPr>
                <w:b/>
                <w:bCs/>
              </w:rPr>
            </w:pPr>
            <w:r w:rsidRPr="00557081">
              <w:rPr>
                <w:rFonts w:ascii="Arial" w:hAnsi="Arial" w:cs="Arial"/>
                <w:b/>
                <w:bCs/>
                <w:color w:val="000000"/>
                <w:sz w:val="20"/>
                <w:szCs w:val="20"/>
              </w:rPr>
              <w:t>Percentage</w:t>
            </w:r>
          </w:p>
        </w:tc>
      </w:tr>
      <w:tr w:rsidR="00557081" w:rsidRPr="00557081" w14:paraId="08C08B68" w14:textId="77777777" w:rsidTr="00557081">
        <w:trPr>
          <w:trHeight w:val="146"/>
          <w:jc w:val="center"/>
        </w:trPr>
        <w:tc>
          <w:tcPr>
            <w:tcW w:w="2613" w:type="dxa"/>
            <w:tcBorders>
              <w:top w:val="single" w:sz="4" w:space="0" w:color="auto"/>
            </w:tcBorders>
            <w:tcMar>
              <w:top w:w="100" w:type="dxa"/>
              <w:left w:w="100" w:type="dxa"/>
              <w:bottom w:w="100" w:type="dxa"/>
              <w:right w:w="100" w:type="dxa"/>
            </w:tcMar>
            <w:hideMark/>
          </w:tcPr>
          <w:p w14:paraId="13F0EEB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highlight w:val="yellow"/>
              </w:rPr>
              <w:t>Behavioural</w:t>
            </w:r>
          </w:p>
        </w:tc>
        <w:tc>
          <w:tcPr>
            <w:tcW w:w="1527" w:type="dxa"/>
            <w:tcBorders>
              <w:top w:val="single" w:sz="4" w:space="0" w:color="auto"/>
            </w:tcBorders>
            <w:tcMar>
              <w:top w:w="100" w:type="dxa"/>
              <w:left w:w="100" w:type="dxa"/>
              <w:bottom w:w="100" w:type="dxa"/>
              <w:right w:w="100" w:type="dxa"/>
            </w:tcMar>
            <w:hideMark/>
          </w:tcPr>
          <w:p w14:paraId="1D01B254"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44</w:t>
            </w:r>
          </w:p>
        </w:tc>
        <w:tc>
          <w:tcPr>
            <w:tcW w:w="1800" w:type="dxa"/>
            <w:tcBorders>
              <w:top w:val="single" w:sz="4" w:space="0" w:color="auto"/>
            </w:tcBorders>
            <w:tcMar>
              <w:top w:w="100" w:type="dxa"/>
              <w:left w:w="100" w:type="dxa"/>
              <w:bottom w:w="100" w:type="dxa"/>
              <w:right w:w="100" w:type="dxa"/>
            </w:tcMar>
            <w:hideMark/>
          </w:tcPr>
          <w:p w14:paraId="6522F29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43.6%</w:t>
            </w:r>
          </w:p>
        </w:tc>
      </w:tr>
      <w:tr w:rsidR="00557081" w:rsidRPr="00557081" w14:paraId="1EF367EF" w14:textId="77777777" w:rsidTr="00557081">
        <w:trPr>
          <w:trHeight w:val="83"/>
          <w:jc w:val="center"/>
        </w:trPr>
        <w:tc>
          <w:tcPr>
            <w:tcW w:w="2613" w:type="dxa"/>
            <w:tcMar>
              <w:top w:w="100" w:type="dxa"/>
              <w:left w:w="100" w:type="dxa"/>
              <w:bottom w:w="100" w:type="dxa"/>
              <w:right w:w="100" w:type="dxa"/>
            </w:tcMar>
            <w:hideMark/>
          </w:tcPr>
          <w:p w14:paraId="5DB0C961"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Social</w:t>
            </w:r>
          </w:p>
        </w:tc>
        <w:tc>
          <w:tcPr>
            <w:tcW w:w="1527" w:type="dxa"/>
            <w:tcMar>
              <w:top w:w="100" w:type="dxa"/>
              <w:left w:w="100" w:type="dxa"/>
              <w:bottom w:w="100" w:type="dxa"/>
              <w:right w:w="100" w:type="dxa"/>
            </w:tcMar>
            <w:hideMark/>
          </w:tcPr>
          <w:p w14:paraId="622A7BB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35</w:t>
            </w:r>
          </w:p>
        </w:tc>
        <w:tc>
          <w:tcPr>
            <w:tcW w:w="1800" w:type="dxa"/>
            <w:tcMar>
              <w:top w:w="100" w:type="dxa"/>
              <w:left w:w="100" w:type="dxa"/>
              <w:bottom w:w="100" w:type="dxa"/>
              <w:right w:w="100" w:type="dxa"/>
            </w:tcMar>
            <w:hideMark/>
          </w:tcPr>
          <w:p w14:paraId="12D8B70F"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34.7%</w:t>
            </w:r>
          </w:p>
        </w:tc>
      </w:tr>
      <w:tr w:rsidR="00557081" w:rsidRPr="00557081" w14:paraId="302AFA8A" w14:textId="77777777" w:rsidTr="00557081">
        <w:trPr>
          <w:trHeight w:val="38"/>
          <w:jc w:val="center"/>
        </w:trPr>
        <w:tc>
          <w:tcPr>
            <w:tcW w:w="2613" w:type="dxa"/>
            <w:tcMar>
              <w:top w:w="100" w:type="dxa"/>
              <w:left w:w="100" w:type="dxa"/>
              <w:bottom w:w="100" w:type="dxa"/>
              <w:right w:w="100" w:type="dxa"/>
            </w:tcMar>
            <w:hideMark/>
          </w:tcPr>
          <w:p w14:paraId="7AE6F91D"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Cognitive</w:t>
            </w:r>
          </w:p>
        </w:tc>
        <w:tc>
          <w:tcPr>
            <w:tcW w:w="1527" w:type="dxa"/>
            <w:tcMar>
              <w:top w:w="100" w:type="dxa"/>
              <w:left w:w="100" w:type="dxa"/>
              <w:bottom w:w="100" w:type="dxa"/>
              <w:right w:w="100" w:type="dxa"/>
            </w:tcMar>
            <w:hideMark/>
          </w:tcPr>
          <w:p w14:paraId="09EFBDB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22</w:t>
            </w:r>
          </w:p>
        </w:tc>
        <w:tc>
          <w:tcPr>
            <w:tcW w:w="1800" w:type="dxa"/>
            <w:tcMar>
              <w:top w:w="100" w:type="dxa"/>
              <w:left w:w="100" w:type="dxa"/>
              <w:bottom w:w="100" w:type="dxa"/>
              <w:right w:w="100" w:type="dxa"/>
            </w:tcMar>
            <w:hideMark/>
          </w:tcPr>
          <w:p w14:paraId="4D4D7915"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21.8%</w:t>
            </w:r>
          </w:p>
        </w:tc>
      </w:tr>
      <w:tr w:rsidR="00557081" w:rsidRPr="00557081" w14:paraId="5FAC115F" w14:textId="77777777" w:rsidTr="00557081">
        <w:trPr>
          <w:trHeight w:val="22"/>
          <w:jc w:val="center"/>
        </w:trPr>
        <w:tc>
          <w:tcPr>
            <w:tcW w:w="2613" w:type="dxa"/>
            <w:tcBorders>
              <w:bottom w:val="single" w:sz="4" w:space="0" w:color="auto"/>
            </w:tcBorders>
            <w:tcMar>
              <w:top w:w="100" w:type="dxa"/>
              <w:left w:w="100" w:type="dxa"/>
              <w:bottom w:w="100" w:type="dxa"/>
              <w:right w:w="100" w:type="dxa"/>
            </w:tcMar>
            <w:hideMark/>
          </w:tcPr>
          <w:p w14:paraId="7BDA46C9"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Emotional</w:t>
            </w:r>
          </w:p>
        </w:tc>
        <w:tc>
          <w:tcPr>
            <w:tcW w:w="1527" w:type="dxa"/>
            <w:tcBorders>
              <w:bottom w:val="single" w:sz="4" w:space="0" w:color="auto"/>
            </w:tcBorders>
            <w:tcMar>
              <w:top w:w="100" w:type="dxa"/>
              <w:left w:w="100" w:type="dxa"/>
              <w:bottom w:w="100" w:type="dxa"/>
              <w:right w:w="100" w:type="dxa"/>
            </w:tcMar>
            <w:hideMark/>
          </w:tcPr>
          <w:p w14:paraId="7FDA983C"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w:t>
            </w:r>
          </w:p>
        </w:tc>
        <w:tc>
          <w:tcPr>
            <w:tcW w:w="1800" w:type="dxa"/>
            <w:tcBorders>
              <w:bottom w:val="single" w:sz="4" w:space="0" w:color="auto"/>
            </w:tcBorders>
            <w:tcMar>
              <w:top w:w="100" w:type="dxa"/>
              <w:left w:w="100" w:type="dxa"/>
              <w:bottom w:w="100" w:type="dxa"/>
              <w:right w:w="100" w:type="dxa"/>
            </w:tcMar>
            <w:hideMark/>
          </w:tcPr>
          <w:p w14:paraId="000F2286"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0.0%</w:t>
            </w:r>
          </w:p>
        </w:tc>
      </w:tr>
      <w:tr w:rsidR="00557081" w:rsidRPr="00557081" w14:paraId="2FED1ECD" w14:textId="77777777" w:rsidTr="00557081">
        <w:trPr>
          <w:trHeight w:val="22"/>
          <w:jc w:val="center"/>
        </w:trPr>
        <w:tc>
          <w:tcPr>
            <w:tcW w:w="2613" w:type="dxa"/>
            <w:tcBorders>
              <w:top w:val="single" w:sz="4" w:space="0" w:color="auto"/>
              <w:bottom w:val="single" w:sz="4" w:space="0" w:color="auto"/>
            </w:tcBorders>
            <w:tcMar>
              <w:top w:w="100" w:type="dxa"/>
              <w:left w:w="100" w:type="dxa"/>
              <w:bottom w:w="100" w:type="dxa"/>
              <w:right w:w="100" w:type="dxa"/>
            </w:tcMar>
            <w:hideMark/>
          </w:tcPr>
          <w:p w14:paraId="6723472C"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lastRenderedPageBreak/>
              <w:t>Total</w:t>
            </w:r>
          </w:p>
        </w:tc>
        <w:tc>
          <w:tcPr>
            <w:tcW w:w="1527" w:type="dxa"/>
            <w:tcBorders>
              <w:top w:val="single" w:sz="4" w:space="0" w:color="auto"/>
              <w:bottom w:val="single" w:sz="4" w:space="0" w:color="auto"/>
            </w:tcBorders>
            <w:tcMar>
              <w:top w:w="100" w:type="dxa"/>
              <w:left w:w="100" w:type="dxa"/>
              <w:bottom w:w="100" w:type="dxa"/>
              <w:right w:w="100" w:type="dxa"/>
            </w:tcMar>
            <w:hideMark/>
          </w:tcPr>
          <w:p w14:paraId="4F6E4C68"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101</w:t>
            </w:r>
          </w:p>
        </w:tc>
        <w:tc>
          <w:tcPr>
            <w:tcW w:w="1800" w:type="dxa"/>
            <w:tcBorders>
              <w:top w:val="single" w:sz="4" w:space="0" w:color="auto"/>
              <w:bottom w:val="single" w:sz="4" w:space="0" w:color="auto"/>
            </w:tcBorders>
            <w:tcMar>
              <w:top w:w="100" w:type="dxa"/>
              <w:left w:w="100" w:type="dxa"/>
              <w:bottom w:w="100" w:type="dxa"/>
              <w:right w:w="100" w:type="dxa"/>
            </w:tcMar>
            <w:hideMark/>
          </w:tcPr>
          <w:p w14:paraId="5576216C" w14:textId="77777777" w:rsidR="00557081" w:rsidRPr="00557081" w:rsidRDefault="00557081">
            <w:pPr>
              <w:pStyle w:val="NormalWeb"/>
              <w:spacing w:before="0" w:beforeAutospacing="0" w:after="0" w:afterAutospacing="0"/>
            </w:pPr>
            <w:r w:rsidRPr="00557081">
              <w:rPr>
                <w:rFonts w:ascii="Arial" w:hAnsi="Arial" w:cs="Arial"/>
                <w:color w:val="000000"/>
                <w:sz w:val="20"/>
                <w:szCs w:val="20"/>
              </w:rPr>
              <w:t>100.0%</w:t>
            </w:r>
          </w:p>
        </w:tc>
      </w:tr>
    </w:tbl>
    <w:p w14:paraId="36C36DE6" w14:textId="77777777" w:rsidR="00472000" w:rsidRPr="00472000" w:rsidRDefault="00472000" w:rsidP="00472000"/>
    <w:p w14:paraId="025BD8B7"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represented the largest category, comprising 44 indicators (43.6%). These indicators captured observable learner activities, such as access, participation, submissions, completion, interaction with learning resources, and related activity traces. The predominance of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measures aligns with broader learning analytics literature. For example, Bergdahl et al. (2024), in a systematic review of 159 higher-education learning analytics studies, found that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was the most frequently operationalized dimension, with measures such as clicks, time on task, and other observable activities being substantially more common than cognitive, social, or emotional engagement measures. Similarly, Armas-Cervantes et al. (2024) showed that LMS event data can identify changes in students’ online engagement by </w:t>
      </w:r>
      <w:r w:rsidRPr="00557081">
        <w:rPr>
          <w:rFonts w:ascii="Arial" w:hAnsi="Arial" w:cs="Arial"/>
          <w:color w:val="000000"/>
          <w:sz w:val="20"/>
          <w:szCs w:val="20"/>
          <w:highlight w:val="yellow"/>
        </w:rPr>
        <w:t>analysing</w:t>
      </w:r>
      <w:r w:rsidRPr="00557081">
        <w:rPr>
          <w:rFonts w:ascii="Arial" w:hAnsi="Arial" w:cs="Arial"/>
          <w:color w:val="000000"/>
          <w:sz w:val="20"/>
          <w:szCs w:val="20"/>
        </w:rPr>
        <w:t xml:space="preserve"> patterns across large numbers of recorded learning interactions. These findings help explain the prominence of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in the present corpus, as it closely aligns with the types of events routinely recorded by LMS platforms.</w:t>
      </w:r>
    </w:p>
    <w:p w14:paraId="189594E3"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Social engagement was the second-largest category, comprising 35 indicators (34.7%). These measures included discussion participation, replies, collaboration, messaging, and other digitally recorded interactions among learners and between learners and instructors. The substantial representation of social engagement indicates that LMS analytics extend beyond individual system activity to include interactional dimensions of learning. However, the measurable component of social engagement remains dependent on observable participation. A discussion reply, for example, shows that an interaction occurred but does not necessarily establish the quality, depth, or interpersonal meaning of that interaction. Recent learning analytics research similarly shows that interaction data can distinguish patterns of participation and engagement in collaborative learning environments, while interpreting those patterns still depends on the context in which interactions occur (Yin et al., 2025).</w:t>
      </w:r>
    </w:p>
    <w:p w14:paraId="3D7D88FB"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Cognitive engagement accounted for 22 indicators (21.8%), all of which were identified in Moodle’s documented analytics corpus. These measures included explicitly documented cognitive classifications associated with learning activities and resources. Their presence demonstrates that LMS analytics can incorporate constructs beyond simple activity frequency when the analytics architecture explicitly models learning processes. This aligns with recent research emphasizing learning analytics' potential to support self-regulation and cognitively oriented learning processes. For example, Uzun et al. (2025) examined students’ engagement with analytics feedback in relation to self-regulated learning competence, specifically conceptualizing cognitive engagement through the ICAP framework. Similarly, Kleimola et al. (2025) examined the relationship between learning analytics and self-regulated learning in higher education. Such research illustrates that cognitive engagement can be operationalized through analytics, but generally requires more theoretically informed measures than simple activity counts.</w:t>
      </w:r>
    </w:p>
    <w:p w14:paraId="13FCDEBA"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The concentration of cognitive indicators within Moodle is analytically significant. This finding does not imply that the other three LMS platforms are incapable of supporting cognitive analytics. Instead, under the </w:t>
      </w:r>
      <w:r w:rsidRPr="00557081">
        <w:rPr>
          <w:rFonts w:ascii="Arial" w:hAnsi="Arial" w:cs="Arial"/>
          <w:color w:val="000000"/>
          <w:sz w:val="20"/>
          <w:szCs w:val="20"/>
          <w:highlight w:val="yellow"/>
        </w:rPr>
        <w:t>standardised</w:t>
      </w:r>
      <w:r w:rsidRPr="00557081">
        <w:rPr>
          <w:rFonts w:ascii="Arial" w:hAnsi="Arial" w:cs="Arial"/>
          <w:color w:val="000000"/>
          <w:sz w:val="20"/>
          <w:szCs w:val="20"/>
        </w:rPr>
        <w:t xml:space="preserve"> documentary protocol employed in this study, Moodle was the only platform for which explicit native cognitive-engagement indicators were identified in the core public documentation. This distinction aligns with Bergdahl et al.'s (2024) observation that cognitive engagement is substantially less represented in learning analytics compared to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The present findings extend this observation by demonstrating that the imbalance is also evident when </w:t>
      </w:r>
      <w:r w:rsidRPr="00557081">
        <w:rPr>
          <w:rFonts w:ascii="Arial" w:hAnsi="Arial" w:cs="Arial"/>
          <w:color w:val="000000"/>
          <w:sz w:val="20"/>
          <w:szCs w:val="20"/>
          <w:highlight w:val="yellow"/>
        </w:rPr>
        <w:t>analysing</w:t>
      </w:r>
      <w:r w:rsidRPr="00557081">
        <w:rPr>
          <w:rFonts w:ascii="Arial" w:hAnsi="Arial" w:cs="Arial"/>
          <w:color w:val="000000"/>
          <w:sz w:val="20"/>
          <w:szCs w:val="20"/>
        </w:rPr>
        <w:t xml:space="preserve"> the analytics documentation of LMS platforms themselves.</w:t>
      </w:r>
    </w:p>
    <w:p w14:paraId="66F93B5E"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The most notable finding pertains to emotional engagement. No explicit native emotional-engagement indicators were identified in the documented corpus of any of the four platforms. This result should be interpreted with caution. It does not imply that emotional </w:t>
      </w:r>
      <w:r w:rsidRPr="00557081">
        <w:rPr>
          <w:rFonts w:ascii="Arial" w:hAnsi="Arial" w:cs="Arial"/>
          <w:color w:val="000000"/>
          <w:sz w:val="20"/>
          <w:szCs w:val="20"/>
        </w:rPr>
        <w:lastRenderedPageBreak/>
        <w:t xml:space="preserve">engagement cannot be studied within digital learning environments, nor does it suggest that the four platforms lack underlying or configurable capabilities for capturing affective information. Rather, it indicates that emotional engagement was not explicitly represented as a native engagement measure in the publicly documented core analytics corpus under the study’s </w:t>
      </w:r>
      <w:r w:rsidRPr="00557081">
        <w:rPr>
          <w:rFonts w:ascii="Arial" w:hAnsi="Arial" w:cs="Arial"/>
          <w:color w:val="000000"/>
          <w:sz w:val="20"/>
          <w:szCs w:val="20"/>
          <w:highlight w:val="yellow"/>
        </w:rPr>
        <w:t>standardised</w:t>
      </w:r>
      <w:r w:rsidRPr="00557081">
        <w:rPr>
          <w:rFonts w:ascii="Arial" w:hAnsi="Arial" w:cs="Arial"/>
          <w:color w:val="000000"/>
          <w:sz w:val="20"/>
          <w:szCs w:val="20"/>
        </w:rPr>
        <w:t xml:space="preserve"> search and coding protocol.</w:t>
      </w:r>
    </w:p>
    <w:p w14:paraId="02676F07"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Recent research demonstrates that emotional engagement can be investigated using approaches that extend beyond conventional LMS event data. For instance, Wang et al. (2025) examined emotional engagement in AI-supported hybrid learning, while studies employing multimodal approaches have shown the feasibility of detecting emotional engagement through combinations of visual, audio, physiological, and environmental data (Yin et al., 2025). These approaches differ substantially from conventional LMS analytics because they require data sources not typically represented in standard LMS activity logs. The absence of emotional indicators in the present corpus therefore underscores the distinction between what can theoretically be measured in digital learning environments and what native LMS analytics explicitly incorporate.</w:t>
      </w:r>
    </w:p>
    <w:p w14:paraId="551B05E8" w14:textId="77777777" w:rsidR="00557081" w:rsidRPr="00557081" w:rsidRDefault="00557081" w:rsidP="00557081">
      <w:pPr>
        <w:pStyle w:val="NormalWeb"/>
        <w:spacing w:before="0" w:beforeAutospacing="0" w:after="0" w:afterAutospacing="0"/>
      </w:pPr>
      <w:r w:rsidRPr="00557081">
        <w:rPr>
          <w:rFonts w:ascii="Arial" w:hAnsi="Arial" w:cs="Arial"/>
          <w:color w:val="000000"/>
          <w:sz w:val="20"/>
          <w:szCs w:val="20"/>
        </w:rPr>
        <w:t xml:space="preserve">In total, 79 of the 101 indicators (78.2%) represented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or social engagement. This concentration demonstrates that the documented analytics architectures of the four platforms are strongly oriented toward engagement that produces observable digital traces. While such traces are valuable for continuous collection and large-scale analysis, they do not provide an equally direct perspective on all dimensions of engagement. Bergdahl et al. (2024) similarly cautioned that reliance on learning analytics data can result in a narrowed </w:t>
      </w:r>
      <w:r w:rsidRPr="00557081">
        <w:rPr>
          <w:rFonts w:ascii="Arial" w:hAnsi="Arial" w:cs="Arial"/>
          <w:color w:val="000000"/>
          <w:sz w:val="20"/>
          <w:szCs w:val="20"/>
          <w:highlight w:val="yellow"/>
        </w:rPr>
        <w:t>operationalisation</w:t>
      </w:r>
      <w:r w:rsidRPr="00557081">
        <w:rPr>
          <w:rFonts w:ascii="Arial" w:hAnsi="Arial" w:cs="Arial"/>
          <w:color w:val="000000"/>
          <w:sz w:val="20"/>
          <w:szCs w:val="20"/>
        </w:rPr>
        <w:t xml:space="preserve"> of engagement when observable </w:t>
      </w:r>
      <w:r w:rsidRPr="00557081">
        <w:rPr>
          <w:rFonts w:ascii="Arial" w:hAnsi="Arial" w:cs="Arial"/>
          <w:color w:val="000000"/>
          <w:sz w:val="20"/>
          <w:szCs w:val="20"/>
          <w:highlight w:val="yellow"/>
        </w:rPr>
        <w:t>behaviour</w:t>
      </w:r>
      <w:r w:rsidRPr="00557081">
        <w:rPr>
          <w:rFonts w:ascii="Arial" w:hAnsi="Arial" w:cs="Arial"/>
          <w:color w:val="000000"/>
          <w:sz w:val="20"/>
          <w:szCs w:val="20"/>
        </w:rPr>
        <w:t xml:space="preserve"> is treated as a sufficient representation of the broader construct.</w:t>
      </w:r>
    </w:p>
    <w:p w14:paraId="08BE6F20" w14:textId="77777777" w:rsidR="00472000" w:rsidRPr="00557081" w:rsidRDefault="00557081" w:rsidP="00557081">
      <w:pPr>
        <w:pStyle w:val="NormalWeb"/>
        <w:spacing w:before="0" w:beforeAutospacing="0" w:after="0" w:afterAutospacing="0"/>
        <w:rPr>
          <w:rFonts w:ascii="Arial" w:hAnsi="Arial" w:cs="Arial"/>
          <w:color w:val="000000"/>
          <w:sz w:val="20"/>
          <w:szCs w:val="20"/>
        </w:rPr>
      </w:pPr>
      <w:r w:rsidRPr="00557081">
        <w:rPr>
          <w:rFonts w:ascii="Arial" w:hAnsi="Arial" w:cs="Arial"/>
          <w:color w:val="000000"/>
          <w:sz w:val="20"/>
          <w:szCs w:val="20"/>
        </w:rPr>
        <w:t xml:space="preserve">The distribution thus reveals an uneven measurement profile across the SEDL dimensions. </w:t>
      </w:r>
      <w:r w:rsidRPr="00557081">
        <w:rPr>
          <w:rFonts w:ascii="Arial" w:hAnsi="Arial" w:cs="Arial"/>
          <w:color w:val="000000"/>
          <w:sz w:val="20"/>
          <w:szCs w:val="20"/>
          <w:highlight w:val="yellow"/>
        </w:rPr>
        <w:t>Behavioural</w:t>
      </w:r>
      <w:r w:rsidRPr="00557081">
        <w:rPr>
          <w:rFonts w:ascii="Arial" w:hAnsi="Arial" w:cs="Arial"/>
          <w:color w:val="000000"/>
          <w:sz w:val="20"/>
          <w:szCs w:val="20"/>
        </w:rPr>
        <w:t xml:space="preserve"> engagement is the most visible, social engagement is also substantially represented, cognitive engagement is more selectively institutionalized, and emotional engagement is absent from the explicitly documented native indicators. This pattern does not establish a hierarchy among the dimensions themselves, but rather indicates a hierarchy of measurement visibility within the publicly documented analytics architectures of the four LMS platforms. Section 3.3 examines the implications of these differing measurement profiles comparatively.</w:t>
      </w:r>
    </w:p>
    <w:p w14:paraId="0CB9E0F1" w14:textId="77777777" w:rsidR="00557081" w:rsidRPr="00472000" w:rsidRDefault="00557081" w:rsidP="00557081">
      <w:pPr>
        <w:pStyle w:val="NormalWeb"/>
        <w:spacing w:before="0" w:beforeAutospacing="0" w:after="0" w:afterAutospacing="0"/>
      </w:pPr>
    </w:p>
    <w:p w14:paraId="51F72783" w14:textId="77777777" w:rsidR="0011613A" w:rsidRPr="0011613A" w:rsidRDefault="0011613A" w:rsidP="0011613A">
      <w:pPr>
        <w:pStyle w:val="Heading3"/>
        <w:spacing w:before="0"/>
        <w:rPr>
          <w:b/>
          <w:bCs/>
          <w:sz w:val="22"/>
          <w:szCs w:val="22"/>
        </w:rPr>
      </w:pPr>
      <w:r w:rsidRPr="0011613A">
        <w:rPr>
          <w:rFonts w:ascii="Arial" w:hAnsi="Arial" w:cs="Arial"/>
          <w:b/>
          <w:bCs/>
          <w:color w:val="000000"/>
          <w:sz w:val="22"/>
          <w:szCs w:val="22"/>
        </w:rPr>
        <w:t>3.3 Comparative LMS Measurement Profiles</w:t>
      </w:r>
    </w:p>
    <w:p w14:paraId="11B39BA4" w14:textId="77777777" w:rsidR="0011613A" w:rsidRDefault="0011613A" w:rsidP="0011613A"/>
    <w:p w14:paraId="3266AE42" w14:textId="77777777" w:rsidR="0011613A" w:rsidRDefault="0011613A" w:rsidP="0011613A">
      <w:pPr>
        <w:pStyle w:val="NormalWeb"/>
        <w:spacing w:before="0" w:beforeAutospacing="0" w:after="0" w:afterAutospacing="0"/>
      </w:pPr>
      <w:r>
        <w:rPr>
          <w:rFonts w:ascii="Arial" w:hAnsi="Arial" w:cs="Arial"/>
          <w:color w:val="000000"/>
          <w:sz w:val="20"/>
          <w:szCs w:val="20"/>
        </w:rPr>
        <w:t xml:space="preserve">Research Question 3 (RQ3) examines differences among Moodle, Canvas, Blackboard Learn, and D2L Brightspace in how they represent student engagement dimensions and measurement patterns. While Research Question 1 (RQ1) established the number of documented indicators and Research Question 2 (RQ2) examined their distribution across the SEDL dimensions, this section compares the </w:t>
      </w:r>
      <w:r>
        <w:rPr>
          <w:rFonts w:ascii="Arial" w:hAnsi="Arial" w:cs="Arial"/>
          <w:b/>
          <w:bCs/>
          <w:color w:val="000000"/>
          <w:sz w:val="20"/>
          <w:szCs w:val="20"/>
        </w:rPr>
        <w:t>measurement profiles</w:t>
      </w:r>
      <w:r>
        <w:rPr>
          <w:rFonts w:ascii="Arial" w:hAnsi="Arial" w:cs="Arial"/>
          <w:color w:val="000000"/>
          <w:sz w:val="20"/>
          <w:szCs w:val="20"/>
        </w:rPr>
        <w:t xml:space="preserve"> produced by the four LMS platforms.</w:t>
      </w:r>
    </w:p>
    <w:p w14:paraId="2837DEFD" w14:textId="77777777" w:rsidR="0011613A" w:rsidRDefault="0011613A" w:rsidP="0011613A"/>
    <w:p w14:paraId="02724E8E"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r>
        <w:rPr>
          <w:rFonts w:ascii="Arial" w:hAnsi="Arial" w:cs="Arial"/>
          <w:b/>
          <w:bCs/>
          <w:color w:val="000000"/>
          <w:sz w:val="20"/>
          <w:szCs w:val="20"/>
        </w:rPr>
        <w:t>Table 3. Comparative Distribution of Documented Engagement Indicators by LMS</w:t>
      </w:r>
    </w:p>
    <w:p w14:paraId="763C4B5D" w14:textId="77777777" w:rsidR="0011613A" w:rsidRDefault="0011613A" w:rsidP="0011613A">
      <w:pPr>
        <w:pStyle w:val="NormalWeb"/>
        <w:spacing w:before="0" w:beforeAutospacing="0" w:after="0" w:afterAutospacing="0"/>
        <w:jc w:val="center"/>
        <w:rPr>
          <w:rFonts w:ascii="Arial" w:hAnsi="Arial" w:cs="Arial"/>
          <w:b/>
          <w:bCs/>
          <w:color w:val="000000"/>
          <w:sz w:val="20"/>
          <w:szCs w:val="20"/>
        </w:rPr>
      </w:pPr>
    </w:p>
    <w:tbl>
      <w:tblPr>
        <w:tblW w:w="8100" w:type="dxa"/>
        <w:jc w:val="center"/>
        <w:tblCellMar>
          <w:top w:w="15" w:type="dxa"/>
          <w:left w:w="15" w:type="dxa"/>
          <w:bottom w:w="15" w:type="dxa"/>
          <w:right w:w="15" w:type="dxa"/>
        </w:tblCellMar>
        <w:tblLook w:val="04A0" w:firstRow="1" w:lastRow="0" w:firstColumn="1" w:lastColumn="0" w:noHBand="0" w:noVBand="1"/>
      </w:tblPr>
      <w:tblGrid>
        <w:gridCol w:w="1951"/>
        <w:gridCol w:w="1345"/>
        <w:gridCol w:w="1341"/>
        <w:gridCol w:w="1167"/>
        <w:gridCol w:w="1296"/>
        <w:gridCol w:w="1000"/>
      </w:tblGrid>
      <w:tr w:rsidR="0011613A" w14:paraId="08CC1B00" w14:textId="77777777" w:rsidTr="0011613A">
        <w:trPr>
          <w:trHeight w:val="179"/>
          <w:jc w:val="center"/>
        </w:trPr>
        <w:tc>
          <w:tcPr>
            <w:tcW w:w="1951" w:type="dxa"/>
            <w:tcBorders>
              <w:top w:val="single" w:sz="4" w:space="0" w:color="auto"/>
              <w:bottom w:val="single" w:sz="4" w:space="0" w:color="auto"/>
            </w:tcBorders>
            <w:tcMar>
              <w:top w:w="100" w:type="dxa"/>
              <w:left w:w="100" w:type="dxa"/>
              <w:bottom w:w="100" w:type="dxa"/>
              <w:right w:w="100" w:type="dxa"/>
            </w:tcMar>
            <w:hideMark/>
          </w:tcPr>
          <w:p w14:paraId="02242E52"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LMS Platform</w:t>
            </w:r>
          </w:p>
        </w:tc>
        <w:tc>
          <w:tcPr>
            <w:tcW w:w="1345" w:type="dxa"/>
            <w:tcBorders>
              <w:top w:val="single" w:sz="4" w:space="0" w:color="auto"/>
              <w:bottom w:val="single" w:sz="4" w:space="0" w:color="auto"/>
            </w:tcBorders>
            <w:tcMar>
              <w:top w:w="100" w:type="dxa"/>
              <w:left w:w="100" w:type="dxa"/>
              <w:bottom w:w="100" w:type="dxa"/>
              <w:right w:w="100" w:type="dxa"/>
            </w:tcMar>
            <w:hideMark/>
          </w:tcPr>
          <w:p w14:paraId="4111A9D3"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highlight w:val="yellow"/>
              </w:rPr>
              <w:t>Behavioural</w:t>
            </w:r>
          </w:p>
        </w:tc>
        <w:tc>
          <w:tcPr>
            <w:tcW w:w="1341" w:type="dxa"/>
            <w:tcBorders>
              <w:top w:val="single" w:sz="4" w:space="0" w:color="auto"/>
              <w:bottom w:val="single" w:sz="4" w:space="0" w:color="auto"/>
            </w:tcBorders>
            <w:tcMar>
              <w:top w:w="100" w:type="dxa"/>
              <w:left w:w="100" w:type="dxa"/>
              <w:bottom w:w="100" w:type="dxa"/>
              <w:right w:w="100" w:type="dxa"/>
            </w:tcMar>
            <w:hideMark/>
          </w:tcPr>
          <w:p w14:paraId="5DACD9AC"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Cognitive</w:t>
            </w:r>
          </w:p>
        </w:tc>
        <w:tc>
          <w:tcPr>
            <w:tcW w:w="1167" w:type="dxa"/>
            <w:tcBorders>
              <w:top w:val="single" w:sz="4" w:space="0" w:color="auto"/>
              <w:bottom w:val="single" w:sz="4" w:space="0" w:color="auto"/>
            </w:tcBorders>
            <w:tcMar>
              <w:top w:w="100" w:type="dxa"/>
              <w:left w:w="100" w:type="dxa"/>
              <w:bottom w:w="100" w:type="dxa"/>
              <w:right w:w="100" w:type="dxa"/>
            </w:tcMar>
            <w:hideMark/>
          </w:tcPr>
          <w:p w14:paraId="4B277A0B"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Emotional</w:t>
            </w:r>
          </w:p>
        </w:tc>
        <w:tc>
          <w:tcPr>
            <w:tcW w:w="1296" w:type="dxa"/>
            <w:tcBorders>
              <w:top w:val="single" w:sz="4" w:space="0" w:color="auto"/>
              <w:bottom w:val="single" w:sz="4" w:space="0" w:color="auto"/>
            </w:tcBorders>
            <w:tcMar>
              <w:top w:w="100" w:type="dxa"/>
              <w:left w:w="100" w:type="dxa"/>
              <w:bottom w:w="100" w:type="dxa"/>
              <w:right w:w="100" w:type="dxa"/>
            </w:tcMar>
            <w:hideMark/>
          </w:tcPr>
          <w:p w14:paraId="4481DAAD"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Social</w:t>
            </w:r>
          </w:p>
        </w:tc>
        <w:tc>
          <w:tcPr>
            <w:tcW w:w="1000" w:type="dxa"/>
            <w:tcBorders>
              <w:top w:val="single" w:sz="4" w:space="0" w:color="auto"/>
              <w:bottom w:val="single" w:sz="4" w:space="0" w:color="auto"/>
            </w:tcBorders>
            <w:tcMar>
              <w:top w:w="100" w:type="dxa"/>
              <w:left w:w="100" w:type="dxa"/>
              <w:bottom w:w="100" w:type="dxa"/>
              <w:right w:w="100" w:type="dxa"/>
            </w:tcMar>
            <w:hideMark/>
          </w:tcPr>
          <w:p w14:paraId="44AF0127" w14:textId="77777777" w:rsidR="0011613A" w:rsidRPr="0011613A" w:rsidRDefault="0011613A">
            <w:pPr>
              <w:pStyle w:val="NormalWeb"/>
              <w:spacing w:before="0" w:beforeAutospacing="0" w:after="0" w:afterAutospacing="0"/>
              <w:rPr>
                <w:b/>
                <w:bCs/>
              </w:rPr>
            </w:pPr>
            <w:r w:rsidRPr="0011613A">
              <w:rPr>
                <w:rFonts w:ascii="Arial" w:hAnsi="Arial" w:cs="Arial"/>
                <w:b/>
                <w:bCs/>
                <w:color w:val="000000"/>
                <w:sz w:val="20"/>
                <w:szCs w:val="20"/>
              </w:rPr>
              <w:t>Total</w:t>
            </w:r>
          </w:p>
        </w:tc>
      </w:tr>
      <w:tr w:rsidR="0011613A" w14:paraId="36618428" w14:textId="77777777" w:rsidTr="0011613A">
        <w:trPr>
          <w:trHeight w:val="53"/>
          <w:jc w:val="center"/>
        </w:trPr>
        <w:tc>
          <w:tcPr>
            <w:tcW w:w="1951" w:type="dxa"/>
            <w:tcBorders>
              <w:top w:val="single" w:sz="4" w:space="0" w:color="auto"/>
            </w:tcBorders>
            <w:tcMar>
              <w:top w:w="100" w:type="dxa"/>
              <w:left w:w="100" w:type="dxa"/>
              <w:bottom w:w="100" w:type="dxa"/>
              <w:right w:w="100" w:type="dxa"/>
            </w:tcMar>
            <w:hideMark/>
          </w:tcPr>
          <w:p w14:paraId="19347CB5" w14:textId="77777777" w:rsidR="0011613A" w:rsidRDefault="0011613A">
            <w:pPr>
              <w:pStyle w:val="NormalWeb"/>
              <w:spacing w:before="0" w:beforeAutospacing="0" w:after="0" w:afterAutospacing="0"/>
            </w:pPr>
            <w:r>
              <w:rPr>
                <w:rFonts w:ascii="Arial" w:hAnsi="Arial" w:cs="Arial"/>
                <w:color w:val="000000"/>
                <w:sz w:val="20"/>
                <w:szCs w:val="20"/>
              </w:rPr>
              <w:t>Moodle</w:t>
            </w:r>
          </w:p>
        </w:tc>
        <w:tc>
          <w:tcPr>
            <w:tcW w:w="1345" w:type="dxa"/>
            <w:tcBorders>
              <w:top w:val="single" w:sz="4" w:space="0" w:color="auto"/>
            </w:tcBorders>
            <w:tcMar>
              <w:top w:w="100" w:type="dxa"/>
              <w:left w:w="100" w:type="dxa"/>
              <w:bottom w:w="100" w:type="dxa"/>
              <w:right w:w="100" w:type="dxa"/>
            </w:tcMar>
            <w:hideMark/>
          </w:tcPr>
          <w:p w14:paraId="0DA0FDF4" w14:textId="77777777" w:rsidR="0011613A" w:rsidRDefault="0011613A">
            <w:pPr>
              <w:pStyle w:val="NormalWeb"/>
              <w:spacing w:before="0" w:beforeAutospacing="0" w:after="0" w:afterAutospacing="0"/>
            </w:pPr>
            <w:r>
              <w:rPr>
                <w:rFonts w:ascii="Arial" w:hAnsi="Arial" w:cs="Arial"/>
                <w:color w:val="000000"/>
                <w:sz w:val="20"/>
                <w:szCs w:val="20"/>
              </w:rPr>
              <w:t>7 (13.7%)</w:t>
            </w:r>
          </w:p>
        </w:tc>
        <w:tc>
          <w:tcPr>
            <w:tcW w:w="1341" w:type="dxa"/>
            <w:tcBorders>
              <w:top w:val="single" w:sz="4" w:space="0" w:color="auto"/>
            </w:tcBorders>
            <w:tcMar>
              <w:top w:w="100" w:type="dxa"/>
              <w:left w:w="100" w:type="dxa"/>
              <w:bottom w:w="100" w:type="dxa"/>
              <w:right w:w="100" w:type="dxa"/>
            </w:tcMar>
            <w:hideMark/>
          </w:tcPr>
          <w:p w14:paraId="743B3714"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167" w:type="dxa"/>
            <w:tcBorders>
              <w:top w:val="single" w:sz="4" w:space="0" w:color="auto"/>
            </w:tcBorders>
            <w:tcMar>
              <w:top w:w="100" w:type="dxa"/>
              <w:left w:w="100" w:type="dxa"/>
              <w:bottom w:w="100" w:type="dxa"/>
              <w:right w:w="100" w:type="dxa"/>
            </w:tcMar>
            <w:hideMark/>
          </w:tcPr>
          <w:p w14:paraId="1EBCF85F"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top w:val="single" w:sz="4" w:space="0" w:color="auto"/>
            </w:tcBorders>
            <w:tcMar>
              <w:top w:w="100" w:type="dxa"/>
              <w:left w:w="100" w:type="dxa"/>
              <w:bottom w:w="100" w:type="dxa"/>
              <w:right w:w="100" w:type="dxa"/>
            </w:tcMar>
            <w:hideMark/>
          </w:tcPr>
          <w:p w14:paraId="529122F6" w14:textId="77777777" w:rsidR="0011613A" w:rsidRDefault="0011613A">
            <w:pPr>
              <w:pStyle w:val="NormalWeb"/>
              <w:spacing w:before="0" w:beforeAutospacing="0" w:after="0" w:afterAutospacing="0"/>
            </w:pPr>
            <w:r>
              <w:rPr>
                <w:rFonts w:ascii="Arial" w:hAnsi="Arial" w:cs="Arial"/>
                <w:color w:val="000000"/>
                <w:sz w:val="20"/>
                <w:szCs w:val="20"/>
              </w:rPr>
              <w:t>22 (43.1%)</w:t>
            </w:r>
          </w:p>
        </w:tc>
        <w:tc>
          <w:tcPr>
            <w:tcW w:w="1000" w:type="dxa"/>
            <w:tcBorders>
              <w:top w:val="single" w:sz="4" w:space="0" w:color="auto"/>
            </w:tcBorders>
            <w:tcMar>
              <w:top w:w="100" w:type="dxa"/>
              <w:left w:w="100" w:type="dxa"/>
              <w:bottom w:w="100" w:type="dxa"/>
              <w:right w:w="100" w:type="dxa"/>
            </w:tcMar>
            <w:hideMark/>
          </w:tcPr>
          <w:p w14:paraId="24F71807" w14:textId="77777777" w:rsidR="0011613A" w:rsidRDefault="0011613A">
            <w:pPr>
              <w:pStyle w:val="NormalWeb"/>
              <w:spacing w:before="0" w:beforeAutospacing="0" w:after="0" w:afterAutospacing="0"/>
            </w:pPr>
            <w:r>
              <w:rPr>
                <w:rFonts w:ascii="Arial" w:hAnsi="Arial" w:cs="Arial"/>
                <w:color w:val="000000"/>
                <w:sz w:val="20"/>
                <w:szCs w:val="20"/>
              </w:rPr>
              <w:t>51</w:t>
            </w:r>
          </w:p>
        </w:tc>
      </w:tr>
      <w:tr w:rsidR="0011613A" w14:paraId="39FC9ED7" w14:textId="77777777" w:rsidTr="0011613A">
        <w:trPr>
          <w:trHeight w:val="98"/>
          <w:jc w:val="center"/>
        </w:trPr>
        <w:tc>
          <w:tcPr>
            <w:tcW w:w="1951" w:type="dxa"/>
            <w:tcMar>
              <w:top w:w="100" w:type="dxa"/>
              <w:left w:w="100" w:type="dxa"/>
              <w:bottom w:w="100" w:type="dxa"/>
              <w:right w:w="100" w:type="dxa"/>
            </w:tcMar>
            <w:hideMark/>
          </w:tcPr>
          <w:p w14:paraId="5617D489" w14:textId="77777777" w:rsidR="0011613A" w:rsidRDefault="0011613A">
            <w:pPr>
              <w:pStyle w:val="NormalWeb"/>
              <w:spacing w:before="0" w:beforeAutospacing="0" w:after="0" w:afterAutospacing="0"/>
            </w:pPr>
            <w:r>
              <w:rPr>
                <w:rFonts w:ascii="Arial" w:hAnsi="Arial" w:cs="Arial"/>
                <w:color w:val="000000"/>
                <w:sz w:val="20"/>
                <w:szCs w:val="20"/>
              </w:rPr>
              <w:t>Canvas</w:t>
            </w:r>
          </w:p>
        </w:tc>
        <w:tc>
          <w:tcPr>
            <w:tcW w:w="1345" w:type="dxa"/>
            <w:tcMar>
              <w:top w:w="100" w:type="dxa"/>
              <w:left w:w="100" w:type="dxa"/>
              <w:bottom w:w="100" w:type="dxa"/>
              <w:right w:w="100" w:type="dxa"/>
            </w:tcMar>
            <w:hideMark/>
          </w:tcPr>
          <w:p w14:paraId="6B417C16" w14:textId="77777777" w:rsidR="0011613A" w:rsidRDefault="0011613A">
            <w:pPr>
              <w:pStyle w:val="NormalWeb"/>
              <w:spacing w:before="0" w:beforeAutospacing="0" w:after="0" w:afterAutospacing="0"/>
            </w:pPr>
            <w:r>
              <w:rPr>
                <w:rFonts w:ascii="Arial" w:hAnsi="Arial" w:cs="Arial"/>
                <w:color w:val="000000"/>
                <w:sz w:val="20"/>
                <w:szCs w:val="20"/>
              </w:rPr>
              <w:t>10 (62.5%)</w:t>
            </w:r>
          </w:p>
        </w:tc>
        <w:tc>
          <w:tcPr>
            <w:tcW w:w="1341" w:type="dxa"/>
            <w:tcMar>
              <w:top w:w="100" w:type="dxa"/>
              <w:left w:w="100" w:type="dxa"/>
              <w:bottom w:w="100" w:type="dxa"/>
              <w:right w:w="100" w:type="dxa"/>
            </w:tcMar>
            <w:hideMark/>
          </w:tcPr>
          <w:p w14:paraId="4A423C8C"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6A1997B4"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72DDD437" w14:textId="77777777" w:rsidR="0011613A" w:rsidRDefault="0011613A">
            <w:pPr>
              <w:pStyle w:val="NormalWeb"/>
              <w:spacing w:before="0" w:beforeAutospacing="0" w:after="0" w:afterAutospacing="0"/>
            </w:pPr>
            <w:r>
              <w:rPr>
                <w:rFonts w:ascii="Arial" w:hAnsi="Arial" w:cs="Arial"/>
                <w:color w:val="000000"/>
                <w:sz w:val="20"/>
                <w:szCs w:val="20"/>
              </w:rPr>
              <w:t>6 (37.5%)</w:t>
            </w:r>
          </w:p>
        </w:tc>
        <w:tc>
          <w:tcPr>
            <w:tcW w:w="1000" w:type="dxa"/>
            <w:tcMar>
              <w:top w:w="100" w:type="dxa"/>
              <w:left w:w="100" w:type="dxa"/>
              <w:bottom w:w="100" w:type="dxa"/>
              <w:right w:w="100" w:type="dxa"/>
            </w:tcMar>
            <w:hideMark/>
          </w:tcPr>
          <w:p w14:paraId="43233D8A" w14:textId="77777777" w:rsidR="0011613A" w:rsidRDefault="0011613A">
            <w:pPr>
              <w:pStyle w:val="NormalWeb"/>
              <w:spacing w:before="0" w:beforeAutospacing="0" w:after="0" w:afterAutospacing="0"/>
            </w:pPr>
            <w:r>
              <w:rPr>
                <w:rFonts w:ascii="Arial" w:hAnsi="Arial" w:cs="Arial"/>
                <w:color w:val="000000"/>
                <w:sz w:val="20"/>
                <w:szCs w:val="20"/>
              </w:rPr>
              <w:t>16</w:t>
            </w:r>
          </w:p>
        </w:tc>
      </w:tr>
      <w:tr w:rsidR="0011613A" w14:paraId="7EF61170" w14:textId="77777777" w:rsidTr="0011613A">
        <w:trPr>
          <w:trHeight w:val="62"/>
          <w:jc w:val="center"/>
        </w:trPr>
        <w:tc>
          <w:tcPr>
            <w:tcW w:w="1951" w:type="dxa"/>
            <w:tcMar>
              <w:top w:w="100" w:type="dxa"/>
              <w:left w:w="100" w:type="dxa"/>
              <w:bottom w:w="100" w:type="dxa"/>
              <w:right w:w="100" w:type="dxa"/>
            </w:tcMar>
            <w:hideMark/>
          </w:tcPr>
          <w:p w14:paraId="2B66716D" w14:textId="77777777" w:rsidR="0011613A" w:rsidRDefault="0011613A">
            <w:pPr>
              <w:pStyle w:val="NormalWeb"/>
              <w:spacing w:before="0" w:beforeAutospacing="0" w:after="0" w:afterAutospacing="0"/>
            </w:pPr>
            <w:r>
              <w:rPr>
                <w:rFonts w:ascii="Arial" w:hAnsi="Arial" w:cs="Arial"/>
                <w:color w:val="000000"/>
                <w:sz w:val="20"/>
                <w:szCs w:val="20"/>
              </w:rPr>
              <w:t>Blackboard Learn</w:t>
            </w:r>
          </w:p>
        </w:tc>
        <w:tc>
          <w:tcPr>
            <w:tcW w:w="1345" w:type="dxa"/>
            <w:tcMar>
              <w:top w:w="100" w:type="dxa"/>
              <w:left w:w="100" w:type="dxa"/>
              <w:bottom w:w="100" w:type="dxa"/>
              <w:right w:w="100" w:type="dxa"/>
            </w:tcMar>
            <w:hideMark/>
          </w:tcPr>
          <w:p w14:paraId="141A3BD7" w14:textId="77777777" w:rsidR="0011613A" w:rsidRDefault="0011613A">
            <w:pPr>
              <w:pStyle w:val="NormalWeb"/>
              <w:spacing w:before="0" w:beforeAutospacing="0" w:after="0" w:afterAutospacing="0"/>
            </w:pPr>
            <w:r>
              <w:rPr>
                <w:rFonts w:ascii="Arial" w:hAnsi="Arial" w:cs="Arial"/>
                <w:color w:val="000000"/>
                <w:sz w:val="20"/>
                <w:szCs w:val="20"/>
              </w:rPr>
              <w:t>15 (78.9%)</w:t>
            </w:r>
          </w:p>
        </w:tc>
        <w:tc>
          <w:tcPr>
            <w:tcW w:w="1341" w:type="dxa"/>
            <w:tcMar>
              <w:top w:w="100" w:type="dxa"/>
              <w:left w:w="100" w:type="dxa"/>
              <w:bottom w:w="100" w:type="dxa"/>
              <w:right w:w="100" w:type="dxa"/>
            </w:tcMar>
            <w:hideMark/>
          </w:tcPr>
          <w:p w14:paraId="4D766765"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Mar>
              <w:top w:w="100" w:type="dxa"/>
              <w:left w:w="100" w:type="dxa"/>
              <w:bottom w:w="100" w:type="dxa"/>
              <w:right w:w="100" w:type="dxa"/>
            </w:tcMar>
            <w:hideMark/>
          </w:tcPr>
          <w:p w14:paraId="526961AF"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Mar>
              <w:top w:w="100" w:type="dxa"/>
              <w:left w:w="100" w:type="dxa"/>
              <w:bottom w:w="100" w:type="dxa"/>
              <w:right w:w="100" w:type="dxa"/>
            </w:tcMar>
            <w:hideMark/>
          </w:tcPr>
          <w:p w14:paraId="2FD5682B" w14:textId="77777777" w:rsidR="0011613A" w:rsidRDefault="0011613A">
            <w:pPr>
              <w:pStyle w:val="NormalWeb"/>
              <w:spacing w:before="0" w:beforeAutospacing="0" w:after="0" w:afterAutospacing="0"/>
            </w:pPr>
            <w:r>
              <w:rPr>
                <w:rFonts w:ascii="Arial" w:hAnsi="Arial" w:cs="Arial"/>
                <w:color w:val="000000"/>
                <w:sz w:val="20"/>
                <w:szCs w:val="20"/>
              </w:rPr>
              <w:t>4 (21.1%)</w:t>
            </w:r>
          </w:p>
        </w:tc>
        <w:tc>
          <w:tcPr>
            <w:tcW w:w="1000" w:type="dxa"/>
            <w:tcMar>
              <w:top w:w="100" w:type="dxa"/>
              <w:left w:w="100" w:type="dxa"/>
              <w:bottom w:w="100" w:type="dxa"/>
              <w:right w:w="100" w:type="dxa"/>
            </w:tcMar>
            <w:hideMark/>
          </w:tcPr>
          <w:p w14:paraId="2909FB2F" w14:textId="77777777" w:rsidR="0011613A" w:rsidRDefault="0011613A">
            <w:pPr>
              <w:pStyle w:val="NormalWeb"/>
              <w:spacing w:before="0" w:beforeAutospacing="0" w:after="0" w:afterAutospacing="0"/>
            </w:pPr>
            <w:r>
              <w:rPr>
                <w:rFonts w:ascii="Arial" w:hAnsi="Arial" w:cs="Arial"/>
                <w:color w:val="000000"/>
                <w:sz w:val="20"/>
                <w:szCs w:val="20"/>
              </w:rPr>
              <w:t>19</w:t>
            </w:r>
          </w:p>
        </w:tc>
      </w:tr>
      <w:tr w:rsidR="0011613A" w14:paraId="3EA5FE0C" w14:textId="77777777" w:rsidTr="0011613A">
        <w:trPr>
          <w:trHeight w:val="62"/>
          <w:jc w:val="center"/>
        </w:trPr>
        <w:tc>
          <w:tcPr>
            <w:tcW w:w="1951" w:type="dxa"/>
            <w:tcBorders>
              <w:bottom w:val="single" w:sz="4" w:space="0" w:color="auto"/>
            </w:tcBorders>
            <w:tcMar>
              <w:top w:w="100" w:type="dxa"/>
              <w:left w:w="100" w:type="dxa"/>
              <w:bottom w:w="100" w:type="dxa"/>
              <w:right w:w="100" w:type="dxa"/>
            </w:tcMar>
            <w:hideMark/>
          </w:tcPr>
          <w:p w14:paraId="4107EDF3" w14:textId="77777777" w:rsidR="0011613A" w:rsidRDefault="0011613A">
            <w:pPr>
              <w:pStyle w:val="NormalWeb"/>
              <w:spacing w:before="0" w:beforeAutospacing="0" w:after="0" w:afterAutospacing="0"/>
            </w:pPr>
            <w:r>
              <w:rPr>
                <w:rFonts w:ascii="Arial" w:hAnsi="Arial" w:cs="Arial"/>
                <w:color w:val="000000"/>
                <w:sz w:val="20"/>
                <w:szCs w:val="20"/>
              </w:rPr>
              <w:t>D2L Brightspace</w:t>
            </w:r>
          </w:p>
        </w:tc>
        <w:tc>
          <w:tcPr>
            <w:tcW w:w="1345" w:type="dxa"/>
            <w:tcBorders>
              <w:bottom w:val="single" w:sz="4" w:space="0" w:color="auto"/>
            </w:tcBorders>
            <w:tcMar>
              <w:top w:w="100" w:type="dxa"/>
              <w:left w:w="100" w:type="dxa"/>
              <w:bottom w:w="100" w:type="dxa"/>
              <w:right w:w="100" w:type="dxa"/>
            </w:tcMar>
            <w:hideMark/>
          </w:tcPr>
          <w:p w14:paraId="68404B48" w14:textId="77777777" w:rsidR="0011613A" w:rsidRDefault="0011613A">
            <w:pPr>
              <w:pStyle w:val="NormalWeb"/>
              <w:spacing w:before="0" w:beforeAutospacing="0" w:after="0" w:afterAutospacing="0"/>
            </w:pPr>
            <w:r>
              <w:rPr>
                <w:rFonts w:ascii="Arial" w:hAnsi="Arial" w:cs="Arial"/>
                <w:color w:val="000000"/>
                <w:sz w:val="20"/>
                <w:szCs w:val="20"/>
              </w:rPr>
              <w:t>12 (80.0%)</w:t>
            </w:r>
          </w:p>
        </w:tc>
        <w:tc>
          <w:tcPr>
            <w:tcW w:w="1341" w:type="dxa"/>
            <w:tcBorders>
              <w:bottom w:val="single" w:sz="4" w:space="0" w:color="auto"/>
            </w:tcBorders>
            <w:tcMar>
              <w:top w:w="100" w:type="dxa"/>
              <w:left w:w="100" w:type="dxa"/>
              <w:bottom w:w="100" w:type="dxa"/>
              <w:right w:w="100" w:type="dxa"/>
            </w:tcMar>
            <w:hideMark/>
          </w:tcPr>
          <w:p w14:paraId="0594F85B"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167" w:type="dxa"/>
            <w:tcBorders>
              <w:bottom w:val="single" w:sz="4" w:space="0" w:color="auto"/>
            </w:tcBorders>
            <w:tcMar>
              <w:top w:w="100" w:type="dxa"/>
              <w:left w:w="100" w:type="dxa"/>
              <w:bottom w:w="100" w:type="dxa"/>
              <w:right w:w="100" w:type="dxa"/>
            </w:tcMar>
            <w:hideMark/>
          </w:tcPr>
          <w:p w14:paraId="3F085D73" w14:textId="77777777" w:rsidR="0011613A" w:rsidRDefault="0011613A">
            <w:pPr>
              <w:pStyle w:val="NormalWeb"/>
              <w:spacing w:before="0" w:beforeAutospacing="0" w:after="0" w:afterAutospacing="0"/>
            </w:pPr>
            <w:r>
              <w:rPr>
                <w:rFonts w:ascii="Arial" w:hAnsi="Arial" w:cs="Arial"/>
                <w:color w:val="000000"/>
                <w:sz w:val="20"/>
                <w:szCs w:val="20"/>
              </w:rPr>
              <w:t>0 (0.0%)</w:t>
            </w:r>
          </w:p>
        </w:tc>
        <w:tc>
          <w:tcPr>
            <w:tcW w:w="1296" w:type="dxa"/>
            <w:tcBorders>
              <w:bottom w:val="single" w:sz="4" w:space="0" w:color="auto"/>
            </w:tcBorders>
            <w:tcMar>
              <w:top w:w="100" w:type="dxa"/>
              <w:left w:w="100" w:type="dxa"/>
              <w:bottom w:w="100" w:type="dxa"/>
              <w:right w:w="100" w:type="dxa"/>
            </w:tcMar>
            <w:hideMark/>
          </w:tcPr>
          <w:p w14:paraId="3EF5ECEE" w14:textId="77777777" w:rsidR="0011613A" w:rsidRDefault="0011613A">
            <w:pPr>
              <w:pStyle w:val="NormalWeb"/>
              <w:spacing w:before="0" w:beforeAutospacing="0" w:after="0" w:afterAutospacing="0"/>
            </w:pPr>
            <w:r>
              <w:rPr>
                <w:rFonts w:ascii="Arial" w:hAnsi="Arial" w:cs="Arial"/>
                <w:color w:val="000000"/>
                <w:sz w:val="20"/>
                <w:szCs w:val="20"/>
              </w:rPr>
              <w:t>3 (20.0%)</w:t>
            </w:r>
          </w:p>
        </w:tc>
        <w:tc>
          <w:tcPr>
            <w:tcW w:w="1000" w:type="dxa"/>
            <w:tcBorders>
              <w:bottom w:val="single" w:sz="4" w:space="0" w:color="auto"/>
            </w:tcBorders>
            <w:tcMar>
              <w:top w:w="100" w:type="dxa"/>
              <w:left w:w="100" w:type="dxa"/>
              <w:bottom w:w="100" w:type="dxa"/>
              <w:right w:w="100" w:type="dxa"/>
            </w:tcMar>
            <w:hideMark/>
          </w:tcPr>
          <w:p w14:paraId="7B8F2C5E" w14:textId="77777777" w:rsidR="0011613A" w:rsidRDefault="0011613A">
            <w:pPr>
              <w:pStyle w:val="NormalWeb"/>
              <w:spacing w:before="0" w:beforeAutospacing="0" w:after="0" w:afterAutospacing="0"/>
            </w:pPr>
            <w:r>
              <w:rPr>
                <w:rFonts w:ascii="Arial" w:hAnsi="Arial" w:cs="Arial"/>
                <w:color w:val="000000"/>
                <w:sz w:val="20"/>
                <w:szCs w:val="20"/>
              </w:rPr>
              <w:t>15</w:t>
            </w:r>
          </w:p>
        </w:tc>
      </w:tr>
    </w:tbl>
    <w:p w14:paraId="010FDB6B" w14:textId="77777777" w:rsidR="0011613A" w:rsidRDefault="0011613A" w:rsidP="004D6473">
      <w:pPr>
        <w:pStyle w:val="NormalWeb"/>
        <w:spacing w:before="0" w:beforeAutospacing="0" w:after="0" w:afterAutospacing="0"/>
        <w:rPr>
          <w:rFonts w:ascii="Arial" w:hAnsi="Arial" w:cs="Arial"/>
          <w:sz w:val="20"/>
          <w:szCs w:val="20"/>
        </w:rPr>
      </w:pPr>
    </w:p>
    <w:p w14:paraId="58614F2B"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comparative profiles indicate a clear distinction between Moodle and the other three platforms. Moodle is the only platform in the documented corpus with indicators spanning three SEDL dimensions: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cognitive, and social engagement. Its 22 cognitive indicators constitute 43.1% of its documented corpus, matching the number of social indicators, while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account for only 13.7%. These findings suggest that Moodle’s publicly documented analytics architecture explicitly incorporates a broader range of engagement-related constructs than the other platforms examined.</w:t>
      </w:r>
    </w:p>
    <w:p w14:paraId="28270069"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finding is notable because learning analytics research has consistently relied heavily on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traces. For example, Bergdahl et al. (2024) found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overwhelmingly dominated the </w:t>
      </w:r>
      <w:r w:rsidRPr="004D6473">
        <w:rPr>
          <w:rFonts w:ascii="Arial" w:hAnsi="Arial" w:cs="Arial"/>
          <w:color w:val="000000"/>
          <w:sz w:val="20"/>
          <w:szCs w:val="20"/>
          <w:highlight w:val="yellow"/>
        </w:rPr>
        <w:t>operationalisation</w:t>
      </w:r>
      <w:r w:rsidRPr="004D6473">
        <w:rPr>
          <w:rFonts w:ascii="Arial" w:hAnsi="Arial" w:cs="Arial"/>
          <w:color w:val="000000"/>
          <w:sz w:val="20"/>
          <w:szCs w:val="20"/>
        </w:rPr>
        <w:t xml:space="preserve"> of engagement in higher-education learning analytics research. The current analysis demonstrates that this pattern is not uniform across LMS documentation: Moodle’s documented analytics include a substantial cognitive component alongside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measures. However, this difference should be interpreted as variation in documented measurement architecture, not as evidence that Moodle provides superior analytics or measures engagement more effectively.</w:t>
      </w:r>
    </w:p>
    <w:p w14:paraId="7B478EA3"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remaining platforms' profiles are more heavily concentrated on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Canvas contains 10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(62.5%) and six social indicators (37.5%). Its documented profile therefore combines measures of individual learner activity with interactional indicators, but the study's </w:t>
      </w:r>
      <w:r w:rsidRPr="004D6473">
        <w:rPr>
          <w:rFonts w:ascii="Arial" w:hAnsi="Arial" w:cs="Arial"/>
          <w:color w:val="000000"/>
          <w:sz w:val="20"/>
          <w:szCs w:val="20"/>
          <w:highlight w:val="yellow"/>
        </w:rPr>
        <w:t>standardised</w:t>
      </w:r>
      <w:r w:rsidRPr="004D6473">
        <w:rPr>
          <w:rFonts w:ascii="Arial" w:hAnsi="Arial" w:cs="Arial"/>
          <w:color w:val="000000"/>
          <w:sz w:val="20"/>
          <w:szCs w:val="20"/>
        </w:rPr>
        <w:t xml:space="preserve"> coding protocol identified no explicit native cognitive or emotional indicators. The relatively substantial social component suggests that Canvas makes digitally observable interaction visible alongside individual activity. This aligns with research indicating that analytics can represent collaborative participation through traces of interaction, although such traces may not fully capture the quality or meaning of collaboration (Echeverria et al., 2025).</w:t>
      </w:r>
    </w:p>
    <w:p w14:paraId="033802E6"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Blackboard Learn exhibits the strongest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concentration after Brightspace, with 15 of its 19 indicators (78.9%) classified as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four (21.1%) as social. Its documented profile is therefore </w:t>
      </w:r>
      <w:r w:rsidRPr="004D6473">
        <w:rPr>
          <w:rFonts w:ascii="Arial" w:hAnsi="Arial" w:cs="Arial"/>
          <w:color w:val="000000"/>
          <w:sz w:val="20"/>
          <w:szCs w:val="20"/>
          <w:highlight w:val="yellow"/>
        </w:rPr>
        <w:t>centred</w:t>
      </w:r>
      <w:r w:rsidRPr="004D6473">
        <w:rPr>
          <w:rFonts w:ascii="Arial" w:hAnsi="Arial" w:cs="Arial"/>
          <w:color w:val="000000"/>
          <w:sz w:val="20"/>
          <w:szCs w:val="20"/>
        </w:rPr>
        <w:t xml:space="preserve"> primarily on course access, assessment activity, submission </w:t>
      </w:r>
      <w:r w:rsidRPr="004D6473">
        <w:rPr>
          <w:rFonts w:ascii="Arial" w:hAnsi="Arial" w:cs="Arial"/>
          <w:color w:val="000000"/>
          <w:sz w:val="20"/>
          <w:szCs w:val="20"/>
          <w:highlight w:val="yellow"/>
        </w:rPr>
        <w:t>behaviour</w:t>
      </w:r>
      <w:r w:rsidRPr="004D6473">
        <w:rPr>
          <w:rFonts w:ascii="Arial" w:hAnsi="Arial" w:cs="Arial"/>
          <w:color w:val="000000"/>
          <w:sz w:val="20"/>
          <w:szCs w:val="20"/>
        </w:rPr>
        <w:t xml:space="preserve">, resource access, and related learner-system interactions. D2L Brightspace demonstrates an even stronger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concentration, with 12 of 15 indicators (80.0%) classified as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three (20.0%) as social. Both platforms consequently present measurement profiles dominated by observable activity, with comparatively smaller representations of social interaction.</w:t>
      </w:r>
    </w:p>
    <w:p w14:paraId="16D3D273"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concentration in Blackboard Learn and Brightspace should not be interpreted solely as a limitation of these systems.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traces are valuable because they provide longitudinal evidence of persistence, consistency, and changes in learner activity. For example, Goh (202</w:t>
      </w:r>
      <w:r w:rsidR="006C20C3">
        <w:rPr>
          <w:rFonts w:ascii="Arial" w:hAnsi="Arial" w:cs="Arial"/>
          <w:color w:val="000000"/>
          <w:sz w:val="20"/>
          <w:szCs w:val="20"/>
        </w:rPr>
        <w:t>6</w:t>
      </w:r>
      <w:r w:rsidRPr="004D6473">
        <w:rPr>
          <w:rFonts w:ascii="Arial" w:hAnsi="Arial" w:cs="Arial"/>
          <w:color w:val="000000"/>
          <w:sz w:val="20"/>
          <w:szCs w:val="20"/>
        </w:rPr>
        <w:t xml:space="preserve">) demonstrated how LMS interaction logs can be used to examine persistence and consistency of engagement </w:t>
      </w:r>
      <w:r w:rsidRPr="004D6473">
        <w:rPr>
          <w:rFonts w:ascii="Arial" w:hAnsi="Arial" w:cs="Arial"/>
          <w:color w:val="000000"/>
          <w:sz w:val="20"/>
          <w:szCs w:val="20"/>
          <w:highlight w:val="yellow"/>
        </w:rPr>
        <w:t>behaviour</w:t>
      </w:r>
      <w:r w:rsidRPr="004D6473">
        <w:rPr>
          <w:rFonts w:ascii="Arial" w:hAnsi="Arial" w:cs="Arial"/>
          <w:color w:val="000000"/>
          <w:sz w:val="20"/>
          <w:szCs w:val="20"/>
        </w:rPr>
        <w:t xml:space="preserve"> over time. Similarly, Papageorgiou et al. (2025) showed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can be examined through the temporal relationship between effort and time in web-based learning environments. These studies underscore the continued importance of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indicators in learning analytics, even when engagement is conceptualized more broadly.</w:t>
      </w:r>
    </w:p>
    <w:p w14:paraId="573D55A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At the same time, the comparison suggests that the type of analytics available is shaped by the intended representational focus of the analytics architecture. Paulsen and Lindsay (2024) found that learning analytics dashboards have increasingly incorporated theory-oriented frameworks and learning-focused affordances, rather than relying exclusively on activity data. Their review also demonstrated that LMS activity logs remain a major data source, while more recent dashboard designs increasingly integrate additional data sources and theoretically informed approaches. Therefore, the present findings provide evidence of varying degrees of conceptual representation within the publicly documented core analytics of the four platforms.</w:t>
      </w:r>
    </w:p>
    <w:p w14:paraId="670BCA46"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distinction is further illustrated by research on theory-informed dashboards. Lee and Kim (2025) showed how a learning analytics dashboard grounded in self-determination </w:t>
      </w:r>
      <w:r w:rsidRPr="004D6473">
        <w:rPr>
          <w:rFonts w:ascii="Arial" w:hAnsi="Arial" w:cs="Arial"/>
          <w:color w:val="000000"/>
          <w:sz w:val="20"/>
          <w:szCs w:val="20"/>
        </w:rPr>
        <w:lastRenderedPageBreak/>
        <w:t>theory can support student engagement through awareness, reflection, and strategic action. Similarly, de Vreugd et al. (2025) examined how reference frames within a learning analytics dashboard influenced students’ goal setting, motivation, and performance. These studies suggest that analytics architecture functions as more than a technical mechanism for displaying activity; the selection and presentation of indicators can reflect specific assumptions about learning, motivation, and engagement.</w:t>
      </w:r>
    </w:p>
    <w:p w14:paraId="4A5BBAC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comparative findings highlight an important distinction between indicator quantity and measurement breadth. Moodle has the largest number of documented indicators and the broadest documented dimensional profile; however, this study does not establish that it offers higher-quality analytics. Conversely, the smaller and more behaviorally concentrated corpora of Canvas, Blackboard Learn, and Brightspace do not indicate inferior analytics. Instead, the platforms differ in the types of engagement they make explicitly visible in their publicly documented analytics.</w:t>
      </w:r>
    </w:p>
    <w:p w14:paraId="3C18DB2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The comparison further demonstrates that social engagement occupies a significant position across all four platforms. Each LMS contains documented social indicators, although their relative share varies considerably, ranging from 20.0% in Brightspace to 43.1% in Moodle. This suggests that digitally recorded interaction has become an established component of LMS-based engagement measurement. Research on collaboration-oriented analytics similarly demonstrates how participation traces can be transformed into information intended to support reflection on collaborative activity (Echeverria et al., 2025). However, social indicators should not be equated with comprehensive measurement of social engagement, as they remain dependent on interactions captured by the platform.</w:t>
      </w:r>
    </w:p>
    <w:p w14:paraId="209C3ADD"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In summary, the four LMS platforms rely on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traces but differ in the breadth and composition of their documented measurement profiles. Moodle distinguishes itself by explicitly incorporating cognitive indicators, Canvas combines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measures with a comparatively larger social component, and Blackboard Learn and Brightspace are more strongly </w:t>
      </w:r>
      <w:r w:rsidRPr="004D6473">
        <w:rPr>
          <w:rFonts w:ascii="Arial" w:hAnsi="Arial" w:cs="Arial"/>
          <w:color w:val="000000"/>
          <w:sz w:val="20"/>
          <w:szCs w:val="20"/>
          <w:highlight w:val="yellow"/>
        </w:rPr>
        <w:t>behaviour</w:t>
      </w:r>
      <w:r w:rsidRPr="004D6473">
        <w:rPr>
          <w:rFonts w:ascii="Arial" w:hAnsi="Arial" w:cs="Arial"/>
          <w:color w:val="000000"/>
          <w:sz w:val="20"/>
          <w:szCs w:val="20"/>
        </w:rPr>
        <w:t>-oriented. These differences provide the empirical foundation for Research Question 4 (RQ4), which examines what the collective distribution of indicators reveals about the forms of student engagement that contemporary LMS analytics make most visible and measurable.</w:t>
      </w:r>
    </w:p>
    <w:p w14:paraId="248B0601" w14:textId="77777777" w:rsidR="004D6473" w:rsidRPr="004D6473" w:rsidRDefault="004D6473" w:rsidP="004D6473">
      <w:pPr>
        <w:rPr>
          <w:sz w:val="20"/>
          <w:szCs w:val="20"/>
        </w:rPr>
      </w:pPr>
    </w:p>
    <w:p w14:paraId="0472266A" w14:textId="77777777" w:rsidR="004D6473" w:rsidRPr="004D6473" w:rsidRDefault="004D6473" w:rsidP="004D6473">
      <w:pPr>
        <w:pStyle w:val="Heading3"/>
        <w:spacing w:before="0"/>
        <w:rPr>
          <w:b/>
          <w:bCs/>
          <w:sz w:val="22"/>
          <w:szCs w:val="22"/>
        </w:rPr>
      </w:pPr>
      <w:r w:rsidRPr="004D6473">
        <w:rPr>
          <w:rFonts w:ascii="Arial" w:hAnsi="Arial" w:cs="Arial"/>
          <w:b/>
          <w:bCs/>
          <w:color w:val="000000"/>
          <w:sz w:val="22"/>
          <w:szCs w:val="22"/>
        </w:rPr>
        <w:t>3.4 What LMS Analytics Make Visible: A Hierarchy of Measurement Visibility</w:t>
      </w:r>
    </w:p>
    <w:p w14:paraId="2A386004" w14:textId="77777777" w:rsidR="004D6473" w:rsidRPr="004D6473" w:rsidRDefault="004D6473" w:rsidP="004D6473">
      <w:pPr>
        <w:rPr>
          <w:sz w:val="20"/>
          <w:szCs w:val="20"/>
        </w:rPr>
      </w:pPr>
    </w:p>
    <w:p w14:paraId="4FC83313"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Research Question 4 investigated the distribution of documented LMS analytics indicators to determine how contemporary learning management systems </w:t>
      </w:r>
      <w:r w:rsidRPr="004D6473">
        <w:rPr>
          <w:rFonts w:ascii="Arial" w:hAnsi="Arial" w:cs="Arial"/>
          <w:color w:val="000000"/>
          <w:sz w:val="20"/>
          <w:szCs w:val="20"/>
          <w:highlight w:val="yellow"/>
        </w:rPr>
        <w:t>conceptualise</w:t>
      </w:r>
      <w:r w:rsidRPr="004D6473">
        <w:rPr>
          <w:rFonts w:ascii="Arial" w:hAnsi="Arial" w:cs="Arial"/>
          <w:color w:val="000000"/>
          <w:sz w:val="20"/>
          <w:szCs w:val="20"/>
        </w:rPr>
        <w:t xml:space="preserve"> and </w:t>
      </w:r>
      <w:r w:rsidRPr="004D6473">
        <w:rPr>
          <w:rFonts w:ascii="Arial" w:hAnsi="Arial" w:cs="Arial"/>
          <w:color w:val="000000"/>
          <w:sz w:val="20"/>
          <w:szCs w:val="20"/>
          <w:highlight w:val="yellow"/>
        </w:rPr>
        <w:t>operationalise</w:t>
      </w:r>
      <w:r w:rsidRPr="004D6473">
        <w:rPr>
          <w:rFonts w:ascii="Arial" w:hAnsi="Arial" w:cs="Arial"/>
          <w:color w:val="000000"/>
          <w:sz w:val="20"/>
          <w:szCs w:val="20"/>
        </w:rPr>
        <w:t xml:space="preserve"> student engagement. Analysis of the 101-indicator corpus across four platforms reveals a strong emphasis on engagement that is measurable through observable digital traces.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indicators constitute 79 of the 101 indicators (78.2%), while cognitive indicators account for 22 (21.8%), and there are no explicitly documented native emotional indicators. This distribution indicates that LMS analytics render certain forms of engagement significantly more visible than others.</w:t>
      </w:r>
    </w:p>
    <w:p w14:paraId="4E5C2D8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predominance of observable traces aligns with findings in the broader learning analytics literature. Bergdahl et al. (2024) reported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overwhelmingly dominated the </w:t>
      </w:r>
      <w:r w:rsidRPr="004D6473">
        <w:rPr>
          <w:rFonts w:ascii="Arial" w:hAnsi="Arial" w:cs="Arial"/>
          <w:color w:val="000000"/>
          <w:sz w:val="20"/>
          <w:szCs w:val="20"/>
          <w:highlight w:val="yellow"/>
        </w:rPr>
        <w:t>operationalisation</w:t>
      </w:r>
      <w:r w:rsidRPr="004D6473">
        <w:rPr>
          <w:rFonts w:ascii="Arial" w:hAnsi="Arial" w:cs="Arial"/>
          <w:color w:val="000000"/>
          <w:sz w:val="20"/>
          <w:szCs w:val="20"/>
        </w:rPr>
        <w:t xml:space="preserve"> of engagement in higher-education learning analytics research, with 95.0% of reviewed studies employing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measures. The current study identifies a comparable pattern within LMS analytics documentation, although the proportions differ due to variations in units of analysis and corpus composition. This convergence is noteworthy: regardless of whether engagement is examined through published research or through providers’ documented analytics capabilities, observable activity remains the most readily represented form of engagement.</w:t>
      </w:r>
    </w:p>
    <w:p w14:paraId="414B74C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pattern illustrates a fundamental characteristic of LMS-based measurement. Actions such as accessing content, submitting assignments, completing activities, posting discussions, and participating in online interactions generate records that can be stored and </w:t>
      </w:r>
      <w:r w:rsidRPr="004D6473">
        <w:rPr>
          <w:rFonts w:ascii="Arial" w:hAnsi="Arial" w:cs="Arial"/>
          <w:color w:val="000000"/>
          <w:sz w:val="20"/>
          <w:szCs w:val="20"/>
        </w:rPr>
        <w:lastRenderedPageBreak/>
        <w:t xml:space="preserve">aggregated into indicators. These data provide valuable insights into patterns of persistence, participation, and activity over time (Papageorgiou et al., 2025). However, an observable trace does not fully capture the psychological or educational construct it is intended to represent. For instance, a login confirms that access occurred but does not indicate attention, comprehension, motivation, or emotional investment. Therefore, the high visibility of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engagement should not be construed as evidence of its inherent superiority over other dimensions.</w:t>
      </w:r>
    </w:p>
    <w:p w14:paraId="06CBBCE1"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Social engagement represents an intermediate category within this measurement framework. The identification of 35 social indicators across the corpus demonstrates that digitally mediated interaction is relatively visible in LMS analytics. Discussion replies, collaborative activities, messages, and other interaction records provide measurable evidence of communication and participation among learners. However, these measures remain dependent on digital traces; they document the occurrence and characteristics of interactions without necessarily capturing their quality, meaning, or relational significance. Recent research on learning analytics-supported collaboration highlights this distinction, indicating that interaction data can inform analyses of collaborative activity but still require contextual interpretation (Echeverria et al., 2025). Consequently, while social indicators expand the measurable conception of engagement beyond individual activity, they do not overcome the inherent limitations of trace-based measurement.</w:t>
      </w:r>
    </w:p>
    <w:p w14:paraId="5119BB42"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Cognitive engagement is less visible within LMS analytics but remains demonstrably measurable. The 22 cognitive indicators identified in this study represent 21.8% of the corpus, all of which were documented within Moodle’s analytics architecture. This finding is significant as it demonstrates that LMS analytics are not limited to simple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counts. Recent research in learning analytics has increasingly adopted theoretically informed approaches to learning processes, self-regulation, and cognitively oriented engagement. For example, Paulsen and Lindsay (2024) identified a trend toward learning analytics dashboards grounded in theory-oriented frameworks and focused on learning processes rather than analytics alone. Similarly, Lee and Kim (2025) demonstrated that theory-informed dashboard design can effectively connect analytics with student engagement and learning processes.</w:t>
      </w:r>
    </w:p>
    <w:p w14:paraId="6331C3AB"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finding regarding Moodle should be interpreted as evidence of uneven institutionalization of cognitive measurement, rather than as an indication that cognitive engagement is inherently difficult or impossible to measure within LMS environments. More broadly, multimodal learning analytics research demonstrates that cognitive engagement can be examined using combinations of </w:t>
      </w:r>
      <w:r w:rsidRPr="004D6473">
        <w:rPr>
          <w:rFonts w:ascii="Arial" w:hAnsi="Arial" w:cs="Arial"/>
          <w:color w:val="000000"/>
          <w:sz w:val="20"/>
          <w:szCs w:val="20"/>
          <w:highlight w:val="yellow"/>
        </w:rPr>
        <w:t>behavioural</w:t>
      </w:r>
      <w:r w:rsidRPr="004D6473">
        <w:rPr>
          <w:rFonts w:ascii="Arial" w:hAnsi="Arial" w:cs="Arial"/>
          <w:color w:val="000000"/>
          <w:sz w:val="20"/>
          <w:szCs w:val="20"/>
        </w:rPr>
        <w:t>, content, visual, and other data sources (Li et al., 2025; Wang, 2025). The key distinction is that these approaches often extend beyond the conventional activity records available in native LMS analytics. Cognitive engagement can thus become more visible when analytics architectures incorporate theoretically informed measures or additional evidence sources.</w:t>
      </w:r>
    </w:p>
    <w:p w14:paraId="072C5828"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most pronounced measurement gap pertains to emotional engagement. No explicit native emotional-engagement indicators were identified in the publicly documented core analytics corpus of any of the four platforms. This result should be interpreted with caution. It does not indicate that emotional engagement cannot be measured in digital learning environments, nor does it suggest that the four LMS platforms lack the capacity to collect affective information. Rather, it establishes only that emotional engagement was not explicitly represented as a native engagement measure within the documentation examined according to the study’s </w:t>
      </w:r>
      <w:r w:rsidRPr="004D6473">
        <w:rPr>
          <w:rFonts w:ascii="Arial" w:hAnsi="Arial" w:cs="Arial"/>
          <w:color w:val="000000"/>
          <w:sz w:val="20"/>
          <w:szCs w:val="20"/>
          <w:highlight w:val="yellow"/>
        </w:rPr>
        <w:t>standardised</w:t>
      </w:r>
      <w:r w:rsidRPr="004D6473">
        <w:rPr>
          <w:rFonts w:ascii="Arial" w:hAnsi="Arial" w:cs="Arial"/>
          <w:color w:val="000000"/>
          <w:sz w:val="20"/>
          <w:szCs w:val="20"/>
        </w:rPr>
        <w:t xml:space="preserve"> protocol.</w:t>
      </w:r>
    </w:p>
    <w:p w14:paraId="4B3EB2A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Recent multimodal research clarifies why emotional engagement occupies a distinct measurement position. Wang (2025) demonstrated that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content, and facial-expression data can be integrated to examine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cognitive, and emotional engagement, respectively. Similarly, Li et al. (2025) highlighted the potential of multimodal data, such as eye gaze, head pose, and facial action units, for </w:t>
      </w:r>
      <w:r w:rsidRPr="004D6473">
        <w:rPr>
          <w:rFonts w:ascii="Arial" w:hAnsi="Arial" w:cs="Arial"/>
          <w:color w:val="000000"/>
          <w:sz w:val="20"/>
          <w:szCs w:val="20"/>
          <w:highlight w:val="yellow"/>
        </w:rPr>
        <w:t>modelling</w:t>
      </w:r>
      <w:r w:rsidRPr="004D6473">
        <w:rPr>
          <w:rFonts w:ascii="Arial" w:hAnsi="Arial" w:cs="Arial"/>
          <w:color w:val="000000"/>
          <w:sz w:val="20"/>
          <w:szCs w:val="20"/>
        </w:rPr>
        <w:t xml:space="preserve"> cognitive engagement and the dynamic relationships among engagement-related indicators. These </w:t>
      </w:r>
      <w:r w:rsidRPr="004D6473">
        <w:rPr>
          <w:rFonts w:ascii="Arial" w:hAnsi="Arial" w:cs="Arial"/>
          <w:color w:val="000000"/>
          <w:sz w:val="20"/>
          <w:szCs w:val="20"/>
        </w:rPr>
        <w:lastRenderedPageBreak/>
        <w:t>approaches indicate that emotional and cognitive dimensions can be rendered analytically visible, but they typically require data sources and analytical techniques beyond those provided by conventional LMS event logs.</w:t>
      </w:r>
    </w:p>
    <w:p w14:paraId="3F577187"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findings thus indicate a hierarchy of measurement visibility, rather than a hierarchy of student engagement itself.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traces are the most visible, followed by digitally recorded social interactions. Cognitive engagement is less consistently represented and appears to require more explicit conceptual or analytical </w:t>
      </w:r>
      <w:r w:rsidRPr="004D6473">
        <w:rPr>
          <w:rFonts w:ascii="Arial" w:hAnsi="Arial" w:cs="Arial"/>
          <w:color w:val="000000"/>
          <w:sz w:val="20"/>
          <w:szCs w:val="20"/>
          <w:highlight w:val="yellow"/>
        </w:rPr>
        <w:t>modelling</w:t>
      </w:r>
      <w:r w:rsidRPr="004D6473">
        <w:rPr>
          <w:rFonts w:ascii="Arial" w:hAnsi="Arial" w:cs="Arial"/>
          <w:color w:val="000000"/>
          <w:sz w:val="20"/>
          <w:szCs w:val="20"/>
        </w:rPr>
        <w:t xml:space="preserve">. Emotional engagement is the least visible within the native analytics documentation examined. This hierarchy reflects the relative ease with which different dimensions produce </w:t>
      </w:r>
      <w:r w:rsidRPr="004D6473">
        <w:rPr>
          <w:rFonts w:ascii="Arial" w:hAnsi="Arial" w:cs="Arial"/>
          <w:color w:val="000000"/>
          <w:sz w:val="20"/>
          <w:szCs w:val="20"/>
          <w:highlight w:val="yellow"/>
        </w:rPr>
        <w:t>analysable</w:t>
      </w:r>
      <w:r w:rsidRPr="004D6473">
        <w:rPr>
          <w:rFonts w:ascii="Arial" w:hAnsi="Arial" w:cs="Arial"/>
          <w:color w:val="000000"/>
          <w:sz w:val="20"/>
          <w:szCs w:val="20"/>
        </w:rPr>
        <w:t xml:space="preserve"> traces within conventional LMS architectures and does not suggest that any one dimension is more valuable, important, or educationally significant than another.</w:t>
      </w:r>
    </w:p>
    <w:p w14:paraId="18AB13E0"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This distinction has significant implications for the interpretation and use of LMS analytics. Analytics systems inherently select, </w:t>
      </w:r>
      <w:r w:rsidRPr="004D6473">
        <w:rPr>
          <w:rFonts w:ascii="Arial" w:hAnsi="Arial" w:cs="Arial"/>
          <w:color w:val="000000"/>
          <w:sz w:val="20"/>
          <w:szCs w:val="20"/>
          <w:highlight w:val="yellow"/>
        </w:rPr>
        <w:t>organise</w:t>
      </w:r>
      <w:r w:rsidRPr="004D6473">
        <w:rPr>
          <w:rFonts w:ascii="Arial" w:hAnsi="Arial" w:cs="Arial"/>
          <w:color w:val="000000"/>
          <w:sz w:val="20"/>
          <w:szCs w:val="20"/>
        </w:rPr>
        <w:t xml:space="preserve">, and present specific forms of information. Paulsen and Lindsay (2024) noted that contemporary dashboard research is increasingly oriented toward theory-informed and learning-focused designs, indicating that the selection of indicators is not solely a technical matter but is also shaped by assumptions about learning and student use of analytics. Kitto et al. (2025) similarly contended that learning analytics dashboards should not be regarded as neutral technical tools, as their design and implementation can influence how learners and educators interpret and act upon educational information. Recent research on instructor use of learning analytics further underscores the importance of pedagogical knowledge in interpreting and </w:t>
      </w:r>
      <w:r w:rsidRPr="004D6473">
        <w:rPr>
          <w:rFonts w:ascii="Arial" w:hAnsi="Arial" w:cs="Arial"/>
          <w:color w:val="000000"/>
          <w:sz w:val="20"/>
          <w:szCs w:val="20"/>
          <w:highlight w:val="yellow"/>
        </w:rPr>
        <w:t>utilising</w:t>
      </w:r>
      <w:r w:rsidRPr="004D6473">
        <w:rPr>
          <w:rFonts w:ascii="Arial" w:hAnsi="Arial" w:cs="Arial"/>
          <w:color w:val="000000"/>
          <w:sz w:val="20"/>
          <w:szCs w:val="20"/>
        </w:rPr>
        <w:t xml:space="preserve"> analytics, rather than treating data as self-explanatory (Li et al., 2026).</w:t>
      </w:r>
    </w:p>
    <w:p w14:paraId="762624F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present findings build upon these arguments by shifting the focus from how analytics are used to what analytics make visible. Given that 78.2% of documented indicators pertain to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or social traces, the measurable representation of engagement is structurally biased toward activities that generate observable digital records. Cognitive and emotional dimensions may remain less visible not because they are less relevant, but because they require alternative forms of evidence, interpretation, or system design. Therefore, LMS analytics do not simply measure a pre-existing and neutral construct of student engagement; they actively shape which forms of engagement become visible and measurable within digital learning environments.</w:t>
      </w:r>
    </w:p>
    <w:p w14:paraId="3064A7C4" w14:textId="77777777" w:rsidR="004D6473" w:rsidRPr="004D6473" w:rsidRDefault="004D6473" w:rsidP="004D6473">
      <w:pPr>
        <w:pStyle w:val="NormalWeb"/>
        <w:spacing w:before="0" w:beforeAutospacing="0" w:after="0" w:afterAutospacing="0"/>
        <w:rPr>
          <w:sz w:val="20"/>
          <w:szCs w:val="20"/>
        </w:rPr>
      </w:pPr>
      <w:r w:rsidRPr="004D6473">
        <w:rPr>
          <w:rFonts w:ascii="Arial" w:hAnsi="Arial" w:cs="Arial"/>
          <w:color w:val="000000"/>
          <w:sz w:val="20"/>
          <w:szCs w:val="20"/>
        </w:rPr>
        <w:t xml:space="preserve">The primary contribution of this study is the identification of a hierarchy of measurement visibility within contemporary LMS analytics. The four platforms collectively exhibit substantial capacity to capture </w:t>
      </w:r>
      <w:r w:rsidRPr="004D6473">
        <w:rPr>
          <w:rFonts w:ascii="Arial" w:hAnsi="Arial" w:cs="Arial"/>
          <w:color w:val="000000"/>
          <w:sz w:val="20"/>
          <w:szCs w:val="20"/>
          <w:highlight w:val="yellow"/>
        </w:rPr>
        <w:t>behavioural</w:t>
      </w:r>
      <w:r w:rsidRPr="004D6473">
        <w:rPr>
          <w:rFonts w:ascii="Arial" w:hAnsi="Arial" w:cs="Arial"/>
          <w:color w:val="000000"/>
          <w:sz w:val="20"/>
          <w:szCs w:val="20"/>
        </w:rPr>
        <w:t xml:space="preserve"> and social engagement, more selective representation of cognitive engagement, and no explicitly documented native representation of emotional engagement within the reviewed corpus. This pattern supports a more critical interpretation of LMS analytics: the presence of an indicator should be viewed not merely as evidence that engagement has been measured, but as evidence that a specific aspect of engagement has been rendered observable through the system’s technological and conceptual architecture. This perspective encourages educators, institutions, and learning analytics researchers to differentiate between students’ actual experiences of engagement and what an LMS is structurally capable of making visible as data.</w:t>
      </w:r>
    </w:p>
    <w:p w14:paraId="2084DF40" w14:textId="77777777" w:rsidR="00964D0D" w:rsidRDefault="00964D0D" w:rsidP="00964D0D"/>
    <w:p w14:paraId="247553F2" w14:textId="77777777" w:rsidR="008A5658" w:rsidRPr="004D6473" w:rsidRDefault="008A5658" w:rsidP="008A5658">
      <w:pPr>
        <w:pStyle w:val="Heading1"/>
        <w:spacing w:before="0" w:after="0"/>
        <w:rPr>
          <w:sz w:val="22"/>
          <w:szCs w:val="22"/>
        </w:rPr>
      </w:pPr>
      <w:r w:rsidRPr="004D6473">
        <w:rPr>
          <w:rFonts w:cs="Arial"/>
          <w:color w:val="000000"/>
          <w:sz w:val="22"/>
          <w:szCs w:val="22"/>
        </w:rPr>
        <w:t>4. CONCLUSION</w:t>
      </w:r>
    </w:p>
    <w:p w14:paraId="44223F82" w14:textId="77777777" w:rsidR="008A5658" w:rsidRDefault="008A5658" w:rsidP="008A5658"/>
    <w:p w14:paraId="70EB3AD6"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This study examined how student engagement is made measurable within the publicly documented analytics of Moodle, Canvas, Blackboard Learn, and D2L Brightspace. Rather than treating LMS analytics as a complete representation of engagement, the study approached them as documented measurement systems that make particular aspects of learner activity visible. The comparative analysis showed that the four platforms share substantial reliance on observable </w:t>
      </w:r>
      <w:r>
        <w:rPr>
          <w:rFonts w:ascii="Arial" w:hAnsi="Arial" w:cs="Arial"/>
          <w:color w:val="000000"/>
          <w:sz w:val="20"/>
          <w:szCs w:val="20"/>
          <w:highlight w:val="yellow"/>
        </w:rPr>
        <w:t>behavioural</w:t>
      </w:r>
      <w:r>
        <w:rPr>
          <w:rFonts w:ascii="Arial" w:hAnsi="Arial" w:cs="Arial"/>
          <w:color w:val="000000"/>
          <w:sz w:val="20"/>
          <w:szCs w:val="20"/>
        </w:rPr>
        <w:t xml:space="preserve"> and social traces, while differing in the extent to which other dimensions of engagement are explicitly represented.</w:t>
      </w:r>
    </w:p>
    <w:p w14:paraId="0B3D1111" w14:textId="77777777" w:rsidR="00533DA4" w:rsidRDefault="00533DA4" w:rsidP="00533DA4">
      <w:pPr>
        <w:pStyle w:val="NormalWeb"/>
        <w:spacing w:before="0" w:beforeAutospacing="0" w:after="0" w:afterAutospacing="0"/>
      </w:pPr>
      <w:r>
        <w:rPr>
          <w:rFonts w:ascii="Arial" w:hAnsi="Arial" w:cs="Arial"/>
          <w:color w:val="000000"/>
          <w:sz w:val="20"/>
          <w:szCs w:val="20"/>
        </w:rPr>
        <w:lastRenderedPageBreak/>
        <w:t>The findings point to an important distinction between student engagement as a multidimensional construct and engagement as represented through LMS analytics. What an LMS can readily record is not necessarily equivalent to the full nature of a student's engagement with learning. Access, participation, submission, completion, and interaction data can provide useful evidence of activity, but they do not by themselves capture all cognitive or emotional processes involved in engagement. The results therefore support a more cautious interpretation of LMS analytics: documented indicators should be understood as partial representations of engagement rather than comprehensive measures of the construct.</w:t>
      </w:r>
    </w:p>
    <w:p w14:paraId="40C46D40" w14:textId="77777777" w:rsidR="00533DA4" w:rsidRDefault="00533DA4" w:rsidP="00533DA4">
      <w:pPr>
        <w:pStyle w:val="NormalWeb"/>
        <w:spacing w:before="0" w:beforeAutospacing="0" w:after="0" w:afterAutospacing="0"/>
        <w:rPr>
          <w:rFonts w:ascii="Arial" w:hAnsi="Arial" w:cs="Arial"/>
          <w:color w:val="000000"/>
          <w:sz w:val="20"/>
          <w:szCs w:val="20"/>
        </w:rPr>
      </w:pPr>
      <w:r>
        <w:rPr>
          <w:rFonts w:ascii="Arial" w:hAnsi="Arial" w:cs="Arial"/>
          <w:color w:val="000000"/>
          <w:sz w:val="20"/>
          <w:szCs w:val="20"/>
        </w:rPr>
        <w:t xml:space="preserve">For educational practice, this distinction suggests that instructors and institutions should avoid interpreting LMS analytics in isolation when making judgments about student engagement. </w:t>
      </w:r>
      <w:r>
        <w:rPr>
          <w:rFonts w:ascii="Arial" w:hAnsi="Arial" w:cs="Arial"/>
          <w:color w:val="000000"/>
          <w:sz w:val="20"/>
          <w:szCs w:val="20"/>
          <w:highlight w:val="yellow"/>
        </w:rPr>
        <w:t>Behavioural</w:t>
      </w:r>
      <w:r>
        <w:rPr>
          <w:rFonts w:ascii="Arial" w:hAnsi="Arial" w:cs="Arial"/>
          <w:color w:val="000000"/>
          <w:sz w:val="20"/>
          <w:szCs w:val="20"/>
        </w:rPr>
        <w:t xml:space="preserve"> and social indicators can provide valuable signals for identifying patterns that warrant attention, but their meaning depends on context and should be complemented, where appropriate, by pedagogical judgment and other forms of evidence. For learning analytics research, the findings highlight the value of maintaining a multidimensional conception of engagement when designing or evaluating analytics systems. The measurement of engagement should not be assumed to become comprehensive merely because increasingly large quantities of learner data are available.</w:t>
      </w:r>
    </w:p>
    <w:p w14:paraId="6D01CA9E" w14:textId="480B536C" w:rsidR="00C207A5" w:rsidRPr="00C207A5" w:rsidRDefault="00C207A5" w:rsidP="00533DA4">
      <w:pPr>
        <w:pStyle w:val="NormalWeb"/>
        <w:spacing w:before="0" w:beforeAutospacing="0" w:after="0" w:afterAutospacing="0"/>
        <w:rPr>
          <w:b/>
          <w:bCs/>
        </w:rPr>
      </w:pPr>
      <w:r w:rsidRPr="00C207A5">
        <w:rPr>
          <w:b/>
          <w:bCs/>
        </w:rPr>
        <w:t>Limitations</w:t>
      </w:r>
    </w:p>
    <w:p w14:paraId="4AA0134E"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The study is subject to several limitations. First, the analysis was restricted to publicly accessible official documentation from four established LMS platforms. Consequently, the corpus reflects documented measurement visibility, not the complete set of capabilities that may exist through proprietary, licensed, configured, experimental, or otherwise undocumented functionality. Second, differences in documentation structure and granularity may influence the number and type of indicators that can be identified, despite the study's normalization procedures. Third, the analysis examined documented indicators rather than their implementation or validity in actual educational settings. Future research could therefore complement documentary analysis with empirical examination of LMS datasets, instructor and student use of analytics, and validation of individual indicators against established measures of </w:t>
      </w:r>
      <w:r>
        <w:rPr>
          <w:rFonts w:ascii="Arial" w:hAnsi="Arial" w:cs="Arial"/>
          <w:color w:val="000000"/>
          <w:sz w:val="20"/>
          <w:szCs w:val="20"/>
          <w:highlight w:val="yellow"/>
        </w:rPr>
        <w:t>behavioural</w:t>
      </w:r>
      <w:r>
        <w:rPr>
          <w:rFonts w:ascii="Arial" w:hAnsi="Arial" w:cs="Arial"/>
          <w:color w:val="000000"/>
          <w:sz w:val="20"/>
          <w:szCs w:val="20"/>
        </w:rPr>
        <w:t>, cognitive, emotional, and social engagement. Multimodal approaches may also provide opportunities to examine dimensions of engagement that are less readily captured through conventional LMS traces.</w:t>
      </w:r>
    </w:p>
    <w:p w14:paraId="7A11761E" w14:textId="77777777" w:rsidR="00533DA4" w:rsidRDefault="00533DA4" w:rsidP="00533DA4">
      <w:pPr>
        <w:pStyle w:val="NormalWeb"/>
        <w:spacing w:before="0" w:beforeAutospacing="0" w:after="0" w:afterAutospacing="0"/>
      </w:pPr>
      <w:r>
        <w:rPr>
          <w:rFonts w:ascii="Arial" w:hAnsi="Arial" w:cs="Arial"/>
          <w:color w:val="000000"/>
          <w:sz w:val="20"/>
          <w:szCs w:val="20"/>
        </w:rPr>
        <w:t xml:space="preserve">Ultimately, the study demonstrates that the question is not simply whether LMS platforms measure student engagement, but which aspects of engagement their analytics make visible and measurable. </w:t>
      </w:r>
      <w:r>
        <w:rPr>
          <w:rFonts w:ascii="Arial" w:hAnsi="Arial" w:cs="Arial"/>
          <w:color w:val="000000"/>
          <w:sz w:val="20"/>
          <w:szCs w:val="20"/>
          <w:highlight w:val="yellow"/>
        </w:rPr>
        <w:t>Recognising</w:t>
      </w:r>
      <w:r>
        <w:rPr>
          <w:rFonts w:ascii="Arial" w:hAnsi="Arial" w:cs="Arial"/>
          <w:color w:val="000000"/>
          <w:sz w:val="20"/>
          <w:szCs w:val="20"/>
        </w:rPr>
        <w:t xml:space="preserve"> this distinction is important for interpreting analytics responsibly and for designing learning analytics systems that more adequately reflect the multidimensional nature of student engagement.</w:t>
      </w:r>
    </w:p>
    <w:p w14:paraId="0AED547D" w14:textId="77777777" w:rsidR="00315186" w:rsidRPr="004C2541" w:rsidRDefault="00315186" w:rsidP="004C2541">
      <w:pPr>
        <w:rPr>
          <w:rFonts w:ascii="Arial" w:hAnsi="Arial" w:cs="Arial"/>
          <w:color w:val="000000" w:themeColor="text1"/>
          <w:sz w:val="20"/>
          <w:szCs w:val="20"/>
        </w:rPr>
      </w:pPr>
    </w:p>
    <w:p w14:paraId="4DCEEEFD" w14:textId="77777777" w:rsidR="00A9037D" w:rsidRDefault="00A9037D" w:rsidP="00A9037D">
      <w:pPr>
        <w:rPr>
          <w:b/>
        </w:rPr>
      </w:pPr>
      <w:r w:rsidRPr="000839CE">
        <w:rPr>
          <w:b/>
        </w:rPr>
        <w:t>Declaration of AI Use</w:t>
      </w:r>
    </w:p>
    <w:p w14:paraId="16B346DD" w14:textId="77777777" w:rsidR="00A9037D" w:rsidRDefault="00A9037D" w:rsidP="00A9037D">
      <w:pPr>
        <w:rPr>
          <w:b/>
        </w:rPr>
      </w:pPr>
    </w:p>
    <w:p w14:paraId="76B255C9" w14:textId="77777777" w:rsidR="00A9037D" w:rsidRDefault="00A9037D" w:rsidP="00A9037D">
      <w:pPr>
        <w:rPr>
          <w:b/>
        </w:rPr>
      </w:pPr>
    </w:p>
    <w:p w14:paraId="3292077E" w14:textId="77777777" w:rsidR="00A9037D" w:rsidRPr="002D08AC" w:rsidRDefault="00A9037D" w:rsidP="00A9037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7362FD6" w14:textId="77777777" w:rsidR="00A9037D" w:rsidRDefault="00A9037D" w:rsidP="00A9037D">
      <w:pPr>
        <w:rPr>
          <w:b/>
        </w:rPr>
      </w:pPr>
    </w:p>
    <w:p w14:paraId="64D5EE05" w14:textId="77777777" w:rsidR="004C2541" w:rsidRPr="004C2541" w:rsidRDefault="004C2541" w:rsidP="004C2541">
      <w:pPr>
        <w:rPr>
          <w:rFonts w:ascii="Arial" w:hAnsi="Arial" w:cs="Arial"/>
          <w:color w:val="000000" w:themeColor="text1"/>
          <w:sz w:val="20"/>
          <w:szCs w:val="20"/>
        </w:rPr>
      </w:pPr>
    </w:p>
    <w:p w14:paraId="7E192861" w14:textId="77777777" w:rsidR="004C2541" w:rsidRPr="004C2541" w:rsidRDefault="004C2541" w:rsidP="004C2541">
      <w:pPr>
        <w:rPr>
          <w:rFonts w:ascii="Arial" w:hAnsi="Arial" w:cs="Arial"/>
          <w:color w:val="000000" w:themeColor="text1"/>
          <w:sz w:val="20"/>
          <w:szCs w:val="20"/>
        </w:rPr>
      </w:pPr>
    </w:p>
    <w:p w14:paraId="262F0707" w14:textId="77777777" w:rsidR="00860000" w:rsidRPr="004C2541" w:rsidRDefault="00860000" w:rsidP="004C2541">
      <w:pPr>
        <w:pStyle w:val="ReferHead"/>
        <w:spacing w:after="0"/>
        <w:jc w:val="both"/>
        <w:rPr>
          <w:rFonts w:ascii="Arial" w:hAnsi="Arial" w:cs="Arial"/>
          <w:bCs/>
          <w:szCs w:val="22"/>
        </w:rPr>
      </w:pPr>
      <w:r w:rsidRPr="004C2541">
        <w:rPr>
          <w:rFonts w:ascii="Arial" w:hAnsi="Arial" w:cs="Arial"/>
          <w:bCs/>
          <w:szCs w:val="22"/>
        </w:rPr>
        <w:lastRenderedPageBreak/>
        <w:t>Competing interests</w:t>
      </w:r>
    </w:p>
    <w:p w14:paraId="752D5FB2" w14:textId="77777777" w:rsidR="00860000" w:rsidRPr="004C2541" w:rsidRDefault="00860000" w:rsidP="004C2541">
      <w:pPr>
        <w:pStyle w:val="ReferHead"/>
        <w:spacing w:after="0"/>
        <w:jc w:val="both"/>
        <w:rPr>
          <w:rFonts w:ascii="Arial" w:hAnsi="Arial" w:cs="Arial"/>
          <w:sz w:val="20"/>
          <w:szCs w:val="20"/>
        </w:rPr>
      </w:pPr>
    </w:p>
    <w:p w14:paraId="68BD2CCB" w14:textId="77777777" w:rsidR="00860000" w:rsidRPr="00C42725" w:rsidRDefault="00C42725" w:rsidP="00441B6F">
      <w:pPr>
        <w:pStyle w:val="ReferHead"/>
        <w:spacing w:after="0"/>
        <w:jc w:val="both"/>
        <w:rPr>
          <w:rFonts w:ascii="Arial" w:hAnsi="Arial" w:cs="Arial"/>
          <w:b w:val="0"/>
          <w:caps w:val="0"/>
          <w:sz w:val="20"/>
        </w:rPr>
      </w:pPr>
      <w:r>
        <w:rPr>
          <w:rFonts w:ascii="Arial" w:hAnsi="Arial" w:cs="Arial"/>
          <w:b w:val="0"/>
          <w:caps w:val="0"/>
          <w:sz w:val="20"/>
        </w:rPr>
        <w:t>The author has</w:t>
      </w:r>
      <w:r w:rsidR="00E66E10" w:rsidRPr="00C42725">
        <w:rPr>
          <w:rFonts w:ascii="Arial" w:hAnsi="Arial" w:cs="Arial"/>
          <w:b w:val="0"/>
          <w:caps w:val="0"/>
          <w:sz w:val="20"/>
        </w:rPr>
        <w:t xml:space="preserve"> declared that no competing interests exist.</w:t>
      </w:r>
    </w:p>
    <w:p w14:paraId="3C6C4EC6" w14:textId="77777777" w:rsidR="00860000" w:rsidRDefault="00860000" w:rsidP="00441B6F">
      <w:pPr>
        <w:pStyle w:val="ReferHead"/>
        <w:spacing w:after="0"/>
        <w:jc w:val="both"/>
        <w:rPr>
          <w:rFonts w:ascii="Arial" w:hAnsi="Arial" w:cs="Arial"/>
          <w:b w:val="0"/>
          <w:caps w:val="0"/>
          <w:sz w:val="20"/>
        </w:rPr>
      </w:pPr>
    </w:p>
    <w:p w14:paraId="2216D268" w14:textId="77777777" w:rsidR="00C42725" w:rsidRDefault="00C42725" w:rsidP="00441B6F">
      <w:pPr>
        <w:pStyle w:val="ReferHead"/>
        <w:spacing w:after="0"/>
        <w:jc w:val="both"/>
        <w:rPr>
          <w:rFonts w:ascii="Arial" w:hAnsi="Arial" w:cs="Arial"/>
        </w:rPr>
      </w:pPr>
    </w:p>
    <w:p w14:paraId="60929667"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2A0D737" w14:textId="77777777" w:rsidR="00790ADA" w:rsidRPr="00FB3A86" w:rsidRDefault="00790ADA" w:rsidP="00441B6F">
      <w:pPr>
        <w:pStyle w:val="ReferHead"/>
        <w:spacing w:after="0"/>
        <w:jc w:val="both"/>
        <w:rPr>
          <w:rFonts w:ascii="Arial" w:hAnsi="Arial" w:cs="Arial"/>
        </w:rPr>
      </w:pPr>
    </w:p>
    <w:p w14:paraId="1F6D451B" w14:textId="77777777" w:rsidR="004D4277" w:rsidRPr="00FB3A86" w:rsidRDefault="004D4277" w:rsidP="00441B6F">
      <w:pPr>
        <w:pStyle w:val="Appendix"/>
        <w:spacing w:after="0"/>
        <w:jc w:val="both"/>
        <w:rPr>
          <w:rFonts w:ascii="Arial" w:hAnsi="Arial" w:cs="Arial"/>
          <w:b w:val="0"/>
        </w:rPr>
        <w:sectPr w:rsidR="004D4277" w:rsidRPr="00FB3A86" w:rsidSect="008A4597">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70E29932"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Ahmed, S. K. (2024). The pillars of trustworthiness in qualitative research. </w:t>
      </w:r>
      <w:r w:rsidRPr="00A0031F">
        <w:rPr>
          <w:i/>
          <w:iCs/>
          <w:lang w:val="en-US"/>
        </w:rPr>
        <w:t>Journal of Medicine, Surgery, and Public Health, 2</w:t>
      </w:r>
      <w:r w:rsidRPr="00A0031F">
        <w:rPr>
          <w:lang w:val="en-US"/>
        </w:rPr>
        <w:t xml:space="preserve">, Article 100051. </w:t>
      </w:r>
      <w:hyperlink r:id="rId18" w:history="1">
        <w:r w:rsidRPr="00A0031F">
          <w:rPr>
            <w:color w:val="0000FF"/>
            <w:u w:val="single"/>
            <w:lang w:val="en-US"/>
          </w:rPr>
          <w:t>https://doi.org/10.1016/j.glmedi.2024.100051</w:t>
        </w:r>
      </w:hyperlink>
    </w:p>
    <w:p w14:paraId="401C17B6"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Ajayi, A. B., Emenike, M. I., Enobakhare, B. O., Chukwuka, O. A., Rwandashi, E., &amp; Awah, L. C. (2025). From data to decisions: A scoping review of actionable learning analytics for teaching and assessment. </w:t>
      </w:r>
      <w:r w:rsidRPr="00A0031F">
        <w:rPr>
          <w:i/>
          <w:iCs/>
          <w:lang w:val="en-US"/>
        </w:rPr>
        <w:t>Asian Journal of Education and Social Studies, 51</w:t>
      </w:r>
      <w:r w:rsidRPr="00A0031F">
        <w:rPr>
          <w:lang w:val="en-US"/>
        </w:rPr>
        <w:t xml:space="preserve">(11), 673–685. </w:t>
      </w:r>
      <w:hyperlink r:id="rId19" w:history="1">
        <w:r w:rsidRPr="00A0031F">
          <w:rPr>
            <w:color w:val="0000FF"/>
            <w:u w:val="single"/>
            <w:lang w:val="en-US"/>
          </w:rPr>
          <w:t>https://doi.org/10.9734/ajess/2025/v51i112643</w:t>
        </w:r>
      </w:hyperlink>
    </w:p>
    <w:p w14:paraId="10C68766"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Alhazbi, S., Al-ali, A., Tabassum, A., Al-Ali, A., Al-Emadi, A., Khattab, T., &amp; Hasan, M. A. (2024). Using learning analytics to measure self-regulated learning: A systematic review of empirical studies in higher education. </w:t>
      </w:r>
      <w:r w:rsidRPr="00A0031F">
        <w:rPr>
          <w:i/>
          <w:iCs/>
          <w:lang w:val="en-US"/>
        </w:rPr>
        <w:t>Journal of Computer Assisted Learning, 40</w:t>
      </w:r>
      <w:r w:rsidRPr="00A0031F">
        <w:rPr>
          <w:lang w:val="en-US"/>
        </w:rPr>
        <w:t xml:space="preserve">(4), 1658–1674. </w:t>
      </w:r>
      <w:hyperlink r:id="rId20" w:history="1">
        <w:r w:rsidRPr="00A0031F">
          <w:rPr>
            <w:color w:val="0000FF"/>
            <w:u w:val="single"/>
            <w:lang w:val="en-US"/>
          </w:rPr>
          <w:t>https://doi.org/10.1111/jcal.12982</w:t>
        </w:r>
      </w:hyperlink>
    </w:p>
    <w:p w14:paraId="2B450536"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Anthology. (n.d.). </w:t>
      </w:r>
      <w:r w:rsidRPr="00A0031F">
        <w:rPr>
          <w:i/>
          <w:iCs/>
          <w:lang w:val="en-US"/>
        </w:rPr>
        <w:t>Student activity log</w:t>
      </w:r>
      <w:r w:rsidRPr="00A0031F">
        <w:rPr>
          <w:lang w:val="en-US"/>
        </w:rPr>
        <w:t xml:space="preserve">. Blackboard Help. </w:t>
      </w:r>
      <w:hyperlink r:id="rId21" w:history="1">
        <w:r w:rsidRPr="00A0031F">
          <w:rPr>
            <w:color w:val="0000FF"/>
            <w:u w:val="single"/>
            <w:lang w:val="en-US"/>
          </w:rPr>
          <w:t>https://help.anthology.com/blackboard/instructor/en/analytics/student-activity-log.html</w:t>
        </w:r>
      </w:hyperlink>
    </w:p>
    <w:p w14:paraId="31880C0C"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Armas-Cervantes, A., Abedin, E., &amp; Taymouri, F. (2024). Dusting for fingerprints: Tracking online student engagement. </w:t>
      </w:r>
      <w:r w:rsidRPr="00A0031F">
        <w:rPr>
          <w:i/>
          <w:iCs/>
          <w:lang w:val="en-US"/>
        </w:rPr>
        <w:t>Computers and Education: Artificial Intelligence, 6</w:t>
      </w:r>
      <w:r w:rsidRPr="00A0031F">
        <w:rPr>
          <w:lang w:val="en-US"/>
        </w:rPr>
        <w:t xml:space="preserve">, Article 100232. </w:t>
      </w:r>
      <w:hyperlink r:id="rId22" w:history="1">
        <w:r w:rsidRPr="00A0031F">
          <w:rPr>
            <w:color w:val="0000FF"/>
            <w:u w:val="single"/>
            <w:lang w:val="en-US"/>
          </w:rPr>
          <w:t>https://doi.org/10.1016/j.caeai.2024.100232</w:t>
        </w:r>
      </w:hyperlink>
    </w:p>
    <w:p w14:paraId="4B42EAF8"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Bergdahl, N., Bond, M., Sjöberg, J., Dougherty, M., &amp; Oxley, E. (2024). Unpacking student engagement in higher education learning analytics: A systematic review. </w:t>
      </w:r>
      <w:r w:rsidRPr="00A0031F">
        <w:rPr>
          <w:i/>
          <w:iCs/>
          <w:lang w:val="en-US"/>
        </w:rPr>
        <w:t>International Journal of Educational Technology in Higher Education, 21</w:t>
      </w:r>
      <w:r w:rsidRPr="00A0031F">
        <w:rPr>
          <w:lang w:val="en-US"/>
        </w:rPr>
        <w:t xml:space="preserve">, Article 63. </w:t>
      </w:r>
      <w:hyperlink r:id="rId23" w:history="1">
        <w:r w:rsidRPr="00A0031F">
          <w:rPr>
            <w:color w:val="0000FF"/>
            <w:u w:val="single"/>
            <w:lang w:val="en-US"/>
          </w:rPr>
          <w:t>https://doi.org/10.1186/s41239-024-00493-y</w:t>
        </w:r>
      </w:hyperlink>
    </w:p>
    <w:p w14:paraId="613D184A"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Bernacki, M. L., Yu, L., Kuhlmann, S. L., Plumley, R. D., Greene, J. A., Duke, R. F., Freed, R., Hollander-Blackmon, C., &amp; Hogan, K. A. (2025). Using multimodal learning analytics to validate digital traces of self-regulated learning in a laboratory study and predict performance in undergraduate courses. </w:t>
      </w:r>
      <w:r w:rsidRPr="00A0031F">
        <w:rPr>
          <w:i/>
          <w:iCs/>
          <w:lang w:val="en-US"/>
        </w:rPr>
        <w:t>Journal of Educational Psychology, 117</w:t>
      </w:r>
      <w:r w:rsidRPr="00A0031F">
        <w:rPr>
          <w:lang w:val="en-US"/>
        </w:rPr>
        <w:t xml:space="preserve">(2), 176–205. </w:t>
      </w:r>
      <w:hyperlink r:id="rId24" w:history="1">
        <w:r w:rsidRPr="00A0031F">
          <w:rPr>
            <w:color w:val="0000FF"/>
            <w:u w:val="single"/>
            <w:lang w:val="en-US"/>
          </w:rPr>
          <w:t>https://doi.org/10.1037/edu0000890</w:t>
        </w:r>
      </w:hyperlink>
    </w:p>
    <w:p w14:paraId="7FD9B3CF"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D2L. (n.d.). </w:t>
      </w:r>
      <w:r w:rsidRPr="00A0031F">
        <w:rPr>
          <w:i/>
          <w:iCs/>
          <w:lang w:val="en-US"/>
        </w:rPr>
        <w:t>Engagement dashboard</w:t>
      </w:r>
      <w:r w:rsidRPr="00A0031F">
        <w:rPr>
          <w:lang w:val="en-US"/>
        </w:rPr>
        <w:t xml:space="preserve">. Brightspace Community. </w:t>
      </w:r>
      <w:hyperlink r:id="rId25" w:history="1">
        <w:r w:rsidRPr="00A0031F">
          <w:rPr>
            <w:color w:val="0000FF"/>
            <w:u w:val="single"/>
            <w:lang w:val="en-US"/>
          </w:rPr>
          <w:t>https://community.d2l.com/brightspace/kb/articles/4545-engagement-dashboard</w:t>
        </w:r>
      </w:hyperlink>
    </w:p>
    <w:p w14:paraId="5DD3FFBD" w14:textId="77777777" w:rsidR="00A0031F" w:rsidRPr="00A0031F" w:rsidRDefault="00A0031F" w:rsidP="00A0031F">
      <w:pPr>
        <w:spacing w:before="100" w:beforeAutospacing="1" w:after="100" w:afterAutospacing="1"/>
        <w:ind w:left="540" w:hanging="540"/>
        <w:jc w:val="both"/>
        <w:rPr>
          <w:lang w:val="en-US"/>
        </w:rPr>
      </w:pPr>
      <w:r w:rsidRPr="00A0031F">
        <w:rPr>
          <w:lang w:val="nl-BE"/>
        </w:rPr>
        <w:lastRenderedPageBreak/>
        <w:t xml:space="preserve">de Vreugd, L., van Leeuwen, A., Jansen, R., &amp; van der Schaaf, M. (2024). </w:t>
      </w:r>
      <w:r w:rsidRPr="00A0031F">
        <w:rPr>
          <w:lang w:val="en-US"/>
        </w:rPr>
        <w:t xml:space="preserve">Learning analytics dashboard design and evaluation to support student self-regulation of study behaviour. </w:t>
      </w:r>
      <w:r w:rsidRPr="00A0031F">
        <w:rPr>
          <w:i/>
          <w:iCs/>
          <w:lang w:val="en-US"/>
        </w:rPr>
        <w:t>Journal of Learning Analytics, 11</w:t>
      </w:r>
      <w:r w:rsidRPr="00A0031F">
        <w:rPr>
          <w:lang w:val="en-US"/>
        </w:rPr>
        <w:t xml:space="preserve">(3), 249–262. </w:t>
      </w:r>
      <w:hyperlink r:id="rId26" w:history="1">
        <w:r w:rsidRPr="00A0031F">
          <w:rPr>
            <w:color w:val="0000FF"/>
            <w:u w:val="single"/>
            <w:lang w:val="en-US"/>
          </w:rPr>
          <w:t>https://doi.org/10.18608/jla.2024.8529</w:t>
        </w:r>
      </w:hyperlink>
    </w:p>
    <w:p w14:paraId="2906D319"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de Vreugd, L., van Leeuwen, A., &amp; van der Schaaf, M. (2025). </w:t>
      </w:r>
      <w:r w:rsidRPr="00A0031F">
        <w:rPr>
          <w:lang w:val="en-US"/>
        </w:rPr>
        <w:t xml:space="preserve">Students' use of a learning analytics dashboard and influence of reference frames: Goal setting, motivation, and performance. </w:t>
      </w:r>
      <w:r w:rsidRPr="00A0031F">
        <w:rPr>
          <w:i/>
          <w:iCs/>
          <w:lang w:val="en-US"/>
        </w:rPr>
        <w:t>Journal of Computer Assisted Learning, 41</w:t>
      </w:r>
      <w:r w:rsidRPr="00A0031F">
        <w:rPr>
          <w:lang w:val="en-US"/>
        </w:rPr>
        <w:t xml:space="preserve">(2), Article e70015. </w:t>
      </w:r>
      <w:hyperlink r:id="rId27" w:history="1">
        <w:r w:rsidRPr="00A0031F">
          <w:rPr>
            <w:color w:val="0000FF"/>
            <w:u w:val="single"/>
            <w:lang w:val="en-US"/>
          </w:rPr>
          <w:t>https://doi.org/10.1111/jcal.70015</w:t>
        </w:r>
      </w:hyperlink>
    </w:p>
    <w:p w14:paraId="05DD2CF8"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Drugova, E., Zhuravleva, I., Zakharova, U., &amp; Latipov, A. (2024). Learning analytics driven improvements in learning design in higher education: A systematic literature review. </w:t>
      </w:r>
      <w:r w:rsidRPr="00A0031F">
        <w:rPr>
          <w:i/>
          <w:iCs/>
          <w:lang w:val="en-US"/>
        </w:rPr>
        <w:t>Journal of Computer Assisted Learning, 40</w:t>
      </w:r>
      <w:r w:rsidRPr="00A0031F">
        <w:rPr>
          <w:lang w:val="en-US"/>
        </w:rPr>
        <w:t xml:space="preserve">(2), 510–524. </w:t>
      </w:r>
      <w:hyperlink r:id="rId28" w:history="1">
        <w:r w:rsidRPr="00A0031F">
          <w:rPr>
            <w:color w:val="0000FF"/>
            <w:u w:val="single"/>
            <w:lang w:val="en-US"/>
          </w:rPr>
          <w:t>https://doi.org/10.1111/jcal.12894</w:t>
        </w:r>
      </w:hyperlink>
    </w:p>
    <w:p w14:paraId="1112D321"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Echeverria, V., Nieto, G. F., Zhao, L., Palominos, E., Srivastava, N., Gašević, D., Pammer-Schindler, V., &amp; Martinez-Maldonado, R. (2025). A learning analytics dashboard to support students' reflection on collaboration. </w:t>
      </w:r>
      <w:r w:rsidRPr="00A0031F">
        <w:rPr>
          <w:i/>
          <w:iCs/>
          <w:lang w:val="en-US"/>
        </w:rPr>
        <w:t>Journal of Computer Assisted Learning, 41</w:t>
      </w:r>
      <w:r w:rsidRPr="00A0031F">
        <w:rPr>
          <w:lang w:val="en-US"/>
        </w:rPr>
        <w:t xml:space="preserve">(1), Article e13088. </w:t>
      </w:r>
      <w:hyperlink r:id="rId29" w:history="1">
        <w:r w:rsidRPr="00A0031F">
          <w:rPr>
            <w:color w:val="0000FF"/>
            <w:u w:val="single"/>
            <w:lang w:val="en-US"/>
          </w:rPr>
          <w:t>https://doi.org/10.1111/jcal.13088</w:t>
        </w:r>
      </w:hyperlink>
    </w:p>
    <w:p w14:paraId="1A3A52D6"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Goh, T.-T. (2026). Learning management system log analytics: The role of persistence and consistency of engagement behaviour on academic success. </w:t>
      </w:r>
      <w:r w:rsidRPr="00A0031F">
        <w:rPr>
          <w:i/>
          <w:iCs/>
          <w:lang w:val="en-US"/>
        </w:rPr>
        <w:t>Journal of Computers in Education, 13</w:t>
      </w:r>
      <w:r w:rsidRPr="00A0031F">
        <w:rPr>
          <w:lang w:val="en-US"/>
        </w:rPr>
        <w:t xml:space="preserve">(1), 283–306. </w:t>
      </w:r>
      <w:hyperlink r:id="rId30" w:history="1">
        <w:r w:rsidRPr="00A0031F">
          <w:rPr>
            <w:color w:val="0000FF"/>
            <w:u w:val="single"/>
            <w:lang w:val="en-US"/>
          </w:rPr>
          <w:t>https://doi.org/10.1007/s40692-025-00358-x</w:t>
        </w:r>
      </w:hyperlink>
    </w:p>
    <w:p w14:paraId="4A8897E9"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Heilporn, G., Raynault, A., &amp; Frenette, E. (2024). Student engagement in a higher education course: A multidimensional scale for different course modalities. </w:t>
      </w:r>
      <w:r w:rsidRPr="00A0031F">
        <w:rPr>
          <w:i/>
          <w:iCs/>
          <w:lang w:val="en-US"/>
        </w:rPr>
        <w:t>Social Sciences &amp; Humanities Open, 9</w:t>
      </w:r>
      <w:r w:rsidRPr="00A0031F">
        <w:rPr>
          <w:lang w:val="en-US"/>
        </w:rPr>
        <w:t xml:space="preserve">, Article 100794. </w:t>
      </w:r>
      <w:hyperlink r:id="rId31" w:history="1">
        <w:r w:rsidRPr="00A0031F">
          <w:rPr>
            <w:color w:val="0000FF"/>
            <w:u w:val="single"/>
            <w:lang w:val="en-US"/>
          </w:rPr>
          <w:t>https://doi.org/10.1016/j.ssaho.2023.100794</w:t>
        </w:r>
      </w:hyperlink>
    </w:p>
    <w:p w14:paraId="75389A03"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Heikkinen, S., Saqr, M., Malmberg, J., &amp; Tedre, M. (2025). </w:t>
      </w:r>
      <w:r w:rsidRPr="00A0031F">
        <w:rPr>
          <w:lang w:val="en-US"/>
        </w:rPr>
        <w:t xml:space="preserve">A longitudinal study of interplay between student engagement and self-regulation. </w:t>
      </w:r>
      <w:r w:rsidRPr="00A0031F">
        <w:rPr>
          <w:i/>
          <w:iCs/>
          <w:lang w:val="en-US"/>
        </w:rPr>
        <w:t>International Journal of Educational Technology in Higher Education, 22</w:t>
      </w:r>
      <w:r w:rsidRPr="00A0031F">
        <w:rPr>
          <w:lang w:val="en-US"/>
        </w:rPr>
        <w:t xml:space="preserve">, Article 21. </w:t>
      </w:r>
      <w:hyperlink r:id="rId32" w:history="1">
        <w:r w:rsidRPr="00A0031F">
          <w:rPr>
            <w:color w:val="0000FF"/>
            <w:u w:val="single"/>
            <w:lang w:val="en-US"/>
          </w:rPr>
          <w:t>https://doi.org/10.1186/s41239-025-00523-3</w:t>
        </w:r>
      </w:hyperlink>
    </w:p>
    <w:p w14:paraId="1779532A"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Hsieh, H.-F., &amp; Shannon, S. E. (2005). Three approaches to qualitative content analysis. </w:t>
      </w:r>
      <w:r w:rsidRPr="00A0031F">
        <w:rPr>
          <w:i/>
          <w:iCs/>
          <w:lang w:val="en-US"/>
        </w:rPr>
        <w:t>Qualitative Health Research, 15</w:t>
      </w:r>
      <w:r w:rsidRPr="00A0031F">
        <w:rPr>
          <w:lang w:val="en-US"/>
        </w:rPr>
        <w:t xml:space="preserve">(9), 1277–1288. </w:t>
      </w:r>
      <w:hyperlink r:id="rId33" w:history="1">
        <w:r w:rsidRPr="00A0031F">
          <w:rPr>
            <w:color w:val="0000FF"/>
            <w:u w:val="single"/>
            <w:lang w:val="en-US"/>
          </w:rPr>
          <w:t>https://doi.org/10.1177/1049732305276687</w:t>
        </w:r>
      </w:hyperlink>
    </w:p>
    <w:p w14:paraId="24781F4B"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Instructure. (n.d.). </w:t>
      </w:r>
      <w:r w:rsidRPr="00A0031F">
        <w:rPr>
          <w:i/>
          <w:iCs/>
          <w:lang w:val="en-US"/>
        </w:rPr>
        <w:t>Analytics</w:t>
      </w:r>
      <w:r w:rsidRPr="00A0031F">
        <w:rPr>
          <w:lang w:val="en-US"/>
        </w:rPr>
        <w:t xml:space="preserve">. Instructure Developer Documentation. </w:t>
      </w:r>
      <w:hyperlink r:id="rId34" w:history="1">
        <w:r w:rsidRPr="00A0031F">
          <w:rPr>
            <w:color w:val="0000FF"/>
            <w:u w:val="single"/>
            <w:lang w:val="en-US"/>
          </w:rPr>
          <w:t>https://developerdocs.instructure.com/services/canvas/resources/analytics</w:t>
        </w:r>
      </w:hyperlink>
    </w:p>
    <w:p w14:paraId="2F553A18"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Ji, Y. (2024). A methodological exploration of document analysis as a qualitative research method. </w:t>
      </w:r>
      <w:r w:rsidRPr="00A0031F">
        <w:rPr>
          <w:i/>
          <w:iCs/>
          <w:lang w:val="en-US"/>
        </w:rPr>
        <w:t>Journal of Qualitative Inquiry, 10</w:t>
      </w:r>
      <w:r w:rsidRPr="00A0031F">
        <w:rPr>
          <w:lang w:val="en-US"/>
        </w:rPr>
        <w:t xml:space="preserve">(3), 25–56. </w:t>
      </w:r>
      <w:hyperlink r:id="rId35" w:history="1">
        <w:r w:rsidRPr="00A0031F">
          <w:rPr>
            <w:color w:val="0000FF"/>
            <w:u w:val="single"/>
            <w:lang w:val="en-US"/>
          </w:rPr>
          <w:t>https://doi.org/10.30940/JQI.2024.10.3.25</w:t>
        </w:r>
      </w:hyperlink>
    </w:p>
    <w:p w14:paraId="73A266E2" w14:textId="77777777" w:rsidR="00A0031F" w:rsidRPr="00A0031F" w:rsidRDefault="00A0031F" w:rsidP="00A0031F">
      <w:pPr>
        <w:spacing w:before="100" w:beforeAutospacing="1" w:after="100" w:afterAutospacing="1"/>
        <w:ind w:left="540" w:hanging="540"/>
        <w:jc w:val="both"/>
        <w:rPr>
          <w:lang w:val="en-US"/>
        </w:rPr>
      </w:pPr>
      <w:r w:rsidRPr="00A0031F">
        <w:rPr>
          <w:lang w:val="en-US"/>
        </w:rPr>
        <w:lastRenderedPageBreak/>
        <w:t xml:space="preserve">Jung, Y., &amp; Wise, A. F. (2025). How students engage with learning analytics: Access, action-taking, and learning routines with message-based information to support collaborative annotation. </w:t>
      </w:r>
      <w:r w:rsidRPr="00A0031F">
        <w:rPr>
          <w:i/>
          <w:iCs/>
          <w:lang w:val="en-US"/>
        </w:rPr>
        <w:t>Computers &amp; Education, 232</w:t>
      </w:r>
      <w:r w:rsidRPr="00A0031F">
        <w:rPr>
          <w:lang w:val="en-US"/>
        </w:rPr>
        <w:t xml:space="preserve">, Article 105280. </w:t>
      </w:r>
      <w:hyperlink r:id="rId36" w:history="1">
        <w:r w:rsidRPr="00A0031F">
          <w:rPr>
            <w:color w:val="0000FF"/>
            <w:u w:val="single"/>
            <w:lang w:val="en-US"/>
          </w:rPr>
          <w:t>https://doi.org/10.1016/j.compedu.2025.105280</w:t>
        </w:r>
      </w:hyperlink>
    </w:p>
    <w:p w14:paraId="3851E6D6"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Jung, Y., Lee, S. S., &amp; Wise, A. F. (2026). Short-term gains, long-term gaps: Unpacking the role of learning analytics in student engagement in social annotation. </w:t>
      </w:r>
      <w:r w:rsidRPr="00A0031F">
        <w:rPr>
          <w:i/>
          <w:iCs/>
          <w:lang w:val="en-US"/>
        </w:rPr>
        <w:t>The Internet and Higher Education, 69</w:t>
      </w:r>
      <w:r w:rsidRPr="00A0031F">
        <w:rPr>
          <w:lang w:val="en-US"/>
        </w:rPr>
        <w:t xml:space="preserve">, Article 101078. </w:t>
      </w:r>
      <w:hyperlink r:id="rId37" w:history="1">
        <w:r w:rsidRPr="00A0031F">
          <w:rPr>
            <w:color w:val="0000FF"/>
            <w:u w:val="single"/>
            <w:lang w:val="en-US"/>
          </w:rPr>
          <w:t>https://doi.org/10.1016/j.iheduc.2026.101078</w:t>
        </w:r>
      </w:hyperlink>
    </w:p>
    <w:p w14:paraId="39116799"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Kitto, S., Chiang, H. L. M., Ng, O., &amp; Cleland, J. (2025). More, better feedback please: Are learning analytics dashboards (LAD) the solution to a wicked problem? </w:t>
      </w:r>
      <w:r w:rsidRPr="00A0031F">
        <w:rPr>
          <w:i/>
          <w:iCs/>
          <w:lang w:val="en-US"/>
        </w:rPr>
        <w:t>Advances in Health Sciences Education, 30</w:t>
      </w:r>
      <w:r w:rsidRPr="00A0031F">
        <w:rPr>
          <w:lang w:val="en-US"/>
        </w:rPr>
        <w:t xml:space="preserve">(1), 69–85. </w:t>
      </w:r>
      <w:hyperlink r:id="rId38" w:history="1">
        <w:r w:rsidRPr="00A0031F">
          <w:rPr>
            <w:color w:val="0000FF"/>
            <w:u w:val="single"/>
            <w:lang w:val="en-US"/>
          </w:rPr>
          <w:t>https://doi.org/10.1007/s10459-024-10358-8</w:t>
        </w:r>
      </w:hyperlink>
    </w:p>
    <w:p w14:paraId="6BC039D6"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Kleimola, R., Hirsto, L., &amp; Ruokamo, H. (2025). Promoting higher education students’ self-regulated learning through learning analytics: A qualitative study. </w:t>
      </w:r>
      <w:r w:rsidRPr="00A0031F">
        <w:rPr>
          <w:i/>
          <w:iCs/>
          <w:lang w:val="en-US"/>
        </w:rPr>
        <w:t>Education and Information Technologies, 30</w:t>
      </w:r>
      <w:r w:rsidRPr="00A0031F">
        <w:rPr>
          <w:lang w:val="en-US"/>
        </w:rPr>
        <w:t xml:space="preserve">(4), 4959–4986. </w:t>
      </w:r>
      <w:hyperlink r:id="rId39" w:history="1">
        <w:r w:rsidRPr="00A0031F">
          <w:rPr>
            <w:color w:val="0000FF"/>
            <w:u w:val="single"/>
            <w:lang w:val="en-US"/>
          </w:rPr>
          <w:t>https://doi.org/10.1007/s10639-024-12978-4</w:t>
        </w:r>
      </w:hyperlink>
    </w:p>
    <w:p w14:paraId="4877BE1A"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Lee, J., &amp; Kim, D. (2025). From awareness to empowerment: Self-determination theory-informed learning analytics dashboards to enhance student engagement in asynchronous online courses. </w:t>
      </w:r>
      <w:r w:rsidRPr="00A0031F">
        <w:rPr>
          <w:i/>
          <w:iCs/>
          <w:lang w:val="en-US"/>
        </w:rPr>
        <w:t>Journal of Computing in Higher Education, 37</w:t>
      </w:r>
      <w:r w:rsidRPr="00A0031F">
        <w:rPr>
          <w:lang w:val="en-US"/>
        </w:rPr>
        <w:t xml:space="preserve">(3), 1078–1118. </w:t>
      </w:r>
      <w:hyperlink r:id="rId40" w:history="1">
        <w:r w:rsidRPr="00A0031F">
          <w:rPr>
            <w:color w:val="0000FF"/>
            <w:u w:val="single"/>
            <w:lang w:val="en-US"/>
          </w:rPr>
          <w:t>https://doi.org/10.1007/s12528-024-09416-2</w:t>
        </w:r>
      </w:hyperlink>
    </w:p>
    <w:p w14:paraId="34C4D2EC"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Li, Q., Jung, Y., &amp; Wise, A. F. (2026). How instructors use learning analytics: The pivotal role of pedagogy. </w:t>
      </w:r>
      <w:r w:rsidRPr="00A0031F">
        <w:rPr>
          <w:i/>
          <w:iCs/>
          <w:lang w:val="en-US"/>
        </w:rPr>
        <w:t>Journal of Computing in Higher Education, 38</w:t>
      </w:r>
      <w:r w:rsidRPr="00A0031F">
        <w:rPr>
          <w:lang w:val="en-US"/>
        </w:rPr>
        <w:t xml:space="preserve">(1), 227–255. </w:t>
      </w:r>
      <w:hyperlink r:id="rId41" w:history="1">
        <w:r w:rsidRPr="00A0031F">
          <w:rPr>
            <w:color w:val="0000FF"/>
            <w:u w:val="single"/>
            <w:lang w:val="en-US"/>
          </w:rPr>
          <w:t>https://doi.org/10.1007/s12528-025-09432-w</w:t>
        </w:r>
      </w:hyperlink>
    </w:p>
    <w:p w14:paraId="7DDC7BA7"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Li, S., Wang, T., Zheng, J., &amp; Lajoie, S. P. (2025). </w:t>
      </w:r>
      <w:r w:rsidRPr="00A0031F">
        <w:rPr>
          <w:lang w:val="en-US"/>
        </w:rPr>
        <w:t xml:space="preserve">A complex dynamical system approach to student engagement. </w:t>
      </w:r>
      <w:r w:rsidRPr="00A0031F">
        <w:rPr>
          <w:i/>
          <w:iCs/>
          <w:lang w:val="en-US"/>
        </w:rPr>
        <w:t>Learning and Instruction, 98</w:t>
      </w:r>
      <w:r w:rsidRPr="00A0031F">
        <w:rPr>
          <w:lang w:val="en-US"/>
        </w:rPr>
        <w:t xml:space="preserve">, Article 102120. </w:t>
      </w:r>
      <w:hyperlink r:id="rId42" w:history="1">
        <w:r w:rsidRPr="00A0031F">
          <w:rPr>
            <w:color w:val="0000FF"/>
            <w:u w:val="single"/>
            <w:lang w:val="en-US"/>
          </w:rPr>
          <w:t>https://doi.org/10.1016/j.learninstruc.2025.102120</w:t>
        </w:r>
      </w:hyperlink>
    </w:p>
    <w:p w14:paraId="0E80A04B"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McKenna, B. A., Wehr, J. B., &amp; Kopittke, P. M. (2024). </w:t>
      </w:r>
      <w:r w:rsidRPr="00A0031F">
        <w:rPr>
          <w:lang w:val="en-US"/>
        </w:rPr>
        <w:t xml:space="preserve">Quantifying online engagement at three levels of undergraduate study. </w:t>
      </w:r>
      <w:r w:rsidRPr="00A0031F">
        <w:rPr>
          <w:i/>
          <w:iCs/>
          <w:lang w:val="en-US"/>
        </w:rPr>
        <w:t>Cogent Education, 11</w:t>
      </w:r>
      <w:r w:rsidRPr="00A0031F">
        <w:rPr>
          <w:lang w:val="en-US"/>
        </w:rPr>
        <w:t xml:space="preserve">(1), Article 2345939. </w:t>
      </w:r>
      <w:hyperlink r:id="rId43" w:history="1">
        <w:r w:rsidRPr="00A0031F">
          <w:rPr>
            <w:color w:val="0000FF"/>
            <w:u w:val="single"/>
            <w:lang w:val="en-US"/>
          </w:rPr>
          <w:t>https://doi.org/10.1080/2331186X.2024.2345939</w:t>
        </w:r>
      </w:hyperlink>
    </w:p>
    <w:p w14:paraId="77922300"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Moodle. (2024). </w:t>
      </w:r>
      <w:r w:rsidRPr="00A0031F">
        <w:rPr>
          <w:i/>
          <w:iCs/>
          <w:lang w:val="en-US"/>
        </w:rPr>
        <w:t>Analytics</w:t>
      </w:r>
      <w:r w:rsidRPr="00A0031F">
        <w:rPr>
          <w:lang w:val="en-US"/>
        </w:rPr>
        <w:t xml:space="preserve">. MoodleDocs. </w:t>
      </w:r>
      <w:hyperlink r:id="rId44" w:history="1">
        <w:r w:rsidRPr="00A0031F">
          <w:rPr>
            <w:color w:val="0000FF"/>
            <w:u w:val="single"/>
            <w:lang w:val="en-US"/>
          </w:rPr>
          <w:t>https://docs.moodle.org/500/en/Learning_analytics</w:t>
        </w:r>
      </w:hyperlink>
    </w:p>
    <w:p w14:paraId="3C55BB53"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Nicmanis, M. (2024). Reflexive content analysis: An approach to qualitative data analysis, reduction, and description. </w:t>
      </w:r>
      <w:r w:rsidRPr="00A0031F">
        <w:rPr>
          <w:i/>
          <w:iCs/>
          <w:lang w:val="en-US"/>
        </w:rPr>
        <w:t>International Journal of Qualitative Methods, 23</w:t>
      </w:r>
      <w:r w:rsidRPr="00A0031F">
        <w:rPr>
          <w:lang w:val="en-US"/>
        </w:rPr>
        <w:t xml:space="preserve">, 1–12. </w:t>
      </w:r>
      <w:hyperlink r:id="rId45" w:history="1">
        <w:r w:rsidRPr="00A0031F">
          <w:rPr>
            <w:color w:val="0000FF"/>
            <w:u w:val="single"/>
            <w:lang w:val="en-US"/>
          </w:rPr>
          <w:t>https://doi.org/10.1177/16094069241236603</w:t>
        </w:r>
      </w:hyperlink>
    </w:p>
    <w:p w14:paraId="4000309A" w14:textId="77777777" w:rsidR="00A0031F" w:rsidRPr="00A0031F" w:rsidRDefault="00A0031F" w:rsidP="00A0031F">
      <w:pPr>
        <w:spacing w:before="100" w:beforeAutospacing="1" w:after="100" w:afterAutospacing="1"/>
        <w:ind w:left="540" w:hanging="540"/>
        <w:jc w:val="both"/>
        <w:rPr>
          <w:lang w:val="en-US"/>
        </w:rPr>
      </w:pPr>
      <w:r w:rsidRPr="00A0031F">
        <w:rPr>
          <w:lang w:val="en-US"/>
        </w:rPr>
        <w:t>Papageorgiou, E., Wong, J., Khalil, M., &amp; Cabo, A. J. (2025). Nonlinear effort-time dynamics of student engagement in a web-based learning platform: A person-</w:t>
      </w:r>
      <w:r w:rsidRPr="00A0031F">
        <w:rPr>
          <w:lang w:val="en-US"/>
        </w:rPr>
        <w:lastRenderedPageBreak/>
        <w:t xml:space="preserve">oriented transition analysis. </w:t>
      </w:r>
      <w:r w:rsidRPr="00A0031F">
        <w:rPr>
          <w:i/>
          <w:iCs/>
          <w:lang w:val="en-US"/>
        </w:rPr>
        <w:t>Journal of Learning Analytics, 12</w:t>
      </w:r>
      <w:r w:rsidRPr="00A0031F">
        <w:rPr>
          <w:lang w:val="en-US"/>
        </w:rPr>
        <w:t xml:space="preserve">(2), 237–258. </w:t>
      </w:r>
      <w:hyperlink r:id="rId46" w:history="1">
        <w:r w:rsidRPr="00A0031F">
          <w:rPr>
            <w:color w:val="0000FF"/>
            <w:u w:val="single"/>
            <w:lang w:val="en-US"/>
          </w:rPr>
          <w:t>https://doi.org/10.18608/jla.2025.8663</w:t>
        </w:r>
      </w:hyperlink>
    </w:p>
    <w:p w14:paraId="6255486E"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Paulsen, L., &amp; Lindsay, E. (2024). Learning analytics dashboards are increasingly becoming about learning and not just analytics—A systematic review. </w:t>
      </w:r>
      <w:r w:rsidRPr="00A0031F">
        <w:rPr>
          <w:i/>
          <w:iCs/>
          <w:lang w:val="en-US"/>
        </w:rPr>
        <w:t>Education and Information Technologies, 29</w:t>
      </w:r>
      <w:r w:rsidRPr="00A0031F">
        <w:rPr>
          <w:lang w:val="en-US"/>
        </w:rPr>
        <w:t xml:space="preserve">(11), 14279–14308. </w:t>
      </w:r>
      <w:hyperlink r:id="rId47" w:history="1">
        <w:r w:rsidRPr="00A0031F">
          <w:rPr>
            <w:color w:val="0000FF"/>
            <w:u w:val="single"/>
            <w:lang w:val="en-US"/>
          </w:rPr>
          <w:t>https://doi.org/10.1007/s10639-023-12401-4</w:t>
        </w:r>
      </w:hyperlink>
    </w:p>
    <w:p w14:paraId="7CC87E8C"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Reeve, J., Basarkod, G., Jang, H.-R., Gargurevich, R., Jang, H., &amp; Cheon, S. H. (2025). Specialized purpose of each type of student engagement: A meta-analysis. </w:t>
      </w:r>
      <w:r w:rsidRPr="00A0031F">
        <w:rPr>
          <w:i/>
          <w:iCs/>
          <w:lang w:val="en-US"/>
        </w:rPr>
        <w:t>Educational Psychology Review, 37</w:t>
      </w:r>
      <w:r w:rsidRPr="00A0031F">
        <w:rPr>
          <w:lang w:val="en-US"/>
        </w:rPr>
        <w:t xml:space="preserve">, Article 13. </w:t>
      </w:r>
      <w:hyperlink r:id="rId48" w:history="1">
        <w:r w:rsidRPr="00A0031F">
          <w:rPr>
            <w:color w:val="0000FF"/>
            <w:u w:val="single"/>
            <w:lang w:val="en-US"/>
          </w:rPr>
          <w:t>https://doi.org/10.1007/s10648-025-09989-z</w:t>
        </w:r>
      </w:hyperlink>
    </w:p>
    <w:p w14:paraId="32ABB1DA"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Singh, A. P., Saxena, R., &amp; Saxena, S. (2024). The future of learning: AI-driven personalized education. </w:t>
      </w:r>
      <w:r w:rsidRPr="00A0031F">
        <w:rPr>
          <w:i/>
          <w:iCs/>
          <w:lang w:val="en-US"/>
        </w:rPr>
        <w:t>Asian Journal of Current Research, 9</w:t>
      </w:r>
      <w:r w:rsidRPr="00A0031F">
        <w:rPr>
          <w:lang w:val="en-US"/>
        </w:rPr>
        <w:t xml:space="preserve">(4), 207–226. </w:t>
      </w:r>
      <w:hyperlink r:id="rId49" w:history="1">
        <w:r w:rsidRPr="00A0031F">
          <w:rPr>
            <w:color w:val="0000FF"/>
            <w:u w:val="single"/>
            <w:lang w:val="en-US"/>
          </w:rPr>
          <w:t>https://doi.org/10.56557/ajocr/2024/v9i49018</w:t>
        </w:r>
      </w:hyperlink>
    </w:p>
    <w:p w14:paraId="7FD2CEBC"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Uzun, Y., Suraworachet, W., Zhou, Q., Gauthier, A., &amp; Cukurova, M. (2025). </w:t>
      </w:r>
      <w:r w:rsidRPr="00A0031F">
        <w:rPr>
          <w:lang w:val="en-US"/>
        </w:rPr>
        <w:t xml:space="preserve">Engagement with analytics feedback and its relationship to self-regulated learning competence and course performance. </w:t>
      </w:r>
      <w:r w:rsidRPr="00A0031F">
        <w:rPr>
          <w:i/>
          <w:iCs/>
          <w:lang w:val="en-US"/>
        </w:rPr>
        <w:t>International Journal of Educational Technology in Higher Education, 22</w:t>
      </w:r>
      <w:r w:rsidRPr="00A0031F">
        <w:rPr>
          <w:lang w:val="en-US"/>
        </w:rPr>
        <w:t xml:space="preserve">, Article 17. </w:t>
      </w:r>
      <w:hyperlink r:id="rId50" w:history="1">
        <w:r w:rsidRPr="00A0031F">
          <w:rPr>
            <w:color w:val="0000FF"/>
            <w:u w:val="single"/>
            <w:lang w:val="en-US"/>
          </w:rPr>
          <w:t>https://doi.org/10.1186/s41239-025-00515-3</w:t>
        </w:r>
      </w:hyperlink>
    </w:p>
    <w:p w14:paraId="5551FAA1"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Wang, S., Sun, Z., Wang, H., Yang, D., &amp; Zhang, H. (2025). </w:t>
      </w:r>
      <w:r w:rsidRPr="00A0031F">
        <w:rPr>
          <w:lang w:val="en-US"/>
        </w:rPr>
        <w:t xml:space="preserve">Enhancing student acceptance of artificial intelligence-driven hybrid learning in business education: Interaction between self-efficacy, playfulness, emotional engagement, and university support. </w:t>
      </w:r>
      <w:r w:rsidRPr="00A0031F">
        <w:rPr>
          <w:i/>
          <w:iCs/>
          <w:lang w:val="en-US"/>
        </w:rPr>
        <w:t>The International Journal of Management Education, 23</w:t>
      </w:r>
      <w:r w:rsidRPr="00A0031F">
        <w:rPr>
          <w:lang w:val="en-US"/>
        </w:rPr>
        <w:t xml:space="preserve">(2), Article 101184. </w:t>
      </w:r>
      <w:hyperlink r:id="rId51" w:history="1">
        <w:r w:rsidRPr="00A0031F">
          <w:rPr>
            <w:color w:val="0000FF"/>
            <w:u w:val="single"/>
            <w:lang w:val="en-US"/>
          </w:rPr>
          <w:t>https://doi.org/10.1016/j.ijme.2025.101184</w:t>
        </w:r>
      </w:hyperlink>
    </w:p>
    <w:p w14:paraId="4508E7E7"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Wang, Y. (2025). Multimodal data-supported learning engagement analysis. </w:t>
      </w:r>
      <w:r w:rsidRPr="00A0031F">
        <w:rPr>
          <w:i/>
          <w:iCs/>
          <w:lang w:val="en-US"/>
        </w:rPr>
        <w:t>Technology, Pedagogy and Education, 34</w:t>
      </w:r>
      <w:r w:rsidRPr="00A0031F">
        <w:rPr>
          <w:lang w:val="en-US"/>
        </w:rPr>
        <w:t xml:space="preserve">(4), 483–496. </w:t>
      </w:r>
      <w:hyperlink r:id="rId52" w:history="1">
        <w:r w:rsidRPr="00A0031F">
          <w:rPr>
            <w:color w:val="0000FF"/>
            <w:u w:val="single"/>
            <w:lang w:val="en-US"/>
          </w:rPr>
          <w:t>https://doi.org/10.1080/1475939X.2025.2465437</w:t>
        </w:r>
      </w:hyperlink>
    </w:p>
    <w:p w14:paraId="01B5549A"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Winter, M., Mordel, J., Mendzheritskaya, J., Biedermann, D., Ciordas-Hertel, G.-P., Hahnel, C., Bengs, D., Wolter, I., Goldhammer, F., Drachsler, H., Artelt, C., &amp; Horz, H. (2024). </w:t>
      </w:r>
      <w:r w:rsidRPr="00A0031F">
        <w:rPr>
          <w:lang w:val="en-US"/>
        </w:rPr>
        <w:t xml:space="preserve">Behavioral trace data in an online learning environment as indicators of learning engagement in university students. </w:t>
      </w:r>
      <w:r w:rsidRPr="00A0031F">
        <w:rPr>
          <w:i/>
          <w:iCs/>
          <w:lang w:val="en-US"/>
        </w:rPr>
        <w:t>Frontiers in Psychology, 15</w:t>
      </w:r>
      <w:r w:rsidRPr="00A0031F">
        <w:rPr>
          <w:lang w:val="en-US"/>
        </w:rPr>
        <w:t xml:space="preserve">, Article 1396881. </w:t>
      </w:r>
      <w:hyperlink r:id="rId53" w:history="1">
        <w:r w:rsidRPr="00A0031F">
          <w:rPr>
            <w:color w:val="0000FF"/>
            <w:u w:val="single"/>
            <w:lang w:val="en-US"/>
          </w:rPr>
          <w:t>https://doi.org/10.3389/fpsyg.2024.1396881</w:t>
        </w:r>
      </w:hyperlink>
    </w:p>
    <w:p w14:paraId="247B3698" w14:textId="77777777" w:rsidR="00A0031F" w:rsidRPr="00A0031F" w:rsidRDefault="00A0031F" w:rsidP="00A0031F">
      <w:pPr>
        <w:spacing w:before="100" w:beforeAutospacing="1" w:after="100" w:afterAutospacing="1"/>
        <w:ind w:left="540" w:hanging="540"/>
        <w:jc w:val="both"/>
        <w:rPr>
          <w:lang w:val="en-US"/>
        </w:rPr>
      </w:pPr>
      <w:r w:rsidRPr="00A0031F">
        <w:rPr>
          <w:lang w:val="en-US"/>
        </w:rPr>
        <w:t xml:space="preserve">Yin, X., Ye, J., Yu, S., Li, H., Liu, Q., &amp; Zhao, G. (2025). The association between groups' interactions with the Visual-GenAI learning analytics feedback and student engagement in CSCL. </w:t>
      </w:r>
      <w:r w:rsidRPr="00A0031F">
        <w:rPr>
          <w:i/>
          <w:iCs/>
          <w:lang w:val="en-US"/>
        </w:rPr>
        <w:t>Computers &amp; Education, 239</w:t>
      </w:r>
      <w:r w:rsidRPr="00A0031F">
        <w:rPr>
          <w:lang w:val="en-US"/>
        </w:rPr>
        <w:t xml:space="preserve">, Article 105434. </w:t>
      </w:r>
      <w:hyperlink r:id="rId54" w:history="1">
        <w:r w:rsidRPr="00A0031F">
          <w:rPr>
            <w:color w:val="0000FF"/>
            <w:u w:val="single"/>
            <w:lang w:val="en-US"/>
          </w:rPr>
          <w:t>https://doi.org/10.1016/j.compedu.2025.105434</w:t>
        </w:r>
      </w:hyperlink>
    </w:p>
    <w:p w14:paraId="25EA23DD" w14:textId="77777777" w:rsidR="00A0031F" w:rsidRPr="00A0031F" w:rsidRDefault="00A0031F" w:rsidP="00A0031F">
      <w:pPr>
        <w:spacing w:before="100" w:beforeAutospacing="1" w:after="100" w:afterAutospacing="1"/>
        <w:ind w:left="540" w:hanging="540"/>
        <w:jc w:val="both"/>
        <w:rPr>
          <w:lang w:val="en-US"/>
        </w:rPr>
      </w:pPr>
      <w:r w:rsidRPr="00A0031F">
        <w:rPr>
          <w:lang w:val="nl-BE"/>
        </w:rPr>
        <w:t xml:space="preserve">Zhang, W., Guan, Y., Hu, Z., Wang, C., Lu, D., &amp; Lu, H. (2025). </w:t>
      </w:r>
      <w:r w:rsidRPr="00A0031F">
        <w:rPr>
          <w:lang w:val="en-US"/>
        </w:rPr>
        <w:t xml:space="preserve">Interplay of student characteristics, multidimensional engagement and influencing factors in online </w:t>
      </w:r>
      <w:r w:rsidRPr="00A0031F">
        <w:rPr>
          <w:lang w:val="en-US"/>
        </w:rPr>
        <w:lastRenderedPageBreak/>
        <w:t xml:space="preserve">computer science education. </w:t>
      </w:r>
      <w:r w:rsidRPr="00A0031F">
        <w:rPr>
          <w:i/>
          <w:iCs/>
          <w:lang w:val="en-US"/>
        </w:rPr>
        <w:t>Scientific Reports, 15</w:t>
      </w:r>
      <w:r w:rsidRPr="00A0031F">
        <w:rPr>
          <w:lang w:val="en-US"/>
        </w:rPr>
        <w:t xml:space="preserve">, Article 6976. </w:t>
      </w:r>
      <w:hyperlink r:id="rId55" w:history="1">
        <w:r w:rsidRPr="00A0031F">
          <w:rPr>
            <w:color w:val="0000FF"/>
            <w:u w:val="single"/>
            <w:lang w:val="en-US"/>
          </w:rPr>
          <w:t>https://doi.org/10.1038/s41598-025-90142-9</w:t>
        </w:r>
      </w:hyperlink>
    </w:p>
    <w:p w14:paraId="4E91FFE1" w14:textId="7CD0CA02" w:rsidR="00533DA4" w:rsidRPr="00533DA4" w:rsidRDefault="00533DA4" w:rsidP="00A0031F">
      <w:pPr>
        <w:pStyle w:val="NormalWeb"/>
        <w:spacing w:before="0" w:beforeAutospacing="0" w:after="0" w:afterAutospacing="0"/>
        <w:ind w:left="450" w:hanging="450"/>
        <w:rPr>
          <w:color w:val="000000" w:themeColor="text1"/>
        </w:rPr>
      </w:pPr>
    </w:p>
    <w:sectPr w:rsidR="00533DA4" w:rsidRPr="00533DA4" w:rsidSect="008A4597">
      <w:type w:val="continuous"/>
      <w:pgSz w:w="12240" w:h="15840"/>
      <w:pgMar w:top="720" w:right="2016" w:bottom="2016" w:left="201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9FBA1" w14:textId="77777777" w:rsidR="00917032" w:rsidRDefault="00917032" w:rsidP="00C37E61">
      <w:r>
        <w:separator/>
      </w:r>
    </w:p>
  </w:endnote>
  <w:endnote w:type="continuationSeparator" w:id="0">
    <w:p w14:paraId="69BD577A" w14:textId="77777777" w:rsidR="00917032" w:rsidRDefault="0091703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282D" w14:textId="77777777" w:rsidR="006D4675" w:rsidRDefault="006D4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23131" w14:textId="77777777" w:rsidR="006D4675" w:rsidRDefault="006D4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A26C1" w14:textId="77777777" w:rsidR="00754C9A" w:rsidRPr="006D4675" w:rsidRDefault="00754C9A" w:rsidP="006D46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C69A8"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15B28" w14:textId="77777777" w:rsidR="00917032" w:rsidRDefault="00917032" w:rsidP="00C37E61">
      <w:r>
        <w:separator/>
      </w:r>
    </w:p>
  </w:footnote>
  <w:footnote w:type="continuationSeparator" w:id="0">
    <w:p w14:paraId="718848D8" w14:textId="77777777" w:rsidR="00917032" w:rsidRDefault="0091703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7527A" w14:textId="77777777" w:rsidR="006D4675" w:rsidRDefault="00000000">
    <w:pPr>
      <w:pStyle w:val="Header"/>
    </w:pPr>
    <w:r>
      <w:rPr>
        <w:noProof/>
      </w:rPr>
      <w:pict w14:anchorId="36D53F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7" o:spid="_x0000_s1033"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5643" w14:textId="77777777" w:rsidR="006D4675" w:rsidRDefault="00000000">
    <w:pPr>
      <w:pStyle w:val="Header"/>
    </w:pPr>
    <w:r>
      <w:rPr>
        <w:noProof/>
      </w:rPr>
      <w:pict w14:anchorId="7AC59C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8" o:spid="_x0000_s1032"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4ACF" w14:textId="77777777" w:rsidR="00296529" w:rsidRPr="00296529" w:rsidRDefault="00000000" w:rsidP="00296529">
    <w:pPr>
      <w:ind w:left="2160"/>
      <w:jc w:val="center"/>
      <w:rPr>
        <w:rFonts w:eastAsia="Calibri"/>
        <w:i/>
        <w:sz w:val="18"/>
        <w:szCs w:val="22"/>
      </w:rPr>
    </w:pPr>
    <w:r>
      <w:rPr>
        <w:noProof/>
      </w:rPr>
      <w:pict w14:anchorId="0D439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6" o:spid="_x0000_s1031" type="#_x0000_t136" alt="" style="position:absolute;left:0;text-align:left;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7A97A250" w14:textId="77777777" w:rsidR="00296529" w:rsidRPr="00296529" w:rsidRDefault="00754C9A" w:rsidP="00296529">
    <w:pPr>
      <w:ind w:left="4320"/>
      <w:rPr>
        <w:rFonts w:eastAsia="Calibri"/>
        <w:i/>
        <w:sz w:val="18"/>
        <w:szCs w:val="22"/>
      </w:rPr>
    </w:pPr>
    <w:r>
      <w:rPr>
        <w:rFonts w:eastAsia="Calibri"/>
        <w:i/>
        <w:sz w:val="18"/>
        <w:szCs w:val="22"/>
      </w:rPr>
      <w:t>.</w:t>
    </w:r>
    <w:r w:rsidR="00296529" w:rsidRPr="00296529">
      <w:rPr>
        <w:rFonts w:eastAsia="Calibri"/>
        <w:i/>
        <w:sz w:val="18"/>
        <w:szCs w:val="22"/>
      </w:rPr>
      <w:t xml:space="preserve">     </w:t>
    </w:r>
  </w:p>
  <w:p w14:paraId="263AE355" w14:textId="77777777" w:rsidR="00296529" w:rsidRPr="00296529" w:rsidRDefault="00754C9A" w:rsidP="00296529">
    <w:pPr>
      <w:jc w:val="center"/>
      <w:rPr>
        <w:rFonts w:eastAsia="Calibri"/>
        <w:i/>
        <w:sz w:val="18"/>
        <w:szCs w:val="22"/>
      </w:rPr>
    </w:pPr>
    <w:r>
      <w:rPr>
        <w:rFonts w:eastAsia="Calibri"/>
        <w:i/>
        <w:sz w:val="18"/>
        <w:szCs w:val="22"/>
      </w:rPr>
      <w:t>.</w:t>
    </w:r>
  </w:p>
  <w:p w14:paraId="3C2FE88E" w14:textId="77777777" w:rsidR="00296529" w:rsidRPr="00296529" w:rsidRDefault="00296529" w:rsidP="00296529">
    <w:pPr>
      <w:spacing w:after="200"/>
      <w:jc w:val="center"/>
      <w:rPr>
        <w:rFonts w:eastAsia="Calibri"/>
        <w:b/>
        <w:i/>
        <w:sz w:val="32"/>
        <w:szCs w:val="22"/>
      </w:rPr>
    </w:pPr>
    <w:r w:rsidRPr="00296529">
      <w:rPr>
        <w:rFonts w:eastAsia="Calibri"/>
        <w:b/>
        <w:i/>
        <w:sz w:val="32"/>
        <w:szCs w:val="22"/>
      </w:rPr>
      <w:t xml:space="preserve">              </w:t>
    </w:r>
    <w:r w:rsidR="00754C9A">
      <w:rPr>
        <w:rFonts w:eastAsia="Calibri"/>
        <w:b/>
        <w:i/>
        <w:sz w:val="32"/>
        <w:szCs w:val="22"/>
      </w:rPr>
      <w:t>.</w:t>
    </w:r>
    <w:r w:rsidRPr="00296529">
      <w:rPr>
        <w:rFonts w:eastAsia="Calibri"/>
        <w:b/>
        <w:i/>
        <w:sz w:val="32"/>
        <w:szCs w:val="22"/>
      </w:rPr>
      <w:t xml:space="preserve"> </w:t>
    </w:r>
  </w:p>
  <w:p w14:paraId="14F95DAA" w14:textId="77777777" w:rsidR="00296529" w:rsidRDefault="00296529" w:rsidP="00296529">
    <w:pPr>
      <w:jc w:val="center"/>
      <w:rPr>
        <w:rFonts w:eastAsia="Calibri"/>
        <w:i/>
        <w:sz w:val="18"/>
        <w:szCs w:val="22"/>
      </w:rPr>
    </w:pPr>
    <w:r w:rsidRPr="00296529">
      <w:rPr>
        <w:rFonts w:eastAsia="Calibri"/>
        <w:i/>
        <w:sz w:val="18"/>
        <w:szCs w:val="22"/>
      </w:rPr>
      <w:t xml:space="preserve">                     </w:t>
    </w:r>
  </w:p>
  <w:p w14:paraId="3D8B0093" w14:textId="77777777" w:rsidR="00296529" w:rsidRDefault="00296529" w:rsidP="00296529">
    <w:pPr>
      <w:tabs>
        <w:tab w:val="left" w:pos="2145"/>
      </w:tabs>
      <w:rPr>
        <w:rFonts w:eastAsia="Calibri"/>
        <w:i/>
        <w:sz w:val="18"/>
        <w:szCs w:val="22"/>
      </w:rPr>
    </w:pPr>
    <w:r>
      <w:rPr>
        <w:rFonts w:eastAsia="Calibri"/>
        <w:i/>
        <w:sz w:val="18"/>
        <w:szCs w:val="22"/>
      </w:rPr>
      <w:tab/>
    </w:r>
    <w:r w:rsidR="00754C9A">
      <w:rPr>
        <w:rFonts w:eastAsia="Calibri"/>
        <w:i/>
        <w:sz w:val="18"/>
        <w:szCs w:val="22"/>
      </w:rPr>
      <w:t>.</w:t>
    </w:r>
  </w:p>
  <w:p w14:paraId="18A1DBA0"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0BA5" w14:textId="77777777" w:rsidR="006D4675" w:rsidRDefault="00000000">
    <w:pPr>
      <w:pStyle w:val="Header"/>
    </w:pPr>
    <w:r>
      <w:rPr>
        <w:noProof/>
      </w:rPr>
      <w:pict w14:anchorId="1CA44F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0" o:spid="_x0000_s1030" type="#_x0000_t136" alt="" style="position:absolute;margin-left:0;margin-top:0;width:520.65pt;height:57.85pt;rotation:315;z-index:-2516449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A8F632B">
        <v:shape id="_x0000_s1029" type="#_x0000_t136" alt="" style="position:absolute;margin-left:0;margin-top:0;width:520.65pt;height:57.85pt;rotation:315;z-index:-25164697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1BB6" w14:textId="77777777" w:rsidR="006D4675" w:rsidRDefault="00000000">
    <w:pPr>
      <w:pStyle w:val="Header"/>
    </w:pPr>
    <w:r>
      <w:rPr>
        <w:noProof/>
      </w:rPr>
      <w:pict w14:anchorId="7FEC53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11" o:spid="_x0000_s1028" type="#_x0000_t136" alt="" style="position:absolute;margin-left:0;margin-top:0;width:520.65pt;height:57.85pt;rotation:315;z-index:-25164083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4BD56B2A">
        <v:shape id="_x0000_s1027" type="#_x0000_t136" alt="" style="position:absolute;margin-left:0;margin-top:0;width:520.65pt;height:57.85pt;rotation:315;z-index:-25164288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1DDB3" w14:textId="77777777" w:rsidR="006D4675" w:rsidRPr="00296529" w:rsidRDefault="00000000" w:rsidP="00296529">
    <w:pPr>
      <w:ind w:left="2160"/>
      <w:jc w:val="center"/>
      <w:rPr>
        <w:rFonts w:eastAsia="Calibri"/>
        <w:i/>
        <w:sz w:val="18"/>
        <w:szCs w:val="22"/>
      </w:rPr>
    </w:pPr>
    <w:r>
      <w:rPr>
        <w:noProof/>
      </w:rPr>
      <w:pict w14:anchorId="11F5E5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7944909" o:spid="_x0000_s1026" type="#_x0000_t136" alt="" style="position:absolute;left:0;text-align:left;margin-left:0;margin-top:0;width:520.65pt;height:57.85pt;rotation:315;z-index:-251649024;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r>
      <w:rPr>
        <w:noProof/>
      </w:rPr>
      <w:pict w14:anchorId="183A5C91">
        <v:shape id="_x0000_s1025" type="#_x0000_t136" alt="" style="position:absolute;left:0;text-align:left;margin-left:0;margin-top:0;width:520.65pt;height:57.85pt;rotation:315;z-index:-25165107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p w14:paraId="1402D8B9" w14:textId="77777777" w:rsidR="006D4675" w:rsidRPr="00296529" w:rsidRDefault="006D4675" w:rsidP="00296529">
    <w:pPr>
      <w:ind w:left="4320"/>
      <w:rPr>
        <w:rFonts w:eastAsia="Calibri"/>
        <w:i/>
        <w:sz w:val="18"/>
        <w:szCs w:val="22"/>
      </w:rPr>
    </w:pPr>
    <w:r>
      <w:rPr>
        <w:rFonts w:eastAsia="Calibri"/>
        <w:i/>
        <w:sz w:val="18"/>
        <w:szCs w:val="22"/>
      </w:rPr>
      <w:t>.</w:t>
    </w:r>
    <w:r w:rsidRPr="00296529">
      <w:rPr>
        <w:rFonts w:eastAsia="Calibri"/>
        <w:i/>
        <w:sz w:val="18"/>
        <w:szCs w:val="22"/>
      </w:rPr>
      <w:t xml:space="preserve">     </w:t>
    </w:r>
  </w:p>
  <w:p w14:paraId="4C40E9A1" w14:textId="77777777" w:rsidR="006D4675" w:rsidRPr="00296529" w:rsidRDefault="006D4675" w:rsidP="00296529">
    <w:pPr>
      <w:jc w:val="center"/>
      <w:rPr>
        <w:rFonts w:eastAsia="Calibri"/>
        <w:i/>
        <w:sz w:val="18"/>
        <w:szCs w:val="22"/>
      </w:rPr>
    </w:pPr>
    <w:r>
      <w:rPr>
        <w:rFonts w:eastAsia="Calibri"/>
        <w:i/>
        <w:sz w:val="18"/>
        <w:szCs w:val="22"/>
      </w:rPr>
      <w:t>.</w:t>
    </w:r>
  </w:p>
  <w:p w14:paraId="714F96B5" w14:textId="77777777" w:rsidR="006D4675" w:rsidRPr="00296529" w:rsidRDefault="006D4675" w:rsidP="00296529">
    <w:pPr>
      <w:spacing w:after="200"/>
      <w:jc w:val="center"/>
      <w:rPr>
        <w:rFonts w:eastAsia="Calibri"/>
        <w:b/>
        <w:i/>
        <w:sz w:val="32"/>
        <w:szCs w:val="22"/>
      </w:rPr>
    </w:pPr>
    <w:r w:rsidRPr="00296529">
      <w:rPr>
        <w:rFonts w:eastAsia="Calibri"/>
        <w:b/>
        <w:i/>
        <w:sz w:val="32"/>
        <w:szCs w:val="22"/>
      </w:rPr>
      <w:t xml:space="preserve">              </w:t>
    </w:r>
    <w:r>
      <w:rPr>
        <w:rFonts w:eastAsia="Calibri"/>
        <w:b/>
        <w:i/>
        <w:sz w:val="32"/>
        <w:szCs w:val="22"/>
      </w:rPr>
      <w:t>.</w:t>
    </w:r>
    <w:r w:rsidRPr="00296529">
      <w:rPr>
        <w:rFonts w:eastAsia="Calibri"/>
        <w:b/>
        <w:i/>
        <w:sz w:val="32"/>
        <w:szCs w:val="22"/>
      </w:rPr>
      <w:t xml:space="preserve"> </w:t>
    </w:r>
  </w:p>
  <w:p w14:paraId="15559A10" w14:textId="77777777" w:rsidR="006D4675" w:rsidRDefault="006D4675" w:rsidP="00296529">
    <w:pPr>
      <w:jc w:val="center"/>
      <w:rPr>
        <w:rFonts w:eastAsia="Calibri"/>
        <w:i/>
        <w:sz w:val="18"/>
        <w:szCs w:val="22"/>
      </w:rPr>
    </w:pPr>
    <w:r w:rsidRPr="00296529">
      <w:rPr>
        <w:rFonts w:eastAsia="Calibri"/>
        <w:i/>
        <w:sz w:val="18"/>
        <w:szCs w:val="22"/>
      </w:rPr>
      <w:t xml:space="preserve">                     </w:t>
    </w:r>
  </w:p>
  <w:p w14:paraId="1004187B" w14:textId="77777777" w:rsidR="006D4675" w:rsidRDefault="006D4675" w:rsidP="00296529">
    <w:pPr>
      <w:tabs>
        <w:tab w:val="left" w:pos="2145"/>
      </w:tabs>
      <w:rPr>
        <w:rFonts w:eastAsia="Calibri"/>
        <w:i/>
        <w:sz w:val="18"/>
        <w:szCs w:val="22"/>
      </w:rPr>
    </w:pPr>
    <w:r>
      <w:rPr>
        <w:rFonts w:eastAsia="Calibri"/>
        <w:i/>
        <w:sz w:val="18"/>
        <w:szCs w:val="22"/>
      </w:rPr>
      <w:tab/>
      <w:t>.</w:t>
    </w:r>
  </w:p>
  <w:p w14:paraId="082BD0CC" w14:textId="77777777" w:rsidR="006D4675" w:rsidRDefault="006D4675">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3B29C4"/>
    <w:multiLevelType w:val="hybridMultilevel"/>
    <w:tmpl w:val="F6A24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7E207B"/>
    <w:multiLevelType w:val="multilevel"/>
    <w:tmpl w:val="AB542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5C6106"/>
    <w:multiLevelType w:val="multilevel"/>
    <w:tmpl w:val="C1FC7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33295CFF"/>
    <w:multiLevelType w:val="multilevel"/>
    <w:tmpl w:val="EE3AB6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20" w15:restartNumberingAfterBreak="0">
    <w:nsid w:val="4E71052C"/>
    <w:multiLevelType w:val="multilevel"/>
    <w:tmpl w:val="3752C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5"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7"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8"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9" w15:restartNumberingAfterBreak="0">
    <w:nsid w:val="75FF7BCF"/>
    <w:multiLevelType w:val="multilevel"/>
    <w:tmpl w:val="2B581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2"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38384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388452369">
    <w:abstractNumId w:val="19"/>
  </w:num>
  <w:num w:numId="3" w16cid:durableId="25179208">
    <w:abstractNumId w:val="28"/>
  </w:num>
  <w:num w:numId="4" w16cid:durableId="16521780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11482475">
    <w:abstractNumId w:val="8"/>
  </w:num>
  <w:num w:numId="6" w16cid:durableId="541678199">
    <w:abstractNumId w:val="7"/>
  </w:num>
  <w:num w:numId="7" w16cid:durableId="1753699232">
    <w:abstractNumId w:val="1"/>
  </w:num>
  <w:num w:numId="8" w16cid:durableId="592710641">
    <w:abstractNumId w:val="15"/>
  </w:num>
  <w:num w:numId="9" w16cid:durableId="976835453">
    <w:abstractNumId w:val="31"/>
  </w:num>
  <w:num w:numId="10" w16cid:durableId="249659283">
    <w:abstractNumId w:val="2"/>
  </w:num>
  <w:num w:numId="11" w16cid:durableId="1732656361">
    <w:abstractNumId w:val="23"/>
  </w:num>
  <w:num w:numId="12" w16cid:durableId="1657537769">
    <w:abstractNumId w:val="3"/>
  </w:num>
  <w:num w:numId="13" w16cid:durableId="1538161017">
    <w:abstractNumId w:val="22"/>
  </w:num>
  <w:num w:numId="14" w16cid:durableId="1156144008">
    <w:abstractNumId w:val="9"/>
  </w:num>
  <w:num w:numId="15" w16cid:durableId="283007475">
    <w:abstractNumId w:val="26"/>
  </w:num>
  <w:num w:numId="16" w16cid:durableId="1659307781">
    <w:abstractNumId w:val="5"/>
  </w:num>
  <w:num w:numId="17" w16cid:durableId="1898470046">
    <w:abstractNumId w:val="27"/>
  </w:num>
  <w:num w:numId="18" w16cid:durableId="73864778">
    <w:abstractNumId w:val="17"/>
  </w:num>
  <w:num w:numId="19" w16cid:durableId="713584812">
    <w:abstractNumId w:val="34"/>
  </w:num>
  <w:num w:numId="20" w16cid:durableId="453714349">
    <w:abstractNumId w:val="14"/>
  </w:num>
  <w:num w:numId="21" w16cid:durableId="1178041074">
    <w:abstractNumId w:val="11"/>
  </w:num>
  <w:num w:numId="22" w16cid:durableId="359479019">
    <w:abstractNumId w:val="16"/>
  </w:num>
  <w:num w:numId="23" w16cid:durableId="644360971">
    <w:abstractNumId w:val="24"/>
  </w:num>
  <w:num w:numId="24" w16cid:durableId="874537813">
    <w:abstractNumId w:val="32"/>
  </w:num>
  <w:num w:numId="25" w16cid:durableId="1393698916">
    <w:abstractNumId w:val="4"/>
  </w:num>
  <w:num w:numId="26" w16cid:durableId="629020859">
    <w:abstractNumId w:val="21"/>
  </w:num>
  <w:num w:numId="27" w16cid:durableId="1995836081">
    <w:abstractNumId w:val="25"/>
  </w:num>
  <w:num w:numId="28" w16cid:durableId="493186585">
    <w:abstractNumId w:val="33"/>
  </w:num>
  <w:num w:numId="29" w16cid:durableId="1522937024">
    <w:abstractNumId w:val="30"/>
  </w:num>
  <w:num w:numId="30" w16cid:durableId="319311731">
    <w:abstractNumId w:val="12"/>
  </w:num>
  <w:num w:numId="31" w16cid:durableId="855971305">
    <w:abstractNumId w:val="10"/>
  </w:num>
  <w:num w:numId="32" w16cid:durableId="206531686">
    <w:abstractNumId w:val="29"/>
  </w:num>
  <w:num w:numId="33" w16cid:durableId="1325476200">
    <w:abstractNumId w:val="13"/>
  </w:num>
  <w:num w:numId="34" w16cid:durableId="313417194">
    <w:abstractNumId w:val="20"/>
  </w:num>
  <w:num w:numId="35" w16cid:durableId="1066224322">
    <w:abstractNumId w:val="18"/>
  </w:num>
  <w:num w:numId="36" w16cid:durableId="16158196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5C72"/>
    <w:rsid w:val="00094EDE"/>
    <w:rsid w:val="000A47FA"/>
    <w:rsid w:val="000A65D3"/>
    <w:rsid w:val="000B1E33"/>
    <w:rsid w:val="000B5B2A"/>
    <w:rsid w:val="000C42D8"/>
    <w:rsid w:val="000D2A43"/>
    <w:rsid w:val="000D689F"/>
    <w:rsid w:val="000E7B7B"/>
    <w:rsid w:val="000E7D62"/>
    <w:rsid w:val="00102507"/>
    <w:rsid w:val="00103357"/>
    <w:rsid w:val="001064A5"/>
    <w:rsid w:val="0011613A"/>
    <w:rsid w:val="00123C9F"/>
    <w:rsid w:val="00126190"/>
    <w:rsid w:val="00130F17"/>
    <w:rsid w:val="001320BF"/>
    <w:rsid w:val="00163BC4"/>
    <w:rsid w:val="001739B2"/>
    <w:rsid w:val="00191062"/>
    <w:rsid w:val="00192B72"/>
    <w:rsid w:val="001A29D8"/>
    <w:rsid w:val="001A5CAA"/>
    <w:rsid w:val="001B0427"/>
    <w:rsid w:val="001C63E6"/>
    <w:rsid w:val="001D3A51"/>
    <w:rsid w:val="001E10D2"/>
    <w:rsid w:val="001E25B4"/>
    <w:rsid w:val="001E44FE"/>
    <w:rsid w:val="001F7BD8"/>
    <w:rsid w:val="00200595"/>
    <w:rsid w:val="0020183E"/>
    <w:rsid w:val="00204835"/>
    <w:rsid w:val="00226ED3"/>
    <w:rsid w:val="00231920"/>
    <w:rsid w:val="0023195C"/>
    <w:rsid w:val="002368A7"/>
    <w:rsid w:val="0024282C"/>
    <w:rsid w:val="00244F25"/>
    <w:rsid w:val="002460DC"/>
    <w:rsid w:val="00250985"/>
    <w:rsid w:val="002556F6"/>
    <w:rsid w:val="0026707F"/>
    <w:rsid w:val="002815E6"/>
    <w:rsid w:val="00283105"/>
    <w:rsid w:val="00284C4C"/>
    <w:rsid w:val="002856DD"/>
    <w:rsid w:val="00287E68"/>
    <w:rsid w:val="00294FFC"/>
    <w:rsid w:val="00296529"/>
    <w:rsid w:val="002B27FB"/>
    <w:rsid w:val="002B685A"/>
    <w:rsid w:val="002C57D2"/>
    <w:rsid w:val="002E0D56"/>
    <w:rsid w:val="00312CEB"/>
    <w:rsid w:val="00315186"/>
    <w:rsid w:val="00317CD1"/>
    <w:rsid w:val="00333201"/>
    <w:rsid w:val="0033343E"/>
    <w:rsid w:val="003512C2"/>
    <w:rsid w:val="00360E33"/>
    <w:rsid w:val="00371FB6"/>
    <w:rsid w:val="003763C1"/>
    <w:rsid w:val="00376BBE"/>
    <w:rsid w:val="00386261"/>
    <w:rsid w:val="0039224F"/>
    <w:rsid w:val="003A43A4"/>
    <w:rsid w:val="003A7E18"/>
    <w:rsid w:val="003C4C86"/>
    <w:rsid w:val="003C6258"/>
    <w:rsid w:val="003E2904"/>
    <w:rsid w:val="003E57AA"/>
    <w:rsid w:val="00401927"/>
    <w:rsid w:val="0041027F"/>
    <w:rsid w:val="00412475"/>
    <w:rsid w:val="00423789"/>
    <w:rsid w:val="0042734B"/>
    <w:rsid w:val="00440F43"/>
    <w:rsid w:val="00441B6F"/>
    <w:rsid w:val="00446221"/>
    <w:rsid w:val="00450E62"/>
    <w:rsid w:val="004539DB"/>
    <w:rsid w:val="00471A80"/>
    <w:rsid w:val="00472000"/>
    <w:rsid w:val="004C2541"/>
    <w:rsid w:val="004C6910"/>
    <w:rsid w:val="004D305E"/>
    <w:rsid w:val="004D3E28"/>
    <w:rsid w:val="004D4277"/>
    <w:rsid w:val="004D6473"/>
    <w:rsid w:val="005014AD"/>
    <w:rsid w:val="00502516"/>
    <w:rsid w:val="00505F06"/>
    <w:rsid w:val="00506828"/>
    <w:rsid w:val="0053056E"/>
    <w:rsid w:val="00533DA4"/>
    <w:rsid w:val="005477F9"/>
    <w:rsid w:val="00554FDA"/>
    <w:rsid w:val="00557081"/>
    <w:rsid w:val="005B31B5"/>
    <w:rsid w:val="005C0875"/>
    <w:rsid w:val="005C784C"/>
    <w:rsid w:val="005D17F6"/>
    <w:rsid w:val="005E5539"/>
    <w:rsid w:val="00602BF5"/>
    <w:rsid w:val="00617FDD"/>
    <w:rsid w:val="00633614"/>
    <w:rsid w:val="00633F68"/>
    <w:rsid w:val="00636EB2"/>
    <w:rsid w:val="006375B8"/>
    <w:rsid w:val="00656B77"/>
    <w:rsid w:val="0066510A"/>
    <w:rsid w:val="00673F9F"/>
    <w:rsid w:val="006764F1"/>
    <w:rsid w:val="00686953"/>
    <w:rsid w:val="00687DEA"/>
    <w:rsid w:val="00687E67"/>
    <w:rsid w:val="006909DC"/>
    <w:rsid w:val="006967F7"/>
    <w:rsid w:val="006A250C"/>
    <w:rsid w:val="006A65A5"/>
    <w:rsid w:val="006B21D3"/>
    <w:rsid w:val="006B57D0"/>
    <w:rsid w:val="006C20C3"/>
    <w:rsid w:val="006D30FF"/>
    <w:rsid w:val="006D4675"/>
    <w:rsid w:val="006D6940"/>
    <w:rsid w:val="006F11EC"/>
    <w:rsid w:val="0070082C"/>
    <w:rsid w:val="00725077"/>
    <w:rsid w:val="007369E6"/>
    <w:rsid w:val="00746E59"/>
    <w:rsid w:val="00754C9A"/>
    <w:rsid w:val="0075599A"/>
    <w:rsid w:val="00761D52"/>
    <w:rsid w:val="0077749E"/>
    <w:rsid w:val="007825ED"/>
    <w:rsid w:val="00787C80"/>
    <w:rsid w:val="00790ADA"/>
    <w:rsid w:val="007D2288"/>
    <w:rsid w:val="007E088F"/>
    <w:rsid w:val="007F61F3"/>
    <w:rsid w:val="007F7B32"/>
    <w:rsid w:val="00803527"/>
    <w:rsid w:val="00804BC2"/>
    <w:rsid w:val="0081431A"/>
    <w:rsid w:val="00825174"/>
    <w:rsid w:val="0083216F"/>
    <w:rsid w:val="00841EBD"/>
    <w:rsid w:val="00856782"/>
    <w:rsid w:val="00860000"/>
    <w:rsid w:val="00863BD3"/>
    <w:rsid w:val="008641ED"/>
    <w:rsid w:val="00866D66"/>
    <w:rsid w:val="008671C6"/>
    <w:rsid w:val="00875803"/>
    <w:rsid w:val="008810D3"/>
    <w:rsid w:val="008A4597"/>
    <w:rsid w:val="008A5658"/>
    <w:rsid w:val="008B3F0D"/>
    <w:rsid w:val="008B459E"/>
    <w:rsid w:val="008B5DC4"/>
    <w:rsid w:val="008D5D62"/>
    <w:rsid w:val="008E13AE"/>
    <w:rsid w:val="008E1506"/>
    <w:rsid w:val="008E710C"/>
    <w:rsid w:val="008F69D6"/>
    <w:rsid w:val="00902823"/>
    <w:rsid w:val="00915CA6"/>
    <w:rsid w:val="00917032"/>
    <w:rsid w:val="00927834"/>
    <w:rsid w:val="009500A6"/>
    <w:rsid w:val="00957C18"/>
    <w:rsid w:val="00964D0D"/>
    <w:rsid w:val="009659BA"/>
    <w:rsid w:val="00975A41"/>
    <w:rsid w:val="00983040"/>
    <w:rsid w:val="009B3FB9"/>
    <w:rsid w:val="009B6B47"/>
    <w:rsid w:val="009C2465"/>
    <w:rsid w:val="009D35A0"/>
    <w:rsid w:val="009D7EB7"/>
    <w:rsid w:val="009E048A"/>
    <w:rsid w:val="009E08E9"/>
    <w:rsid w:val="009E3DB9"/>
    <w:rsid w:val="009E6E35"/>
    <w:rsid w:val="009F0EDA"/>
    <w:rsid w:val="00A0031F"/>
    <w:rsid w:val="00A03B96"/>
    <w:rsid w:val="00A05B19"/>
    <w:rsid w:val="00A1134E"/>
    <w:rsid w:val="00A12423"/>
    <w:rsid w:val="00A24E7E"/>
    <w:rsid w:val="00A258C3"/>
    <w:rsid w:val="00A347C0"/>
    <w:rsid w:val="00A51431"/>
    <w:rsid w:val="00A539AD"/>
    <w:rsid w:val="00A643A7"/>
    <w:rsid w:val="00A9037D"/>
    <w:rsid w:val="00A94063"/>
    <w:rsid w:val="00AA6219"/>
    <w:rsid w:val="00AA74E0"/>
    <w:rsid w:val="00AB1E31"/>
    <w:rsid w:val="00AB703F"/>
    <w:rsid w:val="00AC6BB8"/>
    <w:rsid w:val="00AE008F"/>
    <w:rsid w:val="00B01FCD"/>
    <w:rsid w:val="00B1776C"/>
    <w:rsid w:val="00B2615A"/>
    <w:rsid w:val="00B52583"/>
    <w:rsid w:val="00B52896"/>
    <w:rsid w:val="00B57BC1"/>
    <w:rsid w:val="00B95236"/>
    <w:rsid w:val="00B96BD9"/>
    <w:rsid w:val="00BA1B01"/>
    <w:rsid w:val="00BA2641"/>
    <w:rsid w:val="00BB37AA"/>
    <w:rsid w:val="00BC53A0"/>
    <w:rsid w:val="00BE20E1"/>
    <w:rsid w:val="00BE62AD"/>
    <w:rsid w:val="00BF121F"/>
    <w:rsid w:val="00BF1F80"/>
    <w:rsid w:val="00BF5421"/>
    <w:rsid w:val="00C166EF"/>
    <w:rsid w:val="00C17EB0"/>
    <w:rsid w:val="00C200E0"/>
    <w:rsid w:val="00C207A5"/>
    <w:rsid w:val="00C27F5F"/>
    <w:rsid w:val="00C30A0F"/>
    <w:rsid w:val="00C37E61"/>
    <w:rsid w:val="00C42725"/>
    <w:rsid w:val="00C70F1B"/>
    <w:rsid w:val="00C71A47"/>
    <w:rsid w:val="00C71B86"/>
    <w:rsid w:val="00C7464C"/>
    <w:rsid w:val="00C85588"/>
    <w:rsid w:val="00CD32C3"/>
    <w:rsid w:val="00CD6755"/>
    <w:rsid w:val="00CD6856"/>
    <w:rsid w:val="00CE0089"/>
    <w:rsid w:val="00CE793C"/>
    <w:rsid w:val="00CF193C"/>
    <w:rsid w:val="00D173F1"/>
    <w:rsid w:val="00D33725"/>
    <w:rsid w:val="00D348E9"/>
    <w:rsid w:val="00D74CB0"/>
    <w:rsid w:val="00D8295D"/>
    <w:rsid w:val="00D848F2"/>
    <w:rsid w:val="00D9201F"/>
    <w:rsid w:val="00D939C4"/>
    <w:rsid w:val="00DA05CD"/>
    <w:rsid w:val="00DC2A65"/>
    <w:rsid w:val="00DE15F0"/>
    <w:rsid w:val="00DE5663"/>
    <w:rsid w:val="00DE78AA"/>
    <w:rsid w:val="00E053D0"/>
    <w:rsid w:val="00E15994"/>
    <w:rsid w:val="00E16642"/>
    <w:rsid w:val="00E21C57"/>
    <w:rsid w:val="00E24FB2"/>
    <w:rsid w:val="00E3114E"/>
    <w:rsid w:val="00E31A70"/>
    <w:rsid w:val="00E35B02"/>
    <w:rsid w:val="00E3642D"/>
    <w:rsid w:val="00E379DE"/>
    <w:rsid w:val="00E57BDA"/>
    <w:rsid w:val="00E66496"/>
    <w:rsid w:val="00E66B35"/>
    <w:rsid w:val="00E66E10"/>
    <w:rsid w:val="00E769F6"/>
    <w:rsid w:val="00E8407C"/>
    <w:rsid w:val="00E84F3C"/>
    <w:rsid w:val="00EA012C"/>
    <w:rsid w:val="00EC6A55"/>
    <w:rsid w:val="00ED0288"/>
    <w:rsid w:val="00EE52CB"/>
    <w:rsid w:val="00EE631C"/>
    <w:rsid w:val="00EF581D"/>
    <w:rsid w:val="00EF7FD8"/>
    <w:rsid w:val="00F06F59"/>
    <w:rsid w:val="00F17988"/>
    <w:rsid w:val="00F469F0"/>
    <w:rsid w:val="00F53273"/>
    <w:rsid w:val="00F755E4"/>
    <w:rsid w:val="00F77D02"/>
    <w:rsid w:val="00FB3A86"/>
    <w:rsid w:val="00FC4AE7"/>
    <w:rsid w:val="00FD36C8"/>
    <w:rsid w:val="00FE1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87D2F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3201"/>
    <w:rPr>
      <w:sz w:val="24"/>
      <w:szCs w:val="24"/>
      <w:lang w:val="en-PH"/>
    </w:rPr>
  </w:style>
  <w:style w:type="paragraph" w:styleId="Heading1">
    <w:name w:val="heading 1"/>
    <w:basedOn w:val="Normal"/>
    <w:next w:val="Normal"/>
    <w:link w:val="Heading1Char"/>
    <w:uiPriority w:val="9"/>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10250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57BC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rmalWeb">
    <w:name w:val="Normal (Web)"/>
    <w:basedOn w:val="Normal"/>
    <w:uiPriority w:val="99"/>
    <w:unhideWhenUsed/>
    <w:rsid w:val="00B2615A"/>
    <w:pPr>
      <w:spacing w:before="100" w:beforeAutospacing="1" w:after="100" w:afterAutospacing="1"/>
    </w:pPr>
  </w:style>
  <w:style w:type="character" w:customStyle="1" w:styleId="Heading3Char">
    <w:name w:val="Heading 3 Char"/>
    <w:basedOn w:val="DefaultParagraphFont"/>
    <w:link w:val="Heading3"/>
    <w:uiPriority w:val="9"/>
    <w:rsid w:val="00B57BC1"/>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964D0D"/>
    <w:rPr>
      <w:rFonts w:ascii="Arial" w:hAnsi="Arial"/>
      <w:b/>
      <w:kern w:val="28"/>
      <w:sz w:val="28"/>
    </w:rPr>
  </w:style>
  <w:style w:type="character" w:styleId="Strong">
    <w:name w:val="Strong"/>
    <w:basedOn w:val="DefaultParagraphFont"/>
    <w:uiPriority w:val="22"/>
    <w:qFormat/>
    <w:rsid w:val="004C2541"/>
    <w:rPr>
      <w:b/>
      <w:bCs/>
    </w:rPr>
  </w:style>
  <w:style w:type="character" w:customStyle="1" w:styleId="contents">
    <w:name w:val="contents"/>
    <w:basedOn w:val="DefaultParagraphFont"/>
    <w:rsid w:val="0026707F"/>
  </w:style>
  <w:style w:type="paragraph" w:customStyle="1" w:styleId="my-2">
    <w:name w:val="my-2"/>
    <w:basedOn w:val="Normal"/>
    <w:rsid w:val="004D3E28"/>
    <w:pPr>
      <w:spacing w:before="100" w:beforeAutospacing="1" w:after="100" w:afterAutospacing="1"/>
    </w:pPr>
  </w:style>
  <w:style w:type="character" w:customStyle="1" w:styleId="inline-block">
    <w:name w:val="inline-block"/>
    <w:basedOn w:val="DefaultParagraphFont"/>
    <w:rsid w:val="004D3E28"/>
  </w:style>
  <w:style w:type="paragraph" w:customStyle="1" w:styleId="py-0">
    <w:name w:val="py-0"/>
    <w:basedOn w:val="Normal"/>
    <w:rsid w:val="00E24FB2"/>
    <w:pPr>
      <w:spacing w:before="100" w:beforeAutospacing="1" w:after="100" w:afterAutospacing="1"/>
    </w:pPr>
  </w:style>
  <w:style w:type="character" w:styleId="HTMLCode">
    <w:name w:val="HTML Code"/>
    <w:basedOn w:val="DefaultParagraphFont"/>
    <w:uiPriority w:val="99"/>
    <w:semiHidden/>
    <w:unhideWhenUsed/>
    <w:rsid w:val="00E24FB2"/>
    <w:rPr>
      <w:rFonts w:ascii="Courier New" w:eastAsia="Times New Roman" w:hAnsi="Courier New" w:cs="Courier New"/>
      <w:sz w:val="20"/>
      <w:szCs w:val="20"/>
    </w:rPr>
  </w:style>
  <w:style w:type="character" w:customStyle="1" w:styleId="Heading2Char">
    <w:name w:val="Heading 2 Char"/>
    <w:basedOn w:val="DefaultParagraphFont"/>
    <w:link w:val="Heading2"/>
    <w:semiHidden/>
    <w:rsid w:val="00102507"/>
    <w:rPr>
      <w:rFonts w:asciiTheme="majorHAnsi" w:eastAsiaTheme="majorEastAsia" w:hAnsiTheme="majorHAnsi" w:cstheme="majorBidi"/>
      <w:color w:val="365F91" w:themeColor="accent1" w:themeShade="BF"/>
      <w:sz w:val="26"/>
      <w:szCs w:val="26"/>
      <w:lang w:val="en-PH"/>
    </w:rPr>
  </w:style>
  <w:style w:type="paragraph" w:customStyle="1" w:styleId="pdq2pgselectionanchorcontainer">
    <w:name w:val="pdq2pg_selectionanchorcontainer"/>
    <w:basedOn w:val="Normal"/>
    <w:rsid w:val="00825174"/>
    <w:pPr>
      <w:spacing w:before="100" w:beforeAutospacing="1" w:after="100" w:afterAutospacing="1"/>
    </w:pPr>
  </w:style>
  <w:style w:type="character" w:customStyle="1" w:styleId="apple-converted-space">
    <w:name w:val="apple-converted-space"/>
    <w:basedOn w:val="DefaultParagraphFont"/>
    <w:rsid w:val="002856DD"/>
  </w:style>
  <w:style w:type="paragraph" w:styleId="ListParagraph">
    <w:name w:val="List Paragraph"/>
    <w:basedOn w:val="Normal"/>
    <w:uiPriority w:val="34"/>
    <w:qFormat/>
    <w:rsid w:val="00A00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16/j.glmedi.2024.100051?utm_source=chatgpt.com" TargetMode="External"/><Relationship Id="rId26" Type="http://schemas.openxmlformats.org/officeDocument/2006/relationships/hyperlink" Target="https://doi.org/10.18608/jla.2024.8529?utm_source=chatgpt.com" TargetMode="External"/><Relationship Id="rId39" Type="http://schemas.openxmlformats.org/officeDocument/2006/relationships/hyperlink" Target="https://doi.org/10.1007/s10639-024-12978-4?utm_source=chatgpt.com" TargetMode="External"/><Relationship Id="rId21" Type="http://schemas.openxmlformats.org/officeDocument/2006/relationships/hyperlink" Target="https://help.anthology.com/blackboard/instructor/en/analytics/student-activity-log.html?utm_source=chatgpt.com" TargetMode="External"/><Relationship Id="rId34" Type="http://schemas.openxmlformats.org/officeDocument/2006/relationships/hyperlink" Target="https://developerdocs.instructure.com/services/canvas/resources/analytics?utm_source=chatgpt.com" TargetMode="External"/><Relationship Id="rId42" Type="http://schemas.openxmlformats.org/officeDocument/2006/relationships/hyperlink" Target="https://doi.org/10.1016/j.learninstruc.2025.102120?utm_source=chatgpt.com" TargetMode="External"/><Relationship Id="rId47" Type="http://schemas.openxmlformats.org/officeDocument/2006/relationships/hyperlink" Target="https://doi.org/10.1007/s10639-023-12401-4?utm_source=chatgpt.com" TargetMode="External"/><Relationship Id="rId50" Type="http://schemas.openxmlformats.org/officeDocument/2006/relationships/hyperlink" Target="https://doi.org/10.1186/s41239-025-00515-3?utm_source=chatgpt.com" TargetMode="External"/><Relationship Id="rId55" Type="http://schemas.openxmlformats.org/officeDocument/2006/relationships/hyperlink" Target="https://doi.org/10.1038/s41598-025-90142-9?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1111/jcal.13088?utm_source=chatgpt.com" TargetMode="External"/><Relationship Id="rId11" Type="http://schemas.openxmlformats.org/officeDocument/2006/relationships/footer" Target="footer2.xml"/><Relationship Id="rId24" Type="http://schemas.openxmlformats.org/officeDocument/2006/relationships/hyperlink" Target="https://doi.org/10.1037/edu0000890?utm_source=chatgpt.com" TargetMode="External"/><Relationship Id="rId32" Type="http://schemas.openxmlformats.org/officeDocument/2006/relationships/hyperlink" Target="https://doi.org/10.1186/s41239-025-00523-3?utm_source=chatgpt.com" TargetMode="External"/><Relationship Id="rId37" Type="http://schemas.openxmlformats.org/officeDocument/2006/relationships/hyperlink" Target="https://doi.org/10.1016/j.iheduc.2026.101078?utm_source=chatgpt.com" TargetMode="External"/><Relationship Id="rId40" Type="http://schemas.openxmlformats.org/officeDocument/2006/relationships/hyperlink" Target="https://doi.org/10.1007/s12528-024-09416-2?utm_source=chatgpt.com" TargetMode="External"/><Relationship Id="rId45" Type="http://schemas.openxmlformats.org/officeDocument/2006/relationships/hyperlink" Target="https://doi.org/10.1177/16094069241236603?utm_source=chatgpt.com" TargetMode="External"/><Relationship Id="rId53" Type="http://schemas.openxmlformats.org/officeDocument/2006/relationships/hyperlink" Target="https://doi.org/10.3389/fpsyg.2024.1396881?utm_source=chatgpt.com" TargetMode="External"/><Relationship Id="rId5" Type="http://schemas.openxmlformats.org/officeDocument/2006/relationships/webSettings" Target="webSettings.xml"/><Relationship Id="rId19" Type="http://schemas.openxmlformats.org/officeDocument/2006/relationships/hyperlink" Target="https://doi.org/10.9734/ajess/2025/v51i112643?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doi.org/10.1016/j.caeai.2024.100232?utm_source=chatgpt.com" TargetMode="External"/><Relationship Id="rId27" Type="http://schemas.openxmlformats.org/officeDocument/2006/relationships/hyperlink" Target="https://doi.org/10.1111/jcal.70015?utm_source=chatgpt.com" TargetMode="External"/><Relationship Id="rId30" Type="http://schemas.openxmlformats.org/officeDocument/2006/relationships/hyperlink" Target="https://doi.org/10.1007/s40692-025-00358-x?utm_source=chatgpt.com" TargetMode="External"/><Relationship Id="rId35" Type="http://schemas.openxmlformats.org/officeDocument/2006/relationships/hyperlink" Target="https://doi.org/10.30940/JQI.2024.10.3.25?utm_source=chatgpt.com" TargetMode="External"/><Relationship Id="rId43" Type="http://schemas.openxmlformats.org/officeDocument/2006/relationships/hyperlink" Target="https://doi.org/10.1080/2331186X.2024.2345939?utm_source=chatgpt.com" TargetMode="External"/><Relationship Id="rId48" Type="http://schemas.openxmlformats.org/officeDocument/2006/relationships/hyperlink" Target="https://doi.org/10.1007/s10648-025-09989-z?utm_source=chatgpt.com" TargetMode="Externa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yperlink" Target="https://doi.org/10.1016/j.ijme.2025.101184?utm_source=chatgpt.com"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https://community.d2l.com/brightspace/kb/articles/4545-engagement-dashboard?utm_source=chatgpt.com" TargetMode="External"/><Relationship Id="rId33" Type="http://schemas.openxmlformats.org/officeDocument/2006/relationships/hyperlink" Target="https://doi.org/10.1177/1049732305276687?utm_source=chatgpt.com" TargetMode="External"/><Relationship Id="rId38" Type="http://schemas.openxmlformats.org/officeDocument/2006/relationships/hyperlink" Target="https://doi.org/10.1007/s10459-024-10358-8?utm_source=chatgpt.com" TargetMode="External"/><Relationship Id="rId46" Type="http://schemas.openxmlformats.org/officeDocument/2006/relationships/hyperlink" Target="https://doi.org/10.18608/jla.2025.8663?utm_source=chatgpt.com" TargetMode="External"/><Relationship Id="rId20" Type="http://schemas.openxmlformats.org/officeDocument/2006/relationships/hyperlink" Target="https://doi.org/10.1111/jcal.12982?utm_source=chatgpt.com" TargetMode="External"/><Relationship Id="rId41" Type="http://schemas.openxmlformats.org/officeDocument/2006/relationships/hyperlink" Target="https://doi.org/10.1007/s12528-025-09432-w?utm_source=chatgpt.com" TargetMode="External"/><Relationship Id="rId54" Type="http://schemas.openxmlformats.org/officeDocument/2006/relationships/hyperlink" Target="https://doi.org/10.1016/j.compedu.2025.105434?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yperlink" Target="https://doi.org/10.1186/s41239-024-00493-y?utm_source=chatgpt.com" TargetMode="External"/><Relationship Id="rId28" Type="http://schemas.openxmlformats.org/officeDocument/2006/relationships/hyperlink" Target="https://doi.org/10.1111/jcal.12894?utm_source=chatgpt.com" TargetMode="External"/><Relationship Id="rId36" Type="http://schemas.openxmlformats.org/officeDocument/2006/relationships/hyperlink" Target="https://doi.org/10.1016/j.compedu.2025.105280?utm_source=chatgpt.com" TargetMode="External"/><Relationship Id="rId49" Type="http://schemas.openxmlformats.org/officeDocument/2006/relationships/hyperlink" Target="https://doi.org/10.56557/ajocr/2024/v9i49018?utm_source=chatgpt.com" TargetMode="Externa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doi.org/10.1016/j.ssaho.2023.100794?utm_source=chatgpt.com" TargetMode="External"/><Relationship Id="rId44" Type="http://schemas.openxmlformats.org/officeDocument/2006/relationships/hyperlink" Target="https://docs.moodle.org/500/en/Learning_analytics?utm_source=chatgpt.com" TargetMode="External"/><Relationship Id="rId52" Type="http://schemas.openxmlformats.org/officeDocument/2006/relationships/hyperlink" Target="https://doi.org/10.1080/1475939X.2025.2465437?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28</TotalTime>
  <Pages>21</Pages>
  <Words>11045</Words>
  <Characters>62959</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73857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37</cp:revision>
  <cp:lastPrinted>1999-07-06T11:00:00Z</cp:lastPrinted>
  <dcterms:created xsi:type="dcterms:W3CDTF">2026-09-08T18:57:00Z</dcterms:created>
  <dcterms:modified xsi:type="dcterms:W3CDTF">2026-09-15T09:29:00Z</dcterms:modified>
</cp:coreProperties>
</file>