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EA4E4E" w14:textId="77777777" w:rsidR="00C200E0" w:rsidRPr="00C200E0" w:rsidRDefault="00C200E0" w:rsidP="00C200E0">
      <w:pPr>
        <w:pStyle w:val="Title"/>
        <w:jc w:val="both"/>
        <w:rPr>
          <w:rFonts w:ascii="Arial" w:hAnsi="Arial" w:cs="Arial"/>
          <w:bCs/>
          <w:i/>
          <w:iCs/>
          <w:u w:val="single"/>
          <w:lang w:val="en-US"/>
        </w:rPr>
      </w:pPr>
      <w:r w:rsidRPr="00C200E0">
        <w:rPr>
          <w:rFonts w:ascii="Arial" w:hAnsi="Arial" w:cs="Arial"/>
          <w:bCs/>
          <w:i/>
          <w:iCs/>
          <w:u w:val="single"/>
          <w:lang w:val="en-US"/>
        </w:rPr>
        <w:t>Original Research Article</w:t>
      </w:r>
    </w:p>
    <w:p w14:paraId="0F513ABF" w14:textId="77777777" w:rsidR="00754C9A" w:rsidRDefault="00754C9A" w:rsidP="00441B6F">
      <w:pPr>
        <w:pStyle w:val="Title"/>
        <w:spacing w:after="0"/>
        <w:jc w:val="both"/>
        <w:rPr>
          <w:rFonts w:ascii="Arial" w:hAnsi="Arial" w:cs="Arial"/>
        </w:rPr>
      </w:pPr>
    </w:p>
    <w:p w14:paraId="3A475D25" w14:textId="54D18A62" w:rsidR="00163BC4" w:rsidRPr="00163BC4" w:rsidRDefault="00975A41" w:rsidP="00441B6F">
      <w:pPr>
        <w:pStyle w:val="Author"/>
        <w:spacing w:line="240" w:lineRule="auto"/>
        <w:rPr>
          <w:rFonts w:ascii="Arial" w:hAnsi="Arial" w:cs="Arial"/>
          <w:bCs/>
          <w:iCs/>
          <w:kern w:val="28"/>
          <w:sz w:val="36"/>
        </w:rPr>
      </w:pPr>
      <w:r w:rsidRPr="00975A41">
        <w:rPr>
          <w:rFonts w:ascii="Arial" w:hAnsi="Arial" w:cs="Arial"/>
          <w:color w:val="000000"/>
          <w:sz w:val="36"/>
          <w:szCs w:val="36"/>
        </w:rPr>
        <w:t>Measuring Student Engagement Through LMS Analytics: A Comparative Content Analysis of Moodle, Canvas, Blackboard Learn, and D2L Brightspace</w:t>
      </w:r>
    </w:p>
    <w:p w14:paraId="5ECD3147" w14:textId="77777777" w:rsidR="00A258C3" w:rsidRPr="00790ADA" w:rsidRDefault="00A258C3" w:rsidP="00441B6F">
      <w:pPr>
        <w:pStyle w:val="Author"/>
        <w:spacing w:line="240" w:lineRule="auto"/>
        <w:jc w:val="both"/>
        <w:rPr>
          <w:rFonts w:ascii="Arial" w:hAnsi="Arial" w:cs="Arial"/>
          <w:sz w:val="36"/>
        </w:rPr>
      </w:pPr>
    </w:p>
    <w:p w14:paraId="4F9C6A78" w14:textId="77777777" w:rsidR="00841EBD" w:rsidRPr="00FB3A86" w:rsidRDefault="00841EBD" w:rsidP="00441B6F">
      <w:pPr>
        <w:pStyle w:val="Affiliation"/>
        <w:spacing w:after="0" w:line="240" w:lineRule="auto"/>
        <w:jc w:val="both"/>
        <w:rPr>
          <w:rFonts w:ascii="Arial" w:hAnsi="Arial" w:cs="Arial"/>
        </w:rPr>
      </w:pPr>
    </w:p>
    <w:p w14:paraId="466F1672" w14:textId="77777777" w:rsidR="00B01FCD" w:rsidRPr="00FB3A86" w:rsidRDefault="00FC4AE7" w:rsidP="00441B6F">
      <w:pPr>
        <w:pStyle w:val="Copyright"/>
        <w:spacing w:after="0" w:line="240" w:lineRule="auto"/>
        <w:jc w:val="both"/>
        <w:rPr>
          <w:rFonts w:ascii="Arial" w:hAnsi="Arial" w:cs="Arial"/>
        </w:rPr>
        <w:sectPr w:rsidR="00B01FCD" w:rsidRPr="00FB3A86" w:rsidSect="008A4597">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08EFAC1B" wp14:editId="6DAA30CB">
                <wp:extent cx="5303520" cy="635"/>
                <wp:effectExtent l="0" t="12700" r="5080" b="12065"/>
                <wp:docPr id="6462551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C6F34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" strokeweight="1.5pt">
                <o:lock v:ext="edit" shapetype="f"/>
                <w10:anchorlock/>
              </v:shape>
            </w:pict>
          </mc:Fallback>
        </mc:AlternateContent>
      </w:r>
      <w:r w:rsidR="00FB3A86">
        <w:rPr>
          <w:rFonts w:ascii="Arial" w:hAnsi="Arial" w:cs="Arial"/>
        </w:rPr>
        <w:t>.</w:t>
      </w:r>
    </w:p>
    <w:p w14:paraId="2EBCE071" w14:textId="3BEEC279" w:rsidR="00B01FCD" w:rsidRDefault="00B01FCD" w:rsidP="00441B6F">
      <w:pPr>
        <w:pStyle w:val="AbstHead"/>
        <w:spacing w:after="0"/>
        <w:jc w:val="both"/>
        <w:rPr>
          <w:rFonts w:ascii="Arial" w:hAnsi="Arial" w:cs="Arial"/>
        </w:rPr>
      </w:pPr>
      <w:r w:rsidRPr="00FB3A86">
        <w:rPr>
          <w:rFonts w:ascii="Arial" w:hAnsi="Arial" w:cs="Arial"/>
        </w:rPr>
        <w:t>ABSTRACT</w:t>
      </w:r>
    </w:p>
    <w:p w14:paraId="1EFB1E67"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3B97D749" w14:textId="77777777" w:rsidTr="001E44FE">
        <w:tc>
          <w:tcPr>
            <w:tcW w:w="9576" w:type="dxa"/>
            <w:shd w:val="clear" w:color="auto" w:fill="F2F2F2"/>
          </w:tcPr>
          <w:p w14:paraId="3465AC82" w14:textId="3B940BA2" w:rsidR="00505F06" w:rsidRPr="00B2615A" w:rsidRDefault="00975A41" w:rsidP="00975A41">
            <w:pPr>
              <w:pStyle w:val="NormalWeb"/>
              <w:spacing w:before="120" w:beforeAutospacing="0" w:after="120" w:afterAutospacing="0"/>
            </w:pPr>
            <w:r>
              <w:rPr>
                <w:rFonts w:ascii="Arial" w:hAnsi="Arial" w:cs="Arial"/>
                <w:color w:val="000000"/>
                <w:sz w:val="20"/>
                <w:szCs w:val="20"/>
              </w:rPr>
              <w:t xml:space="preserve">Student engagement is an increasingly significant concern in higher education as learning management systems (LMSs) generate and organize extensive data on students' learning activities and interactions. However, LMS analytics do not represent all dimensions of student engagement equally, and limited comparative evidence exists regarding how major LMS platforms publicly document engagement-related indicators. This study addresses this gap through a comparative documentary content analysis of learning analytics in Moodle, Canvas, Blackboard Learn, and D2L Brightspace. Utilizing the Student Engagement in Digital Learning (SEDL) Framework, the analysis classifies documented analytics indicators across four engagement dimensions: behavioral, cognitive, emotional, and social. The study examines publicly accessible official LMS documentation, including analytics documentation, reporting and dashboard materials, administrator and instructor documentation, and official developer or API documentation that explicitly identifies learner- or learning-related measures. A standardized search protocol, inclusion and exclusion criteria, unit of analysis, and coding procedure yielded a corpus of 101 distinct student engagement indicators. The findings demonstrate that these indicators are unevenly distributed across platforms and engagement dimensions. Behavioral indicators account for 44 indicators (43.6%), social indicators for 35 (34.7%), and cognitive indicators for 22 (21.8%), while no explicit native emotional engagement indicators were identified. Moodle presents the broadest documented measurement profile, with indicators spanning behavioral, cognitive, and social engagement, whereas Canvas, Blackboard Learn, and D2L Brightspace are more strongly concentrated on behavioral and social indicators. In total, 78.2% of the documented indicators represent behavioral or social engagement, suggesting a hierarchy of measurement visibility in which engagement that produces observable digital traces is more readily represented within native LMS analytics than cognitive or emotional engagement. These findings indicate that LMS analytics do not merely measure a pre-existing construct of student engagement; rather, they shape which aspects of engagement become visible and measurable through digital data. As the analysis relies exclusively on publicly accessible official documentation, the findings reflect documented measurement visibility and may not capture proprietary, configured, or otherwise undocumented capabilities. This study contributes to research on learning analytics and student engagement by demonstrating that comparative analysis of LMS documentation can reveal differences in how </w:t>
            </w:r>
            <w:r>
              <w:rPr>
                <w:rFonts w:ascii="Arial" w:hAnsi="Arial" w:cs="Arial"/>
                <w:color w:val="000000"/>
                <w:sz w:val="20"/>
                <w:szCs w:val="20"/>
              </w:rPr>
              <w:lastRenderedPageBreak/>
              <w:t>contemporary learning management systems operationalize and render student engagement measurable.</w:t>
            </w:r>
          </w:p>
        </w:tc>
      </w:tr>
    </w:tbl>
    <w:p w14:paraId="4B2AE01D" w14:textId="77777777" w:rsidR="00636EB2" w:rsidRDefault="00636EB2" w:rsidP="00441B6F">
      <w:pPr>
        <w:pStyle w:val="Body"/>
        <w:spacing w:after="0"/>
        <w:rPr>
          <w:rFonts w:ascii="Arial" w:hAnsi="Arial" w:cs="Arial"/>
          <w:i/>
        </w:rPr>
      </w:pPr>
    </w:p>
    <w:p w14:paraId="12FC6DE8" w14:textId="77777777" w:rsidR="00FE1013" w:rsidRPr="00FE1013" w:rsidRDefault="00975A41" w:rsidP="00441B6F">
      <w:pPr>
        <w:pStyle w:val="Body"/>
        <w:spacing w:after="0"/>
        <w:rPr>
          <w:rFonts w:ascii="Arial" w:hAnsi="Arial" w:cs="Arial"/>
          <w:i/>
          <w:iCs/>
          <w:color w:val="000000"/>
          <w:sz w:val="20"/>
          <w:szCs w:val="20"/>
        </w:rPr>
      </w:pPr>
      <w:r w:rsidRPr="00FE1013">
        <w:rPr>
          <w:rFonts w:ascii="Arial" w:hAnsi="Arial" w:cs="Arial"/>
          <w:i/>
          <w:iCs/>
          <w:color w:val="000000"/>
          <w:sz w:val="20"/>
          <w:szCs w:val="20"/>
        </w:rPr>
        <w:t xml:space="preserve">Keywords: </w:t>
      </w:r>
      <w:r w:rsidR="00FE1013" w:rsidRPr="00FE1013">
        <w:rPr>
          <w:rFonts w:ascii="Arial" w:hAnsi="Arial" w:cs="Arial"/>
          <w:i/>
          <w:iCs/>
          <w:color w:val="000000"/>
          <w:sz w:val="20"/>
          <w:szCs w:val="20"/>
        </w:rPr>
        <w:t>Learning management systems; learning analytics; student engagement; Student Engagement in Digital Learning; comparative content analysis; measurement visibility</w:t>
      </w:r>
    </w:p>
    <w:p w14:paraId="0FA747D4" w14:textId="77777777" w:rsidR="00975A41" w:rsidRPr="00A24E7E" w:rsidRDefault="00975A41" w:rsidP="00441B6F">
      <w:pPr>
        <w:pStyle w:val="Body"/>
        <w:spacing w:after="0"/>
        <w:rPr>
          <w:rFonts w:ascii="Arial" w:hAnsi="Arial" w:cs="Arial"/>
          <w:i/>
        </w:rPr>
      </w:pPr>
    </w:p>
    <w:p w14:paraId="1D1FCD70" w14:textId="073029D2"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68190951" w14:textId="77777777" w:rsidR="00790ADA" w:rsidRPr="00FB3A86" w:rsidRDefault="00790ADA" w:rsidP="00441B6F">
      <w:pPr>
        <w:pStyle w:val="AbstHead"/>
        <w:spacing w:after="0"/>
        <w:jc w:val="both"/>
        <w:rPr>
          <w:rFonts w:ascii="Arial" w:hAnsi="Arial" w:cs="Arial"/>
        </w:rPr>
      </w:pPr>
    </w:p>
    <w:p w14:paraId="1EA26E12"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Learning management systems (LMSs) are now fundamental to higher education, offering digital environments for students to access materials, complete assessments, engage in discussions, communicate with instructors and peers, and track their progress. As these activities increasingly take place on digital platforms, LMSs generate extensive records of learner interactions that can be systematically collected and analyzed. This development has driven the expansion of learning analytics in higher education, allowing institutions and educators to examine patterns of participation, learning activity, and student behavior. Recent research highlights the ongoing advancement of analytics-driven approaches, such as leveraging digital learning data to enhance learning design and extracting learner indicators from online trace data (Drugova et al., 2024; Alhazbi et al., 2024). As a result, LMSs have evolved from simple repositories of instructional materials to environments where student activity becomes observable through data.</w:t>
      </w:r>
    </w:p>
    <w:p w14:paraId="5865769D"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Student engagement is central to this development because it addresses how students participate in and experience learning. However, engagement cannot be captured by a single behavior or observable event. Recent research conceptualizes student engagement as multidimensional, with various forms of involvement reflecting distinct aspects of the learning experience. For instance, Heilporn et al. (2024) developed and validated a multidimensional measure of student engagement in higher education, distinguishing emotional-cognitive, social, agentic, and behavioral dimensions across face-to-face, blended, and online modalities. Similarly, Reeve et al. (2025) demonstrated through a large meta-analysis that different forms of engagement serve distinct functions related to achievement, social support, motivation, and well-being. These findings underscore the necessity of examining engagement through multiple dimensions rather than relying solely on participation counts or isolated measures.</w:t>
      </w:r>
    </w:p>
    <w:p w14:paraId="47844937"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This study operationalizes the multidimensional perspective using the Student Engagement in Digital Learning (SEDL) Framework, which differentiates behavioral, cognitive, emotional, and social dimensions of engagement in digitally mediated learning (Bergdahl et al., 2024). The framework enables analysis not only of the availability of engagement-related data, but also of which specific dimensions are explicitly represented in LMS analytics. This distinction is significant because different forms of engagement may produce varying types and quantities of observable digital evidence.</w:t>
      </w:r>
    </w:p>
    <w:p w14:paraId="38F99733"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The measurement challenge is therefore not limited to whether LMSs generate learner data, but extends to what these data can reasonably represent. LMSs can record logins, resource access, assignment submissions, discussion activity, and time spent interacting with course materials. These records provide scalable evidence of learner activity. For example, McKenna et al. (2024) used LMS data to quantify patterns of online engagement among undergraduates by analyzing the frequency and timing of resource access. However, an observable trace does not necessarily reveal the underlying psychological or educational process it may signify. An access event may indicate interaction with a resource without confirming attention, comprehension, motivation, or emotional involvement.</w:t>
      </w:r>
    </w:p>
    <w:p w14:paraId="5A2A5FA9" w14:textId="04D28ED5"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This issue becomes more significant when analytics are employed to represent complex learning processes. Alhazbi et al. (2024) found that learning analytics researchers have extracted various indicators from LMS trace data to examine self-regulated learning, including engagement, regularity, and time-management measures, while emphasizing the </w:t>
      </w:r>
      <w:r w:rsidRPr="001C63E6">
        <w:rPr>
          <w:rFonts w:ascii="Arial" w:hAnsi="Arial" w:cs="Arial"/>
          <w:color w:val="000000"/>
          <w:sz w:val="20"/>
          <w:szCs w:val="20"/>
        </w:rPr>
        <w:lastRenderedPageBreak/>
        <w:t>need to validate such indicators against theoretical models. Similarly, Bernacki et al. (202</w:t>
      </w:r>
      <w:r w:rsidR="0042734B">
        <w:rPr>
          <w:rFonts w:ascii="Arial" w:hAnsi="Arial" w:cs="Arial"/>
          <w:color w:val="000000"/>
          <w:sz w:val="20"/>
          <w:szCs w:val="20"/>
        </w:rPr>
        <w:t>5</w:t>
      </w:r>
      <w:r w:rsidRPr="001C63E6">
        <w:rPr>
          <w:rFonts w:ascii="Arial" w:hAnsi="Arial" w:cs="Arial"/>
          <w:color w:val="000000"/>
          <w:sz w:val="20"/>
          <w:szCs w:val="20"/>
        </w:rPr>
        <w:t>) demonstrated that digital events can be validated as traces of self-regulated learning processes, highlighting that the relationship between an observable event and the inferred construct cannot be assumed. Thus, the increasing availability of detailed learner data does not imply that student engagement is comprehensively measurable.</w:t>
      </w:r>
    </w:p>
    <w:p w14:paraId="26A4B1F5"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The central issue, therefore, is which aspects of student engagement are represented as measurable indicators within an LMS. Behavioral engagement aligns well with digital measurement because many behavioral activities generate discrete records. Social engagement can also be observed through discussion participation, messaging, collaboration, and other recorded interactions. In contrast, cognitive and emotional engagement are less directly observable through standard LMS activity records. Recent research on online learning demonstrates that engagement is shaped by multiple interacting dimensions and factors, including motivation, attitudes, interactions, and learning behaviors (Zhang et al., 2025). Consequently, the types of data an LMS records and organizes influence which dimensions of engagement are available for analysis.</w:t>
      </w:r>
    </w:p>
    <w:p w14:paraId="174BDC7F"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These considerations have significant implications for the interpretation and application of learning analytics. Analytics can inform learning design, instructional decision-making, and students’ understanding of their own learning. For example, Drugova et al. (2024) examined analytics-driven improvements in higher education learning design and highlighted the increasing interest in linking analytics with pedagogical decisions. However, the value of analytics depends in part on whether the generated indicators meaningfully correspond to the learning processes they are intended to represent. Determining what an analytics system measures is therefore fundamental to understanding the legitimacy of its interpretations and applications.</w:t>
      </w:r>
    </w:p>
    <w:p w14:paraId="5456BB78"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Despite the growing literature on learning analytics, student engagement, and LMS-generated data, a key comparative issue remains underexplored. Existing research has examined engagement using surveys, LMS trace data, learning analytics models, dashboards, and empirical interventions. Some studies have developed or validated specific indicators of engagement or related learning processes. However, less attention has been given to LMS platforms themselves as documented measurement systems. Specifically, there is limited comparative evidence regarding which student-engagement indicators major LMS platforms publicly identify, how these indicators correspond to different engagement dimensions, and whether comparable forms of engagement measurement are documented across platforms.</w:t>
      </w:r>
    </w:p>
    <w:p w14:paraId="1E62C170"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Examining LMS documentation offers a distinct approach to addressing this gap. The focus is not on whether students using one platform are more engaged or whether a particular indicator better predicts academic success. Instead, the central question concerns what the LMS platform explicitly identifies as a measurable learner- or learning-related characteristic. This perspective emphasizes the documented measurement architecture of LMS analytics. Since providers organize and describe analytics using varying terminology, detail, and reporting structures, meaningful comparison requires a common conceptual framework and a standardized definition of engagement indicators.</w:t>
      </w:r>
    </w:p>
    <w:p w14:paraId="4DA3AD2B"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Accordingly, this study examines Moodle, Canvas, Blackboard Learn, and D2L Brightspace through a comparative documentary content analysis of their publicly accessible official analytics documentation. The SEDL Framework is used to classify documented indicators according to behavioral, cognitive, emotional, and social engagement (Bergdahl et al., 2024). The analysis focuses specifically on documented measurement visibility: what each LMS platform explicitly provides as learner- or learning-related analytics indicators under a standardized documentary protocol. The study does not assume that undocumented capabilities are absent, nor does it interpret the number of documented indicators as a measure of analytics quality or platform sophistication.</w:t>
      </w:r>
    </w:p>
    <w:p w14:paraId="1B372F67"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The study aimed to: </w:t>
      </w:r>
      <w:r w:rsidRPr="001C63E6">
        <w:rPr>
          <w:rFonts w:ascii="Arial" w:hAnsi="Arial" w:cs="Arial"/>
          <w:b/>
          <w:bCs/>
          <w:color w:val="000000"/>
          <w:sz w:val="20"/>
          <w:szCs w:val="20"/>
        </w:rPr>
        <w:t>(1)</w:t>
      </w:r>
      <w:r w:rsidRPr="001C63E6">
        <w:rPr>
          <w:rFonts w:ascii="Arial" w:hAnsi="Arial" w:cs="Arial"/>
          <w:color w:val="000000"/>
          <w:sz w:val="20"/>
          <w:szCs w:val="20"/>
        </w:rPr>
        <w:t xml:space="preserve"> identify the student-engagement indicators publicly documented in Moodle, Canvas, Blackboard Learn, and D2L Brightspace; </w:t>
      </w:r>
      <w:r w:rsidRPr="001C63E6">
        <w:rPr>
          <w:rFonts w:ascii="Arial" w:hAnsi="Arial" w:cs="Arial"/>
          <w:b/>
          <w:bCs/>
          <w:color w:val="000000"/>
          <w:sz w:val="20"/>
          <w:szCs w:val="20"/>
        </w:rPr>
        <w:t>(2)</w:t>
      </w:r>
      <w:r w:rsidRPr="001C63E6">
        <w:rPr>
          <w:rFonts w:ascii="Arial" w:hAnsi="Arial" w:cs="Arial"/>
          <w:color w:val="000000"/>
          <w:sz w:val="20"/>
          <w:szCs w:val="20"/>
        </w:rPr>
        <w:t xml:space="preserve"> classify these indicators </w:t>
      </w:r>
      <w:r w:rsidRPr="001C63E6">
        <w:rPr>
          <w:rFonts w:ascii="Arial" w:hAnsi="Arial" w:cs="Arial"/>
          <w:color w:val="000000"/>
          <w:sz w:val="20"/>
          <w:szCs w:val="20"/>
        </w:rPr>
        <w:lastRenderedPageBreak/>
        <w:t xml:space="preserve">according to the behavioral, cognitive, emotional, and social dimensions of student engagement; </w:t>
      </w:r>
      <w:r w:rsidRPr="001C63E6">
        <w:rPr>
          <w:rFonts w:ascii="Arial" w:hAnsi="Arial" w:cs="Arial"/>
          <w:b/>
          <w:bCs/>
          <w:color w:val="000000"/>
          <w:sz w:val="20"/>
          <w:szCs w:val="20"/>
        </w:rPr>
        <w:t>(3)</w:t>
      </w:r>
      <w:r w:rsidRPr="001C63E6">
        <w:rPr>
          <w:rFonts w:ascii="Arial" w:hAnsi="Arial" w:cs="Arial"/>
          <w:color w:val="000000"/>
          <w:sz w:val="20"/>
          <w:szCs w:val="20"/>
        </w:rPr>
        <w:t xml:space="preserve"> compare the four LMS platforms in terms of their documented student-engagement dimensions and measurement patterns; and </w:t>
      </w:r>
      <w:r w:rsidRPr="001C63E6">
        <w:rPr>
          <w:rFonts w:ascii="Arial" w:hAnsi="Arial" w:cs="Arial"/>
          <w:b/>
          <w:bCs/>
          <w:color w:val="000000"/>
          <w:sz w:val="20"/>
          <w:szCs w:val="20"/>
        </w:rPr>
        <w:t>(4)</w:t>
      </w:r>
      <w:r w:rsidRPr="001C63E6">
        <w:rPr>
          <w:rFonts w:ascii="Arial" w:hAnsi="Arial" w:cs="Arial"/>
          <w:color w:val="000000"/>
          <w:sz w:val="20"/>
          <w:szCs w:val="20"/>
        </w:rPr>
        <w:t xml:space="preserve"> interpret what the distribution of documented indicators reveals about how contemporary LMS analytics conceptualize and operationalize student engagement.</w:t>
      </w:r>
    </w:p>
    <w:p w14:paraId="2F2241A9"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These objectives were addressed through the following research questions:</w:t>
      </w:r>
    </w:p>
    <w:p w14:paraId="503DAF8F"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RQ1.</w:t>
      </w:r>
      <w:r w:rsidRPr="001C63E6">
        <w:rPr>
          <w:rFonts w:ascii="Arial" w:hAnsi="Arial" w:cs="Arial"/>
          <w:color w:val="000000"/>
          <w:sz w:val="20"/>
          <w:szCs w:val="20"/>
        </w:rPr>
        <w:t xml:space="preserve"> What student-engagement indicators are publicly documented in Moodle, Canvas, Blackboard Learn, and D2L Brightspace?</w:t>
      </w:r>
    </w:p>
    <w:p w14:paraId="6984DF82"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RQ2.</w:t>
      </w:r>
      <w:r w:rsidRPr="001C63E6">
        <w:rPr>
          <w:rFonts w:ascii="Arial" w:hAnsi="Arial" w:cs="Arial"/>
          <w:color w:val="000000"/>
          <w:sz w:val="20"/>
          <w:szCs w:val="20"/>
        </w:rPr>
        <w:t xml:space="preserve"> How are the documented LMS analytics indicators distributed across the behavioral, cognitive, emotional, and social dimensions of student engagement?</w:t>
      </w:r>
    </w:p>
    <w:p w14:paraId="297F60E9"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RQ3.</w:t>
      </w:r>
      <w:r w:rsidRPr="001C63E6">
        <w:rPr>
          <w:rFonts w:ascii="Arial" w:hAnsi="Arial" w:cs="Arial"/>
          <w:color w:val="000000"/>
          <w:sz w:val="20"/>
          <w:szCs w:val="20"/>
        </w:rPr>
        <w:t xml:space="preserve"> How do the four LMS platforms differ in their representation of student-engagement dimensions and measurement patterns?</w:t>
      </w:r>
    </w:p>
    <w:p w14:paraId="16B58697"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RQ4.</w:t>
      </w:r>
      <w:r w:rsidRPr="001C63E6">
        <w:rPr>
          <w:rFonts w:ascii="Arial" w:hAnsi="Arial" w:cs="Arial"/>
          <w:color w:val="000000"/>
          <w:sz w:val="20"/>
          <w:szCs w:val="20"/>
        </w:rPr>
        <w:t xml:space="preserve"> What does the distribution of LMS analytics indicators reveal about how contemporary learning management systems conceptualize and make student engagement measurable?</w:t>
      </w:r>
    </w:p>
    <w:p w14:paraId="489AAA3F" w14:textId="77777777" w:rsidR="00790ADA" w:rsidRPr="00244F25" w:rsidRDefault="00790ADA" w:rsidP="00441B6F">
      <w:pPr>
        <w:pStyle w:val="Body"/>
        <w:spacing w:after="0"/>
        <w:rPr>
          <w:rFonts w:ascii="Arial" w:hAnsi="Arial" w:cs="Arial"/>
          <w:sz w:val="20"/>
          <w:szCs w:val="20"/>
        </w:rPr>
      </w:pPr>
    </w:p>
    <w:p w14:paraId="708212B8" w14:textId="643D93AC" w:rsidR="007F7B32" w:rsidRDefault="00902823" w:rsidP="00441B6F">
      <w:pPr>
        <w:pStyle w:val="AbstHead"/>
        <w:spacing w:after="0"/>
        <w:jc w:val="both"/>
        <w:rPr>
          <w:rFonts w:ascii="Arial" w:hAnsi="Arial" w:cs="Arial"/>
        </w:rPr>
      </w:pPr>
      <w:r>
        <w:rPr>
          <w:rFonts w:ascii="Arial" w:hAnsi="Arial" w:cs="Arial"/>
        </w:rPr>
        <w:t xml:space="preserve">2. </w:t>
      </w:r>
      <w:r w:rsidR="00360E33">
        <w:rPr>
          <w:rFonts w:ascii="Arial" w:hAnsi="Arial" w:cs="Arial"/>
        </w:rPr>
        <w:t>METHODOLOGY</w:t>
      </w:r>
    </w:p>
    <w:p w14:paraId="491502E5" w14:textId="77777777" w:rsidR="00790ADA" w:rsidRPr="00FB3A86" w:rsidRDefault="00790ADA" w:rsidP="00441B6F">
      <w:pPr>
        <w:pStyle w:val="AbstHead"/>
        <w:spacing w:after="0"/>
        <w:jc w:val="both"/>
        <w:rPr>
          <w:rFonts w:ascii="Arial" w:hAnsi="Arial" w:cs="Arial"/>
        </w:rPr>
      </w:pPr>
    </w:p>
    <w:p w14:paraId="2C54C94A" w14:textId="77777777" w:rsidR="00B57BC1" w:rsidRPr="00B57BC1" w:rsidRDefault="00B57BC1" w:rsidP="00B57BC1">
      <w:pPr>
        <w:pStyle w:val="Heading3"/>
        <w:spacing w:before="0"/>
        <w:rPr>
          <w:rFonts w:ascii="Times New Roman" w:hAnsi="Times New Roman"/>
          <w:b/>
          <w:bCs/>
          <w:sz w:val="22"/>
          <w:szCs w:val="22"/>
        </w:rPr>
      </w:pPr>
      <w:r w:rsidRPr="00B57BC1">
        <w:rPr>
          <w:rFonts w:ascii="Arial" w:hAnsi="Arial" w:cs="Arial"/>
          <w:b/>
          <w:bCs/>
          <w:color w:val="000000"/>
          <w:sz w:val="22"/>
          <w:szCs w:val="22"/>
        </w:rPr>
        <w:t>2.1 Research Design</w:t>
      </w:r>
    </w:p>
    <w:p w14:paraId="4BBAF25A" w14:textId="77777777" w:rsidR="00B57BC1" w:rsidRDefault="00B57BC1" w:rsidP="00B57BC1"/>
    <w:p w14:paraId="2118B051" w14:textId="77777777" w:rsidR="00856782" w:rsidRDefault="00856782" w:rsidP="00856782">
      <w:pPr>
        <w:pStyle w:val="NormalWeb"/>
        <w:spacing w:before="0" w:beforeAutospacing="0" w:after="0" w:afterAutospacing="0"/>
      </w:pPr>
      <w:r>
        <w:rPr>
          <w:rFonts w:ascii="Arial" w:hAnsi="Arial" w:cs="Arial"/>
          <w:color w:val="000000"/>
          <w:sz w:val="20"/>
          <w:szCs w:val="20"/>
        </w:rPr>
        <w:t>A comparative documentary content analysis was employed to systematically examine how Moodle, Canvas, Blackboard Learn, and D2L Brightspace publicly document the measurement of student engagement. This documentary approach was appropriate because the evidence base consisted of official learning management system (LMS) analytics documentation, rather than user observations, institutional datasets, or proprietary system data. Content analysis was used to identify, normalize, and systematically categorize discrete analytics indicators according to a common set of criteria (Ji, 2024; Nicmanis, 2024). The comparative design enabled the application of the same analytical procedure across all four platforms, facilitating consistent examination of the various dimensions of engagement represented in their documented analytics.</w:t>
      </w:r>
    </w:p>
    <w:p w14:paraId="4B30E21A" w14:textId="77777777" w:rsidR="00856782" w:rsidRDefault="00856782" w:rsidP="00856782">
      <w:pPr>
        <w:pStyle w:val="NormalWeb"/>
        <w:spacing w:before="0" w:beforeAutospacing="0" w:after="0" w:afterAutospacing="0"/>
      </w:pPr>
      <w:r>
        <w:rPr>
          <w:rFonts w:ascii="Arial" w:hAnsi="Arial" w:cs="Arial"/>
          <w:color w:val="000000"/>
          <w:sz w:val="20"/>
          <w:szCs w:val="20"/>
        </w:rPr>
        <w:t>A theory-driven, directed content analysis was conducted using the Student Engagement in Digital Learning (SEDL) Framework to classify documented analytics indicators according to behavioral, cognitive, emotional, and social dimensions. This approach was appropriate because learning analytics may operationalize student engagement through various types of observable digital traces, necessitating a theoretically informed coding framework for systematic comparison (Bergdahl et al., 2024).</w:t>
      </w:r>
    </w:p>
    <w:p w14:paraId="2D5ECEA5" w14:textId="77777777" w:rsidR="00856782" w:rsidRDefault="00856782" w:rsidP="00856782">
      <w:pPr>
        <w:pStyle w:val="NormalWeb"/>
        <w:spacing w:before="0" w:beforeAutospacing="0" w:after="0" w:afterAutospacing="0"/>
      </w:pPr>
      <w:r>
        <w:rPr>
          <w:rFonts w:ascii="Arial" w:hAnsi="Arial" w:cs="Arial"/>
          <w:color w:val="000000"/>
          <w:sz w:val="20"/>
          <w:szCs w:val="20"/>
        </w:rPr>
        <w:t>Each LMS was treated as a separate case, and its official analytics documentation was examined using consistent documentary search, inclusion, exclusion, and coding procedures. The analysis combined qualitative classification with descriptive frequencies and percentages to identify patterns within the documented analytics corpus. This approach enabled comparison of the types and engagement dimensions represented across the four platforms, without making claims regarding their relative effectiveness or the actual engagement of students. The focus of comparison was the publicly documented measurement architecture of LMS analytics, rather than student outcomes or proprietary system capabilities.</w:t>
      </w:r>
    </w:p>
    <w:p w14:paraId="7FDD7716" w14:textId="77777777" w:rsidR="00B57BC1" w:rsidRDefault="00B57BC1" w:rsidP="00B57BC1"/>
    <w:p w14:paraId="090A915A"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2.2 Selection of Learning Management System Platforms</w:t>
      </w:r>
    </w:p>
    <w:p w14:paraId="7576D6CD" w14:textId="77777777" w:rsidR="00102507" w:rsidRDefault="00102507" w:rsidP="00102507"/>
    <w:p w14:paraId="6B1B5DA6"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Moodle, Canvas, Blackboard Learn, and D2L Brightspace were selected for comparison due to their status as established learning management environments with publicly accessible documentation on analytics, reports, dashboards, and related learner or learning measures. The selection process was purposive and guided by two criteria: relevance to higher education learning environments and the availability of sufficient official documentation to </w:t>
      </w:r>
      <w:r>
        <w:rPr>
          <w:rFonts w:ascii="Arial" w:hAnsi="Arial" w:cs="Arial"/>
          <w:color w:val="000000"/>
          <w:sz w:val="20"/>
          <w:szCs w:val="20"/>
        </w:rPr>
        <w:lastRenderedPageBreak/>
        <w:t>support systematic analysis of analytics capabilities. Consistent application of these criteria across the four cases ensured a comparable documentary basis for examining how different LMS platforms represent and operationalize student engagement.</w:t>
      </w:r>
    </w:p>
    <w:p w14:paraId="13E487CB" w14:textId="77777777" w:rsidR="00102507" w:rsidRDefault="00102507" w:rsidP="00102507">
      <w:pPr>
        <w:pStyle w:val="NormalWeb"/>
        <w:spacing w:before="0" w:beforeAutospacing="0" w:after="0" w:afterAutospacing="0"/>
      </w:pPr>
      <w:r>
        <w:rPr>
          <w:rFonts w:ascii="Arial" w:hAnsi="Arial" w:cs="Arial"/>
          <w:color w:val="000000"/>
          <w:sz w:val="20"/>
          <w:szCs w:val="20"/>
        </w:rPr>
        <w:t>Each of the four platforms was analyzed as an individual case, rather than as a representative sample of all learning management systems. This study does not assume that these platforms encompass the full range of analytics approaches available across LMSs. Additionally, the number of documented indicators was not interpreted as evidence of greater analytics sophistication or effectiveness. Instead, these cases were selected to facilitate systematic comparison of the publicly documented measurement of student engagement across four established LMS environments.</w:t>
      </w:r>
    </w:p>
    <w:p w14:paraId="413A2C2C" w14:textId="77777777" w:rsidR="00102507" w:rsidRDefault="00102507" w:rsidP="00102507"/>
    <w:p w14:paraId="6FBD5B04"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2.3 Documentary Corpus and Source Selection</w:t>
      </w:r>
    </w:p>
    <w:p w14:paraId="4E5989C9" w14:textId="77777777" w:rsidR="00102507" w:rsidRDefault="00102507" w:rsidP="00102507"/>
    <w:p w14:paraId="5C07BC0F" w14:textId="77777777" w:rsidR="00102507" w:rsidRDefault="00102507" w:rsidP="00102507">
      <w:pPr>
        <w:pStyle w:val="NormalWeb"/>
        <w:spacing w:before="0" w:beforeAutospacing="0" w:after="0" w:afterAutospacing="0"/>
      </w:pPr>
      <w:r>
        <w:rPr>
          <w:rFonts w:ascii="Arial" w:hAnsi="Arial" w:cs="Arial"/>
          <w:color w:val="000000"/>
          <w:sz w:val="20"/>
          <w:szCs w:val="20"/>
        </w:rPr>
        <w:t>The documentary corpus was restricted to publicly accessible, official documentation produced by four learning management system (LMS) providers: Moodle, Instructure (Canvas), Anthology (Blackboard Learn), and D2L (Brightspace). This restriction ensured that the indicators represented measures explicitly documented by the LMS providers, rather than interpretations from third-party reviews or empirical studies. The corpus included analytics documentation, reporting and dashboard documentation, administrator and instructor documentation, and official developer or API documentation, provided these sources explicitly identified learner- or learning-related measures (Anthology, 2026; D2L, n.d.; Instructure, n.d.; Moodle, 2024).</w:t>
      </w:r>
    </w:p>
    <w:p w14:paraId="2FC675B3" w14:textId="77777777" w:rsidR="00102507" w:rsidRDefault="00102507" w:rsidP="00102507">
      <w:pPr>
        <w:pStyle w:val="NormalWeb"/>
        <w:spacing w:before="0" w:beforeAutospacing="0" w:after="0" w:afterAutospacing="0"/>
      </w:pPr>
      <w:r>
        <w:rPr>
          <w:rFonts w:ascii="Arial" w:hAnsi="Arial" w:cs="Arial"/>
          <w:color w:val="000000"/>
          <w:sz w:val="20"/>
          <w:szCs w:val="20"/>
        </w:rPr>
        <w:t>A standardized search protocol was applied to each platform, encompassing seven domains: (a) general analytics, (b) activity and behavior, (c) assessment and performance, (d) social interaction, (e) cognitive and self-regulatory activity, (f) emotional or affective activity, and (g) prediction and intervention. Documents were included only if they explicitly identified a learner- or learning-related variable, event, measure, analytic output, or report relevant to student engagement. General descriptions of LMS functionality were not considered sufficient evidence of an analytics indicator.</w:t>
      </w:r>
    </w:p>
    <w:p w14:paraId="6B9E1D3B" w14:textId="77777777" w:rsidR="00102507" w:rsidRDefault="00102507" w:rsidP="00102507">
      <w:pPr>
        <w:pStyle w:val="NormalWeb"/>
        <w:spacing w:before="0" w:beforeAutospacing="0" w:after="0" w:afterAutospacing="0"/>
      </w:pPr>
      <w:r>
        <w:rPr>
          <w:rFonts w:ascii="Arial" w:hAnsi="Arial" w:cs="Arial"/>
          <w:color w:val="000000"/>
          <w:sz w:val="20"/>
          <w:szCs w:val="20"/>
        </w:rPr>
        <w:t>Third-party reviews, academic studies used as empirical evidence, user forums, plugins or extensions, private institutional data, and technical documentation lacking explicit identification of a learner- or learning-related measure were excluded. This approach established a consistent evidentiary boundary across the four platforms and limited the analysis to the publicly documented core analytics corpus. Consequently, the absence of a documented indicator was interpreted as an absence of documented evidence according to the study's search and coding protocol, rather than as evidence that the underlying capability is absent.</w:t>
      </w:r>
    </w:p>
    <w:p w14:paraId="2BD44C08" w14:textId="77777777" w:rsidR="00102507" w:rsidRDefault="00102507" w:rsidP="00102507"/>
    <w:p w14:paraId="0A75A274"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2.4 Unit of Analysis and Inclusion/Exclusion Criteria</w:t>
      </w:r>
    </w:p>
    <w:p w14:paraId="5DE603EC" w14:textId="77777777" w:rsidR="00102507" w:rsidRPr="002856DD" w:rsidRDefault="00102507" w:rsidP="00102507">
      <w:pPr>
        <w:rPr>
          <w:rFonts w:ascii="Arial" w:hAnsi="Arial" w:cs="Arial"/>
          <w:sz w:val="20"/>
          <w:szCs w:val="20"/>
        </w:rPr>
      </w:pPr>
    </w:p>
    <w:p w14:paraId="760ED7A2" w14:textId="793DAC3E" w:rsidR="002856DD" w:rsidRPr="002856DD" w:rsidRDefault="002856DD" w:rsidP="00102507">
      <w:pPr>
        <w:pStyle w:val="NormalWeb"/>
        <w:spacing w:before="0" w:beforeAutospacing="0" w:after="0" w:afterAutospacing="0"/>
        <w:rPr>
          <w:rStyle w:val="Strong"/>
          <w:rFonts w:ascii="Arial" w:hAnsi="Arial" w:cs="Arial"/>
          <w:color w:val="000000"/>
          <w:sz w:val="20"/>
          <w:szCs w:val="20"/>
        </w:rPr>
      </w:pPr>
      <w:r w:rsidRPr="002856DD">
        <w:rPr>
          <w:rFonts w:ascii="Arial" w:hAnsi="Arial" w:cs="Arial"/>
          <w:color w:val="000000"/>
          <w:sz w:val="20"/>
          <w:szCs w:val="20"/>
        </w:rPr>
        <w:t>The unit of analysis was defined as a distinct, publicly documented LMS analytics indicator or measure representing a learner- or learning-related characteristic relevant to student engagement. Each indicator was counted once when documentation identified it as a distinct measure, regardless of its appearance in multiple reports, dashboards, or visualizations. This approach ensured that the same underlying measure was not counted repeatedly across different documentation formats</w:t>
      </w:r>
      <w:r w:rsidRPr="002856DD">
        <w:rPr>
          <w:rFonts w:ascii="Arial" w:hAnsi="Arial" w:cs="Arial"/>
          <w:b/>
          <w:bCs/>
          <w:color w:val="000000"/>
          <w:sz w:val="20"/>
          <w:szCs w:val="20"/>
        </w:rPr>
        <w:t>.</w:t>
      </w:r>
      <w:r w:rsidRPr="002856DD">
        <w:rPr>
          <w:rStyle w:val="apple-converted-space"/>
          <w:rFonts w:ascii="Arial" w:hAnsi="Arial" w:cs="Arial"/>
          <w:b/>
          <w:bCs/>
          <w:color w:val="000000"/>
          <w:sz w:val="20"/>
          <w:szCs w:val="20"/>
        </w:rPr>
        <w:t> </w:t>
      </w:r>
      <w:r w:rsidRPr="002856DD">
        <w:rPr>
          <w:rStyle w:val="Strong"/>
          <w:rFonts w:ascii="Arial" w:hAnsi="Arial" w:cs="Arial"/>
          <w:b w:val="0"/>
          <w:bCs w:val="0"/>
          <w:color w:val="000000"/>
          <w:sz w:val="20"/>
          <w:szCs w:val="20"/>
        </w:rPr>
        <w:t>Accordingly, the final indicator count represents distinct normalized measures rather than the number of times an indicator appeared across individual documents, reports, dashboards, or system outputs</w:t>
      </w:r>
      <w:r w:rsidRPr="002856DD">
        <w:rPr>
          <w:rStyle w:val="Strong"/>
          <w:rFonts w:ascii="Arial" w:hAnsi="Arial" w:cs="Arial"/>
          <w:b w:val="0"/>
          <w:bCs w:val="0"/>
          <w:color w:val="000000"/>
          <w:sz w:val="20"/>
          <w:szCs w:val="20"/>
        </w:rPr>
        <w:t>.</w:t>
      </w:r>
    </w:p>
    <w:p w14:paraId="6AB16E4C" w14:textId="77777777" w:rsidR="00102507" w:rsidRDefault="00102507" w:rsidP="00102507">
      <w:pPr>
        <w:pStyle w:val="NormalWeb"/>
        <w:spacing w:before="0" w:beforeAutospacing="0" w:after="0" w:afterAutospacing="0"/>
      </w:pPr>
      <w:r>
        <w:rPr>
          <w:rFonts w:ascii="Arial" w:hAnsi="Arial" w:cs="Arial"/>
          <w:color w:val="000000"/>
          <w:sz w:val="20"/>
          <w:szCs w:val="20"/>
        </w:rPr>
        <w:t>Inclusion required explicit documentary evidence of the measure. General LMS features, instructional activities, or technical functions were excluded as analytics indicators unless official documentation specifically identified a corresponding learner- or learning-related measure. Likewise, raw system events were not considered separate indicators if they served as underlying data for a documented measure.</w:t>
      </w:r>
    </w:p>
    <w:p w14:paraId="33E140A3" w14:textId="77777777" w:rsidR="00102507" w:rsidRDefault="00102507" w:rsidP="00102507">
      <w:pPr>
        <w:pStyle w:val="NormalWeb"/>
        <w:spacing w:before="0" w:beforeAutospacing="0" w:after="0" w:afterAutospacing="0"/>
      </w:pPr>
      <w:r>
        <w:rPr>
          <w:rFonts w:ascii="Arial" w:hAnsi="Arial" w:cs="Arial"/>
          <w:color w:val="000000"/>
          <w:sz w:val="20"/>
          <w:szCs w:val="20"/>
        </w:rPr>
        <w:lastRenderedPageBreak/>
        <w:t>Measures were excluded from the engagement corpus if they represented educational outcomes, such as grades, or if they constituted analytics outputs, including predictions, alerts, or recommendations, rather than indicators of engagement. Only measures classified as direct or proxy indicators of engagement were retained in the final corpus. These criteria were applied consistently across all four platforms to maintain a common level of analytical granularity and to minimize double-counting.</w:t>
      </w:r>
    </w:p>
    <w:p w14:paraId="63797DB0" w14:textId="77777777" w:rsidR="00102507" w:rsidRDefault="00102507" w:rsidP="00102507"/>
    <w:p w14:paraId="46D7A5EC"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2.5 Analytical Framework and Coding Procedure</w:t>
      </w:r>
    </w:p>
    <w:p w14:paraId="5A053888" w14:textId="77777777" w:rsidR="00102507" w:rsidRPr="00825174" w:rsidRDefault="00102507" w:rsidP="00825174">
      <w:pPr>
        <w:rPr>
          <w:rFonts w:ascii="Arial" w:hAnsi="Arial" w:cs="Arial"/>
          <w:sz w:val="20"/>
          <w:szCs w:val="20"/>
        </w:rPr>
      </w:pPr>
    </w:p>
    <w:p w14:paraId="0FF0295D" w14:textId="77777777" w:rsidR="00825174" w:rsidRPr="00825174" w:rsidRDefault="00825174" w:rsidP="00825174">
      <w:pPr>
        <w:pStyle w:val="pdq2pgselectionanchorcontainer"/>
        <w:spacing w:before="0" w:beforeAutospacing="0" w:after="0" w:afterAutospacing="0"/>
        <w:rPr>
          <w:rFonts w:ascii="Arial" w:hAnsi="Arial" w:cs="Arial"/>
          <w:color w:val="000000"/>
          <w:sz w:val="20"/>
          <w:szCs w:val="20"/>
        </w:rPr>
      </w:pPr>
      <w:r w:rsidRPr="00825174">
        <w:rPr>
          <w:rFonts w:ascii="Arial" w:hAnsi="Arial" w:cs="Arial"/>
          <w:color w:val="000000"/>
          <w:sz w:val="20"/>
          <w:szCs w:val="20"/>
        </w:rPr>
        <w:t>The coding procedure was informed by theory and followed a deductive approach, with initial coding categories established prior to analysis. This method aligns with directed content analysis, where existing theory or relevant research informs the development of coding categories (Hsieh &amp; Shannon, 2005). The Student Engagement in Digital Learning (SEDL) Framework was employed as the primary analytical framework, categorizing documented indicators into four dimensions: behavioral, cognitive, emotional, and social engagement (Bergdahl et al., 2024). Each documented measure was coded according to the learner activity or learning-related process explicitly represented in the source documentation.</w:t>
      </w:r>
    </w:p>
    <w:p w14:paraId="0B6F9647" w14:textId="77777777" w:rsidR="00825174" w:rsidRPr="00825174" w:rsidRDefault="00825174" w:rsidP="00825174">
      <w:pPr>
        <w:pStyle w:val="NormalWeb"/>
        <w:spacing w:before="0" w:beforeAutospacing="0" w:after="0" w:afterAutospacing="0"/>
        <w:rPr>
          <w:rFonts w:ascii="Arial" w:hAnsi="Arial" w:cs="Arial"/>
          <w:color w:val="000000"/>
          <w:sz w:val="20"/>
          <w:szCs w:val="20"/>
        </w:rPr>
      </w:pPr>
      <w:r w:rsidRPr="00825174">
        <w:rPr>
          <w:rStyle w:val="Strong"/>
          <w:rFonts w:ascii="Arial" w:hAnsi="Arial" w:cs="Arial"/>
          <w:b w:val="0"/>
          <w:bCs w:val="0"/>
          <w:color w:val="000000"/>
          <w:sz w:val="20"/>
          <w:szCs w:val="20"/>
        </w:rPr>
        <w:t>For each eligible documentary source, the coding process proceeded sequentially from source identification to indicator extraction, indicator normalization, SEDL dimension assignment, and measurement-status classification. An indicator was retained in the final corpus only when the official documentation explicitly supported its representation as a learner- or learning-related measure relevant to engagement. The measure was assigned to the SEDL dimension most directly represented by the documented learner activity or learning process and was then classified according to its measurement status.</w:t>
      </w:r>
    </w:p>
    <w:p w14:paraId="52E4CBD4" w14:textId="77777777" w:rsidR="00825174" w:rsidRPr="00825174" w:rsidRDefault="00825174" w:rsidP="00825174">
      <w:pPr>
        <w:pStyle w:val="NormalWeb"/>
        <w:spacing w:before="0" w:beforeAutospacing="0" w:after="0" w:afterAutospacing="0"/>
        <w:rPr>
          <w:rFonts w:ascii="Arial" w:hAnsi="Arial" w:cs="Arial"/>
          <w:color w:val="000000"/>
          <w:sz w:val="20"/>
          <w:szCs w:val="20"/>
        </w:rPr>
      </w:pPr>
      <w:r w:rsidRPr="00825174">
        <w:rPr>
          <w:rFonts w:ascii="Arial" w:hAnsi="Arial" w:cs="Arial"/>
          <w:color w:val="000000"/>
          <w:sz w:val="20"/>
          <w:szCs w:val="20"/>
        </w:rPr>
        <w:t>A second coding layer classified each measure by its measurement status: direct indicator, proxy indicator, outcome, analytics output, or non-engagement analytics. Direct indicators explicitly represented aspects of engagement, while proxy indicators could suggest engagement without directly confirming it. Outcomes, such as grades, were differentiated from engagement indicators. Predictions, alerts, and recommendations were categorized as analytics outputs rather than engagement measures. The final engagement corpus included only direct and proxy indicators.</w:t>
      </w:r>
    </w:p>
    <w:p w14:paraId="2E6C5A09" w14:textId="77777777" w:rsidR="00825174" w:rsidRPr="00825174" w:rsidRDefault="00825174" w:rsidP="00825174">
      <w:pPr>
        <w:pStyle w:val="NormalWeb"/>
        <w:spacing w:before="0" w:beforeAutospacing="0" w:after="0" w:afterAutospacing="0"/>
        <w:rPr>
          <w:rFonts w:ascii="Arial" w:hAnsi="Arial" w:cs="Arial"/>
          <w:color w:val="000000"/>
          <w:sz w:val="20"/>
          <w:szCs w:val="20"/>
        </w:rPr>
      </w:pPr>
      <w:r w:rsidRPr="00825174">
        <w:rPr>
          <w:rFonts w:ascii="Arial" w:hAnsi="Arial" w:cs="Arial"/>
          <w:color w:val="000000"/>
          <w:sz w:val="20"/>
          <w:szCs w:val="20"/>
        </w:rPr>
        <w:t>The coded data were organized by LMS platform and compared across the four SEDL dimensions. Frequencies and percentages were calculated to determine the distribution of documented indicators within and across platforms. This procedure enabled examination of the extent to which student engagement dimensions are represented in LMS analytics and the differences in measurement patterns across platforms, without assuming that the number of documented indicators reflects overall analytics quality or platform sophistication.</w:t>
      </w:r>
    </w:p>
    <w:p w14:paraId="7B5842CD" w14:textId="77777777" w:rsidR="00102507" w:rsidRDefault="00102507" w:rsidP="00102507">
      <w:pPr>
        <w:pStyle w:val="NormalWeb"/>
        <w:spacing w:before="0" w:beforeAutospacing="0" w:after="0" w:afterAutospacing="0"/>
      </w:pPr>
    </w:p>
    <w:p w14:paraId="21EE242B" w14:textId="77777777" w:rsidR="00102507" w:rsidRPr="00102507" w:rsidRDefault="00102507" w:rsidP="00102507">
      <w:pPr>
        <w:pStyle w:val="Heading2"/>
        <w:spacing w:before="0"/>
        <w:rPr>
          <w:b/>
          <w:bCs/>
          <w:sz w:val="22"/>
          <w:szCs w:val="22"/>
        </w:rPr>
      </w:pPr>
      <w:r w:rsidRPr="00102507">
        <w:rPr>
          <w:rFonts w:ascii="Arial" w:hAnsi="Arial" w:cs="Arial"/>
          <w:b/>
          <w:bCs/>
          <w:color w:val="000000"/>
          <w:sz w:val="22"/>
          <w:szCs w:val="22"/>
        </w:rPr>
        <w:t>2.6 Data Analysis and Comparative Procedure</w:t>
      </w:r>
    </w:p>
    <w:p w14:paraId="47EE4F80" w14:textId="77777777" w:rsidR="00102507" w:rsidRDefault="00102507" w:rsidP="00102507"/>
    <w:p w14:paraId="1C6CBF17" w14:textId="77777777" w:rsidR="00102507" w:rsidRDefault="00102507" w:rsidP="00102507">
      <w:pPr>
        <w:pStyle w:val="NormalWeb"/>
        <w:spacing w:before="0" w:beforeAutospacing="0" w:after="0" w:afterAutospacing="0"/>
      </w:pPr>
      <w:r>
        <w:rPr>
          <w:rFonts w:ascii="Arial" w:hAnsi="Arial" w:cs="Arial"/>
          <w:color w:val="000000"/>
          <w:sz w:val="20"/>
          <w:szCs w:val="20"/>
        </w:rPr>
        <w:t>The coded indicators were first normalized within and across platforms to prevent duplicate measurement and to ensure consistent granularity in the analysis. The dataset was then organized by LMS platform, engagement dimension, and measurement status. This procedure followed the study's predefined coding rules and enabled transparent comparison of engagement operationalization across the four platforms.</w:t>
      </w:r>
    </w:p>
    <w:p w14:paraId="12EB83D0" w14:textId="77777777" w:rsidR="00102507" w:rsidRDefault="00102507" w:rsidP="00102507">
      <w:pPr>
        <w:pStyle w:val="NormalWeb"/>
        <w:spacing w:before="0" w:beforeAutospacing="0" w:after="0" w:afterAutospacing="0"/>
      </w:pPr>
      <w:r>
        <w:rPr>
          <w:rFonts w:ascii="Arial" w:hAnsi="Arial" w:cs="Arial"/>
          <w:color w:val="000000"/>
          <w:sz w:val="20"/>
          <w:szCs w:val="20"/>
        </w:rPr>
        <w:t>Descriptive analysis was used to calculate frequency counts and percentages for the documented indicators. Frequencies were determined for each platform and for each SEDL dimension: behavioral, cognitive, emotional, and social. Platform-level distributions were compared to identify similarities and differences in the types of engagement indicators present in publicly documented analytics.</w:t>
      </w:r>
    </w:p>
    <w:p w14:paraId="702C8DB7"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The comparative findings addressed the four research questions sequentially: RQ1 established the inventory of documented indicators; RQ2 examined their distribution across engagement dimensions; RQ3 compared the resulting measurement profiles across </w:t>
      </w:r>
      <w:r>
        <w:rPr>
          <w:rFonts w:ascii="Arial" w:hAnsi="Arial" w:cs="Arial"/>
          <w:color w:val="000000"/>
          <w:sz w:val="20"/>
          <w:szCs w:val="20"/>
        </w:rPr>
        <w:lastRenderedPageBreak/>
        <w:t>platforms; and RQ4 interpreted the broader patterns by which LMS analytics render student engagement measurable. The analysis was descriptive and comparative rather than inferential, and did not assess platform effectiveness, student outcomes, or the relative quality of LMS analytics.</w:t>
      </w:r>
    </w:p>
    <w:p w14:paraId="7845866F" w14:textId="77777777" w:rsidR="00102507" w:rsidRDefault="00102507" w:rsidP="00102507"/>
    <w:p w14:paraId="1E43522D"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2.7 Trustworthiness and Methodological Rigor</w:t>
      </w:r>
    </w:p>
    <w:p w14:paraId="17B459F3" w14:textId="77777777" w:rsidR="00102507" w:rsidRDefault="00102507" w:rsidP="00102507"/>
    <w:p w14:paraId="7CEB6B55" w14:textId="77777777" w:rsidR="00102507" w:rsidRDefault="00102507" w:rsidP="00102507">
      <w:pPr>
        <w:pStyle w:val="NormalWeb"/>
        <w:spacing w:before="0" w:beforeAutospacing="0" w:after="0" w:afterAutospacing="0"/>
      </w:pPr>
      <w:r>
        <w:rPr>
          <w:rFonts w:ascii="Arial" w:hAnsi="Arial" w:cs="Arial"/>
          <w:color w:val="000000"/>
          <w:sz w:val="20"/>
          <w:szCs w:val="20"/>
        </w:rPr>
        <w:t>Methodological rigor was ensured by applying standardization, traceability, and consistency throughout the documentary analysis. The same source-selection protocol, search areas, inclusion and exclusion criteria, unit of analysis, and coding categories were used for all four LMS platforms. A documented decision trail for source selection, indicator normalization, and coding decisions enhanced the analysis's dependability and transparency (Ahmed, 2024).</w:t>
      </w:r>
    </w:p>
    <w:p w14:paraId="6E819496" w14:textId="77777777" w:rsidR="00102507" w:rsidRDefault="00102507" w:rsidP="00102507">
      <w:pPr>
        <w:pStyle w:val="NormalWeb"/>
        <w:spacing w:before="0" w:beforeAutospacing="0" w:after="0" w:afterAutospacing="0"/>
      </w:pPr>
      <w:r>
        <w:rPr>
          <w:rFonts w:ascii="Arial" w:hAnsi="Arial" w:cs="Arial"/>
          <w:color w:val="000000"/>
          <w:sz w:val="20"/>
          <w:szCs w:val="20"/>
        </w:rPr>
        <w:t>Coding decisions were verified against the original official documentation to ensure that each retained indicator was supported by explicit documentary evidence. Duplicate measures were consolidated, and indicators were coded according to the predefined SEDL dimensions and measurement-status categories. These procedures maintained analytical consistency and minimized the risk that differences in documentation structure across platforms would artificially affect indicator counts.</w:t>
      </w:r>
    </w:p>
    <w:p w14:paraId="7C2E304E" w14:textId="77777777" w:rsidR="00102507" w:rsidRDefault="00102507" w:rsidP="00102507">
      <w:pPr>
        <w:pStyle w:val="NormalWeb"/>
        <w:spacing w:before="0" w:beforeAutospacing="0" w:after="0" w:afterAutospacing="0"/>
      </w:pPr>
      <w:r>
        <w:rPr>
          <w:rFonts w:ascii="Arial" w:hAnsi="Arial" w:cs="Arial"/>
          <w:color w:val="000000"/>
          <w:sz w:val="20"/>
          <w:szCs w:val="20"/>
        </w:rPr>
        <w:t>The analysis adopted a conservative approach regarding undocumented evidence. The absence of an indicator in the corpus was interpreted as a lack of publicly documented evidence, in accordance with the study's standardized protocol, rather than as confirmation that a platform lacks the underlying capability. This distinction is essential when interpreting differences among commercial LMS platforms, whose analytics capabilities may vary based on configuration, licensing, or non-public documentation. Collectively, these procedures established a transparent analytical trail from source selection through coding and comparative interpretation.</w:t>
      </w:r>
    </w:p>
    <w:p w14:paraId="13001D3F" w14:textId="77777777" w:rsidR="00102507" w:rsidRDefault="00102507" w:rsidP="00102507"/>
    <w:p w14:paraId="066EA593"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2.8 Ethical Considerations</w:t>
      </w:r>
    </w:p>
    <w:p w14:paraId="5DD2A7E8" w14:textId="77777777" w:rsidR="00102507" w:rsidRDefault="00102507" w:rsidP="00102507"/>
    <w:p w14:paraId="75804F43" w14:textId="77777777" w:rsidR="00102507" w:rsidRDefault="00102507" w:rsidP="00102507">
      <w:pPr>
        <w:pStyle w:val="NormalWeb"/>
        <w:spacing w:before="0" w:beforeAutospacing="0" w:after="0" w:afterAutospacing="0"/>
      </w:pPr>
      <w:r>
        <w:rPr>
          <w:rFonts w:ascii="Arial" w:hAnsi="Arial" w:cs="Arial"/>
          <w:color w:val="000000"/>
          <w:sz w:val="20"/>
          <w:szCs w:val="20"/>
        </w:rPr>
        <w:t>This study did not involve human participants, personal data, institutional records, or private information. The documentary corpus consisted exclusively of publicly accessible materials published by the respective learning management system (LMS) providers. As a result, the analysis did not require participant recruitment, informed consent, or access to confidential educational data. The analysis attributed all documentary sources to their respective organizations and limited it to information explicitly available in the public domain. The study did not claim undocumented or proprietary capabilities and did not use the documentation to evaluate individual users, institutions, or identifiable persons. These procedures ensured responsible use and transparent interpretation of publicly available documentary evidence.</w:t>
      </w:r>
    </w:p>
    <w:p w14:paraId="5C650699" w14:textId="77777777" w:rsidR="00790ADA" w:rsidRPr="00FB3A86" w:rsidRDefault="00790ADA" w:rsidP="00441B6F">
      <w:pPr>
        <w:pStyle w:val="Body"/>
        <w:spacing w:after="0"/>
        <w:rPr>
          <w:rFonts w:ascii="Arial" w:hAnsi="Arial" w:cs="Arial"/>
        </w:rPr>
      </w:pPr>
    </w:p>
    <w:p w14:paraId="2ABB08FB"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64544026" w14:textId="77777777" w:rsidR="00790ADA" w:rsidRPr="00FB3A86" w:rsidRDefault="00790ADA" w:rsidP="00441B6F">
      <w:pPr>
        <w:pStyle w:val="Head1"/>
        <w:spacing w:after="0"/>
        <w:jc w:val="both"/>
        <w:rPr>
          <w:rFonts w:ascii="Arial" w:hAnsi="Arial" w:cs="Arial"/>
        </w:rPr>
      </w:pPr>
    </w:p>
    <w:p w14:paraId="680B629A"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3.1 Documented Student-Engagement Indicators</w:t>
      </w:r>
    </w:p>
    <w:p w14:paraId="17D29D5E" w14:textId="77777777" w:rsidR="00102507" w:rsidRDefault="00102507" w:rsidP="00102507"/>
    <w:p w14:paraId="438EAF34" w14:textId="6F77643D" w:rsidR="00102507" w:rsidRDefault="00102507" w:rsidP="00102507">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Research Question 1 (RQ1) investigated which student-engagement indicators are publicly documented in Moodle, Canvas, Blackboard Learn, and D2L Brightspace. The application of a standardized documentary search protocol, along with defined inclusion and exclusion criteria, unit of analysis, and coding procedure, resulted in a final corpus of 101 distinct student-engagement indicators across the four learning management system (LMS) platforms. The distribution of indicators was uneven: Moodle accounted for 51 indicators (50.5%), Blackboard Learn for 19 (18.8%), Canvas for 16 (15.8%), and D2L Brightspace for 15 (14.9%).</w:t>
      </w:r>
    </w:p>
    <w:p w14:paraId="0D36BBB4" w14:textId="77777777" w:rsidR="00102507" w:rsidRDefault="00102507" w:rsidP="00102507">
      <w:pPr>
        <w:pStyle w:val="NormalWeb"/>
        <w:spacing w:before="0" w:beforeAutospacing="0" w:after="0" w:afterAutospacing="0"/>
      </w:pPr>
    </w:p>
    <w:p w14:paraId="53E424EC" w14:textId="77777777" w:rsidR="00102507" w:rsidRDefault="00102507" w:rsidP="00102507">
      <w:pPr>
        <w:pStyle w:val="NormalWeb"/>
        <w:spacing w:before="0" w:beforeAutospacing="0" w:after="0" w:afterAutospacing="0"/>
        <w:jc w:val="center"/>
      </w:pPr>
      <w:r>
        <w:rPr>
          <w:rFonts w:ascii="Arial" w:hAnsi="Arial" w:cs="Arial"/>
          <w:b/>
          <w:bCs/>
          <w:color w:val="000000"/>
          <w:sz w:val="20"/>
          <w:szCs w:val="20"/>
        </w:rPr>
        <w:t>Table 1. Documented Student-Engagement Indicators by LMS Platform</w:t>
      </w:r>
    </w:p>
    <w:p w14:paraId="72695310" w14:textId="77777777" w:rsidR="00102507" w:rsidRDefault="00102507" w:rsidP="00102507"/>
    <w:tbl>
      <w:tblPr>
        <w:tblW w:w="0" w:type="auto"/>
        <w:jc w:val="center"/>
        <w:tblCellMar>
          <w:top w:w="15" w:type="dxa"/>
          <w:left w:w="15" w:type="dxa"/>
          <w:bottom w:w="15" w:type="dxa"/>
          <w:right w:w="15" w:type="dxa"/>
        </w:tblCellMar>
        <w:tblLook w:val="04A0" w:firstRow="1" w:lastRow="0" w:firstColumn="1" w:lastColumn="0" w:noHBand="0" w:noVBand="1"/>
      </w:tblPr>
      <w:tblGrid>
        <w:gridCol w:w="2038"/>
        <w:gridCol w:w="2423"/>
        <w:gridCol w:w="2279"/>
      </w:tblGrid>
      <w:tr w:rsidR="00102507" w:rsidRPr="00102507" w14:paraId="61BA76F4" w14:textId="77777777" w:rsidTr="00102507">
        <w:trPr>
          <w:trHeight w:val="155"/>
          <w:jc w:val="center"/>
        </w:trPr>
        <w:tc>
          <w:tcPr>
            <w:tcW w:w="2038" w:type="dxa"/>
            <w:tcBorders>
              <w:top w:val="single" w:sz="4" w:space="0" w:color="auto"/>
              <w:bottom w:val="single" w:sz="4" w:space="0" w:color="auto"/>
            </w:tcBorders>
            <w:tcMar>
              <w:top w:w="100" w:type="dxa"/>
              <w:left w:w="100" w:type="dxa"/>
              <w:bottom w:w="100" w:type="dxa"/>
              <w:right w:w="100" w:type="dxa"/>
            </w:tcMar>
            <w:hideMark/>
          </w:tcPr>
          <w:p w14:paraId="73EC4A02" w14:textId="77777777" w:rsidR="00102507" w:rsidRPr="00102507" w:rsidRDefault="00102507">
            <w:pPr>
              <w:pStyle w:val="NormalWeb"/>
              <w:spacing w:before="0" w:beforeAutospacing="0" w:after="0" w:afterAutospacing="0"/>
              <w:rPr>
                <w:b/>
                <w:bCs/>
              </w:rPr>
            </w:pPr>
            <w:r w:rsidRPr="00102507">
              <w:rPr>
                <w:rFonts w:ascii="Arial" w:hAnsi="Arial" w:cs="Arial"/>
                <w:b/>
                <w:bCs/>
                <w:color w:val="000000"/>
                <w:sz w:val="20"/>
                <w:szCs w:val="20"/>
              </w:rPr>
              <w:t>LMS Platform</w:t>
            </w:r>
          </w:p>
        </w:tc>
        <w:tc>
          <w:tcPr>
            <w:tcW w:w="0" w:type="auto"/>
            <w:tcBorders>
              <w:top w:val="single" w:sz="4" w:space="0" w:color="auto"/>
              <w:bottom w:val="single" w:sz="4" w:space="0" w:color="auto"/>
            </w:tcBorders>
            <w:tcMar>
              <w:top w:w="100" w:type="dxa"/>
              <w:left w:w="100" w:type="dxa"/>
              <w:bottom w:w="100" w:type="dxa"/>
              <w:right w:w="100" w:type="dxa"/>
            </w:tcMar>
            <w:hideMark/>
          </w:tcPr>
          <w:p w14:paraId="4AE02F61" w14:textId="77777777" w:rsidR="00102507" w:rsidRPr="00102507" w:rsidRDefault="00102507">
            <w:pPr>
              <w:pStyle w:val="NormalWeb"/>
              <w:spacing w:before="0" w:beforeAutospacing="0" w:after="0" w:afterAutospacing="0"/>
              <w:rPr>
                <w:b/>
                <w:bCs/>
              </w:rPr>
            </w:pPr>
            <w:r w:rsidRPr="00102507">
              <w:rPr>
                <w:rFonts w:ascii="Arial" w:hAnsi="Arial" w:cs="Arial"/>
                <w:b/>
                <w:bCs/>
                <w:color w:val="000000"/>
                <w:sz w:val="20"/>
                <w:szCs w:val="20"/>
              </w:rPr>
              <w:t>Documented Indicators</w:t>
            </w:r>
          </w:p>
        </w:tc>
        <w:tc>
          <w:tcPr>
            <w:tcW w:w="0" w:type="auto"/>
            <w:tcBorders>
              <w:top w:val="single" w:sz="4" w:space="0" w:color="auto"/>
              <w:bottom w:val="single" w:sz="4" w:space="0" w:color="auto"/>
            </w:tcBorders>
            <w:tcMar>
              <w:top w:w="100" w:type="dxa"/>
              <w:left w:w="100" w:type="dxa"/>
              <w:bottom w:w="100" w:type="dxa"/>
              <w:right w:w="100" w:type="dxa"/>
            </w:tcMar>
            <w:hideMark/>
          </w:tcPr>
          <w:p w14:paraId="1586716F" w14:textId="77777777" w:rsidR="00102507" w:rsidRPr="00102507" w:rsidRDefault="00102507">
            <w:pPr>
              <w:pStyle w:val="NormalWeb"/>
              <w:spacing w:before="0" w:beforeAutospacing="0" w:after="0" w:afterAutospacing="0"/>
              <w:rPr>
                <w:b/>
                <w:bCs/>
              </w:rPr>
            </w:pPr>
            <w:r w:rsidRPr="00102507">
              <w:rPr>
                <w:rFonts w:ascii="Arial" w:hAnsi="Arial" w:cs="Arial"/>
                <w:b/>
                <w:bCs/>
                <w:color w:val="000000"/>
                <w:sz w:val="20"/>
                <w:szCs w:val="20"/>
              </w:rPr>
              <w:t>Percentage of Corpus</w:t>
            </w:r>
          </w:p>
        </w:tc>
      </w:tr>
      <w:tr w:rsidR="00102507" w14:paraId="5661C152" w14:textId="77777777" w:rsidTr="00102507">
        <w:trPr>
          <w:trHeight w:val="22"/>
          <w:jc w:val="center"/>
        </w:trPr>
        <w:tc>
          <w:tcPr>
            <w:tcW w:w="2038" w:type="dxa"/>
            <w:tcBorders>
              <w:top w:val="single" w:sz="4" w:space="0" w:color="auto"/>
            </w:tcBorders>
            <w:tcMar>
              <w:top w:w="100" w:type="dxa"/>
              <w:left w:w="100" w:type="dxa"/>
              <w:bottom w:w="100" w:type="dxa"/>
              <w:right w:w="100" w:type="dxa"/>
            </w:tcMar>
            <w:hideMark/>
          </w:tcPr>
          <w:p w14:paraId="4972615B" w14:textId="77777777" w:rsidR="00102507" w:rsidRDefault="00102507">
            <w:pPr>
              <w:pStyle w:val="NormalWeb"/>
              <w:spacing w:before="0" w:beforeAutospacing="0" w:after="0" w:afterAutospacing="0"/>
            </w:pPr>
            <w:r>
              <w:rPr>
                <w:rFonts w:ascii="Arial" w:hAnsi="Arial" w:cs="Arial"/>
                <w:color w:val="000000"/>
                <w:sz w:val="20"/>
                <w:szCs w:val="20"/>
              </w:rPr>
              <w:t>Moodle</w:t>
            </w:r>
          </w:p>
        </w:tc>
        <w:tc>
          <w:tcPr>
            <w:tcW w:w="0" w:type="auto"/>
            <w:tcBorders>
              <w:top w:val="single" w:sz="4" w:space="0" w:color="auto"/>
            </w:tcBorders>
            <w:tcMar>
              <w:top w:w="100" w:type="dxa"/>
              <w:left w:w="100" w:type="dxa"/>
              <w:bottom w:w="100" w:type="dxa"/>
              <w:right w:w="100" w:type="dxa"/>
            </w:tcMar>
            <w:hideMark/>
          </w:tcPr>
          <w:p w14:paraId="440DBD6B" w14:textId="77777777" w:rsidR="00102507" w:rsidRDefault="00102507">
            <w:pPr>
              <w:pStyle w:val="NormalWeb"/>
              <w:spacing w:before="0" w:beforeAutospacing="0" w:after="0" w:afterAutospacing="0"/>
            </w:pPr>
            <w:r>
              <w:rPr>
                <w:rFonts w:ascii="Arial" w:hAnsi="Arial" w:cs="Arial"/>
                <w:color w:val="000000"/>
                <w:sz w:val="20"/>
                <w:szCs w:val="20"/>
              </w:rPr>
              <w:t>51</w:t>
            </w:r>
          </w:p>
        </w:tc>
        <w:tc>
          <w:tcPr>
            <w:tcW w:w="0" w:type="auto"/>
            <w:tcBorders>
              <w:top w:val="single" w:sz="4" w:space="0" w:color="auto"/>
            </w:tcBorders>
            <w:tcMar>
              <w:top w:w="100" w:type="dxa"/>
              <w:left w:w="100" w:type="dxa"/>
              <w:bottom w:w="100" w:type="dxa"/>
              <w:right w:w="100" w:type="dxa"/>
            </w:tcMar>
            <w:hideMark/>
          </w:tcPr>
          <w:p w14:paraId="5E289826" w14:textId="77777777" w:rsidR="00102507" w:rsidRDefault="00102507">
            <w:pPr>
              <w:pStyle w:val="NormalWeb"/>
              <w:spacing w:before="0" w:beforeAutospacing="0" w:after="0" w:afterAutospacing="0"/>
            </w:pPr>
            <w:r>
              <w:rPr>
                <w:rFonts w:ascii="Arial" w:hAnsi="Arial" w:cs="Arial"/>
                <w:color w:val="000000"/>
                <w:sz w:val="20"/>
                <w:szCs w:val="20"/>
              </w:rPr>
              <w:t>50.5%</w:t>
            </w:r>
          </w:p>
        </w:tc>
      </w:tr>
      <w:tr w:rsidR="00102507" w14:paraId="6D8256F7" w14:textId="77777777" w:rsidTr="00102507">
        <w:trPr>
          <w:trHeight w:val="47"/>
          <w:jc w:val="center"/>
        </w:trPr>
        <w:tc>
          <w:tcPr>
            <w:tcW w:w="2038" w:type="dxa"/>
            <w:tcMar>
              <w:top w:w="100" w:type="dxa"/>
              <w:left w:w="100" w:type="dxa"/>
              <w:bottom w:w="100" w:type="dxa"/>
              <w:right w:w="100" w:type="dxa"/>
            </w:tcMar>
            <w:hideMark/>
          </w:tcPr>
          <w:p w14:paraId="7F42469E" w14:textId="77777777" w:rsidR="00102507" w:rsidRDefault="00102507">
            <w:pPr>
              <w:pStyle w:val="NormalWeb"/>
              <w:spacing w:before="0" w:beforeAutospacing="0" w:after="0" w:afterAutospacing="0"/>
            </w:pPr>
            <w:r>
              <w:rPr>
                <w:rFonts w:ascii="Arial" w:hAnsi="Arial" w:cs="Arial"/>
                <w:color w:val="000000"/>
                <w:sz w:val="20"/>
                <w:szCs w:val="20"/>
              </w:rPr>
              <w:t>Blackboard Learn</w:t>
            </w:r>
          </w:p>
        </w:tc>
        <w:tc>
          <w:tcPr>
            <w:tcW w:w="0" w:type="auto"/>
            <w:tcMar>
              <w:top w:w="100" w:type="dxa"/>
              <w:left w:w="100" w:type="dxa"/>
              <w:bottom w:w="100" w:type="dxa"/>
              <w:right w:w="100" w:type="dxa"/>
            </w:tcMar>
            <w:hideMark/>
          </w:tcPr>
          <w:p w14:paraId="2C9C27D1" w14:textId="77777777" w:rsidR="00102507" w:rsidRDefault="00102507">
            <w:pPr>
              <w:pStyle w:val="NormalWeb"/>
              <w:spacing w:before="0" w:beforeAutospacing="0" w:after="0" w:afterAutospacing="0"/>
            </w:pPr>
            <w:r>
              <w:rPr>
                <w:rFonts w:ascii="Arial" w:hAnsi="Arial" w:cs="Arial"/>
                <w:color w:val="000000"/>
                <w:sz w:val="20"/>
                <w:szCs w:val="20"/>
              </w:rPr>
              <w:t>19</w:t>
            </w:r>
          </w:p>
        </w:tc>
        <w:tc>
          <w:tcPr>
            <w:tcW w:w="0" w:type="auto"/>
            <w:tcMar>
              <w:top w:w="100" w:type="dxa"/>
              <w:left w:w="100" w:type="dxa"/>
              <w:bottom w:w="100" w:type="dxa"/>
              <w:right w:w="100" w:type="dxa"/>
            </w:tcMar>
            <w:hideMark/>
          </w:tcPr>
          <w:p w14:paraId="7DB03F89" w14:textId="77777777" w:rsidR="00102507" w:rsidRDefault="00102507">
            <w:pPr>
              <w:pStyle w:val="NormalWeb"/>
              <w:spacing w:before="0" w:beforeAutospacing="0" w:after="0" w:afterAutospacing="0"/>
            </w:pPr>
            <w:r>
              <w:rPr>
                <w:rFonts w:ascii="Arial" w:hAnsi="Arial" w:cs="Arial"/>
                <w:color w:val="000000"/>
                <w:sz w:val="20"/>
                <w:szCs w:val="20"/>
              </w:rPr>
              <w:t>18.8%</w:t>
            </w:r>
          </w:p>
        </w:tc>
      </w:tr>
      <w:tr w:rsidR="00102507" w14:paraId="38FD9D5A" w14:textId="77777777" w:rsidTr="00102507">
        <w:trPr>
          <w:trHeight w:val="22"/>
          <w:jc w:val="center"/>
        </w:trPr>
        <w:tc>
          <w:tcPr>
            <w:tcW w:w="2038" w:type="dxa"/>
            <w:tcMar>
              <w:top w:w="100" w:type="dxa"/>
              <w:left w:w="100" w:type="dxa"/>
              <w:bottom w:w="100" w:type="dxa"/>
              <w:right w:w="100" w:type="dxa"/>
            </w:tcMar>
            <w:hideMark/>
          </w:tcPr>
          <w:p w14:paraId="3C4F26A9" w14:textId="77777777" w:rsidR="00102507" w:rsidRDefault="00102507">
            <w:pPr>
              <w:pStyle w:val="NormalWeb"/>
              <w:spacing w:before="0" w:beforeAutospacing="0" w:after="0" w:afterAutospacing="0"/>
            </w:pPr>
            <w:r>
              <w:rPr>
                <w:rFonts w:ascii="Arial" w:hAnsi="Arial" w:cs="Arial"/>
                <w:color w:val="000000"/>
                <w:sz w:val="20"/>
                <w:szCs w:val="20"/>
              </w:rPr>
              <w:t>Canvas</w:t>
            </w:r>
          </w:p>
        </w:tc>
        <w:tc>
          <w:tcPr>
            <w:tcW w:w="0" w:type="auto"/>
            <w:tcMar>
              <w:top w:w="100" w:type="dxa"/>
              <w:left w:w="100" w:type="dxa"/>
              <w:bottom w:w="100" w:type="dxa"/>
              <w:right w:w="100" w:type="dxa"/>
            </w:tcMar>
            <w:hideMark/>
          </w:tcPr>
          <w:p w14:paraId="438AEEA5" w14:textId="77777777" w:rsidR="00102507" w:rsidRDefault="00102507">
            <w:pPr>
              <w:pStyle w:val="NormalWeb"/>
              <w:spacing w:before="0" w:beforeAutospacing="0" w:after="0" w:afterAutospacing="0"/>
            </w:pPr>
            <w:r>
              <w:rPr>
                <w:rFonts w:ascii="Arial" w:hAnsi="Arial" w:cs="Arial"/>
                <w:color w:val="000000"/>
                <w:sz w:val="20"/>
                <w:szCs w:val="20"/>
              </w:rPr>
              <w:t>16</w:t>
            </w:r>
          </w:p>
        </w:tc>
        <w:tc>
          <w:tcPr>
            <w:tcW w:w="0" w:type="auto"/>
            <w:tcMar>
              <w:top w:w="100" w:type="dxa"/>
              <w:left w:w="100" w:type="dxa"/>
              <w:bottom w:w="100" w:type="dxa"/>
              <w:right w:w="100" w:type="dxa"/>
            </w:tcMar>
            <w:hideMark/>
          </w:tcPr>
          <w:p w14:paraId="43F21432" w14:textId="77777777" w:rsidR="00102507" w:rsidRDefault="00102507">
            <w:pPr>
              <w:pStyle w:val="NormalWeb"/>
              <w:spacing w:before="0" w:beforeAutospacing="0" w:after="0" w:afterAutospacing="0"/>
            </w:pPr>
            <w:r>
              <w:rPr>
                <w:rFonts w:ascii="Arial" w:hAnsi="Arial" w:cs="Arial"/>
                <w:color w:val="000000"/>
                <w:sz w:val="20"/>
                <w:szCs w:val="20"/>
              </w:rPr>
              <w:t>15.8%</w:t>
            </w:r>
          </w:p>
        </w:tc>
      </w:tr>
      <w:tr w:rsidR="00102507" w14:paraId="4117171A" w14:textId="77777777" w:rsidTr="00102507">
        <w:trPr>
          <w:trHeight w:val="22"/>
          <w:jc w:val="center"/>
        </w:trPr>
        <w:tc>
          <w:tcPr>
            <w:tcW w:w="2038" w:type="dxa"/>
            <w:tcBorders>
              <w:bottom w:val="single" w:sz="4" w:space="0" w:color="auto"/>
            </w:tcBorders>
            <w:tcMar>
              <w:top w:w="100" w:type="dxa"/>
              <w:left w:w="100" w:type="dxa"/>
              <w:bottom w:w="100" w:type="dxa"/>
              <w:right w:w="100" w:type="dxa"/>
            </w:tcMar>
            <w:hideMark/>
          </w:tcPr>
          <w:p w14:paraId="748A61B4" w14:textId="77777777" w:rsidR="00102507" w:rsidRDefault="00102507">
            <w:pPr>
              <w:pStyle w:val="NormalWeb"/>
              <w:spacing w:before="0" w:beforeAutospacing="0" w:after="0" w:afterAutospacing="0"/>
            </w:pPr>
            <w:r>
              <w:rPr>
                <w:rFonts w:ascii="Arial" w:hAnsi="Arial" w:cs="Arial"/>
                <w:color w:val="000000"/>
                <w:sz w:val="20"/>
                <w:szCs w:val="20"/>
              </w:rPr>
              <w:t>D2L Brightspace</w:t>
            </w:r>
          </w:p>
        </w:tc>
        <w:tc>
          <w:tcPr>
            <w:tcW w:w="0" w:type="auto"/>
            <w:tcBorders>
              <w:bottom w:val="single" w:sz="4" w:space="0" w:color="auto"/>
            </w:tcBorders>
            <w:tcMar>
              <w:top w:w="100" w:type="dxa"/>
              <w:left w:w="100" w:type="dxa"/>
              <w:bottom w:w="100" w:type="dxa"/>
              <w:right w:w="100" w:type="dxa"/>
            </w:tcMar>
            <w:hideMark/>
          </w:tcPr>
          <w:p w14:paraId="7BD338B0" w14:textId="77777777" w:rsidR="00102507" w:rsidRDefault="00102507">
            <w:pPr>
              <w:pStyle w:val="NormalWeb"/>
              <w:spacing w:before="0" w:beforeAutospacing="0" w:after="0" w:afterAutospacing="0"/>
            </w:pPr>
            <w:r>
              <w:rPr>
                <w:rFonts w:ascii="Arial" w:hAnsi="Arial" w:cs="Arial"/>
                <w:color w:val="000000"/>
                <w:sz w:val="20"/>
                <w:szCs w:val="20"/>
              </w:rPr>
              <w:t>15</w:t>
            </w:r>
          </w:p>
        </w:tc>
        <w:tc>
          <w:tcPr>
            <w:tcW w:w="0" w:type="auto"/>
            <w:tcBorders>
              <w:bottom w:val="single" w:sz="4" w:space="0" w:color="auto"/>
            </w:tcBorders>
            <w:tcMar>
              <w:top w:w="100" w:type="dxa"/>
              <w:left w:w="100" w:type="dxa"/>
              <w:bottom w:w="100" w:type="dxa"/>
              <w:right w:w="100" w:type="dxa"/>
            </w:tcMar>
            <w:hideMark/>
          </w:tcPr>
          <w:p w14:paraId="7132B357" w14:textId="77777777" w:rsidR="00102507" w:rsidRDefault="00102507">
            <w:pPr>
              <w:pStyle w:val="NormalWeb"/>
              <w:spacing w:before="0" w:beforeAutospacing="0" w:after="0" w:afterAutospacing="0"/>
            </w:pPr>
            <w:r>
              <w:rPr>
                <w:rFonts w:ascii="Arial" w:hAnsi="Arial" w:cs="Arial"/>
                <w:color w:val="000000"/>
                <w:sz w:val="20"/>
                <w:szCs w:val="20"/>
              </w:rPr>
              <w:t>14.9%</w:t>
            </w:r>
          </w:p>
        </w:tc>
      </w:tr>
      <w:tr w:rsidR="00102507" w14:paraId="255F4BE5" w14:textId="77777777" w:rsidTr="00102507">
        <w:trPr>
          <w:trHeight w:val="22"/>
          <w:jc w:val="center"/>
        </w:trPr>
        <w:tc>
          <w:tcPr>
            <w:tcW w:w="2038" w:type="dxa"/>
            <w:tcBorders>
              <w:top w:val="single" w:sz="4" w:space="0" w:color="auto"/>
              <w:bottom w:val="single" w:sz="4" w:space="0" w:color="auto"/>
            </w:tcBorders>
            <w:tcMar>
              <w:top w:w="100" w:type="dxa"/>
              <w:left w:w="100" w:type="dxa"/>
              <w:bottom w:w="100" w:type="dxa"/>
              <w:right w:w="100" w:type="dxa"/>
            </w:tcMar>
            <w:hideMark/>
          </w:tcPr>
          <w:p w14:paraId="2DDE1C16" w14:textId="77777777" w:rsidR="00102507" w:rsidRDefault="00102507">
            <w:pPr>
              <w:pStyle w:val="NormalWeb"/>
              <w:spacing w:before="0" w:beforeAutospacing="0" w:after="0" w:afterAutospacing="0"/>
            </w:pPr>
            <w:r>
              <w:rPr>
                <w:rFonts w:ascii="Arial" w:hAnsi="Arial" w:cs="Arial"/>
                <w:color w:val="000000"/>
                <w:sz w:val="20"/>
                <w:szCs w:val="20"/>
              </w:rPr>
              <w:t>Total</w:t>
            </w:r>
          </w:p>
        </w:tc>
        <w:tc>
          <w:tcPr>
            <w:tcW w:w="0" w:type="auto"/>
            <w:tcBorders>
              <w:top w:val="single" w:sz="4" w:space="0" w:color="auto"/>
              <w:bottom w:val="single" w:sz="4" w:space="0" w:color="auto"/>
            </w:tcBorders>
            <w:tcMar>
              <w:top w:w="100" w:type="dxa"/>
              <w:left w:w="100" w:type="dxa"/>
              <w:bottom w:w="100" w:type="dxa"/>
              <w:right w:w="100" w:type="dxa"/>
            </w:tcMar>
            <w:hideMark/>
          </w:tcPr>
          <w:p w14:paraId="3CE83117" w14:textId="77777777" w:rsidR="00102507" w:rsidRDefault="00102507">
            <w:pPr>
              <w:pStyle w:val="NormalWeb"/>
              <w:spacing w:before="0" w:beforeAutospacing="0" w:after="0" w:afterAutospacing="0"/>
            </w:pPr>
            <w:r>
              <w:rPr>
                <w:rFonts w:ascii="Arial" w:hAnsi="Arial" w:cs="Arial"/>
                <w:color w:val="000000"/>
                <w:sz w:val="20"/>
                <w:szCs w:val="20"/>
              </w:rPr>
              <w:t>101</w:t>
            </w:r>
          </w:p>
        </w:tc>
        <w:tc>
          <w:tcPr>
            <w:tcW w:w="0" w:type="auto"/>
            <w:tcBorders>
              <w:top w:val="single" w:sz="4" w:space="0" w:color="auto"/>
              <w:bottom w:val="single" w:sz="4" w:space="0" w:color="auto"/>
            </w:tcBorders>
            <w:tcMar>
              <w:top w:w="100" w:type="dxa"/>
              <w:left w:w="100" w:type="dxa"/>
              <w:bottom w:w="100" w:type="dxa"/>
              <w:right w:w="100" w:type="dxa"/>
            </w:tcMar>
            <w:hideMark/>
          </w:tcPr>
          <w:p w14:paraId="32B00291" w14:textId="77777777" w:rsidR="00102507" w:rsidRDefault="00102507">
            <w:pPr>
              <w:pStyle w:val="NormalWeb"/>
              <w:spacing w:before="0" w:beforeAutospacing="0" w:after="0" w:afterAutospacing="0"/>
            </w:pPr>
            <w:r>
              <w:rPr>
                <w:rFonts w:ascii="Arial" w:hAnsi="Arial" w:cs="Arial"/>
                <w:color w:val="000000"/>
                <w:sz w:val="20"/>
                <w:szCs w:val="20"/>
              </w:rPr>
              <w:t>100.0%</w:t>
            </w:r>
          </w:p>
        </w:tc>
      </w:tr>
    </w:tbl>
    <w:p w14:paraId="18E02A5B" w14:textId="77777777" w:rsidR="00102507" w:rsidRDefault="00102507" w:rsidP="00102507">
      <w:pPr>
        <w:pStyle w:val="NormalWeb"/>
        <w:spacing w:before="0" w:beforeAutospacing="0" w:after="0" w:afterAutospacing="0"/>
        <w:rPr>
          <w:rFonts w:ascii="Arial" w:hAnsi="Arial" w:cs="Arial"/>
          <w:b/>
          <w:bCs/>
          <w:color w:val="000000"/>
          <w:sz w:val="20"/>
          <w:szCs w:val="20"/>
        </w:rPr>
      </w:pPr>
    </w:p>
    <w:p w14:paraId="5969707E" w14:textId="77777777" w:rsidR="00102507" w:rsidRDefault="00102507" w:rsidP="00102507">
      <w:pPr>
        <w:pStyle w:val="NormalWeb"/>
        <w:spacing w:before="0" w:beforeAutospacing="0" w:after="0" w:afterAutospacing="0"/>
      </w:pPr>
      <w:r>
        <w:rPr>
          <w:rFonts w:ascii="Arial" w:hAnsi="Arial" w:cs="Arial"/>
          <w:color w:val="000000"/>
          <w:sz w:val="20"/>
          <w:szCs w:val="20"/>
        </w:rPr>
        <w:t>Moodle yielded the largest documented corpus, representing approximately half of all indicators identified in the study. This higher count reflects the more detailed structure of Moodle’s publicly documented analytics indicators, which differentiate multiple forms of learner activity and include explicit measures related to behavioral, cognitive, and social engagement. In contrast, the documented indicators in Canvas, Blackboard Learn, and D2L Brightspace were more strongly concentrated on observable activity and interaction measures. These differences should not be interpreted as rankings of analytics sophistication, effectiveness, or overall platform capability. Instead, they reflect differences in the number of distinct engagement-related measures that could be explicitly identified and normalized using the study’s common documentary protocol.</w:t>
      </w:r>
    </w:p>
    <w:p w14:paraId="3D0D719B" w14:textId="37123BBF" w:rsidR="00102507" w:rsidRDefault="00102507" w:rsidP="00102507">
      <w:pPr>
        <w:pStyle w:val="NormalWeb"/>
        <w:spacing w:before="0" w:beforeAutospacing="0" w:after="0" w:afterAutospacing="0"/>
      </w:pPr>
      <w:r>
        <w:rPr>
          <w:rFonts w:ascii="Arial" w:hAnsi="Arial" w:cs="Arial"/>
          <w:color w:val="000000"/>
          <w:sz w:val="20"/>
          <w:szCs w:val="20"/>
        </w:rPr>
        <w:t>This finding aligns with recent learning analytics research indicating that engagement is frequently operationalized through data generated by students’ interactions with digital learning environments. Bergdahl et al. (2024), in a systematic review of 159 higher-education learning analytics studies, found that observable behavioral measures such as clicks, activity counts, and task duration were substantially more common than measures representing other dimensions of engagement. Similarly, Winter et al. (2024) demonstrated that behavioral trace data generated within online learning environments can provide information about various dimensions of learning engagement, while also emphasizing the importance of examining multiple indicators rather than relying on any single trace as a complete representation of engagement. Goh (202</w:t>
      </w:r>
      <w:r w:rsidR="006C20C3">
        <w:rPr>
          <w:rFonts w:ascii="Arial" w:hAnsi="Arial" w:cs="Arial"/>
          <w:color w:val="000000"/>
          <w:sz w:val="20"/>
          <w:szCs w:val="20"/>
        </w:rPr>
        <w:t>6</w:t>
      </w:r>
      <w:r>
        <w:rPr>
          <w:rFonts w:ascii="Arial" w:hAnsi="Arial" w:cs="Arial"/>
          <w:color w:val="000000"/>
          <w:sz w:val="20"/>
          <w:szCs w:val="20"/>
        </w:rPr>
        <w:t>) further showed that LMS log data can be used to characterize persistence and consistency in students’ engagement behavior over time. Collectively, these studies underscore the importance of examining not only whether LMSs generate data, but also which forms of student activity are rendered measurable as indicators.</w:t>
      </w:r>
    </w:p>
    <w:p w14:paraId="47CC2D5C" w14:textId="77777777" w:rsidR="00102507" w:rsidRDefault="00102507" w:rsidP="00102507">
      <w:pPr>
        <w:pStyle w:val="NormalWeb"/>
        <w:spacing w:before="0" w:beforeAutospacing="0" w:after="0" w:afterAutospacing="0"/>
      </w:pPr>
      <w:r>
        <w:rPr>
          <w:rFonts w:ascii="Arial" w:hAnsi="Arial" w:cs="Arial"/>
          <w:color w:val="000000"/>
          <w:sz w:val="20"/>
          <w:szCs w:val="20"/>
        </w:rPr>
        <w:t>The variation in documented indicator counts also reflects differences in the granularity of documentation. This study counted a measure only when official documentation identified it as a distinct learner- or learning-related indicator. Reports, dashboards, visualizations, and raw system events were not automatically counted as separate indicators. Similarly, repeated appearances of the same underlying measure across different documentation pages or reporting formats were consolidated. This normalization was necessary because LMS providers organize and describe analytics in diverse ways. As a result, the reported counts represent comparable analytical units rather than simple tallies of available reports or documentation pages.</w:t>
      </w:r>
    </w:p>
    <w:p w14:paraId="7EF50B65"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This distinction is significant because learning analytics systems can make certain aspects of student activity considerably more visible than others. Research on learning analytics dashboards has similarly emphasized the role of analytics in presenting information about students’ observable learning behaviors and supporting reflection on those behaviors (de Vreugd et al., 2024; Lee &amp; Kim, 2025). Thus, the documented indicators represent not the </w:t>
      </w:r>
      <w:r>
        <w:rPr>
          <w:rFonts w:ascii="Arial" w:hAnsi="Arial" w:cs="Arial"/>
          <w:color w:val="000000"/>
          <w:sz w:val="20"/>
          <w:szCs w:val="20"/>
        </w:rPr>
        <w:lastRenderedPageBreak/>
        <w:t>entirety of student engagement, but rather the portions of engagement that are explicitly rendered measurable through the analytics structures documented by each platform.</w:t>
      </w:r>
    </w:p>
    <w:p w14:paraId="19C30DE4" w14:textId="77777777" w:rsidR="00102507" w:rsidRDefault="00102507" w:rsidP="00102507">
      <w:pPr>
        <w:pStyle w:val="NormalWeb"/>
        <w:spacing w:before="0" w:beforeAutospacing="0" w:after="0" w:afterAutospacing="0"/>
      </w:pPr>
      <w:r>
        <w:rPr>
          <w:rFonts w:ascii="Arial" w:hAnsi="Arial" w:cs="Arial"/>
          <w:color w:val="000000"/>
          <w:sz w:val="20"/>
          <w:szCs w:val="20"/>
        </w:rPr>
        <w:t>Therefore, the 101-indicator corpus should be interpreted as evidence of documented measurement visibility, not as an indication that one LMS has more comprehensive or effective analytics than another. The findings demonstrate that all four platforms provide publicly documented measures relevant to student engagement, although the number and composition of these measures vary. This variation becomes more analytically meaningful when the indicators are examined according to the four dimensions of the Student Engagement in Digital Learning (SEDL) Framework. Accordingly, Research Question 2 (RQ2) investigates whether the documented indicators are distributed evenly across behavioral, cognitive, emotional, and social engagement, or whether particular dimensions are more strongly represented in contemporary LMS analytics.</w:t>
      </w:r>
    </w:p>
    <w:p w14:paraId="2B7A2101" w14:textId="77777777" w:rsidR="00472000" w:rsidRDefault="00472000" w:rsidP="00472000">
      <w:pPr>
        <w:rPr>
          <w:rFonts w:ascii="Arial" w:hAnsi="Arial" w:cs="Arial"/>
          <w:color w:val="000000"/>
        </w:rPr>
      </w:pPr>
    </w:p>
    <w:p w14:paraId="5567F3AD" w14:textId="77777777" w:rsidR="00557081" w:rsidRPr="00557081" w:rsidRDefault="00557081" w:rsidP="00557081">
      <w:pPr>
        <w:pStyle w:val="Heading3"/>
        <w:spacing w:before="0"/>
        <w:rPr>
          <w:b/>
          <w:bCs/>
          <w:sz w:val="22"/>
          <w:szCs w:val="22"/>
        </w:rPr>
      </w:pPr>
      <w:r w:rsidRPr="00557081">
        <w:rPr>
          <w:rFonts w:ascii="Arial" w:hAnsi="Arial" w:cs="Arial"/>
          <w:b/>
          <w:bCs/>
          <w:color w:val="000000"/>
          <w:sz w:val="22"/>
          <w:szCs w:val="22"/>
        </w:rPr>
        <w:t>3.2 Distribution Across Student-Engagement Dimensions</w:t>
      </w:r>
    </w:p>
    <w:p w14:paraId="0FFC073F" w14:textId="77777777" w:rsidR="00557081" w:rsidRDefault="00557081" w:rsidP="00557081"/>
    <w:p w14:paraId="52AEB5BB" w14:textId="77777777" w:rsidR="00557081" w:rsidRDefault="00557081" w:rsidP="00557081">
      <w:pPr>
        <w:pStyle w:val="NormalWeb"/>
        <w:spacing w:before="0" w:beforeAutospacing="0" w:after="0" w:afterAutospacing="0"/>
      </w:pPr>
      <w:r>
        <w:rPr>
          <w:rFonts w:ascii="Arial" w:hAnsi="Arial" w:cs="Arial"/>
          <w:color w:val="000000"/>
          <w:sz w:val="20"/>
          <w:szCs w:val="20"/>
        </w:rPr>
        <w:t>Research Question 2 (RQ2) investigated the distribution of 101 documented learning management system (LMS) analytics indicators across the four dimensions of the Student Engagement in Digital Learning (SEDL) Framework: behavioral, cognitive, emotional, and social engagement. The findings indicate a pronounced concentration in behavioral and social engagement indicators, with cognitive engagement less extensively represented and emotional engagement not explicitly documented in the corpus.</w:t>
      </w:r>
    </w:p>
    <w:p w14:paraId="137EA978" w14:textId="77777777" w:rsidR="00557081" w:rsidRDefault="00557081" w:rsidP="00557081"/>
    <w:p w14:paraId="7D380E99" w14:textId="77777777" w:rsidR="00557081" w:rsidRDefault="00557081" w:rsidP="00557081">
      <w:pPr>
        <w:pStyle w:val="NormalWeb"/>
        <w:spacing w:before="0" w:beforeAutospacing="0" w:after="0" w:afterAutospacing="0"/>
        <w:jc w:val="center"/>
      </w:pPr>
      <w:r>
        <w:rPr>
          <w:rFonts w:ascii="Arial" w:hAnsi="Arial" w:cs="Arial"/>
          <w:b/>
          <w:bCs/>
          <w:color w:val="000000"/>
          <w:sz w:val="20"/>
          <w:szCs w:val="20"/>
        </w:rPr>
        <w:t>Table 2. Distribution of Documented Indicators by Student-Engagement Dimension</w:t>
      </w:r>
    </w:p>
    <w:p w14:paraId="6A94F1A6" w14:textId="77777777" w:rsidR="00557081" w:rsidRDefault="00557081" w:rsidP="00557081"/>
    <w:tbl>
      <w:tblPr>
        <w:tblW w:w="0" w:type="auto"/>
        <w:jc w:val="center"/>
        <w:tblCellMar>
          <w:top w:w="15" w:type="dxa"/>
          <w:left w:w="15" w:type="dxa"/>
          <w:bottom w:w="15" w:type="dxa"/>
          <w:right w:w="15" w:type="dxa"/>
        </w:tblCellMar>
        <w:tblLook w:val="04A0" w:firstRow="1" w:lastRow="0" w:firstColumn="1" w:lastColumn="0" w:noHBand="0" w:noVBand="1"/>
      </w:tblPr>
      <w:tblGrid>
        <w:gridCol w:w="2613"/>
        <w:gridCol w:w="1527"/>
        <w:gridCol w:w="1800"/>
      </w:tblGrid>
      <w:tr w:rsidR="00557081" w:rsidRPr="00557081" w14:paraId="074F9339" w14:textId="77777777" w:rsidTr="00557081">
        <w:trPr>
          <w:trHeight w:val="22"/>
          <w:jc w:val="center"/>
        </w:trPr>
        <w:tc>
          <w:tcPr>
            <w:tcW w:w="2613" w:type="dxa"/>
            <w:tcBorders>
              <w:top w:val="single" w:sz="4" w:space="0" w:color="auto"/>
              <w:bottom w:val="single" w:sz="4" w:space="0" w:color="auto"/>
            </w:tcBorders>
            <w:tcMar>
              <w:top w:w="100" w:type="dxa"/>
              <w:left w:w="100" w:type="dxa"/>
              <w:bottom w:w="100" w:type="dxa"/>
              <w:right w:w="100" w:type="dxa"/>
            </w:tcMar>
            <w:hideMark/>
          </w:tcPr>
          <w:p w14:paraId="65694333" w14:textId="77777777" w:rsidR="00557081" w:rsidRPr="00557081" w:rsidRDefault="00557081">
            <w:pPr>
              <w:pStyle w:val="NormalWeb"/>
              <w:spacing w:before="0" w:beforeAutospacing="0" w:after="0" w:afterAutospacing="0"/>
              <w:rPr>
                <w:b/>
                <w:bCs/>
              </w:rPr>
            </w:pPr>
            <w:r w:rsidRPr="00557081">
              <w:rPr>
                <w:rFonts w:ascii="Arial" w:hAnsi="Arial" w:cs="Arial"/>
                <w:b/>
                <w:bCs/>
                <w:color w:val="000000"/>
                <w:sz w:val="20"/>
                <w:szCs w:val="20"/>
              </w:rPr>
              <w:t>Engagement Dimension</w:t>
            </w:r>
          </w:p>
        </w:tc>
        <w:tc>
          <w:tcPr>
            <w:tcW w:w="1527" w:type="dxa"/>
            <w:tcBorders>
              <w:top w:val="single" w:sz="4" w:space="0" w:color="auto"/>
              <w:bottom w:val="single" w:sz="4" w:space="0" w:color="auto"/>
            </w:tcBorders>
            <w:tcMar>
              <w:top w:w="100" w:type="dxa"/>
              <w:left w:w="100" w:type="dxa"/>
              <w:bottom w:w="100" w:type="dxa"/>
              <w:right w:w="100" w:type="dxa"/>
            </w:tcMar>
            <w:hideMark/>
          </w:tcPr>
          <w:p w14:paraId="1243E781" w14:textId="77777777" w:rsidR="00557081" w:rsidRPr="00557081" w:rsidRDefault="00557081">
            <w:pPr>
              <w:pStyle w:val="NormalWeb"/>
              <w:spacing w:before="0" w:beforeAutospacing="0" w:after="0" w:afterAutospacing="0"/>
              <w:rPr>
                <w:b/>
                <w:bCs/>
              </w:rPr>
            </w:pPr>
            <w:r w:rsidRPr="00557081">
              <w:rPr>
                <w:rFonts w:ascii="Arial" w:hAnsi="Arial" w:cs="Arial"/>
                <w:b/>
                <w:bCs/>
                <w:color w:val="000000"/>
                <w:sz w:val="20"/>
                <w:szCs w:val="20"/>
              </w:rPr>
              <w:t>Frequency</w:t>
            </w:r>
          </w:p>
        </w:tc>
        <w:tc>
          <w:tcPr>
            <w:tcW w:w="1800" w:type="dxa"/>
            <w:tcBorders>
              <w:top w:val="single" w:sz="4" w:space="0" w:color="auto"/>
              <w:bottom w:val="single" w:sz="4" w:space="0" w:color="auto"/>
            </w:tcBorders>
            <w:tcMar>
              <w:top w:w="100" w:type="dxa"/>
              <w:left w:w="100" w:type="dxa"/>
              <w:bottom w:w="100" w:type="dxa"/>
              <w:right w:w="100" w:type="dxa"/>
            </w:tcMar>
            <w:hideMark/>
          </w:tcPr>
          <w:p w14:paraId="5214E986" w14:textId="77777777" w:rsidR="00557081" w:rsidRPr="00557081" w:rsidRDefault="00557081">
            <w:pPr>
              <w:pStyle w:val="NormalWeb"/>
              <w:spacing w:before="0" w:beforeAutospacing="0" w:after="0" w:afterAutospacing="0"/>
              <w:rPr>
                <w:b/>
                <w:bCs/>
              </w:rPr>
            </w:pPr>
            <w:r w:rsidRPr="00557081">
              <w:rPr>
                <w:rFonts w:ascii="Arial" w:hAnsi="Arial" w:cs="Arial"/>
                <w:b/>
                <w:bCs/>
                <w:color w:val="000000"/>
                <w:sz w:val="20"/>
                <w:szCs w:val="20"/>
              </w:rPr>
              <w:t>Percentage</w:t>
            </w:r>
          </w:p>
        </w:tc>
      </w:tr>
      <w:tr w:rsidR="00557081" w:rsidRPr="00557081" w14:paraId="2D42E3CE" w14:textId="77777777" w:rsidTr="00557081">
        <w:trPr>
          <w:trHeight w:val="146"/>
          <w:jc w:val="center"/>
        </w:trPr>
        <w:tc>
          <w:tcPr>
            <w:tcW w:w="2613" w:type="dxa"/>
            <w:tcBorders>
              <w:top w:val="single" w:sz="4" w:space="0" w:color="auto"/>
            </w:tcBorders>
            <w:tcMar>
              <w:top w:w="100" w:type="dxa"/>
              <w:left w:w="100" w:type="dxa"/>
              <w:bottom w:w="100" w:type="dxa"/>
              <w:right w:w="100" w:type="dxa"/>
            </w:tcMar>
            <w:hideMark/>
          </w:tcPr>
          <w:p w14:paraId="12CFA782"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Behavioral</w:t>
            </w:r>
          </w:p>
        </w:tc>
        <w:tc>
          <w:tcPr>
            <w:tcW w:w="1527" w:type="dxa"/>
            <w:tcBorders>
              <w:top w:val="single" w:sz="4" w:space="0" w:color="auto"/>
            </w:tcBorders>
            <w:tcMar>
              <w:top w:w="100" w:type="dxa"/>
              <w:left w:w="100" w:type="dxa"/>
              <w:bottom w:w="100" w:type="dxa"/>
              <w:right w:w="100" w:type="dxa"/>
            </w:tcMar>
            <w:hideMark/>
          </w:tcPr>
          <w:p w14:paraId="4359E9BD"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44</w:t>
            </w:r>
          </w:p>
        </w:tc>
        <w:tc>
          <w:tcPr>
            <w:tcW w:w="1800" w:type="dxa"/>
            <w:tcBorders>
              <w:top w:val="single" w:sz="4" w:space="0" w:color="auto"/>
            </w:tcBorders>
            <w:tcMar>
              <w:top w:w="100" w:type="dxa"/>
              <w:left w:w="100" w:type="dxa"/>
              <w:bottom w:w="100" w:type="dxa"/>
              <w:right w:w="100" w:type="dxa"/>
            </w:tcMar>
            <w:hideMark/>
          </w:tcPr>
          <w:p w14:paraId="6B68C462"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43.6%</w:t>
            </w:r>
          </w:p>
        </w:tc>
      </w:tr>
      <w:tr w:rsidR="00557081" w:rsidRPr="00557081" w14:paraId="31A47C15" w14:textId="77777777" w:rsidTr="00557081">
        <w:trPr>
          <w:trHeight w:val="83"/>
          <w:jc w:val="center"/>
        </w:trPr>
        <w:tc>
          <w:tcPr>
            <w:tcW w:w="2613" w:type="dxa"/>
            <w:tcMar>
              <w:top w:w="100" w:type="dxa"/>
              <w:left w:w="100" w:type="dxa"/>
              <w:bottom w:w="100" w:type="dxa"/>
              <w:right w:w="100" w:type="dxa"/>
            </w:tcMar>
            <w:hideMark/>
          </w:tcPr>
          <w:p w14:paraId="7A2A2794"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Social</w:t>
            </w:r>
          </w:p>
        </w:tc>
        <w:tc>
          <w:tcPr>
            <w:tcW w:w="1527" w:type="dxa"/>
            <w:tcMar>
              <w:top w:w="100" w:type="dxa"/>
              <w:left w:w="100" w:type="dxa"/>
              <w:bottom w:w="100" w:type="dxa"/>
              <w:right w:w="100" w:type="dxa"/>
            </w:tcMar>
            <w:hideMark/>
          </w:tcPr>
          <w:p w14:paraId="3E3D5F7D"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35</w:t>
            </w:r>
          </w:p>
        </w:tc>
        <w:tc>
          <w:tcPr>
            <w:tcW w:w="1800" w:type="dxa"/>
            <w:tcMar>
              <w:top w:w="100" w:type="dxa"/>
              <w:left w:w="100" w:type="dxa"/>
              <w:bottom w:w="100" w:type="dxa"/>
              <w:right w:w="100" w:type="dxa"/>
            </w:tcMar>
            <w:hideMark/>
          </w:tcPr>
          <w:p w14:paraId="53850883"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34.7%</w:t>
            </w:r>
          </w:p>
        </w:tc>
      </w:tr>
      <w:tr w:rsidR="00557081" w:rsidRPr="00557081" w14:paraId="44FF85E7" w14:textId="77777777" w:rsidTr="00557081">
        <w:trPr>
          <w:trHeight w:val="38"/>
          <w:jc w:val="center"/>
        </w:trPr>
        <w:tc>
          <w:tcPr>
            <w:tcW w:w="2613" w:type="dxa"/>
            <w:tcMar>
              <w:top w:w="100" w:type="dxa"/>
              <w:left w:w="100" w:type="dxa"/>
              <w:bottom w:w="100" w:type="dxa"/>
              <w:right w:w="100" w:type="dxa"/>
            </w:tcMar>
            <w:hideMark/>
          </w:tcPr>
          <w:p w14:paraId="0E38FA17"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Cognitive</w:t>
            </w:r>
          </w:p>
        </w:tc>
        <w:tc>
          <w:tcPr>
            <w:tcW w:w="1527" w:type="dxa"/>
            <w:tcMar>
              <w:top w:w="100" w:type="dxa"/>
              <w:left w:w="100" w:type="dxa"/>
              <w:bottom w:w="100" w:type="dxa"/>
              <w:right w:w="100" w:type="dxa"/>
            </w:tcMar>
            <w:hideMark/>
          </w:tcPr>
          <w:p w14:paraId="3ADEEA45"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22</w:t>
            </w:r>
          </w:p>
        </w:tc>
        <w:tc>
          <w:tcPr>
            <w:tcW w:w="1800" w:type="dxa"/>
            <w:tcMar>
              <w:top w:w="100" w:type="dxa"/>
              <w:left w:w="100" w:type="dxa"/>
              <w:bottom w:w="100" w:type="dxa"/>
              <w:right w:w="100" w:type="dxa"/>
            </w:tcMar>
            <w:hideMark/>
          </w:tcPr>
          <w:p w14:paraId="14CE2F76"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21.8%</w:t>
            </w:r>
          </w:p>
        </w:tc>
      </w:tr>
      <w:tr w:rsidR="00557081" w:rsidRPr="00557081" w14:paraId="0CF37018" w14:textId="77777777" w:rsidTr="00557081">
        <w:trPr>
          <w:trHeight w:val="22"/>
          <w:jc w:val="center"/>
        </w:trPr>
        <w:tc>
          <w:tcPr>
            <w:tcW w:w="2613" w:type="dxa"/>
            <w:tcBorders>
              <w:bottom w:val="single" w:sz="4" w:space="0" w:color="auto"/>
            </w:tcBorders>
            <w:tcMar>
              <w:top w:w="100" w:type="dxa"/>
              <w:left w:w="100" w:type="dxa"/>
              <w:bottom w:w="100" w:type="dxa"/>
              <w:right w:w="100" w:type="dxa"/>
            </w:tcMar>
            <w:hideMark/>
          </w:tcPr>
          <w:p w14:paraId="19C0C610"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Emotional</w:t>
            </w:r>
          </w:p>
        </w:tc>
        <w:tc>
          <w:tcPr>
            <w:tcW w:w="1527" w:type="dxa"/>
            <w:tcBorders>
              <w:bottom w:val="single" w:sz="4" w:space="0" w:color="auto"/>
            </w:tcBorders>
            <w:tcMar>
              <w:top w:w="100" w:type="dxa"/>
              <w:left w:w="100" w:type="dxa"/>
              <w:bottom w:w="100" w:type="dxa"/>
              <w:right w:w="100" w:type="dxa"/>
            </w:tcMar>
            <w:hideMark/>
          </w:tcPr>
          <w:p w14:paraId="137B10CF"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0</w:t>
            </w:r>
          </w:p>
        </w:tc>
        <w:tc>
          <w:tcPr>
            <w:tcW w:w="1800" w:type="dxa"/>
            <w:tcBorders>
              <w:bottom w:val="single" w:sz="4" w:space="0" w:color="auto"/>
            </w:tcBorders>
            <w:tcMar>
              <w:top w:w="100" w:type="dxa"/>
              <w:left w:w="100" w:type="dxa"/>
              <w:bottom w:w="100" w:type="dxa"/>
              <w:right w:w="100" w:type="dxa"/>
            </w:tcMar>
            <w:hideMark/>
          </w:tcPr>
          <w:p w14:paraId="73408321"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0.0%</w:t>
            </w:r>
          </w:p>
        </w:tc>
      </w:tr>
      <w:tr w:rsidR="00557081" w:rsidRPr="00557081" w14:paraId="59803216" w14:textId="77777777" w:rsidTr="00557081">
        <w:trPr>
          <w:trHeight w:val="22"/>
          <w:jc w:val="center"/>
        </w:trPr>
        <w:tc>
          <w:tcPr>
            <w:tcW w:w="2613" w:type="dxa"/>
            <w:tcBorders>
              <w:top w:val="single" w:sz="4" w:space="0" w:color="auto"/>
              <w:bottom w:val="single" w:sz="4" w:space="0" w:color="auto"/>
            </w:tcBorders>
            <w:tcMar>
              <w:top w:w="100" w:type="dxa"/>
              <w:left w:w="100" w:type="dxa"/>
              <w:bottom w:w="100" w:type="dxa"/>
              <w:right w:w="100" w:type="dxa"/>
            </w:tcMar>
            <w:hideMark/>
          </w:tcPr>
          <w:p w14:paraId="721FF9CB"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Total</w:t>
            </w:r>
          </w:p>
        </w:tc>
        <w:tc>
          <w:tcPr>
            <w:tcW w:w="1527" w:type="dxa"/>
            <w:tcBorders>
              <w:top w:val="single" w:sz="4" w:space="0" w:color="auto"/>
              <w:bottom w:val="single" w:sz="4" w:space="0" w:color="auto"/>
            </w:tcBorders>
            <w:tcMar>
              <w:top w:w="100" w:type="dxa"/>
              <w:left w:w="100" w:type="dxa"/>
              <w:bottom w:w="100" w:type="dxa"/>
              <w:right w:w="100" w:type="dxa"/>
            </w:tcMar>
            <w:hideMark/>
          </w:tcPr>
          <w:p w14:paraId="4FBEDFF9"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101</w:t>
            </w:r>
          </w:p>
        </w:tc>
        <w:tc>
          <w:tcPr>
            <w:tcW w:w="1800" w:type="dxa"/>
            <w:tcBorders>
              <w:top w:val="single" w:sz="4" w:space="0" w:color="auto"/>
              <w:bottom w:val="single" w:sz="4" w:space="0" w:color="auto"/>
            </w:tcBorders>
            <w:tcMar>
              <w:top w:w="100" w:type="dxa"/>
              <w:left w:w="100" w:type="dxa"/>
              <w:bottom w:w="100" w:type="dxa"/>
              <w:right w:w="100" w:type="dxa"/>
            </w:tcMar>
            <w:hideMark/>
          </w:tcPr>
          <w:p w14:paraId="68A33DA1"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100.0%</w:t>
            </w:r>
          </w:p>
        </w:tc>
      </w:tr>
    </w:tbl>
    <w:p w14:paraId="697EA295" w14:textId="77777777" w:rsidR="00472000" w:rsidRPr="00472000" w:rsidRDefault="00472000" w:rsidP="00472000"/>
    <w:p w14:paraId="7580FC19"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Behavioral engagement represented the largest category, comprising 44 indicators (43.6%). These indicators captured observable learner activities, such as access, participation, submissions, completion, interaction with learning resources, and related activity traces. The predominance of behavioral measures aligns with broader learning analytics literature. For example, Bergdahl et al. (2024), in a systematic review of 159 higher-education learning analytics studies, found that behavioral engagement was the most frequently operationalized dimension, with measures such as clicks, time on task, and other observable activities being substantially more common than cognitive, social, or emotional engagement measures. Similarly, Armas-Cervantes et al. (2024) showed that LMS event data can identify changes in students’ online engagement by analyzing patterns across large numbers of recorded learning interactions. These findings help explain the prominence of behavioral engagement in the present corpus, as it closely aligns with the types of events routinely recorded by LMS platforms.</w:t>
      </w:r>
    </w:p>
    <w:p w14:paraId="70542EE2"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 xml:space="preserve">Social engagement was the second-largest category, comprising 35 indicators (34.7%). These measures included discussion participation, replies, collaboration, messaging, and other digitally recorded interactions among learners and between learners and instructors. </w:t>
      </w:r>
      <w:r w:rsidRPr="00557081">
        <w:rPr>
          <w:rFonts w:ascii="Arial" w:hAnsi="Arial" w:cs="Arial"/>
          <w:color w:val="000000"/>
          <w:sz w:val="20"/>
          <w:szCs w:val="20"/>
        </w:rPr>
        <w:lastRenderedPageBreak/>
        <w:t>The substantial representation of social engagement indicates that LMS analytics extend beyond individual system activity to include interactional dimensions of learning. However, the measurable component of social engagement remains dependent on observable participation. A discussion reply, for example, shows that an interaction occurred but does not necessarily establish the quality, depth, or interpersonal meaning of that interaction. Recent learning analytics research similarly shows that interaction data can distinguish patterns of participation and engagement in collaborative learning environments, while interpreting those patterns still depends on the context in which interactions occur (Yin et al., 2025).</w:t>
      </w:r>
    </w:p>
    <w:p w14:paraId="68979234"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Cognitive engagement accounted for 22 indicators (21.8%), all of which were identified in Moodle’s documented analytics corpus. These measures included explicitly documented cognitive classifications associated with learning activities and resources. Their presence demonstrates that LMS analytics can incorporate constructs beyond simple activity frequency when the analytics architecture explicitly models learning processes. This aligns with recent research emphasizing learning analytics' potential to support self-regulation and cognitively oriented learning processes. For example, Uzun et al. (2025) examined students’ engagement with analytics feedback in relation to self-regulated learning competence, specifically conceptualizing cognitive engagement through the ICAP framework. Similarly, Kleimola et al. (2025) examined the relationship between learning analytics and self-regulated learning in higher education. Such research illustrates that cognitive engagement can be operationalized through analytics, but generally requires more theoretically informed measures than simple activity counts.</w:t>
      </w:r>
    </w:p>
    <w:p w14:paraId="19D0C9B5"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The concentration of cognitive indicators within Moodle is analytically significant. This finding does not imply that the other three LMS platforms are incapable of supporting cognitive analytics. Instead, under the standardized documentary protocol employed in this study, Moodle was the only platform for which explicit native cognitive-engagement indicators were identified in the core public documentation. This distinction aligns with Bergdahl et al.'s (2024) observation that cognitive engagement is substantially less represented in learning analytics compared to behavioral engagement. The present findings extend this observation by demonstrating that the imbalance is also evident when analyzing the analytics documentation of LMS platforms themselves.</w:t>
      </w:r>
    </w:p>
    <w:p w14:paraId="79D6DF0B"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The most notable finding pertains to emotional engagement. No explicit native emotional-engagement indicators were identified in the documented corpus of any of the four platforms. This result should be interpreted with caution. It does not imply that emotional engagement cannot be studied within digital learning environments, nor does it suggest that the four platforms lack underlying or configurable capabilities for capturing affective information. Rather, it indicates that emotional engagement was not explicitly represented as a native engagement measure in the publicly documented core analytics corpus under the study’s standardized search and coding protocol.</w:t>
      </w:r>
    </w:p>
    <w:p w14:paraId="4337B556"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Recent research demonstrates that emotional engagement can be investigated using approaches that extend beyond conventional LMS event data. For instance, Wang et al. (2025) examined emotional engagement in AI-supported hybrid learning, while studies employing multimodal approaches have shown the feasibility of detecting emotional engagement through combinations of visual, audio, physiological, and environmental data (Yin et al., 2025). These approaches differ substantially from conventional LMS analytics because they require data sources not typically represented in standard LMS activity logs. The absence of emotional indicators in the present corpus therefore underscores the distinction between what can theoretically be measured in digital learning environments and what native LMS analytics explicitly incorporate.</w:t>
      </w:r>
    </w:p>
    <w:p w14:paraId="4B348653"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 xml:space="preserve">In total, 79 of the 101 indicators (78.2%) represented behavioral or social engagement. This concentration demonstrates that the documented analytics architectures of the four platforms are strongly oriented toward engagement that produces observable digital traces. While such traces are valuable for continuous collection and large-scale analysis, they do </w:t>
      </w:r>
      <w:r w:rsidRPr="00557081">
        <w:rPr>
          <w:rFonts w:ascii="Arial" w:hAnsi="Arial" w:cs="Arial"/>
          <w:color w:val="000000"/>
          <w:sz w:val="20"/>
          <w:szCs w:val="20"/>
        </w:rPr>
        <w:lastRenderedPageBreak/>
        <w:t>not provide an equally direct perspective on all dimensions of engagement. Bergdahl et al. (2024) similarly cautioned that reliance on learning analytics data can result in a narrowed operationalization of engagement when observable behavior is treated as a sufficient representation of the broader construct.</w:t>
      </w:r>
    </w:p>
    <w:p w14:paraId="2E5CB7AC" w14:textId="0014D1A9" w:rsidR="00472000" w:rsidRPr="00557081" w:rsidRDefault="00557081" w:rsidP="00557081">
      <w:pPr>
        <w:pStyle w:val="NormalWeb"/>
        <w:spacing w:before="0" w:beforeAutospacing="0" w:after="0" w:afterAutospacing="0"/>
        <w:rPr>
          <w:rFonts w:ascii="Arial" w:hAnsi="Arial" w:cs="Arial"/>
          <w:color w:val="000000"/>
          <w:sz w:val="20"/>
          <w:szCs w:val="20"/>
        </w:rPr>
      </w:pPr>
      <w:r w:rsidRPr="00557081">
        <w:rPr>
          <w:rFonts w:ascii="Arial" w:hAnsi="Arial" w:cs="Arial"/>
          <w:color w:val="000000"/>
          <w:sz w:val="20"/>
          <w:szCs w:val="20"/>
        </w:rPr>
        <w:t>The distribution thus reveals an uneven measurement profile across the SEDL dimensions. Behavioral engagement is the most visible, social engagement is also substantially represented, cognitive engagement is more selectively institutionalized, and emotional engagement is absent from the explicitly documented native indicators. This pattern does not establish a hierarchy among the dimensions themselves, but rather indicates a hierarchy of measurement visibility within the publicly documented analytics architectures of the four LMS platforms. Section 3.3 examines the implications of these differing measurement profiles comparatively.</w:t>
      </w:r>
    </w:p>
    <w:p w14:paraId="5B902119" w14:textId="77777777" w:rsidR="00557081" w:rsidRPr="00472000" w:rsidRDefault="00557081" w:rsidP="00557081">
      <w:pPr>
        <w:pStyle w:val="NormalWeb"/>
        <w:spacing w:before="0" w:beforeAutospacing="0" w:after="0" w:afterAutospacing="0"/>
      </w:pPr>
    </w:p>
    <w:p w14:paraId="1124B85E" w14:textId="77777777" w:rsidR="0011613A" w:rsidRPr="0011613A" w:rsidRDefault="0011613A" w:rsidP="0011613A">
      <w:pPr>
        <w:pStyle w:val="Heading3"/>
        <w:spacing w:before="0"/>
        <w:rPr>
          <w:b/>
          <w:bCs/>
          <w:sz w:val="22"/>
          <w:szCs w:val="22"/>
        </w:rPr>
      </w:pPr>
      <w:r w:rsidRPr="0011613A">
        <w:rPr>
          <w:rFonts w:ascii="Arial" w:hAnsi="Arial" w:cs="Arial"/>
          <w:b/>
          <w:bCs/>
          <w:color w:val="000000"/>
          <w:sz w:val="22"/>
          <w:szCs w:val="22"/>
        </w:rPr>
        <w:t>3.3 Comparative LMS Measurement Profiles</w:t>
      </w:r>
    </w:p>
    <w:p w14:paraId="48C1AA77" w14:textId="77777777" w:rsidR="0011613A" w:rsidRDefault="0011613A" w:rsidP="0011613A"/>
    <w:p w14:paraId="48B57989" w14:textId="77777777" w:rsidR="0011613A" w:rsidRDefault="0011613A" w:rsidP="0011613A">
      <w:pPr>
        <w:pStyle w:val="NormalWeb"/>
        <w:spacing w:before="0" w:beforeAutospacing="0" w:after="0" w:afterAutospacing="0"/>
      </w:pPr>
      <w:r>
        <w:rPr>
          <w:rFonts w:ascii="Arial" w:hAnsi="Arial" w:cs="Arial"/>
          <w:color w:val="000000"/>
          <w:sz w:val="20"/>
          <w:szCs w:val="20"/>
        </w:rPr>
        <w:t xml:space="preserve">Research Question 3 (RQ3) examines differences among Moodle, Canvas, Blackboard Learn, and D2L Brightspace in how they represent student engagement dimensions and measurement patterns. While Research Question 1 (RQ1) established the number of documented indicators and Research Question 2 (RQ2) examined their distribution across the SEDL dimensions, this section compares the </w:t>
      </w:r>
      <w:r>
        <w:rPr>
          <w:rFonts w:ascii="Arial" w:hAnsi="Arial" w:cs="Arial"/>
          <w:b/>
          <w:bCs/>
          <w:color w:val="000000"/>
          <w:sz w:val="20"/>
          <w:szCs w:val="20"/>
        </w:rPr>
        <w:t>measurement profiles</w:t>
      </w:r>
      <w:r>
        <w:rPr>
          <w:rFonts w:ascii="Arial" w:hAnsi="Arial" w:cs="Arial"/>
          <w:color w:val="000000"/>
          <w:sz w:val="20"/>
          <w:szCs w:val="20"/>
        </w:rPr>
        <w:t xml:space="preserve"> produced by the four LMS platforms.</w:t>
      </w:r>
    </w:p>
    <w:p w14:paraId="75046298" w14:textId="77777777" w:rsidR="0011613A" w:rsidRDefault="0011613A" w:rsidP="0011613A"/>
    <w:p w14:paraId="44475BA7" w14:textId="77777777" w:rsidR="0011613A" w:rsidRDefault="0011613A" w:rsidP="0011613A">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Table 3. Comparative Distribution of Documented Engagement Indicators by LMS</w:t>
      </w:r>
    </w:p>
    <w:p w14:paraId="210FC834" w14:textId="77777777" w:rsidR="0011613A" w:rsidRDefault="0011613A" w:rsidP="0011613A">
      <w:pPr>
        <w:pStyle w:val="NormalWeb"/>
        <w:spacing w:before="0" w:beforeAutospacing="0" w:after="0" w:afterAutospacing="0"/>
        <w:jc w:val="center"/>
        <w:rPr>
          <w:rFonts w:ascii="Arial" w:hAnsi="Arial" w:cs="Arial"/>
          <w:b/>
          <w:bCs/>
          <w:color w:val="000000"/>
          <w:sz w:val="20"/>
          <w:szCs w:val="20"/>
        </w:rPr>
      </w:pPr>
    </w:p>
    <w:tbl>
      <w:tblPr>
        <w:tblW w:w="8100" w:type="dxa"/>
        <w:jc w:val="center"/>
        <w:tblCellMar>
          <w:top w:w="15" w:type="dxa"/>
          <w:left w:w="15" w:type="dxa"/>
          <w:bottom w:w="15" w:type="dxa"/>
          <w:right w:w="15" w:type="dxa"/>
        </w:tblCellMar>
        <w:tblLook w:val="04A0" w:firstRow="1" w:lastRow="0" w:firstColumn="1" w:lastColumn="0" w:noHBand="0" w:noVBand="1"/>
      </w:tblPr>
      <w:tblGrid>
        <w:gridCol w:w="1951"/>
        <w:gridCol w:w="1345"/>
        <w:gridCol w:w="1341"/>
        <w:gridCol w:w="1167"/>
        <w:gridCol w:w="1296"/>
        <w:gridCol w:w="1000"/>
      </w:tblGrid>
      <w:tr w:rsidR="0011613A" w14:paraId="1FF318B7" w14:textId="77777777" w:rsidTr="0011613A">
        <w:trPr>
          <w:trHeight w:val="179"/>
          <w:jc w:val="center"/>
        </w:trPr>
        <w:tc>
          <w:tcPr>
            <w:tcW w:w="1951" w:type="dxa"/>
            <w:tcBorders>
              <w:top w:val="single" w:sz="4" w:space="0" w:color="auto"/>
              <w:bottom w:val="single" w:sz="4" w:space="0" w:color="auto"/>
            </w:tcBorders>
            <w:tcMar>
              <w:top w:w="100" w:type="dxa"/>
              <w:left w:w="100" w:type="dxa"/>
              <w:bottom w:w="100" w:type="dxa"/>
              <w:right w:w="100" w:type="dxa"/>
            </w:tcMar>
            <w:hideMark/>
          </w:tcPr>
          <w:p w14:paraId="6E82F318"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LMS Platform</w:t>
            </w:r>
          </w:p>
        </w:tc>
        <w:tc>
          <w:tcPr>
            <w:tcW w:w="1345" w:type="dxa"/>
            <w:tcBorders>
              <w:top w:val="single" w:sz="4" w:space="0" w:color="auto"/>
              <w:bottom w:val="single" w:sz="4" w:space="0" w:color="auto"/>
            </w:tcBorders>
            <w:tcMar>
              <w:top w:w="100" w:type="dxa"/>
              <w:left w:w="100" w:type="dxa"/>
              <w:bottom w:w="100" w:type="dxa"/>
              <w:right w:w="100" w:type="dxa"/>
            </w:tcMar>
            <w:hideMark/>
          </w:tcPr>
          <w:p w14:paraId="30B4D73B"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Behavioral</w:t>
            </w:r>
          </w:p>
        </w:tc>
        <w:tc>
          <w:tcPr>
            <w:tcW w:w="1341" w:type="dxa"/>
            <w:tcBorders>
              <w:top w:val="single" w:sz="4" w:space="0" w:color="auto"/>
              <w:bottom w:val="single" w:sz="4" w:space="0" w:color="auto"/>
            </w:tcBorders>
            <w:tcMar>
              <w:top w:w="100" w:type="dxa"/>
              <w:left w:w="100" w:type="dxa"/>
              <w:bottom w:w="100" w:type="dxa"/>
              <w:right w:w="100" w:type="dxa"/>
            </w:tcMar>
            <w:hideMark/>
          </w:tcPr>
          <w:p w14:paraId="24B1C17C"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Cognitive</w:t>
            </w:r>
          </w:p>
        </w:tc>
        <w:tc>
          <w:tcPr>
            <w:tcW w:w="1167" w:type="dxa"/>
            <w:tcBorders>
              <w:top w:val="single" w:sz="4" w:space="0" w:color="auto"/>
              <w:bottom w:val="single" w:sz="4" w:space="0" w:color="auto"/>
            </w:tcBorders>
            <w:tcMar>
              <w:top w:w="100" w:type="dxa"/>
              <w:left w:w="100" w:type="dxa"/>
              <w:bottom w:w="100" w:type="dxa"/>
              <w:right w:w="100" w:type="dxa"/>
            </w:tcMar>
            <w:hideMark/>
          </w:tcPr>
          <w:p w14:paraId="52587DB9"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Emotional</w:t>
            </w:r>
          </w:p>
        </w:tc>
        <w:tc>
          <w:tcPr>
            <w:tcW w:w="1296" w:type="dxa"/>
            <w:tcBorders>
              <w:top w:val="single" w:sz="4" w:space="0" w:color="auto"/>
              <w:bottom w:val="single" w:sz="4" w:space="0" w:color="auto"/>
            </w:tcBorders>
            <w:tcMar>
              <w:top w:w="100" w:type="dxa"/>
              <w:left w:w="100" w:type="dxa"/>
              <w:bottom w:w="100" w:type="dxa"/>
              <w:right w:w="100" w:type="dxa"/>
            </w:tcMar>
            <w:hideMark/>
          </w:tcPr>
          <w:p w14:paraId="27DC0D95"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Social</w:t>
            </w:r>
          </w:p>
        </w:tc>
        <w:tc>
          <w:tcPr>
            <w:tcW w:w="1000" w:type="dxa"/>
            <w:tcBorders>
              <w:top w:val="single" w:sz="4" w:space="0" w:color="auto"/>
              <w:bottom w:val="single" w:sz="4" w:space="0" w:color="auto"/>
            </w:tcBorders>
            <w:tcMar>
              <w:top w:w="100" w:type="dxa"/>
              <w:left w:w="100" w:type="dxa"/>
              <w:bottom w:w="100" w:type="dxa"/>
              <w:right w:w="100" w:type="dxa"/>
            </w:tcMar>
            <w:hideMark/>
          </w:tcPr>
          <w:p w14:paraId="4001CBC5"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Total</w:t>
            </w:r>
          </w:p>
        </w:tc>
      </w:tr>
      <w:tr w:rsidR="0011613A" w14:paraId="129C6DC9" w14:textId="77777777" w:rsidTr="0011613A">
        <w:trPr>
          <w:trHeight w:val="53"/>
          <w:jc w:val="center"/>
        </w:trPr>
        <w:tc>
          <w:tcPr>
            <w:tcW w:w="1951" w:type="dxa"/>
            <w:tcBorders>
              <w:top w:val="single" w:sz="4" w:space="0" w:color="auto"/>
            </w:tcBorders>
            <w:tcMar>
              <w:top w:w="100" w:type="dxa"/>
              <w:left w:w="100" w:type="dxa"/>
              <w:bottom w:w="100" w:type="dxa"/>
              <w:right w:w="100" w:type="dxa"/>
            </w:tcMar>
            <w:hideMark/>
          </w:tcPr>
          <w:p w14:paraId="4C07D748" w14:textId="77777777" w:rsidR="0011613A" w:rsidRDefault="0011613A">
            <w:pPr>
              <w:pStyle w:val="NormalWeb"/>
              <w:spacing w:before="0" w:beforeAutospacing="0" w:after="0" w:afterAutospacing="0"/>
            </w:pPr>
            <w:r>
              <w:rPr>
                <w:rFonts w:ascii="Arial" w:hAnsi="Arial" w:cs="Arial"/>
                <w:color w:val="000000"/>
                <w:sz w:val="20"/>
                <w:szCs w:val="20"/>
              </w:rPr>
              <w:t>Moodle</w:t>
            </w:r>
          </w:p>
        </w:tc>
        <w:tc>
          <w:tcPr>
            <w:tcW w:w="1345" w:type="dxa"/>
            <w:tcBorders>
              <w:top w:val="single" w:sz="4" w:space="0" w:color="auto"/>
            </w:tcBorders>
            <w:tcMar>
              <w:top w:w="100" w:type="dxa"/>
              <w:left w:w="100" w:type="dxa"/>
              <w:bottom w:w="100" w:type="dxa"/>
              <w:right w:w="100" w:type="dxa"/>
            </w:tcMar>
            <w:hideMark/>
          </w:tcPr>
          <w:p w14:paraId="63DAC4D6" w14:textId="77777777" w:rsidR="0011613A" w:rsidRDefault="0011613A">
            <w:pPr>
              <w:pStyle w:val="NormalWeb"/>
              <w:spacing w:before="0" w:beforeAutospacing="0" w:after="0" w:afterAutospacing="0"/>
            </w:pPr>
            <w:r>
              <w:rPr>
                <w:rFonts w:ascii="Arial" w:hAnsi="Arial" w:cs="Arial"/>
                <w:color w:val="000000"/>
                <w:sz w:val="20"/>
                <w:szCs w:val="20"/>
              </w:rPr>
              <w:t>7 (13.7%)</w:t>
            </w:r>
          </w:p>
        </w:tc>
        <w:tc>
          <w:tcPr>
            <w:tcW w:w="1341" w:type="dxa"/>
            <w:tcBorders>
              <w:top w:val="single" w:sz="4" w:space="0" w:color="auto"/>
            </w:tcBorders>
            <w:tcMar>
              <w:top w:w="100" w:type="dxa"/>
              <w:left w:w="100" w:type="dxa"/>
              <w:bottom w:w="100" w:type="dxa"/>
              <w:right w:w="100" w:type="dxa"/>
            </w:tcMar>
            <w:hideMark/>
          </w:tcPr>
          <w:p w14:paraId="5ABE4438" w14:textId="77777777" w:rsidR="0011613A" w:rsidRDefault="0011613A">
            <w:pPr>
              <w:pStyle w:val="NormalWeb"/>
              <w:spacing w:before="0" w:beforeAutospacing="0" w:after="0" w:afterAutospacing="0"/>
            </w:pPr>
            <w:r>
              <w:rPr>
                <w:rFonts w:ascii="Arial" w:hAnsi="Arial" w:cs="Arial"/>
                <w:color w:val="000000"/>
                <w:sz w:val="20"/>
                <w:szCs w:val="20"/>
              </w:rPr>
              <w:t>22 (43.1%)</w:t>
            </w:r>
          </w:p>
        </w:tc>
        <w:tc>
          <w:tcPr>
            <w:tcW w:w="1167" w:type="dxa"/>
            <w:tcBorders>
              <w:top w:val="single" w:sz="4" w:space="0" w:color="auto"/>
            </w:tcBorders>
            <w:tcMar>
              <w:top w:w="100" w:type="dxa"/>
              <w:left w:w="100" w:type="dxa"/>
              <w:bottom w:w="100" w:type="dxa"/>
              <w:right w:w="100" w:type="dxa"/>
            </w:tcMar>
            <w:hideMark/>
          </w:tcPr>
          <w:p w14:paraId="504C098F"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Borders>
              <w:top w:val="single" w:sz="4" w:space="0" w:color="auto"/>
            </w:tcBorders>
            <w:tcMar>
              <w:top w:w="100" w:type="dxa"/>
              <w:left w:w="100" w:type="dxa"/>
              <w:bottom w:w="100" w:type="dxa"/>
              <w:right w:w="100" w:type="dxa"/>
            </w:tcMar>
            <w:hideMark/>
          </w:tcPr>
          <w:p w14:paraId="10179E66" w14:textId="77777777" w:rsidR="0011613A" w:rsidRDefault="0011613A">
            <w:pPr>
              <w:pStyle w:val="NormalWeb"/>
              <w:spacing w:before="0" w:beforeAutospacing="0" w:after="0" w:afterAutospacing="0"/>
            </w:pPr>
            <w:r>
              <w:rPr>
                <w:rFonts w:ascii="Arial" w:hAnsi="Arial" w:cs="Arial"/>
                <w:color w:val="000000"/>
                <w:sz w:val="20"/>
                <w:szCs w:val="20"/>
              </w:rPr>
              <w:t>22 (43.1%)</w:t>
            </w:r>
          </w:p>
        </w:tc>
        <w:tc>
          <w:tcPr>
            <w:tcW w:w="1000" w:type="dxa"/>
            <w:tcBorders>
              <w:top w:val="single" w:sz="4" w:space="0" w:color="auto"/>
            </w:tcBorders>
            <w:tcMar>
              <w:top w:w="100" w:type="dxa"/>
              <w:left w:w="100" w:type="dxa"/>
              <w:bottom w:w="100" w:type="dxa"/>
              <w:right w:w="100" w:type="dxa"/>
            </w:tcMar>
            <w:hideMark/>
          </w:tcPr>
          <w:p w14:paraId="752474A9" w14:textId="77777777" w:rsidR="0011613A" w:rsidRDefault="0011613A">
            <w:pPr>
              <w:pStyle w:val="NormalWeb"/>
              <w:spacing w:before="0" w:beforeAutospacing="0" w:after="0" w:afterAutospacing="0"/>
            </w:pPr>
            <w:r>
              <w:rPr>
                <w:rFonts w:ascii="Arial" w:hAnsi="Arial" w:cs="Arial"/>
                <w:color w:val="000000"/>
                <w:sz w:val="20"/>
                <w:szCs w:val="20"/>
              </w:rPr>
              <w:t>51</w:t>
            </w:r>
          </w:p>
        </w:tc>
      </w:tr>
      <w:tr w:rsidR="0011613A" w14:paraId="0E2B96E7" w14:textId="77777777" w:rsidTr="0011613A">
        <w:trPr>
          <w:trHeight w:val="98"/>
          <w:jc w:val="center"/>
        </w:trPr>
        <w:tc>
          <w:tcPr>
            <w:tcW w:w="1951" w:type="dxa"/>
            <w:tcMar>
              <w:top w:w="100" w:type="dxa"/>
              <w:left w:w="100" w:type="dxa"/>
              <w:bottom w:w="100" w:type="dxa"/>
              <w:right w:w="100" w:type="dxa"/>
            </w:tcMar>
            <w:hideMark/>
          </w:tcPr>
          <w:p w14:paraId="162C6B33" w14:textId="77777777" w:rsidR="0011613A" w:rsidRDefault="0011613A">
            <w:pPr>
              <w:pStyle w:val="NormalWeb"/>
              <w:spacing w:before="0" w:beforeAutospacing="0" w:after="0" w:afterAutospacing="0"/>
            </w:pPr>
            <w:r>
              <w:rPr>
                <w:rFonts w:ascii="Arial" w:hAnsi="Arial" w:cs="Arial"/>
                <w:color w:val="000000"/>
                <w:sz w:val="20"/>
                <w:szCs w:val="20"/>
              </w:rPr>
              <w:t>Canvas</w:t>
            </w:r>
          </w:p>
        </w:tc>
        <w:tc>
          <w:tcPr>
            <w:tcW w:w="1345" w:type="dxa"/>
            <w:tcMar>
              <w:top w:w="100" w:type="dxa"/>
              <w:left w:w="100" w:type="dxa"/>
              <w:bottom w:w="100" w:type="dxa"/>
              <w:right w:w="100" w:type="dxa"/>
            </w:tcMar>
            <w:hideMark/>
          </w:tcPr>
          <w:p w14:paraId="41193953" w14:textId="77777777" w:rsidR="0011613A" w:rsidRDefault="0011613A">
            <w:pPr>
              <w:pStyle w:val="NormalWeb"/>
              <w:spacing w:before="0" w:beforeAutospacing="0" w:after="0" w:afterAutospacing="0"/>
            </w:pPr>
            <w:r>
              <w:rPr>
                <w:rFonts w:ascii="Arial" w:hAnsi="Arial" w:cs="Arial"/>
                <w:color w:val="000000"/>
                <w:sz w:val="20"/>
                <w:szCs w:val="20"/>
              </w:rPr>
              <w:t>10 (62.5%)</w:t>
            </w:r>
          </w:p>
        </w:tc>
        <w:tc>
          <w:tcPr>
            <w:tcW w:w="1341" w:type="dxa"/>
            <w:tcMar>
              <w:top w:w="100" w:type="dxa"/>
              <w:left w:w="100" w:type="dxa"/>
              <w:bottom w:w="100" w:type="dxa"/>
              <w:right w:w="100" w:type="dxa"/>
            </w:tcMar>
            <w:hideMark/>
          </w:tcPr>
          <w:p w14:paraId="7FB90F06"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167" w:type="dxa"/>
            <w:tcMar>
              <w:top w:w="100" w:type="dxa"/>
              <w:left w:w="100" w:type="dxa"/>
              <w:bottom w:w="100" w:type="dxa"/>
              <w:right w:w="100" w:type="dxa"/>
            </w:tcMar>
            <w:hideMark/>
          </w:tcPr>
          <w:p w14:paraId="79824C44"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Mar>
              <w:top w:w="100" w:type="dxa"/>
              <w:left w:w="100" w:type="dxa"/>
              <w:bottom w:w="100" w:type="dxa"/>
              <w:right w:w="100" w:type="dxa"/>
            </w:tcMar>
            <w:hideMark/>
          </w:tcPr>
          <w:p w14:paraId="16B4CCE9" w14:textId="77777777" w:rsidR="0011613A" w:rsidRDefault="0011613A">
            <w:pPr>
              <w:pStyle w:val="NormalWeb"/>
              <w:spacing w:before="0" w:beforeAutospacing="0" w:after="0" w:afterAutospacing="0"/>
            </w:pPr>
            <w:r>
              <w:rPr>
                <w:rFonts w:ascii="Arial" w:hAnsi="Arial" w:cs="Arial"/>
                <w:color w:val="000000"/>
                <w:sz w:val="20"/>
                <w:szCs w:val="20"/>
              </w:rPr>
              <w:t>6 (37.5%)</w:t>
            </w:r>
          </w:p>
        </w:tc>
        <w:tc>
          <w:tcPr>
            <w:tcW w:w="1000" w:type="dxa"/>
            <w:tcMar>
              <w:top w:w="100" w:type="dxa"/>
              <w:left w:w="100" w:type="dxa"/>
              <w:bottom w:w="100" w:type="dxa"/>
              <w:right w:w="100" w:type="dxa"/>
            </w:tcMar>
            <w:hideMark/>
          </w:tcPr>
          <w:p w14:paraId="3125B207" w14:textId="77777777" w:rsidR="0011613A" w:rsidRDefault="0011613A">
            <w:pPr>
              <w:pStyle w:val="NormalWeb"/>
              <w:spacing w:before="0" w:beforeAutospacing="0" w:after="0" w:afterAutospacing="0"/>
            </w:pPr>
            <w:r>
              <w:rPr>
                <w:rFonts w:ascii="Arial" w:hAnsi="Arial" w:cs="Arial"/>
                <w:color w:val="000000"/>
                <w:sz w:val="20"/>
                <w:szCs w:val="20"/>
              </w:rPr>
              <w:t>16</w:t>
            </w:r>
          </w:p>
        </w:tc>
      </w:tr>
      <w:tr w:rsidR="0011613A" w14:paraId="5A6507C1" w14:textId="77777777" w:rsidTr="0011613A">
        <w:trPr>
          <w:trHeight w:val="62"/>
          <w:jc w:val="center"/>
        </w:trPr>
        <w:tc>
          <w:tcPr>
            <w:tcW w:w="1951" w:type="dxa"/>
            <w:tcMar>
              <w:top w:w="100" w:type="dxa"/>
              <w:left w:w="100" w:type="dxa"/>
              <w:bottom w:w="100" w:type="dxa"/>
              <w:right w:w="100" w:type="dxa"/>
            </w:tcMar>
            <w:hideMark/>
          </w:tcPr>
          <w:p w14:paraId="3948E606" w14:textId="77777777" w:rsidR="0011613A" w:rsidRDefault="0011613A">
            <w:pPr>
              <w:pStyle w:val="NormalWeb"/>
              <w:spacing w:before="0" w:beforeAutospacing="0" w:after="0" w:afterAutospacing="0"/>
            </w:pPr>
            <w:r>
              <w:rPr>
                <w:rFonts w:ascii="Arial" w:hAnsi="Arial" w:cs="Arial"/>
                <w:color w:val="000000"/>
                <w:sz w:val="20"/>
                <w:szCs w:val="20"/>
              </w:rPr>
              <w:t>Blackboard Learn</w:t>
            </w:r>
          </w:p>
        </w:tc>
        <w:tc>
          <w:tcPr>
            <w:tcW w:w="1345" w:type="dxa"/>
            <w:tcMar>
              <w:top w:w="100" w:type="dxa"/>
              <w:left w:w="100" w:type="dxa"/>
              <w:bottom w:w="100" w:type="dxa"/>
              <w:right w:w="100" w:type="dxa"/>
            </w:tcMar>
            <w:hideMark/>
          </w:tcPr>
          <w:p w14:paraId="3CAD404F" w14:textId="77777777" w:rsidR="0011613A" w:rsidRDefault="0011613A">
            <w:pPr>
              <w:pStyle w:val="NormalWeb"/>
              <w:spacing w:before="0" w:beforeAutospacing="0" w:after="0" w:afterAutospacing="0"/>
            </w:pPr>
            <w:r>
              <w:rPr>
                <w:rFonts w:ascii="Arial" w:hAnsi="Arial" w:cs="Arial"/>
                <w:color w:val="000000"/>
                <w:sz w:val="20"/>
                <w:szCs w:val="20"/>
              </w:rPr>
              <w:t>15 (78.9%)</w:t>
            </w:r>
          </w:p>
        </w:tc>
        <w:tc>
          <w:tcPr>
            <w:tcW w:w="1341" w:type="dxa"/>
            <w:tcMar>
              <w:top w:w="100" w:type="dxa"/>
              <w:left w:w="100" w:type="dxa"/>
              <w:bottom w:w="100" w:type="dxa"/>
              <w:right w:w="100" w:type="dxa"/>
            </w:tcMar>
            <w:hideMark/>
          </w:tcPr>
          <w:p w14:paraId="5D88DF27"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167" w:type="dxa"/>
            <w:tcMar>
              <w:top w:w="100" w:type="dxa"/>
              <w:left w:w="100" w:type="dxa"/>
              <w:bottom w:w="100" w:type="dxa"/>
              <w:right w:w="100" w:type="dxa"/>
            </w:tcMar>
            <w:hideMark/>
          </w:tcPr>
          <w:p w14:paraId="66E5CDCE"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Mar>
              <w:top w:w="100" w:type="dxa"/>
              <w:left w:w="100" w:type="dxa"/>
              <w:bottom w:w="100" w:type="dxa"/>
              <w:right w:w="100" w:type="dxa"/>
            </w:tcMar>
            <w:hideMark/>
          </w:tcPr>
          <w:p w14:paraId="19155498" w14:textId="77777777" w:rsidR="0011613A" w:rsidRDefault="0011613A">
            <w:pPr>
              <w:pStyle w:val="NormalWeb"/>
              <w:spacing w:before="0" w:beforeAutospacing="0" w:after="0" w:afterAutospacing="0"/>
            </w:pPr>
            <w:r>
              <w:rPr>
                <w:rFonts w:ascii="Arial" w:hAnsi="Arial" w:cs="Arial"/>
                <w:color w:val="000000"/>
                <w:sz w:val="20"/>
                <w:szCs w:val="20"/>
              </w:rPr>
              <w:t>4 (21.1%)</w:t>
            </w:r>
          </w:p>
        </w:tc>
        <w:tc>
          <w:tcPr>
            <w:tcW w:w="1000" w:type="dxa"/>
            <w:tcMar>
              <w:top w:w="100" w:type="dxa"/>
              <w:left w:w="100" w:type="dxa"/>
              <w:bottom w:w="100" w:type="dxa"/>
              <w:right w:w="100" w:type="dxa"/>
            </w:tcMar>
            <w:hideMark/>
          </w:tcPr>
          <w:p w14:paraId="625B0F40" w14:textId="77777777" w:rsidR="0011613A" w:rsidRDefault="0011613A">
            <w:pPr>
              <w:pStyle w:val="NormalWeb"/>
              <w:spacing w:before="0" w:beforeAutospacing="0" w:after="0" w:afterAutospacing="0"/>
            </w:pPr>
            <w:r>
              <w:rPr>
                <w:rFonts w:ascii="Arial" w:hAnsi="Arial" w:cs="Arial"/>
                <w:color w:val="000000"/>
                <w:sz w:val="20"/>
                <w:szCs w:val="20"/>
              </w:rPr>
              <w:t>19</w:t>
            </w:r>
          </w:p>
        </w:tc>
      </w:tr>
      <w:tr w:rsidR="0011613A" w14:paraId="3C2CAB43" w14:textId="77777777" w:rsidTr="0011613A">
        <w:trPr>
          <w:trHeight w:val="62"/>
          <w:jc w:val="center"/>
        </w:trPr>
        <w:tc>
          <w:tcPr>
            <w:tcW w:w="1951" w:type="dxa"/>
            <w:tcBorders>
              <w:bottom w:val="single" w:sz="4" w:space="0" w:color="auto"/>
            </w:tcBorders>
            <w:tcMar>
              <w:top w:w="100" w:type="dxa"/>
              <w:left w:w="100" w:type="dxa"/>
              <w:bottom w:w="100" w:type="dxa"/>
              <w:right w:w="100" w:type="dxa"/>
            </w:tcMar>
            <w:hideMark/>
          </w:tcPr>
          <w:p w14:paraId="70E75A77" w14:textId="77777777" w:rsidR="0011613A" w:rsidRDefault="0011613A">
            <w:pPr>
              <w:pStyle w:val="NormalWeb"/>
              <w:spacing w:before="0" w:beforeAutospacing="0" w:after="0" w:afterAutospacing="0"/>
            </w:pPr>
            <w:r>
              <w:rPr>
                <w:rFonts w:ascii="Arial" w:hAnsi="Arial" w:cs="Arial"/>
                <w:color w:val="000000"/>
                <w:sz w:val="20"/>
                <w:szCs w:val="20"/>
              </w:rPr>
              <w:t>D2L Brightspace</w:t>
            </w:r>
          </w:p>
        </w:tc>
        <w:tc>
          <w:tcPr>
            <w:tcW w:w="1345" w:type="dxa"/>
            <w:tcBorders>
              <w:bottom w:val="single" w:sz="4" w:space="0" w:color="auto"/>
            </w:tcBorders>
            <w:tcMar>
              <w:top w:w="100" w:type="dxa"/>
              <w:left w:w="100" w:type="dxa"/>
              <w:bottom w:w="100" w:type="dxa"/>
              <w:right w:w="100" w:type="dxa"/>
            </w:tcMar>
            <w:hideMark/>
          </w:tcPr>
          <w:p w14:paraId="768681E3" w14:textId="77777777" w:rsidR="0011613A" w:rsidRDefault="0011613A">
            <w:pPr>
              <w:pStyle w:val="NormalWeb"/>
              <w:spacing w:before="0" w:beforeAutospacing="0" w:after="0" w:afterAutospacing="0"/>
            </w:pPr>
            <w:r>
              <w:rPr>
                <w:rFonts w:ascii="Arial" w:hAnsi="Arial" w:cs="Arial"/>
                <w:color w:val="000000"/>
                <w:sz w:val="20"/>
                <w:szCs w:val="20"/>
              </w:rPr>
              <w:t>12 (80.0%)</w:t>
            </w:r>
          </w:p>
        </w:tc>
        <w:tc>
          <w:tcPr>
            <w:tcW w:w="1341" w:type="dxa"/>
            <w:tcBorders>
              <w:bottom w:val="single" w:sz="4" w:space="0" w:color="auto"/>
            </w:tcBorders>
            <w:tcMar>
              <w:top w:w="100" w:type="dxa"/>
              <w:left w:w="100" w:type="dxa"/>
              <w:bottom w:w="100" w:type="dxa"/>
              <w:right w:w="100" w:type="dxa"/>
            </w:tcMar>
            <w:hideMark/>
          </w:tcPr>
          <w:p w14:paraId="2131C8A5"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167" w:type="dxa"/>
            <w:tcBorders>
              <w:bottom w:val="single" w:sz="4" w:space="0" w:color="auto"/>
            </w:tcBorders>
            <w:tcMar>
              <w:top w:w="100" w:type="dxa"/>
              <w:left w:w="100" w:type="dxa"/>
              <w:bottom w:w="100" w:type="dxa"/>
              <w:right w:w="100" w:type="dxa"/>
            </w:tcMar>
            <w:hideMark/>
          </w:tcPr>
          <w:p w14:paraId="0DEB1A11"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Borders>
              <w:bottom w:val="single" w:sz="4" w:space="0" w:color="auto"/>
            </w:tcBorders>
            <w:tcMar>
              <w:top w:w="100" w:type="dxa"/>
              <w:left w:w="100" w:type="dxa"/>
              <w:bottom w:w="100" w:type="dxa"/>
              <w:right w:w="100" w:type="dxa"/>
            </w:tcMar>
            <w:hideMark/>
          </w:tcPr>
          <w:p w14:paraId="0F53B387" w14:textId="77777777" w:rsidR="0011613A" w:rsidRDefault="0011613A">
            <w:pPr>
              <w:pStyle w:val="NormalWeb"/>
              <w:spacing w:before="0" w:beforeAutospacing="0" w:after="0" w:afterAutospacing="0"/>
            </w:pPr>
            <w:r>
              <w:rPr>
                <w:rFonts w:ascii="Arial" w:hAnsi="Arial" w:cs="Arial"/>
                <w:color w:val="000000"/>
                <w:sz w:val="20"/>
                <w:szCs w:val="20"/>
              </w:rPr>
              <w:t>3 (20.0%)</w:t>
            </w:r>
          </w:p>
        </w:tc>
        <w:tc>
          <w:tcPr>
            <w:tcW w:w="1000" w:type="dxa"/>
            <w:tcBorders>
              <w:bottom w:val="single" w:sz="4" w:space="0" w:color="auto"/>
            </w:tcBorders>
            <w:tcMar>
              <w:top w:w="100" w:type="dxa"/>
              <w:left w:w="100" w:type="dxa"/>
              <w:bottom w:w="100" w:type="dxa"/>
              <w:right w:w="100" w:type="dxa"/>
            </w:tcMar>
            <w:hideMark/>
          </w:tcPr>
          <w:p w14:paraId="191B021C" w14:textId="77777777" w:rsidR="0011613A" w:rsidRDefault="0011613A">
            <w:pPr>
              <w:pStyle w:val="NormalWeb"/>
              <w:spacing w:before="0" w:beforeAutospacing="0" w:after="0" w:afterAutospacing="0"/>
            </w:pPr>
            <w:r>
              <w:rPr>
                <w:rFonts w:ascii="Arial" w:hAnsi="Arial" w:cs="Arial"/>
                <w:color w:val="000000"/>
                <w:sz w:val="20"/>
                <w:szCs w:val="20"/>
              </w:rPr>
              <w:t>15</w:t>
            </w:r>
          </w:p>
        </w:tc>
      </w:tr>
    </w:tbl>
    <w:p w14:paraId="7EAF5B1D" w14:textId="77777777" w:rsidR="0011613A" w:rsidRDefault="0011613A" w:rsidP="004D6473">
      <w:pPr>
        <w:pStyle w:val="NormalWeb"/>
        <w:spacing w:before="0" w:beforeAutospacing="0" w:after="0" w:afterAutospacing="0"/>
        <w:rPr>
          <w:rFonts w:ascii="Arial" w:hAnsi="Arial" w:cs="Arial"/>
          <w:sz w:val="20"/>
          <w:szCs w:val="20"/>
        </w:rPr>
      </w:pPr>
    </w:p>
    <w:p w14:paraId="17FFC0D2"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comparative profiles indicate a clear distinction between Moodle and the other three platforms. Moodle is the only platform in the documented corpus with indicators spanning three SEDL dimensions: behavioral, cognitive, and social engagement. Its 22 cognitive indicators constitute 43.1% of its documented corpus, matching the number of social indicators, while behavioral indicators account for only 13.7%. These findings suggest that Moodle’s publicly documented analytics architecture explicitly incorporates a broader range of engagement-related constructs than the other platforms examined.</w:t>
      </w:r>
    </w:p>
    <w:p w14:paraId="4994EEB0"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This finding is notable because learning analytics research has consistently relied heavily on behavioral traces. For example, Bergdahl et al. (2024) found that behavioral engagement overwhelmingly dominated the operationalization of engagement in higher-education learning analytics research. The current analysis demonstrates that this pattern is not uniform across LMS documentation: Moodle’s documented analytics include a substantial cognitive component alongside behavioral and social measures. However, this difference should be interpreted as variation in documented measurement architecture, not as evidence that Moodle provides superior analytics or measures engagement more effectively.</w:t>
      </w:r>
    </w:p>
    <w:p w14:paraId="7195AAD4"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remaining platforms' profiles are more heavily concentrated on behavioral indicators. Canvas contains 10 behavioral indicators (62.5%) and six social indicators (37.5%). Its documented profile therefore combines measures of individual learner activity with </w:t>
      </w:r>
      <w:r w:rsidRPr="004D6473">
        <w:rPr>
          <w:rFonts w:ascii="Arial" w:hAnsi="Arial" w:cs="Arial"/>
          <w:color w:val="000000"/>
          <w:sz w:val="20"/>
          <w:szCs w:val="20"/>
        </w:rPr>
        <w:lastRenderedPageBreak/>
        <w:t>interactional indicators, but the study's standardized coding protocol identified no explicit native cognitive or emotional indicators. The relatively substantial social component suggests that Canvas makes digitally observable interaction visible alongside individual activity. This aligns with research indicating that analytics can represent collaborative participation through traces of interaction, although such traces may not fully capture the quality or meaning of collaboration (Echeverria et al., 2025).</w:t>
      </w:r>
    </w:p>
    <w:p w14:paraId="15C77F81"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Blackboard Learn exhibits the strongest behavioral concentration after Brightspace, with 15 of its 19 indicators (78.9%) classified as behavioral and four (21.1%) as social. Its documented profile is therefore centered primarily on course access, assessment activity, submission behavior, resource access, and related learner-system interactions. D2L Brightspace demonstrates an even stronger behavioral concentration, with 12 of 15 indicators (80.0%) classified as behavioral and three (20.0%) as social. Both platforms consequently present measurement profiles dominated by observable activity, with comparatively smaller representations of social interaction.</w:t>
      </w:r>
    </w:p>
    <w:p w14:paraId="21732E57" w14:textId="4FFF32FC"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behavioral concentration in Blackboard Learn and Brightspace should not be interpreted solely as a limitation of these systems. Behavioral traces are valuable because they provide longitudinal evidence of persistence, consistency, and changes in learner activity. For example, Goh (202</w:t>
      </w:r>
      <w:r w:rsidR="006C20C3">
        <w:rPr>
          <w:rFonts w:ascii="Arial" w:hAnsi="Arial" w:cs="Arial"/>
          <w:color w:val="000000"/>
          <w:sz w:val="20"/>
          <w:szCs w:val="20"/>
        </w:rPr>
        <w:t>6</w:t>
      </w:r>
      <w:r w:rsidRPr="004D6473">
        <w:rPr>
          <w:rFonts w:ascii="Arial" w:hAnsi="Arial" w:cs="Arial"/>
          <w:color w:val="000000"/>
          <w:sz w:val="20"/>
          <w:szCs w:val="20"/>
        </w:rPr>
        <w:t>) demonstrated how LMS interaction logs can be used to examine persistence and consistency of engagement behavior over time. Similarly, Papageorgiou et al. (2025) showed that behavioral engagement can be examined through the temporal relationship between effort and time in web-based learning environments. These studies underscore the continued importance of behavioral indicators in learning analytics, even when engagement is conceptualized more broadly.</w:t>
      </w:r>
    </w:p>
    <w:p w14:paraId="5AC5751A"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At the same time, the comparison suggests that the type of analytics available is shaped by the intended representational focus of the analytics architecture. Paulsen and Lindsay (2024) found that learning analytics dashboards have increasingly incorporated theory-oriented frameworks and learning-focused affordances, rather than relying exclusively on activity data. Their review also demonstrated that LMS activity logs remain a major data source, while more recent dashboard designs increasingly integrate additional data sources and theoretically informed approaches. Therefore, the present findings provide evidence of varying degrees of conceptual representation within the publicly documented core analytics of the four platforms.</w:t>
      </w:r>
    </w:p>
    <w:p w14:paraId="642A5ACF"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This distinction is further illustrated by research on theory-informed dashboards. Lee and Kim (2025) showed how a learning analytics dashboard grounded in self-determination theory can support student engagement through awareness, reflection, and strategic action. Similarly, de Vreugd et al. (2025) examined how reference frames within a learning analytics dashboard influenced students’ goal setting, motivation, and performance. These studies suggest that analytics architecture functions as more than a technical mechanism for displaying activity; the selection and presentation of indicators can reflect specific assumptions about learning, motivation, and engagement.</w:t>
      </w:r>
    </w:p>
    <w:p w14:paraId="47EA9469"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comparative findings highlight an important distinction between indicator quantity and measurement breadth. Moodle has the largest number of documented indicators and the broadest documented dimensional profile; however, this study does not establish that it offers higher-quality analytics. Conversely, the smaller and more behaviorally concentrated corpora of Canvas, Blackboard Learn, and Brightspace do not indicate inferior analytics. Instead, the platforms differ in the types of engagement they make explicitly visible in their publicly documented analytics.</w:t>
      </w:r>
    </w:p>
    <w:p w14:paraId="0D4C587D"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comparison further demonstrates that social engagement occupies a significant position across all four platforms. Each LMS contains documented social indicators, although their relative share varies considerably, ranging from 20.0% in Brightspace to 43.1% in Moodle. This suggests that digitally recorded interaction has become an established component of LMS-based engagement measurement. Research on collaboration-oriented analytics similarly demonstrates how participation traces can be transformed into information intended </w:t>
      </w:r>
      <w:r w:rsidRPr="004D6473">
        <w:rPr>
          <w:rFonts w:ascii="Arial" w:hAnsi="Arial" w:cs="Arial"/>
          <w:color w:val="000000"/>
          <w:sz w:val="20"/>
          <w:szCs w:val="20"/>
        </w:rPr>
        <w:lastRenderedPageBreak/>
        <w:t>to support reflection on collaborative activity (Echeverria et al., 2025). However, social indicators should not be equated with comprehensive measurement of social engagement, as they remain dependent on interactions captured by the platform.</w:t>
      </w:r>
    </w:p>
    <w:p w14:paraId="44EB6CCE"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In summary, the four LMS platforms rely on behavioral and social traces but differ in the breadth and composition of their documented measurement profiles. Moodle distinguishes itself by explicitly incorporating cognitive indicators, Canvas combines behavioral and social measures with a comparatively larger social component, and Blackboard Learn and Brightspace are more strongly behavior-oriented. These differences provide the empirical foundation for Research Question 4 (RQ4), which examines what the collective distribution of indicators reveals about the forms of student engagement that contemporary LMS analytics make most visible and measurable.</w:t>
      </w:r>
    </w:p>
    <w:p w14:paraId="16B9F9EC" w14:textId="77777777" w:rsidR="004D6473" w:rsidRPr="004D6473" w:rsidRDefault="004D6473" w:rsidP="004D6473">
      <w:pPr>
        <w:rPr>
          <w:sz w:val="20"/>
          <w:szCs w:val="20"/>
        </w:rPr>
      </w:pPr>
    </w:p>
    <w:p w14:paraId="77B59977" w14:textId="77777777" w:rsidR="004D6473" w:rsidRPr="004D6473" w:rsidRDefault="004D6473" w:rsidP="004D6473">
      <w:pPr>
        <w:pStyle w:val="Heading3"/>
        <w:spacing w:before="0"/>
        <w:rPr>
          <w:b/>
          <w:bCs/>
          <w:sz w:val="22"/>
          <w:szCs w:val="22"/>
        </w:rPr>
      </w:pPr>
      <w:r w:rsidRPr="004D6473">
        <w:rPr>
          <w:rFonts w:ascii="Arial" w:hAnsi="Arial" w:cs="Arial"/>
          <w:b/>
          <w:bCs/>
          <w:color w:val="000000"/>
          <w:sz w:val="22"/>
          <w:szCs w:val="22"/>
        </w:rPr>
        <w:t>3.4 What LMS Analytics Make Visible: A Hierarchy of Measurement Visibility</w:t>
      </w:r>
    </w:p>
    <w:p w14:paraId="0CCD560E" w14:textId="77777777" w:rsidR="004D6473" w:rsidRPr="004D6473" w:rsidRDefault="004D6473" w:rsidP="004D6473">
      <w:pPr>
        <w:rPr>
          <w:sz w:val="20"/>
          <w:szCs w:val="20"/>
        </w:rPr>
      </w:pPr>
    </w:p>
    <w:p w14:paraId="3C6B1940"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Research Question 4 investigated the distribution of documented LMS analytics indicators to determine how contemporary learning management systems conceptualize and operationalize student engagement. Analysis of the 101-indicator corpus across four platforms reveals a strong emphasis on engagement that is measurable through observable digital traces. Behavioral and social indicators constitute 79 of the 101 indicators (78.2%), while cognitive indicators account for 22 (21.8%), and there are no explicitly documented native emotional indicators. This distribution indicates that LMS analytics render certain forms of engagement significantly more visible than others.</w:t>
      </w:r>
    </w:p>
    <w:p w14:paraId="73B46EA2"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predominance of observable traces aligns with findings in the broader learning analytics literature. Bergdahl et al. (2024) reported that behavioral engagement overwhelmingly dominated the operationalization of engagement in higher-education learning analytics research, with 95.0% of reviewed studies employing behavioral measures. The current study identifies a comparable pattern within LMS analytics documentation, although the proportions differ due to variations in units of analysis and corpus composition. This convergence is noteworthy: regardless of whether engagement is examined through published research or through providers’ documented analytics capabilities, observable activity remains the most readily represented form of engagement.</w:t>
      </w:r>
    </w:p>
    <w:p w14:paraId="6C053A81"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This pattern illustrates a fundamental characteristic of LMS-based measurement. Actions such as accessing content, submitting assignments, completing activities, posting discussions, and participating in online interactions generate records that can be stored and aggregated into indicators. These data provide valuable insights into patterns of persistence, participation, and activity over time (Papageorgiou et al., 2025). However, an observable trace does not fully capture the psychological or educational construct it is intended to represent. For instance, a login confirms that access occurred but does not indicate attention, comprehension, motivation, or emotional investment. Therefore, the high visibility of behavioral engagement should not be construed as evidence of its inherent superiority over other dimensions.</w:t>
      </w:r>
    </w:p>
    <w:p w14:paraId="1FA2583B"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Social engagement represents an intermediate category within this measurement framework. The identification of 35 social indicators across the corpus demonstrates that digitally mediated interaction is relatively visible in LMS analytics. Discussion replies, collaborative activities, messages, and other interaction records provide measurable evidence of communication and participation among learners. However, these measures remain dependent on digital traces; they document the occurrence and characteristics of interactions without necessarily capturing their quality, meaning, or relational significance. Recent research on learning analytics-supported collaboration highlights this distinction, indicating that interaction data can inform analyses of collaborative activity but still require contextual interpretation (Echeverria et al., 2025). Consequently, while social indicators expand the measurable conception of engagement beyond individual activity, they do not overcome the inherent limitations of trace-based measurement.</w:t>
      </w:r>
    </w:p>
    <w:p w14:paraId="321FA288"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lastRenderedPageBreak/>
        <w:t>Cognitive engagement is less visible within LMS analytics but remains demonstrably measurable. The 22 cognitive indicators identified in this study represent 21.8% of the corpus, all of which were documented within Moodle’s analytics architecture. This finding is significant as it demonstrates that LMS analytics are not limited to simple behavioral counts. Recent research in learning analytics has increasingly adopted theoretically informed approaches to learning processes, self-regulation, and cognitively oriented engagement. For example, Paulsen and Lindsay (2024) identified a trend toward learning analytics dashboards grounded in theory-oriented frameworks and focused on learning processes rather than analytics alone. Similarly, Lee and Kim (2025) demonstrated that theory-informed dashboard design can effectively connect analytics with student engagement and learning processes.</w:t>
      </w:r>
    </w:p>
    <w:p w14:paraId="02AAFFBF"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finding regarding Moodle should be interpreted as evidence of uneven institutionalization of cognitive measurement, rather than as an indication that cognitive engagement is inherently difficult or impossible to measure within LMS environments. More broadly, multimodal learning analytics research demonstrates that cognitive engagement can be examined using combinations of behavioral, content, visual, and other data sources (Li et al., 2025; Wang, 2025). The key distinction is that these approaches often extend beyond the conventional activity records available in native LMS analytics. Cognitive engagement can thus become more visible when analytics architectures incorporate theoretically informed measures or additional evidence sources.</w:t>
      </w:r>
    </w:p>
    <w:p w14:paraId="7521E8AC"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most pronounced measurement gap pertains to emotional engagement. No explicit native emotional-engagement indicators were identified in the publicly documented core analytics corpus of any of the four platforms. This result should be interpreted with caution. It does not indicate that emotional engagement cannot be measured in digital learning environments, nor does it suggest that the four LMS platforms lack the capacity to collect affective information. Rather, it establishes only that emotional engagement was not explicitly represented as a native engagement measure within the documentation examined according to the study’s standardized protocol.</w:t>
      </w:r>
    </w:p>
    <w:p w14:paraId="30E807B9"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Recent multimodal research clarifies why emotional engagement occupies a distinct measurement position. Wang (2025) demonstrated that behavioral, content, and facial-expression data can be integrated to examine behavioral, cognitive, and emotional engagement, respectively. Similarly, Li et al. (2025) highlighted the potential of multimodal data, such as eye gaze, head pose, and facial action units, for modeling cognitive engagement and the dynamic relationships among engagement-related indicators. These approaches indicate that emotional and cognitive dimensions can be rendered analytically visible, but they typically require data sources and analytical techniques beyond those provided by conventional LMS event logs.</w:t>
      </w:r>
    </w:p>
    <w:p w14:paraId="507D0A90"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findings thus indicate a hierarchy of measurement visibility, rather than a hierarchy of student engagement itself. Behavioral traces are the most visible, followed by digitally recorded social interactions. Cognitive engagement is less consistently represented and appears to require more explicit conceptual or analytical modeling. Emotional engagement is the least visible within the native analytics documentation examined. This hierarchy reflects the relative ease with which different dimensions produce analyzable traces within conventional LMS architectures and does not suggest that any one dimension is more valuable, important, or educationally significant than another.</w:t>
      </w:r>
    </w:p>
    <w:p w14:paraId="680B25A7"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This distinction has significant implications for the interpretation and use of LMS analytics. Analytics systems inherently select, organize, and present specific forms of information. Paulsen and Lindsay (2024) noted that contemporary dashboard research is increasingly oriented toward theory-informed and learning-focused designs, indicating that the selection of indicators is not solely a technical matter but is also shaped by assumptions about learning and student use of analytics. Kitto et al. (2025) similarly contended that learning analytics dashboards should not be regarded as neutral technical tools, as their design and implementation can influence how learners and educators interpret and act upon educational </w:t>
      </w:r>
      <w:r w:rsidRPr="004D6473">
        <w:rPr>
          <w:rFonts w:ascii="Arial" w:hAnsi="Arial" w:cs="Arial"/>
          <w:color w:val="000000"/>
          <w:sz w:val="20"/>
          <w:szCs w:val="20"/>
        </w:rPr>
        <w:lastRenderedPageBreak/>
        <w:t>information. Recent research on instructor use of learning analytics further underscores the importance of pedagogical knowledge in interpreting and utilizing analytics, rather than treating data as self-explanatory (Li et al., 2026).</w:t>
      </w:r>
    </w:p>
    <w:p w14:paraId="0EB074BA"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present findings build upon these arguments by shifting the focus from how analytics are used to what analytics make visible. Given that 78.2% of documented indicators pertain to behavioral or social traces, the measurable representation of engagement is structurally biased toward activities that generate observable digital records. Cognitive and emotional dimensions may remain less visible not because they are less relevant, but because they require alternative forms of evidence, interpretation, or system design. Therefore, LMS analytics do not simply measure a pre-existing and neutral construct of student engagement; they actively shape which forms of engagement become visible and measurable within digital learning environments.</w:t>
      </w:r>
    </w:p>
    <w:p w14:paraId="227ABD1E"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primary contribution of this study is the identification of a hierarchy of measurement visibility within contemporary LMS analytics. The four platforms collectively exhibit substantial capacity to capture behavioral and social engagement, more selective representation of cognitive engagement, and no explicitly documented native representation of emotional engagement within the reviewed corpus. This pattern supports a more critical interpretation of LMS analytics: the presence of an indicator should be viewed not merely as evidence that engagement has been measured, but as evidence that a specific aspect of engagement has been rendered observable through the system’s technological and conceptual architecture. This perspective encourages educators, institutions, and learning analytics researchers to differentiate between students’ actual experiences of engagement and what an LMS is structurally capable of making visible as data.</w:t>
      </w:r>
    </w:p>
    <w:p w14:paraId="4D9A16B6" w14:textId="77777777" w:rsidR="00964D0D" w:rsidRDefault="00964D0D" w:rsidP="00964D0D"/>
    <w:p w14:paraId="37F9CC9A" w14:textId="77777777" w:rsidR="008A5658" w:rsidRPr="004D6473" w:rsidRDefault="008A5658" w:rsidP="008A5658">
      <w:pPr>
        <w:pStyle w:val="Heading1"/>
        <w:spacing w:before="0" w:after="0"/>
        <w:rPr>
          <w:sz w:val="22"/>
          <w:szCs w:val="22"/>
        </w:rPr>
      </w:pPr>
      <w:r w:rsidRPr="004D6473">
        <w:rPr>
          <w:rFonts w:cs="Arial"/>
          <w:color w:val="000000"/>
          <w:sz w:val="22"/>
          <w:szCs w:val="22"/>
        </w:rPr>
        <w:t>4. CONCLUSION</w:t>
      </w:r>
    </w:p>
    <w:p w14:paraId="052AF1F6" w14:textId="77777777" w:rsidR="008A5658" w:rsidRDefault="008A5658" w:rsidP="008A5658"/>
    <w:p w14:paraId="5D220FFC" w14:textId="77777777" w:rsidR="00533DA4" w:rsidRDefault="00533DA4" w:rsidP="00533DA4">
      <w:pPr>
        <w:pStyle w:val="NormalWeb"/>
        <w:spacing w:before="0" w:beforeAutospacing="0" w:after="0" w:afterAutospacing="0"/>
      </w:pPr>
      <w:r>
        <w:rPr>
          <w:rFonts w:ascii="Arial" w:hAnsi="Arial" w:cs="Arial"/>
          <w:color w:val="000000"/>
          <w:sz w:val="20"/>
          <w:szCs w:val="20"/>
        </w:rPr>
        <w:t>This study examined how student engagement is made measurable within the publicly documented analytics of Moodle, Canvas, Blackboard Learn, and D2L Brightspace. Rather than treating LMS analytics as a complete representation of engagement, the study approached them as documented measurement systems that make particular aspects of learner activity visible. The comparative analysis showed that the four platforms share substantial reliance on observable behavioral and social traces, while differing in the extent to which other dimensions of engagement are explicitly represented.</w:t>
      </w:r>
    </w:p>
    <w:p w14:paraId="7ECC181A" w14:textId="77777777" w:rsidR="00533DA4" w:rsidRDefault="00533DA4" w:rsidP="00533DA4">
      <w:pPr>
        <w:pStyle w:val="NormalWeb"/>
        <w:spacing w:before="0" w:beforeAutospacing="0" w:after="0" w:afterAutospacing="0"/>
      </w:pPr>
      <w:r>
        <w:rPr>
          <w:rFonts w:ascii="Arial" w:hAnsi="Arial" w:cs="Arial"/>
          <w:color w:val="000000"/>
          <w:sz w:val="20"/>
          <w:szCs w:val="20"/>
        </w:rPr>
        <w:t>The findings point to an important distinction between student engagement as a multidimensional construct and engagement as represented through LMS analytics. What an LMS can readily record is not necessarily equivalent to the full nature of a student's engagement with learning. Access, participation, submission, completion, and interaction data can provide useful evidence of activity, but they do not by themselves capture all cognitive or emotional processes involved in engagement. The results therefore support a more cautious interpretation of LMS analytics: documented indicators should be understood as partial representations of engagement rather than comprehensive measures of the construct.</w:t>
      </w:r>
    </w:p>
    <w:p w14:paraId="76C58A50" w14:textId="77777777" w:rsidR="00533DA4" w:rsidRDefault="00533DA4" w:rsidP="00533DA4">
      <w:pPr>
        <w:pStyle w:val="NormalWeb"/>
        <w:spacing w:before="0" w:beforeAutospacing="0" w:after="0" w:afterAutospacing="0"/>
      </w:pPr>
      <w:r>
        <w:rPr>
          <w:rFonts w:ascii="Arial" w:hAnsi="Arial" w:cs="Arial"/>
          <w:color w:val="000000"/>
          <w:sz w:val="20"/>
          <w:szCs w:val="20"/>
        </w:rPr>
        <w:t>For educational practice, this distinction suggests that instructors and institutions should avoid interpreting LMS analytics in isolation when making judgments about student engagement. Behavioral and social indicators can provide valuable signals for identifying patterns that warrant attention, but their meaning depends on context and should be complemented, where appropriate, by pedagogical judgment and other forms of evidence. For learning analytics research, the findings highlight the value of maintaining a multidimensional conception of engagement when designing or evaluating analytics systems. The measurement of engagement should not be assumed to become comprehensive merely because increasingly large quantities of learner data are available.</w:t>
      </w:r>
    </w:p>
    <w:p w14:paraId="13581C6C" w14:textId="77777777" w:rsidR="00533DA4" w:rsidRDefault="00533DA4" w:rsidP="00533DA4">
      <w:pPr>
        <w:pStyle w:val="NormalWeb"/>
        <w:spacing w:before="0" w:beforeAutospacing="0" w:after="0" w:afterAutospacing="0"/>
      </w:pPr>
      <w:r>
        <w:rPr>
          <w:rFonts w:ascii="Arial" w:hAnsi="Arial" w:cs="Arial"/>
          <w:color w:val="000000"/>
          <w:sz w:val="20"/>
          <w:szCs w:val="20"/>
        </w:rPr>
        <w:t xml:space="preserve">The study is subject to several limitations. First, the analysis was restricted to publicly accessible official documentation from four established LMS platforms. Consequently, the </w:t>
      </w:r>
      <w:r>
        <w:rPr>
          <w:rFonts w:ascii="Arial" w:hAnsi="Arial" w:cs="Arial"/>
          <w:color w:val="000000"/>
          <w:sz w:val="20"/>
          <w:szCs w:val="20"/>
        </w:rPr>
        <w:lastRenderedPageBreak/>
        <w:t>corpus reflects documented measurement visibility, not the complete set of capabilities that may exist through proprietary, licensed, configured, experimental, or otherwise undocumented functionality. Second, differences in documentation structure and granularity may influence the number and type of indicators that can be identified, despite the study's normalization procedures. Third, the analysis examined documented indicators rather than their implementation or validity in actual educational settings. Future research could therefore complement documentary analysis with empirical examination of LMS datasets, instructor and student use of analytics, and validation of individual indicators against established measures of behavioral, cognitive, emotional, and social engagement. Multimodal approaches may also provide opportunities to examine dimensions of engagement that are less readily captured through conventional LMS traces.</w:t>
      </w:r>
    </w:p>
    <w:p w14:paraId="36470A5D" w14:textId="77777777" w:rsidR="00533DA4" w:rsidRDefault="00533DA4" w:rsidP="00533DA4">
      <w:pPr>
        <w:pStyle w:val="NormalWeb"/>
        <w:spacing w:before="0" w:beforeAutospacing="0" w:after="0" w:afterAutospacing="0"/>
      </w:pPr>
      <w:r>
        <w:rPr>
          <w:rFonts w:ascii="Arial" w:hAnsi="Arial" w:cs="Arial"/>
          <w:color w:val="000000"/>
          <w:sz w:val="20"/>
          <w:szCs w:val="20"/>
        </w:rPr>
        <w:t>Ultimately, the study demonstrates that the question is not simply whether LMS platforms measure student engagement, but which aspects of engagement their analytics make visible and measurable. Recognizing this distinction is important for interpreting analytics responsibly and for designing learning analytics systems that more adequately reflect the multidimensional nature of student engagement.</w:t>
      </w:r>
    </w:p>
    <w:p w14:paraId="4ECFFF06" w14:textId="77777777" w:rsidR="00315186" w:rsidRPr="004C2541" w:rsidRDefault="00315186" w:rsidP="004C2541">
      <w:pPr>
        <w:rPr>
          <w:rFonts w:ascii="Arial" w:hAnsi="Arial" w:cs="Arial"/>
          <w:color w:val="000000" w:themeColor="text1"/>
          <w:sz w:val="20"/>
          <w:szCs w:val="20"/>
        </w:rPr>
      </w:pPr>
    </w:p>
    <w:p w14:paraId="647F8DB6" w14:textId="1C780A45" w:rsidR="00A9037D" w:rsidRDefault="00A9037D" w:rsidP="00A9037D">
      <w:pPr>
        <w:rPr>
          <w:b/>
        </w:rPr>
      </w:pPr>
      <w:r w:rsidRPr="000839CE">
        <w:rPr>
          <w:b/>
        </w:rPr>
        <w:t>Declaration of AI Use</w:t>
      </w:r>
    </w:p>
    <w:p w14:paraId="0C6C6B78" w14:textId="77777777" w:rsidR="00A9037D" w:rsidRDefault="00A9037D" w:rsidP="00A9037D">
      <w:pPr>
        <w:rPr>
          <w:b/>
        </w:rPr>
      </w:pPr>
    </w:p>
    <w:p w14:paraId="366380BC" w14:textId="77777777" w:rsidR="00A9037D" w:rsidRDefault="00A9037D" w:rsidP="00A9037D">
      <w:pPr>
        <w:rPr>
          <w:b/>
        </w:rPr>
      </w:pPr>
    </w:p>
    <w:p w14:paraId="224E713C" w14:textId="77777777" w:rsidR="00A9037D" w:rsidRPr="002D08AC" w:rsidRDefault="00A9037D" w:rsidP="00A9037D">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65AC278" w14:textId="77777777" w:rsidR="00A9037D" w:rsidRDefault="00A9037D" w:rsidP="00A9037D">
      <w:pPr>
        <w:rPr>
          <w:b/>
        </w:rPr>
      </w:pPr>
    </w:p>
    <w:p w14:paraId="76685BB3" w14:textId="77777777" w:rsidR="004C2541" w:rsidRPr="004C2541" w:rsidRDefault="004C2541" w:rsidP="004C2541">
      <w:pPr>
        <w:rPr>
          <w:rFonts w:ascii="Arial" w:hAnsi="Arial" w:cs="Arial"/>
          <w:color w:val="000000" w:themeColor="text1"/>
          <w:sz w:val="20"/>
          <w:szCs w:val="20"/>
        </w:rPr>
      </w:pPr>
    </w:p>
    <w:p w14:paraId="3EE0EA83" w14:textId="77777777" w:rsidR="004C2541" w:rsidRPr="004C2541" w:rsidRDefault="004C2541" w:rsidP="004C2541">
      <w:pPr>
        <w:rPr>
          <w:rFonts w:ascii="Arial" w:hAnsi="Arial" w:cs="Arial"/>
          <w:color w:val="000000" w:themeColor="text1"/>
          <w:sz w:val="20"/>
          <w:szCs w:val="20"/>
        </w:rPr>
      </w:pPr>
    </w:p>
    <w:p w14:paraId="1C777082" w14:textId="77777777" w:rsidR="00860000" w:rsidRPr="004C2541" w:rsidRDefault="00860000" w:rsidP="004C2541">
      <w:pPr>
        <w:pStyle w:val="ReferHead"/>
        <w:spacing w:after="0"/>
        <w:jc w:val="both"/>
        <w:rPr>
          <w:rFonts w:ascii="Arial" w:hAnsi="Arial" w:cs="Arial"/>
          <w:bCs/>
          <w:szCs w:val="22"/>
        </w:rPr>
      </w:pPr>
      <w:r w:rsidRPr="004C2541">
        <w:rPr>
          <w:rFonts w:ascii="Arial" w:hAnsi="Arial" w:cs="Arial"/>
          <w:bCs/>
          <w:szCs w:val="22"/>
        </w:rPr>
        <w:t>Competing interests</w:t>
      </w:r>
    </w:p>
    <w:p w14:paraId="2D23F136" w14:textId="77777777" w:rsidR="00860000" w:rsidRPr="004C2541" w:rsidRDefault="00860000" w:rsidP="004C2541">
      <w:pPr>
        <w:pStyle w:val="ReferHead"/>
        <w:spacing w:after="0"/>
        <w:jc w:val="both"/>
        <w:rPr>
          <w:rFonts w:ascii="Arial" w:hAnsi="Arial" w:cs="Arial"/>
          <w:sz w:val="20"/>
          <w:szCs w:val="20"/>
        </w:rPr>
      </w:pPr>
    </w:p>
    <w:p w14:paraId="56E9711E" w14:textId="553CA488" w:rsidR="00860000" w:rsidRPr="00C42725" w:rsidRDefault="00C42725" w:rsidP="00441B6F">
      <w:pPr>
        <w:pStyle w:val="ReferHead"/>
        <w:spacing w:after="0"/>
        <w:jc w:val="both"/>
        <w:rPr>
          <w:rFonts w:ascii="Arial" w:hAnsi="Arial" w:cs="Arial"/>
          <w:b w:val="0"/>
          <w:caps w:val="0"/>
          <w:sz w:val="20"/>
        </w:rPr>
      </w:pPr>
      <w:r>
        <w:rPr>
          <w:rFonts w:ascii="Arial" w:hAnsi="Arial" w:cs="Arial"/>
          <w:b w:val="0"/>
          <w:caps w:val="0"/>
          <w:sz w:val="20"/>
        </w:rPr>
        <w:t>The author has</w:t>
      </w:r>
      <w:r w:rsidR="00E66E10" w:rsidRPr="00C42725">
        <w:rPr>
          <w:rFonts w:ascii="Arial" w:hAnsi="Arial" w:cs="Arial"/>
          <w:b w:val="0"/>
          <w:caps w:val="0"/>
          <w:sz w:val="20"/>
        </w:rPr>
        <w:t xml:space="preserve"> declared that no competing interests exist.</w:t>
      </w:r>
    </w:p>
    <w:p w14:paraId="1EC98789" w14:textId="77777777" w:rsidR="00860000" w:rsidRDefault="00860000" w:rsidP="00441B6F">
      <w:pPr>
        <w:pStyle w:val="ReferHead"/>
        <w:spacing w:after="0"/>
        <w:jc w:val="both"/>
        <w:rPr>
          <w:rFonts w:ascii="Arial" w:hAnsi="Arial" w:cs="Arial"/>
          <w:b w:val="0"/>
          <w:caps w:val="0"/>
          <w:sz w:val="20"/>
        </w:rPr>
      </w:pPr>
    </w:p>
    <w:p w14:paraId="63113149" w14:textId="77777777" w:rsidR="00C42725" w:rsidRDefault="00C42725" w:rsidP="00441B6F">
      <w:pPr>
        <w:pStyle w:val="ReferHead"/>
        <w:spacing w:after="0"/>
        <w:jc w:val="both"/>
        <w:rPr>
          <w:rFonts w:ascii="Arial" w:hAnsi="Arial" w:cs="Arial"/>
        </w:rPr>
      </w:pPr>
    </w:p>
    <w:p w14:paraId="34614366"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1263757A" w14:textId="77777777" w:rsidR="00790ADA" w:rsidRPr="00FB3A86" w:rsidRDefault="00790ADA" w:rsidP="00441B6F">
      <w:pPr>
        <w:pStyle w:val="ReferHead"/>
        <w:spacing w:after="0"/>
        <w:jc w:val="both"/>
        <w:rPr>
          <w:rFonts w:ascii="Arial" w:hAnsi="Arial" w:cs="Arial"/>
        </w:rPr>
      </w:pPr>
    </w:p>
    <w:p w14:paraId="58548457" w14:textId="7F560966" w:rsidR="004D4277" w:rsidRPr="00FB3A86" w:rsidRDefault="004D4277" w:rsidP="00441B6F">
      <w:pPr>
        <w:pStyle w:val="Appendix"/>
        <w:spacing w:after="0"/>
        <w:jc w:val="both"/>
        <w:rPr>
          <w:rFonts w:ascii="Arial" w:hAnsi="Arial" w:cs="Arial"/>
          <w:b w:val="0"/>
        </w:rPr>
        <w:sectPr w:rsidR="004D4277" w:rsidRPr="00FB3A86" w:rsidSect="008A4597">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203669D0"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Ahmed, S. K. (2024). The pillars of trustworthiness in qualitative research. </w:t>
      </w:r>
      <w:r w:rsidRPr="00533DA4">
        <w:rPr>
          <w:rFonts w:ascii="Arial" w:hAnsi="Arial" w:cs="Arial"/>
          <w:i/>
          <w:iCs/>
          <w:color w:val="000000" w:themeColor="text1"/>
          <w:sz w:val="20"/>
          <w:szCs w:val="20"/>
        </w:rPr>
        <w:t>Journal of Medicine, Surgery, and Public Health, 2</w:t>
      </w:r>
      <w:r w:rsidRPr="00533DA4">
        <w:rPr>
          <w:rFonts w:ascii="Arial" w:hAnsi="Arial" w:cs="Arial"/>
          <w:color w:val="000000" w:themeColor="text1"/>
          <w:sz w:val="20"/>
          <w:szCs w:val="20"/>
        </w:rPr>
        <w:t>, 100051.</w:t>
      </w:r>
      <w:hyperlink r:id="rId18" w:history="1">
        <w:r w:rsidRPr="00533DA4">
          <w:rPr>
            <w:rStyle w:val="Hyperlink"/>
            <w:rFonts w:ascii="Arial" w:hAnsi="Arial" w:cs="Arial"/>
            <w:color w:val="000000" w:themeColor="text1"/>
            <w:sz w:val="20"/>
            <w:szCs w:val="20"/>
            <w:u w:val="none"/>
          </w:rPr>
          <w:t xml:space="preserve"> </w:t>
        </w:r>
      </w:hyperlink>
      <w:hyperlink r:id="rId19" w:history="1">
        <w:r w:rsidRPr="00533DA4">
          <w:rPr>
            <w:rStyle w:val="Hyperlink"/>
            <w:rFonts w:ascii="Arial" w:hAnsi="Arial" w:cs="Arial"/>
            <w:color w:val="000000" w:themeColor="text1"/>
            <w:sz w:val="20"/>
            <w:szCs w:val="20"/>
            <w:u w:val="none"/>
          </w:rPr>
          <w:t>https://doi.org/10.1016/j.glmedi.2024.100051</w:t>
        </w:r>
      </w:hyperlink>
    </w:p>
    <w:p w14:paraId="62861D10"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Alhazbi, S., Al-ali, A., Tabassum, A., Al-Ali, A., Al-Emadi, A., Khattab, T., &amp; Hasan, M. A. (2024). </w:t>
      </w:r>
      <w:r w:rsidRPr="00533DA4">
        <w:rPr>
          <w:rFonts w:ascii="Arial" w:hAnsi="Arial" w:cs="Arial"/>
          <w:i/>
          <w:iCs/>
          <w:color w:val="000000" w:themeColor="text1"/>
          <w:sz w:val="20"/>
          <w:szCs w:val="20"/>
        </w:rPr>
        <w:t>Using learning analytics to measure self-regulated learning: A systematic review of empirical studies in higher education</w:t>
      </w:r>
      <w:r w:rsidRPr="00533DA4">
        <w:rPr>
          <w:rFonts w:ascii="Arial" w:hAnsi="Arial" w:cs="Arial"/>
          <w:color w:val="000000" w:themeColor="text1"/>
          <w:sz w:val="20"/>
          <w:szCs w:val="20"/>
        </w:rPr>
        <w:t xml:space="preserve">. </w:t>
      </w:r>
      <w:r w:rsidRPr="00533DA4">
        <w:rPr>
          <w:rFonts w:ascii="Arial" w:hAnsi="Arial" w:cs="Arial"/>
          <w:i/>
          <w:iCs/>
          <w:color w:val="000000" w:themeColor="text1"/>
          <w:sz w:val="20"/>
          <w:szCs w:val="20"/>
        </w:rPr>
        <w:t>Journal of Computer Assisted Learning</w:t>
      </w:r>
      <w:r w:rsidRPr="00533DA4">
        <w:rPr>
          <w:rFonts w:ascii="Arial" w:hAnsi="Arial" w:cs="Arial"/>
          <w:color w:val="000000" w:themeColor="text1"/>
          <w:sz w:val="20"/>
          <w:szCs w:val="20"/>
        </w:rPr>
        <w:t>, 40(4), 1658–1674.</w:t>
      </w:r>
      <w:hyperlink r:id="rId20" w:history="1">
        <w:r w:rsidRPr="00533DA4">
          <w:rPr>
            <w:rStyle w:val="Hyperlink"/>
            <w:rFonts w:ascii="Arial" w:hAnsi="Arial" w:cs="Arial"/>
            <w:color w:val="000000" w:themeColor="text1"/>
            <w:sz w:val="20"/>
            <w:szCs w:val="20"/>
            <w:u w:val="none"/>
          </w:rPr>
          <w:t xml:space="preserve"> https://doi.org/10.1111/jcal.12982</w:t>
        </w:r>
      </w:hyperlink>
    </w:p>
    <w:p w14:paraId="4E15DA1C"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Anthology. (2026). </w:t>
      </w:r>
      <w:r w:rsidRPr="00533DA4">
        <w:rPr>
          <w:rFonts w:ascii="Arial" w:hAnsi="Arial" w:cs="Arial"/>
          <w:i/>
          <w:iCs/>
          <w:color w:val="000000" w:themeColor="text1"/>
          <w:sz w:val="20"/>
          <w:szCs w:val="20"/>
        </w:rPr>
        <w:t>Student activity log</w:t>
      </w:r>
      <w:r w:rsidRPr="00533DA4">
        <w:rPr>
          <w:rFonts w:ascii="Arial" w:hAnsi="Arial" w:cs="Arial"/>
          <w:color w:val="000000" w:themeColor="text1"/>
          <w:sz w:val="20"/>
          <w:szCs w:val="20"/>
        </w:rPr>
        <w:t>. Blackboard Help.</w:t>
      </w:r>
      <w:hyperlink r:id="rId21" w:history="1">
        <w:r w:rsidRPr="00533DA4">
          <w:rPr>
            <w:rStyle w:val="Hyperlink"/>
            <w:rFonts w:ascii="Arial" w:hAnsi="Arial" w:cs="Arial"/>
            <w:color w:val="000000" w:themeColor="text1"/>
            <w:sz w:val="20"/>
            <w:szCs w:val="20"/>
            <w:u w:val="none"/>
          </w:rPr>
          <w:t xml:space="preserve"> https://help.anthology.com/blackboard/instructor/en/analytics/student-activity-log.html</w:t>
        </w:r>
      </w:hyperlink>
    </w:p>
    <w:p w14:paraId="57BF3C38" w14:textId="264AF93A" w:rsidR="005477F9" w:rsidRPr="005477F9" w:rsidRDefault="005477F9" w:rsidP="00533DA4">
      <w:pPr>
        <w:pStyle w:val="NormalWeb"/>
        <w:spacing w:before="0" w:beforeAutospacing="0" w:after="0" w:afterAutospacing="0"/>
        <w:ind w:left="450" w:hanging="450"/>
        <w:rPr>
          <w:rFonts w:ascii="Arial" w:hAnsi="Arial" w:cs="Arial"/>
          <w:color w:val="000000" w:themeColor="text1"/>
          <w:sz w:val="20"/>
          <w:szCs w:val="20"/>
        </w:rPr>
      </w:pPr>
      <w:r w:rsidRPr="005477F9">
        <w:rPr>
          <w:rFonts w:ascii="Arial" w:hAnsi="Arial" w:cs="Arial"/>
          <w:color w:val="000000" w:themeColor="text1"/>
          <w:sz w:val="20"/>
          <w:szCs w:val="20"/>
        </w:rPr>
        <w:t xml:space="preserve">Armas-Cervantes, A., Kovanović, V., Joksimović, S., Mirriahi, N., Siemens, G., &amp; Gašević, D. (2024). Dusting for fingerprints: Tracking online student engagement. </w:t>
      </w:r>
      <w:r w:rsidRPr="005477F9">
        <w:rPr>
          <w:rStyle w:val="Emphasis"/>
          <w:rFonts w:ascii="Arial" w:hAnsi="Arial" w:cs="Arial"/>
          <w:color w:val="000000" w:themeColor="text1"/>
          <w:sz w:val="20"/>
          <w:szCs w:val="20"/>
        </w:rPr>
        <w:t>Computers and Education: Artificial Intelligence, 6</w:t>
      </w:r>
      <w:r w:rsidRPr="005477F9">
        <w:rPr>
          <w:rFonts w:ascii="Arial" w:hAnsi="Arial" w:cs="Arial"/>
          <w:color w:val="000000" w:themeColor="text1"/>
          <w:sz w:val="20"/>
          <w:szCs w:val="20"/>
        </w:rPr>
        <w:t xml:space="preserve">, Article 100232. </w:t>
      </w:r>
      <w:hyperlink r:id="rId22" w:history="1">
        <w:r w:rsidRPr="005477F9">
          <w:rPr>
            <w:rStyle w:val="Hyperlink"/>
            <w:rFonts w:ascii="Arial" w:hAnsi="Arial" w:cs="Arial"/>
            <w:color w:val="000000" w:themeColor="text1"/>
            <w:sz w:val="20"/>
            <w:szCs w:val="20"/>
            <w:u w:val="none"/>
          </w:rPr>
          <w:t>https://doi.org/10.1016/j.caeai.2024.100232</w:t>
        </w:r>
      </w:hyperlink>
    </w:p>
    <w:p w14:paraId="0FC1C386" w14:textId="05819860"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Bergdahl, N., Bond, M., Sjöberg, J., Dougherty, M., &amp; Oxley, E. (2024). Unpacking student engagement in higher education learning analytics: A systematic review. </w:t>
      </w:r>
      <w:r w:rsidRPr="00533DA4">
        <w:rPr>
          <w:rFonts w:ascii="Arial" w:hAnsi="Arial" w:cs="Arial"/>
          <w:i/>
          <w:iCs/>
          <w:color w:val="000000" w:themeColor="text1"/>
          <w:sz w:val="20"/>
          <w:szCs w:val="20"/>
        </w:rPr>
        <w:t>International Journal of Educational Technology in Higher Education, 21</w:t>
      </w:r>
      <w:r w:rsidRPr="00533DA4">
        <w:rPr>
          <w:rFonts w:ascii="Arial" w:hAnsi="Arial" w:cs="Arial"/>
          <w:color w:val="000000" w:themeColor="text1"/>
          <w:sz w:val="20"/>
          <w:szCs w:val="20"/>
        </w:rPr>
        <w:t>, Article 63.</w:t>
      </w:r>
      <w:hyperlink r:id="rId23" w:history="1">
        <w:r w:rsidRPr="00533DA4">
          <w:rPr>
            <w:rStyle w:val="Hyperlink"/>
            <w:rFonts w:ascii="Arial" w:hAnsi="Arial" w:cs="Arial"/>
            <w:color w:val="000000" w:themeColor="text1"/>
            <w:sz w:val="20"/>
            <w:szCs w:val="20"/>
            <w:u w:val="none"/>
          </w:rPr>
          <w:t xml:space="preserve"> https://doi.org/10.1186/s41239-024-00493-y</w:t>
        </w:r>
      </w:hyperlink>
    </w:p>
    <w:p w14:paraId="6A1ADE30" w14:textId="1B2F538A" w:rsidR="00656B77" w:rsidRPr="00656B77" w:rsidRDefault="00656B77" w:rsidP="00533DA4">
      <w:pPr>
        <w:pStyle w:val="NormalWeb"/>
        <w:spacing w:before="0" w:beforeAutospacing="0" w:after="0" w:afterAutospacing="0"/>
        <w:ind w:left="450" w:hanging="450"/>
        <w:rPr>
          <w:rFonts w:ascii="Arial" w:hAnsi="Arial" w:cs="Arial"/>
          <w:color w:val="000000" w:themeColor="text1"/>
          <w:sz w:val="20"/>
          <w:szCs w:val="20"/>
        </w:rPr>
      </w:pPr>
      <w:r w:rsidRPr="00656B77">
        <w:rPr>
          <w:rFonts w:ascii="Arial" w:hAnsi="Arial" w:cs="Arial"/>
          <w:color w:val="000000" w:themeColor="text1"/>
          <w:sz w:val="20"/>
          <w:szCs w:val="20"/>
        </w:rPr>
        <w:lastRenderedPageBreak/>
        <w:t xml:space="preserve">Bernacki, M. L., Yu, L., Kuhlmann, S. L., Plumley, R. D., Greene, J. A., Duke, R. F., Freed, R., Hollander-Blackmon, C., &amp; Hogan, K. A. (2025). Using multimodal learning analytics to validate digital traces of self-regulated learning in a laboratory study and predict performance in undergraduate courses. </w:t>
      </w:r>
      <w:r w:rsidRPr="00656B77">
        <w:rPr>
          <w:rStyle w:val="Emphasis"/>
          <w:rFonts w:ascii="Arial" w:hAnsi="Arial" w:cs="Arial"/>
          <w:color w:val="000000" w:themeColor="text1"/>
          <w:sz w:val="20"/>
          <w:szCs w:val="20"/>
        </w:rPr>
        <w:t>Journal of Educational Psychology, 117</w:t>
      </w:r>
      <w:r w:rsidRPr="00656B77">
        <w:rPr>
          <w:rFonts w:ascii="Arial" w:hAnsi="Arial" w:cs="Arial"/>
          <w:color w:val="000000" w:themeColor="text1"/>
          <w:sz w:val="20"/>
          <w:szCs w:val="20"/>
        </w:rPr>
        <w:t xml:space="preserve">(2), 176–205. </w:t>
      </w:r>
      <w:hyperlink r:id="rId24" w:history="1">
        <w:r w:rsidRPr="00656B77">
          <w:rPr>
            <w:rStyle w:val="Hyperlink"/>
            <w:rFonts w:ascii="Arial" w:hAnsi="Arial" w:cs="Arial"/>
            <w:color w:val="000000" w:themeColor="text1"/>
            <w:sz w:val="20"/>
            <w:szCs w:val="20"/>
            <w:u w:val="none"/>
          </w:rPr>
          <w:t>https://doi.org/10.1037/edu0000890</w:t>
        </w:r>
      </w:hyperlink>
    </w:p>
    <w:p w14:paraId="3C9C5504" w14:textId="2FBFBF4E"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D2L. (n.d.). </w:t>
      </w:r>
      <w:r w:rsidRPr="00533DA4">
        <w:rPr>
          <w:rFonts w:ascii="Arial" w:hAnsi="Arial" w:cs="Arial"/>
          <w:i/>
          <w:iCs/>
          <w:color w:val="000000" w:themeColor="text1"/>
          <w:sz w:val="20"/>
          <w:szCs w:val="20"/>
        </w:rPr>
        <w:t>Engagement Dashboard</w:t>
      </w:r>
      <w:r w:rsidRPr="00533DA4">
        <w:rPr>
          <w:rFonts w:ascii="Arial" w:hAnsi="Arial" w:cs="Arial"/>
          <w:color w:val="000000" w:themeColor="text1"/>
          <w:sz w:val="20"/>
          <w:szCs w:val="20"/>
        </w:rPr>
        <w:t>. Brightspace Community.</w:t>
      </w:r>
      <w:hyperlink r:id="rId25" w:history="1">
        <w:r w:rsidRPr="00533DA4">
          <w:rPr>
            <w:rStyle w:val="Hyperlink"/>
            <w:rFonts w:ascii="Arial" w:hAnsi="Arial" w:cs="Arial"/>
            <w:color w:val="000000" w:themeColor="text1"/>
            <w:sz w:val="20"/>
            <w:szCs w:val="20"/>
            <w:u w:val="none"/>
          </w:rPr>
          <w:t xml:space="preserve"> https://community.d2l.com/brightspace/kb/articles/4545-engagement-dashboard</w:t>
        </w:r>
      </w:hyperlink>
    </w:p>
    <w:p w14:paraId="1BAA2CB6" w14:textId="77777777" w:rsidR="00D33725" w:rsidRPr="00D33725" w:rsidRDefault="00D33725" w:rsidP="00533DA4">
      <w:pPr>
        <w:pStyle w:val="NormalWeb"/>
        <w:spacing w:before="0" w:beforeAutospacing="0" w:after="0" w:afterAutospacing="0"/>
        <w:ind w:left="450" w:hanging="450"/>
        <w:rPr>
          <w:rFonts w:ascii="Arial" w:hAnsi="Arial" w:cs="Arial"/>
          <w:color w:val="000000" w:themeColor="text1"/>
          <w:sz w:val="20"/>
          <w:szCs w:val="20"/>
        </w:rPr>
      </w:pPr>
      <w:r w:rsidRPr="00D33725">
        <w:rPr>
          <w:rFonts w:ascii="Arial" w:hAnsi="Arial" w:cs="Arial"/>
          <w:color w:val="000000" w:themeColor="text1"/>
          <w:sz w:val="20"/>
          <w:szCs w:val="20"/>
        </w:rPr>
        <w:t xml:space="preserve">de Vreugd, L., van Leeuwen, A., Jansen, R., &amp; van der Schaaf, M. (2024). Learning analytics dashboard design and evaluation to support student self-regulation of study behaviour. </w:t>
      </w:r>
      <w:r w:rsidRPr="00D33725">
        <w:rPr>
          <w:rStyle w:val="Emphasis"/>
          <w:rFonts w:ascii="Arial" w:hAnsi="Arial" w:cs="Arial"/>
          <w:color w:val="000000" w:themeColor="text1"/>
          <w:sz w:val="20"/>
          <w:szCs w:val="20"/>
        </w:rPr>
        <w:t>Journal of Learning Analytics, 11</w:t>
      </w:r>
      <w:r w:rsidRPr="00D33725">
        <w:rPr>
          <w:rFonts w:ascii="Arial" w:hAnsi="Arial" w:cs="Arial"/>
          <w:color w:val="000000" w:themeColor="text1"/>
          <w:sz w:val="20"/>
          <w:szCs w:val="20"/>
        </w:rPr>
        <w:t xml:space="preserve">(3), 249–262. </w:t>
      </w:r>
      <w:hyperlink r:id="rId26" w:tgtFrame="_new" w:history="1">
        <w:r w:rsidRPr="00D33725">
          <w:rPr>
            <w:rStyle w:val="Hyperlink"/>
            <w:rFonts w:ascii="Arial" w:hAnsi="Arial" w:cs="Arial"/>
            <w:color w:val="000000" w:themeColor="text1"/>
            <w:sz w:val="20"/>
            <w:szCs w:val="20"/>
            <w:u w:val="none"/>
          </w:rPr>
          <w:t>https://doi.org/10.18608/jla.2024.8529</w:t>
        </w:r>
      </w:hyperlink>
    </w:p>
    <w:p w14:paraId="57A1348B" w14:textId="2C2ED4E5"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de Vreugd, L., van Leeuwen, A., &amp; van der Schaaf, M. (2025). Students' use of a learning analytics dashboard and influence of reference frames: Goal setting, motivation, and performance. </w:t>
      </w:r>
      <w:r w:rsidRPr="00533DA4">
        <w:rPr>
          <w:rFonts w:ascii="Arial" w:hAnsi="Arial" w:cs="Arial"/>
          <w:i/>
          <w:iCs/>
          <w:color w:val="000000" w:themeColor="text1"/>
          <w:sz w:val="20"/>
          <w:szCs w:val="20"/>
        </w:rPr>
        <w:t>Journal of Computer Assisted Learning, 41</w:t>
      </w:r>
      <w:r w:rsidRPr="00533DA4">
        <w:rPr>
          <w:rFonts w:ascii="Arial" w:hAnsi="Arial" w:cs="Arial"/>
          <w:color w:val="000000" w:themeColor="text1"/>
          <w:sz w:val="20"/>
          <w:szCs w:val="20"/>
        </w:rPr>
        <w:t xml:space="preserve">, Article e70015. </w:t>
      </w:r>
      <w:hyperlink r:id="rId27" w:history="1">
        <w:r w:rsidRPr="00533DA4">
          <w:rPr>
            <w:rStyle w:val="Hyperlink"/>
            <w:rFonts w:ascii="Arial" w:hAnsi="Arial" w:cs="Arial"/>
            <w:color w:val="000000" w:themeColor="text1"/>
            <w:sz w:val="20"/>
            <w:szCs w:val="20"/>
            <w:u w:val="none"/>
          </w:rPr>
          <w:t>https://doi.org/10.1111/jcal.70015</w:t>
        </w:r>
      </w:hyperlink>
    </w:p>
    <w:p w14:paraId="5E698F30"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Drugova, E., Zhuravleva, I., Zakharova, U., &amp; Latipov, A. (2024). Learning analytics driven improvements in learning design in higher education: A systematic literature review. </w:t>
      </w:r>
      <w:r w:rsidRPr="00533DA4">
        <w:rPr>
          <w:rFonts w:ascii="Arial" w:hAnsi="Arial" w:cs="Arial"/>
          <w:i/>
          <w:iCs/>
          <w:color w:val="000000" w:themeColor="text1"/>
          <w:sz w:val="20"/>
          <w:szCs w:val="20"/>
        </w:rPr>
        <w:t>Journal of Computer Assisted Learning</w:t>
      </w:r>
      <w:r w:rsidRPr="00533DA4">
        <w:rPr>
          <w:rFonts w:ascii="Arial" w:hAnsi="Arial" w:cs="Arial"/>
          <w:color w:val="000000" w:themeColor="text1"/>
          <w:sz w:val="20"/>
          <w:szCs w:val="20"/>
        </w:rPr>
        <w:t>, 40(2), 510–524.</w:t>
      </w:r>
      <w:hyperlink r:id="rId28" w:history="1">
        <w:r w:rsidRPr="00533DA4">
          <w:rPr>
            <w:rStyle w:val="Hyperlink"/>
            <w:rFonts w:ascii="Arial" w:hAnsi="Arial" w:cs="Arial"/>
            <w:color w:val="000000" w:themeColor="text1"/>
            <w:sz w:val="20"/>
            <w:szCs w:val="20"/>
            <w:u w:val="none"/>
          </w:rPr>
          <w:t xml:space="preserve"> https://doi.org/10.1111/jcal.12894</w:t>
        </w:r>
      </w:hyperlink>
    </w:p>
    <w:p w14:paraId="12A70459"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Echeverria, V., Nieto, G. F., Zhao, L., Palominos, E., Srivastava, N., Gašević, D., Pammer-Schindler, V., &amp; Martinez-Maldonado, R. (2025). </w:t>
      </w:r>
      <w:r w:rsidRPr="00533DA4">
        <w:rPr>
          <w:rFonts w:ascii="Arial" w:hAnsi="Arial" w:cs="Arial"/>
          <w:i/>
          <w:iCs/>
          <w:color w:val="000000" w:themeColor="text1"/>
          <w:sz w:val="20"/>
          <w:szCs w:val="20"/>
        </w:rPr>
        <w:t>A learning analytics dashboard to support students' reflection on collaboration</w:t>
      </w:r>
      <w:r w:rsidRPr="00533DA4">
        <w:rPr>
          <w:rFonts w:ascii="Arial" w:hAnsi="Arial" w:cs="Arial"/>
          <w:color w:val="000000" w:themeColor="text1"/>
          <w:sz w:val="20"/>
          <w:szCs w:val="20"/>
        </w:rPr>
        <w:t xml:space="preserve">. </w:t>
      </w:r>
      <w:r w:rsidRPr="00533DA4">
        <w:rPr>
          <w:rFonts w:ascii="Arial" w:hAnsi="Arial" w:cs="Arial"/>
          <w:i/>
          <w:iCs/>
          <w:color w:val="000000" w:themeColor="text1"/>
          <w:sz w:val="20"/>
          <w:szCs w:val="20"/>
        </w:rPr>
        <w:t>Journal of Computer Assisted Learning</w:t>
      </w:r>
      <w:r w:rsidRPr="00533DA4">
        <w:rPr>
          <w:rFonts w:ascii="Arial" w:hAnsi="Arial" w:cs="Arial"/>
          <w:color w:val="000000" w:themeColor="text1"/>
          <w:sz w:val="20"/>
          <w:szCs w:val="20"/>
        </w:rPr>
        <w:t>, 41(1), e13088.</w:t>
      </w:r>
      <w:hyperlink r:id="rId29" w:history="1">
        <w:r w:rsidRPr="00533DA4">
          <w:rPr>
            <w:rStyle w:val="Hyperlink"/>
            <w:rFonts w:ascii="Arial" w:hAnsi="Arial" w:cs="Arial"/>
            <w:color w:val="000000" w:themeColor="text1"/>
            <w:sz w:val="20"/>
            <w:szCs w:val="20"/>
            <w:u w:val="none"/>
          </w:rPr>
          <w:t xml:space="preserve"> https://doi.org/10.1111/jcal.13088</w:t>
        </w:r>
      </w:hyperlink>
    </w:p>
    <w:p w14:paraId="2C5E90FE" w14:textId="5C16AD1F"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Goh, T.-T. (202</w:t>
      </w:r>
      <w:r w:rsidR="006C20C3">
        <w:rPr>
          <w:rFonts w:ascii="Arial" w:hAnsi="Arial" w:cs="Arial"/>
          <w:color w:val="000000" w:themeColor="text1"/>
          <w:sz w:val="20"/>
          <w:szCs w:val="20"/>
        </w:rPr>
        <w:t>6</w:t>
      </w:r>
      <w:r w:rsidRPr="00533DA4">
        <w:rPr>
          <w:rFonts w:ascii="Arial" w:hAnsi="Arial" w:cs="Arial"/>
          <w:color w:val="000000" w:themeColor="text1"/>
          <w:sz w:val="20"/>
          <w:szCs w:val="20"/>
        </w:rPr>
        <w:t xml:space="preserve">). Learning management system log analytics: The role of persistence and consistency of engagement behaviour on academic success. </w:t>
      </w:r>
      <w:r w:rsidRPr="00533DA4">
        <w:rPr>
          <w:rFonts w:ascii="Arial" w:hAnsi="Arial" w:cs="Arial"/>
          <w:i/>
          <w:iCs/>
          <w:color w:val="000000" w:themeColor="text1"/>
          <w:sz w:val="20"/>
          <w:szCs w:val="20"/>
        </w:rPr>
        <w:t>Journal of Computers in Education</w:t>
      </w:r>
      <w:r w:rsidRPr="00533DA4">
        <w:rPr>
          <w:rFonts w:ascii="Arial" w:hAnsi="Arial" w:cs="Arial"/>
          <w:color w:val="000000" w:themeColor="text1"/>
          <w:sz w:val="20"/>
          <w:szCs w:val="20"/>
        </w:rPr>
        <w:t>. Advance online publication.</w:t>
      </w:r>
      <w:hyperlink r:id="rId30" w:history="1">
        <w:r w:rsidRPr="00533DA4">
          <w:rPr>
            <w:rStyle w:val="Hyperlink"/>
            <w:rFonts w:ascii="Arial" w:hAnsi="Arial" w:cs="Arial"/>
            <w:color w:val="000000" w:themeColor="text1"/>
            <w:sz w:val="20"/>
            <w:szCs w:val="20"/>
            <w:u w:val="none"/>
          </w:rPr>
          <w:t xml:space="preserve"> </w:t>
        </w:r>
      </w:hyperlink>
      <w:hyperlink r:id="rId31" w:history="1">
        <w:r w:rsidRPr="00533DA4">
          <w:rPr>
            <w:rStyle w:val="Hyperlink"/>
            <w:rFonts w:ascii="Arial" w:hAnsi="Arial" w:cs="Arial"/>
            <w:color w:val="000000" w:themeColor="text1"/>
            <w:sz w:val="20"/>
            <w:szCs w:val="20"/>
            <w:u w:val="none"/>
          </w:rPr>
          <w:t>https://doi.org/10.1007/s40692-025-00358-x</w:t>
        </w:r>
      </w:hyperlink>
    </w:p>
    <w:p w14:paraId="42ED1EC4"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Heilporn, G., Raynault, A., &amp; Frenette, E. (2024). Student engagement in a higher education course: A multidimensional scale for different course modalities. </w:t>
      </w:r>
      <w:r w:rsidRPr="00533DA4">
        <w:rPr>
          <w:rFonts w:ascii="Arial" w:hAnsi="Arial" w:cs="Arial"/>
          <w:i/>
          <w:iCs/>
          <w:color w:val="000000" w:themeColor="text1"/>
          <w:sz w:val="20"/>
          <w:szCs w:val="20"/>
        </w:rPr>
        <w:t>Social Sciences &amp; Humanities Open, 9</w:t>
      </w:r>
      <w:r w:rsidRPr="00533DA4">
        <w:rPr>
          <w:rFonts w:ascii="Arial" w:hAnsi="Arial" w:cs="Arial"/>
          <w:color w:val="000000" w:themeColor="text1"/>
          <w:sz w:val="20"/>
          <w:szCs w:val="20"/>
        </w:rPr>
        <w:t>, Article 100794.</w:t>
      </w:r>
      <w:hyperlink r:id="rId32" w:history="1">
        <w:r w:rsidRPr="00533DA4">
          <w:rPr>
            <w:rStyle w:val="Hyperlink"/>
            <w:rFonts w:ascii="Arial" w:hAnsi="Arial" w:cs="Arial"/>
            <w:color w:val="000000" w:themeColor="text1"/>
            <w:sz w:val="20"/>
            <w:szCs w:val="20"/>
            <w:u w:val="none"/>
          </w:rPr>
          <w:t xml:space="preserve"> https://doi.org/10.1016/j.ssaho.2023.100794</w:t>
        </w:r>
      </w:hyperlink>
    </w:p>
    <w:p w14:paraId="1DC20B6A"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Hsieh, H.-F., &amp; Shannon, S. E. (2005). Three approaches to qualitative content analysis. </w:t>
      </w:r>
      <w:r w:rsidRPr="00533DA4">
        <w:rPr>
          <w:rFonts w:ascii="Arial" w:hAnsi="Arial" w:cs="Arial"/>
          <w:i/>
          <w:iCs/>
          <w:color w:val="000000" w:themeColor="text1"/>
          <w:sz w:val="20"/>
          <w:szCs w:val="20"/>
        </w:rPr>
        <w:t>Qualitative Health Research, 15</w:t>
      </w:r>
      <w:r w:rsidRPr="00533DA4">
        <w:rPr>
          <w:rFonts w:ascii="Arial" w:hAnsi="Arial" w:cs="Arial"/>
          <w:color w:val="000000" w:themeColor="text1"/>
          <w:sz w:val="20"/>
          <w:szCs w:val="20"/>
        </w:rPr>
        <w:t>(9), 1277–1288.</w:t>
      </w:r>
      <w:hyperlink r:id="rId33" w:history="1">
        <w:r w:rsidRPr="00533DA4">
          <w:rPr>
            <w:rStyle w:val="Hyperlink"/>
            <w:rFonts w:ascii="Arial" w:hAnsi="Arial" w:cs="Arial"/>
            <w:color w:val="000000" w:themeColor="text1"/>
            <w:sz w:val="20"/>
            <w:szCs w:val="20"/>
            <w:u w:val="none"/>
          </w:rPr>
          <w:t xml:space="preserve"> https://doi.org/10.1177/1049732305276687</w:t>
        </w:r>
      </w:hyperlink>
      <w:r w:rsidRPr="00533DA4">
        <w:rPr>
          <w:rFonts w:ascii="Arial" w:hAnsi="Arial" w:cs="Arial"/>
          <w:color w:val="000000" w:themeColor="text1"/>
          <w:sz w:val="20"/>
          <w:szCs w:val="20"/>
        </w:rPr>
        <w:t> </w:t>
      </w:r>
    </w:p>
    <w:p w14:paraId="383C9C8D"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Instructure. (n.d.). </w:t>
      </w:r>
      <w:r w:rsidRPr="00533DA4">
        <w:rPr>
          <w:rFonts w:ascii="Arial" w:hAnsi="Arial" w:cs="Arial"/>
          <w:i/>
          <w:iCs/>
          <w:color w:val="000000" w:themeColor="text1"/>
          <w:sz w:val="20"/>
          <w:szCs w:val="20"/>
        </w:rPr>
        <w:t>Analytics</w:t>
      </w:r>
      <w:r w:rsidRPr="00533DA4">
        <w:rPr>
          <w:rFonts w:ascii="Arial" w:hAnsi="Arial" w:cs="Arial"/>
          <w:color w:val="000000" w:themeColor="text1"/>
          <w:sz w:val="20"/>
          <w:szCs w:val="20"/>
        </w:rPr>
        <w:t>. Instructure Developer Documentation.</w:t>
      </w:r>
      <w:hyperlink r:id="rId34" w:history="1">
        <w:r w:rsidRPr="00533DA4">
          <w:rPr>
            <w:rStyle w:val="Hyperlink"/>
            <w:rFonts w:ascii="Arial" w:hAnsi="Arial" w:cs="Arial"/>
            <w:color w:val="000000" w:themeColor="text1"/>
            <w:sz w:val="20"/>
            <w:szCs w:val="20"/>
            <w:u w:val="none"/>
          </w:rPr>
          <w:t xml:space="preserve"> https://developerdocs.instructure.com/services/canvas/resources/analytics</w:t>
        </w:r>
      </w:hyperlink>
    </w:p>
    <w:p w14:paraId="084EAC29"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Ji, Y. (2024). A methodological exploration of document analysis as a qualitative research method. </w:t>
      </w:r>
      <w:r w:rsidRPr="00533DA4">
        <w:rPr>
          <w:rFonts w:ascii="Arial" w:hAnsi="Arial" w:cs="Arial"/>
          <w:i/>
          <w:iCs/>
          <w:color w:val="000000" w:themeColor="text1"/>
          <w:sz w:val="20"/>
          <w:szCs w:val="20"/>
        </w:rPr>
        <w:t>Journal of Qualitative Inquiry, 10</w:t>
      </w:r>
      <w:r w:rsidRPr="00533DA4">
        <w:rPr>
          <w:rFonts w:ascii="Arial" w:hAnsi="Arial" w:cs="Arial"/>
          <w:color w:val="000000" w:themeColor="text1"/>
          <w:sz w:val="20"/>
          <w:szCs w:val="20"/>
        </w:rPr>
        <w:t xml:space="preserve">(3), 25–56. </w:t>
      </w:r>
      <w:hyperlink r:id="rId35" w:history="1">
        <w:r w:rsidRPr="00533DA4">
          <w:rPr>
            <w:rStyle w:val="Hyperlink"/>
            <w:rFonts w:ascii="Arial" w:hAnsi="Arial" w:cs="Arial"/>
            <w:color w:val="000000" w:themeColor="text1"/>
            <w:sz w:val="20"/>
            <w:szCs w:val="20"/>
            <w:u w:val="none"/>
          </w:rPr>
          <w:t>https://doi.org/10.30940/JQI.2024.10.3.25</w:t>
        </w:r>
      </w:hyperlink>
    </w:p>
    <w:p w14:paraId="4D2F59B1"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Jung, Y., &amp; Wise, A. F. (2025). How students engage with learning analytics: Access, action-taking, and learning routines with message-based information to support collaborative annotation. </w:t>
      </w:r>
      <w:r w:rsidRPr="00533DA4">
        <w:rPr>
          <w:rFonts w:ascii="Arial" w:hAnsi="Arial" w:cs="Arial"/>
          <w:i/>
          <w:iCs/>
          <w:color w:val="000000" w:themeColor="text1"/>
          <w:sz w:val="20"/>
          <w:szCs w:val="20"/>
        </w:rPr>
        <w:t>Computers &amp; Education, 232</w:t>
      </w:r>
      <w:r w:rsidRPr="00533DA4">
        <w:rPr>
          <w:rFonts w:ascii="Arial" w:hAnsi="Arial" w:cs="Arial"/>
          <w:color w:val="000000" w:themeColor="text1"/>
          <w:sz w:val="20"/>
          <w:szCs w:val="20"/>
        </w:rPr>
        <w:t xml:space="preserve">, Article 105280. </w:t>
      </w:r>
      <w:hyperlink r:id="rId36" w:history="1">
        <w:r w:rsidRPr="00533DA4">
          <w:rPr>
            <w:rStyle w:val="Hyperlink"/>
            <w:rFonts w:ascii="Arial" w:hAnsi="Arial" w:cs="Arial"/>
            <w:color w:val="000000" w:themeColor="text1"/>
            <w:sz w:val="20"/>
            <w:szCs w:val="20"/>
            <w:u w:val="none"/>
          </w:rPr>
          <w:t>https://doi.org/10.1016/j.compedu.2025.105280</w:t>
        </w:r>
      </w:hyperlink>
    </w:p>
    <w:p w14:paraId="2C90A901"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Kitto, S., Chiang, H. L. M., Ng, O., &amp; Cleland, J. (2025). More, better feedback please: Are learning analytics dashboards (LAD) the solution to a wicked problem? </w:t>
      </w:r>
      <w:r w:rsidRPr="00533DA4">
        <w:rPr>
          <w:rFonts w:ascii="Arial" w:hAnsi="Arial" w:cs="Arial"/>
          <w:i/>
          <w:iCs/>
          <w:color w:val="000000" w:themeColor="text1"/>
          <w:sz w:val="20"/>
          <w:szCs w:val="20"/>
        </w:rPr>
        <w:t>Advances in Health Sciences Education, 30</w:t>
      </w:r>
      <w:r w:rsidRPr="00533DA4">
        <w:rPr>
          <w:rFonts w:ascii="Arial" w:hAnsi="Arial" w:cs="Arial"/>
          <w:color w:val="000000" w:themeColor="text1"/>
          <w:sz w:val="20"/>
          <w:szCs w:val="20"/>
        </w:rPr>
        <w:t>(1), 69–85.</w:t>
      </w:r>
      <w:hyperlink r:id="rId37" w:history="1">
        <w:r w:rsidRPr="00533DA4">
          <w:rPr>
            <w:rStyle w:val="Hyperlink"/>
            <w:rFonts w:ascii="Arial" w:hAnsi="Arial" w:cs="Arial"/>
            <w:color w:val="000000" w:themeColor="text1"/>
            <w:sz w:val="20"/>
            <w:szCs w:val="20"/>
            <w:u w:val="none"/>
          </w:rPr>
          <w:t xml:space="preserve"> </w:t>
        </w:r>
      </w:hyperlink>
      <w:hyperlink r:id="rId38" w:history="1">
        <w:r w:rsidRPr="00533DA4">
          <w:rPr>
            <w:rStyle w:val="Hyperlink"/>
            <w:rFonts w:ascii="Arial" w:hAnsi="Arial" w:cs="Arial"/>
            <w:color w:val="000000" w:themeColor="text1"/>
            <w:sz w:val="20"/>
            <w:szCs w:val="20"/>
            <w:u w:val="none"/>
          </w:rPr>
          <w:t>https://doi.org/10.1007/s10459-024-10358-8</w:t>
        </w:r>
      </w:hyperlink>
    </w:p>
    <w:p w14:paraId="44B04CB3"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Kleimola, R., Hirsto, L., &amp; Ruokamo, H. (2025). Promoting higher education students’ self-regulated learning through learning analytics: A qualitative study. </w:t>
      </w:r>
      <w:r w:rsidRPr="00533DA4">
        <w:rPr>
          <w:rFonts w:ascii="Arial" w:hAnsi="Arial" w:cs="Arial"/>
          <w:i/>
          <w:iCs/>
          <w:color w:val="000000" w:themeColor="text1"/>
          <w:sz w:val="20"/>
          <w:szCs w:val="20"/>
        </w:rPr>
        <w:t>Education and Information Technologies, 30</w:t>
      </w:r>
      <w:r w:rsidRPr="00533DA4">
        <w:rPr>
          <w:rFonts w:ascii="Arial" w:hAnsi="Arial" w:cs="Arial"/>
          <w:color w:val="000000" w:themeColor="text1"/>
          <w:sz w:val="20"/>
          <w:szCs w:val="20"/>
        </w:rPr>
        <w:t>(4), 4959–4986.</w:t>
      </w:r>
      <w:hyperlink r:id="rId39" w:history="1">
        <w:r w:rsidRPr="00533DA4">
          <w:rPr>
            <w:rStyle w:val="Hyperlink"/>
            <w:rFonts w:ascii="Arial" w:hAnsi="Arial" w:cs="Arial"/>
            <w:color w:val="000000" w:themeColor="text1"/>
            <w:sz w:val="20"/>
            <w:szCs w:val="20"/>
            <w:u w:val="none"/>
          </w:rPr>
          <w:t xml:space="preserve"> https://doi.org/10.1007/s10639-024-12978-4</w:t>
        </w:r>
      </w:hyperlink>
    </w:p>
    <w:p w14:paraId="3A7B57DA"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Lee, J., &amp; Kim, D. (2025). From awareness to empowerment: Self-determination theory-informed learning analytics dashboards to enhance student engagement in asynchronous online courses. </w:t>
      </w:r>
      <w:r w:rsidRPr="00533DA4">
        <w:rPr>
          <w:rFonts w:ascii="Arial" w:hAnsi="Arial" w:cs="Arial"/>
          <w:i/>
          <w:iCs/>
          <w:color w:val="000000" w:themeColor="text1"/>
          <w:sz w:val="20"/>
          <w:szCs w:val="20"/>
        </w:rPr>
        <w:t>Journal of Computing in Higher Education, 37</w:t>
      </w:r>
      <w:r w:rsidRPr="00533DA4">
        <w:rPr>
          <w:rFonts w:ascii="Arial" w:hAnsi="Arial" w:cs="Arial"/>
          <w:color w:val="000000" w:themeColor="text1"/>
          <w:sz w:val="20"/>
          <w:szCs w:val="20"/>
        </w:rPr>
        <w:t>, 1078–1118.</w:t>
      </w:r>
      <w:hyperlink r:id="rId40" w:history="1">
        <w:r w:rsidRPr="00533DA4">
          <w:rPr>
            <w:rStyle w:val="Hyperlink"/>
            <w:rFonts w:ascii="Arial" w:hAnsi="Arial" w:cs="Arial"/>
            <w:color w:val="000000" w:themeColor="text1"/>
            <w:sz w:val="20"/>
            <w:szCs w:val="20"/>
            <w:u w:val="none"/>
          </w:rPr>
          <w:t xml:space="preserve"> </w:t>
        </w:r>
      </w:hyperlink>
      <w:hyperlink r:id="rId41" w:history="1">
        <w:r w:rsidRPr="00533DA4">
          <w:rPr>
            <w:rStyle w:val="Hyperlink"/>
            <w:rFonts w:ascii="Arial" w:hAnsi="Arial" w:cs="Arial"/>
            <w:color w:val="000000" w:themeColor="text1"/>
            <w:sz w:val="20"/>
            <w:szCs w:val="20"/>
            <w:u w:val="none"/>
          </w:rPr>
          <w:t>https://doi.org/10.1007/s12528-024-09416-2</w:t>
        </w:r>
      </w:hyperlink>
    </w:p>
    <w:p w14:paraId="28E62475"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Li, Q., Jung, Y., &amp; Wise, A. F. (2026). How instructors use learning analytics: The pivotal role of pedagogy. </w:t>
      </w:r>
      <w:r w:rsidRPr="00533DA4">
        <w:rPr>
          <w:rFonts w:ascii="Arial" w:hAnsi="Arial" w:cs="Arial"/>
          <w:i/>
          <w:iCs/>
          <w:color w:val="000000" w:themeColor="text1"/>
          <w:sz w:val="20"/>
          <w:szCs w:val="20"/>
        </w:rPr>
        <w:t>Journal of Computing in Higher Education, 38</w:t>
      </w:r>
      <w:r w:rsidRPr="00533DA4">
        <w:rPr>
          <w:rFonts w:ascii="Arial" w:hAnsi="Arial" w:cs="Arial"/>
          <w:color w:val="000000" w:themeColor="text1"/>
          <w:sz w:val="20"/>
          <w:szCs w:val="20"/>
        </w:rPr>
        <w:t>, 227–255.</w:t>
      </w:r>
      <w:hyperlink r:id="rId42" w:history="1">
        <w:r w:rsidRPr="00533DA4">
          <w:rPr>
            <w:rStyle w:val="Hyperlink"/>
            <w:rFonts w:ascii="Arial" w:hAnsi="Arial" w:cs="Arial"/>
            <w:color w:val="000000" w:themeColor="text1"/>
            <w:sz w:val="20"/>
            <w:szCs w:val="20"/>
            <w:u w:val="none"/>
          </w:rPr>
          <w:t xml:space="preserve"> </w:t>
        </w:r>
      </w:hyperlink>
      <w:hyperlink r:id="rId43" w:history="1">
        <w:r w:rsidRPr="00533DA4">
          <w:rPr>
            <w:rStyle w:val="Hyperlink"/>
            <w:rFonts w:ascii="Arial" w:hAnsi="Arial" w:cs="Arial"/>
            <w:color w:val="000000" w:themeColor="text1"/>
            <w:sz w:val="20"/>
            <w:szCs w:val="20"/>
            <w:u w:val="none"/>
          </w:rPr>
          <w:t>https://doi.org/10.1007/s12528-025-09432-w</w:t>
        </w:r>
      </w:hyperlink>
    </w:p>
    <w:p w14:paraId="20116350"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lastRenderedPageBreak/>
        <w:t xml:space="preserve">Li, S., Wang, T., Zheng, J., &amp; Lajoie, S. P. (2025). A complex dynamical system approach to student engagement. </w:t>
      </w:r>
      <w:r w:rsidRPr="00533DA4">
        <w:rPr>
          <w:rFonts w:ascii="Arial" w:hAnsi="Arial" w:cs="Arial"/>
          <w:i/>
          <w:iCs/>
          <w:color w:val="000000" w:themeColor="text1"/>
          <w:sz w:val="20"/>
          <w:szCs w:val="20"/>
        </w:rPr>
        <w:t>Learning and Instruction, 98</w:t>
      </w:r>
      <w:r w:rsidRPr="00533DA4">
        <w:rPr>
          <w:rFonts w:ascii="Arial" w:hAnsi="Arial" w:cs="Arial"/>
          <w:color w:val="000000" w:themeColor="text1"/>
          <w:sz w:val="20"/>
          <w:szCs w:val="20"/>
        </w:rPr>
        <w:t xml:space="preserve">, Article 102120. </w:t>
      </w:r>
      <w:hyperlink r:id="rId44" w:history="1">
        <w:r w:rsidRPr="00533DA4">
          <w:rPr>
            <w:rStyle w:val="Hyperlink"/>
            <w:rFonts w:ascii="Arial" w:hAnsi="Arial" w:cs="Arial"/>
            <w:color w:val="000000" w:themeColor="text1"/>
            <w:sz w:val="20"/>
            <w:szCs w:val="20"/>
            <w:u w:val="none"/>
          </w:rPr>
          <w:t>https://doi.org/10.1016/j.learninstruc.2025.102120</w:t>
        </w:r>
      </w:hyperlink>
    </w:p>
    <w:p w14:paraId="3CC3755C" w14:textId="77777777" w:rsidR="006A65A5" w:rsidRPr="006A65A5" w:rsidRDefault="006A65A5" w:rsidP="00533DA4">
      <w:pPr>
        <w:pStyle w:val="NormalWeb"/>
        <w:spacing w:before="0" w:beforeAutospacing="0" w:after="0" w:afterAutospacing="0"/>
        <w:ind w:left="450" w:hanging="450"/>
        <w:rPr>
          <w:rFonts w:ascii="Arial" w:hAnsi="Arial" w:cs="Arial"/>
          <w:color w:val="000000" w:themeColor="text1"/>
          <w:sz w:val="20"/>
          <w:szCs w:val="20"/>
        </w:rPr>
      </w:pPr>
      <w:r w:rsidRPr="006A65A5">
        <w:rPr>
          <w:rFonts w:ascii="Arial" w:hAnsi="Arial" w:cs="Arial"/>
          <w:color w:val="000000" w:themeColor="text1"/>
          <w:sz w:val="20"/>
          <w:szCs w:val="20"/>
        </w:rPr>
        <w:t xml:space="preserve">McKenna, B. A., Wehr, J. B., &amp; Kopittke, P. M. (2024). Quantifying online engagement at three levels of undergraduate study. </w:t>
      </w:r>
      <w:r w:rsidRPr="006A65A5">
        <w:rPr>
          <w:rStyle w:val="Emphasis"/>
          <w:rFonts w:ascii="Arial" w:hAnsi="Arial" w:cs="Arial"/>
          <w:color w:val="000000" w:themeColor="text1"/>
          <w:sz w:val="20"/>
          <w:szCs w:val="20"/>
        </w:rPr>
        <w:t>Cogent Education, 11</w:t>
      </w:r>
      <w:r w:rsidRPr="006A65A5">
        <w:rPr>
          <w:rFonts w:ascii="Arial" w:hAnsi="Arial" w:cs="Arial"/>
          <w:color w:val="000000" w:themeColor="text1"/>
          <w:sz w:val="20"/>
          <w:szCs w:val="20"/>
        </w:rPr>
        <w:t xml:space="preserve">(1), Article 2345939. </w:t>
      </w:r>
      <w:hyperlink r:id="rId45" w:tgtFrame="_new" w:history="1">
        <w:r w:rsidRPr="006A65A5">
          <w:rPr>
            <w:rStyle w:val="Hyperlink"/>
            <w:rFonts w:ascii="Arial" w:hAnsi="Arial" w:cs="Arial"/>
            <w:color w:val="000000" w:themeColor="text1"/>
            <w:sz w:val="20"/>
            <w:szCs w:val="20"/>
            <w:u w:val="none"/>
          </w:rPr>
          <w:t>https://doi.org/10.1080/2331186X.2024.2345939</w:t>
        </w:r>
      </w:hyperlink>
    </w:p>
    <w:p w14:paraId="01B45FBE" w14:textId="5432D28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Moodle. (2024). </w:t>
      </w:r>
      <w:r w:rsidRPr="00533DA4">
        <w:rPr>
          <w:rFonts w:ascii="Arial" w:hAnsi="Arial" w:cs="Arial"/>
          <w:i/>
          <w:iCs/>
          <w:color w:val="000000" w:themeColor="text1"/>
          <w:sz w:val="20"/>
          <w:szCs w:val="20"/>
        </w:rPr>
        <w:t>Analytics</w:t>
      </w:r>
      <w:r w:rsidRPr="00533DA4">
        <w:rPr>
          <w:rFonts w:ascii="Arial" w:hAnsi="Arial" w:cs="Arial"/>
          <w:color w:val="000000" w:themeColor="text1"/>
          <w:sz w:val="20"/>
          <w:szCs w:val="20"/>
        </w:rPr>
        <w:t>. MoodleDocs.</w:t>
      </w:r>
      <w:hyperlink r:id="rId46" w:history="1">
        <w:r w:rsidRPr="00533DA4">
          <w:rPr>
            <w:rStyle w:val="Hyperlink"/>
            <w:rFonts w:ascii="Arial" w:hAnsi="Arial" w:cs="Arial"/>
            <w:color w:val="000000" w:themeColor="text1"/>
            <w:sz w:val="20"/>
            <w:szCs w:val="20"/>
            <w:u w:val="none"/>
          </w:rPr>
          <w:t xml:space="preserve"> </w:t>
        </w:r>
      </w:hyperlink>
      <w:hyperlink r:id="rId47" w:history="1">
        <w:r w:rsidRPr="00533DA4">
          <w:rPr>
            <w:rStyle w:val="Hyperlink"/>
            <w:rFonts w:ascii="Arial" w:hAnsi="Arial" w:cs="Arial"/>
            <w:color w:val="000000" w:themeColor="text1"/>
            <w:sz w:val="20"/>
            <w:szCs w:val="20"/>
            <w:u w:val="none"/>
          </w:rPr>
          <w:t>https://docs.moodle.org/500/en/Learning_analytics</w:t>
        </w:r>
      </w:hyperlink>
    </w:p>
    <w:p w14:paraId="7FC9B7D0"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Nicmanis, M. (2024). Reflexive Content Analysis: An Approach to Qualitative Data Analysis, Reduction, and Description. </w:t>
      </w:r>
      <w:r w:rsidRPr="00533DA4">
        <w:rPr>
          <w:rFonts w:ascii="Arial" w:hAnsi="Arial" w:cs="Arial"/>
          <w:i/>
          <w:iCs/>
          <w:color w:val="000000" w:themeColor="text1"/>
          <w:sz w:val="20"/>
          <w:szCs w:val="20"/>
        </w:rPr>
        <w:t>International Journal of Qualitative Methods</w:t>
      </w:r>
      <w:r w:rsidRPr="00533DA4">
        <w:rPr>
          <w:rFonts w:ascii="Arial" w:hAnsi="Arial" w:cs="Arial"/>
          <w:color w:val="000000" w:themeColor="text1"/>
          <w:sz w:val="20"/>
          <w:szCs w:val="20"/>
        </w:rPr>
        <w:t xml:space="preserve">, </w:t>
      </w:r>
      <w:r w:rsidRPr="00533DA4">
        <w:rPr>
          <w:rFonts w:ascii="Arial" w:hAnsi="Arial" w:cs="Arial"/>
          <w:i/>
          <w:iCs/>
          <w:color w:val="000000" w:themeColor="text1"/>
          <w:sz w:val="20"/>
          <w:szCs w:val="20"/>
        </w:rPr>
        <w:t>23</w:t>
      </w:r>
      <w:r w:rsidRPr="00533DA4">
        <w:rPr>
          <w:rFonts w:ascii="Arial" w:hAnsi="Arial" w:cs="Arial"/>
          <w:color w:val="000000" w:themeColor="text1"/>
          <w:sz w:val="20"/>
          <w:szCs w:val="20"/>
        </w:rPr>
        <w:t>.</w:t>
      </w:r>
      <w:hyperlink r:id="rId48" w:history="1">
        <w:r w:rsidRPr="00533DA4">
          <w:rPr>
            <w:rStyle w:val="Hyperlink"/>
            <w:rFonts w:ascii="Arial" w:hAnsi="Arial" w:cs="Arial"/>
            <w:color w:val="000000" w:themeColor="text1"/>
            <w:sz w:val="20"/>
            <w:szCs w:val="20"/>
            <w:u w:val="none"/>
          </w:rPr>
          <w:t xml:space="preserve"> https://doi.org/10.1177/16094069241236603</w:t>
        </w:r>
      </w:hyperlink>
    </w:p>
    <w:p w14:paraId="78D61C2C" w14:textId="324B538D" w:rsidR="00D33725" w:rsidRPr="00D33725" w:rsidRDefault="00D33725" w:rsidP="00533DA4">
      <w:pPr>
        <w:pStyle w:val="NormalWeb"/>
        <w:spacing w:before="0" w:beforeAutospacing="0" w:after="0" w:afterAutospacing="0"/>
        <w:ind w:left="450" w:hanging="450"/>
        <w:rPr>
          <w:rFonts w:ascii="Arial" w:hAnsi="Arial" w:cs="Arial"/>
          <w:color w:val="000000" w:themeColor="text1"/>
          <w:sz w:val="20"/>
          <w:szCs w:val="20"/>
        </w:rPr>
      </w:pPr>
      <w:r w:rsidRPr="00D33725">
        <w:rPr>
          <w:rFonts w:ascii="Arial" w:hAnsi="Arial" w:cs="Arial"/>
          <w:color w:val="000000" w:themeColor="text1"/>
          <w:sz w:val="20"/>
          <w:szCs w:val="20"/>
        </w:rPr>
        <w:t xml:space="preserve">Papageorgiou, E., Wong, J., Khalil, M., &amp; Cabo, A. J. (2025). Nonlinear effort-time dynamics of student engagement in a web-based learning platform: A person-oriented transition analysis. </w:t>
      </w:r>
      <w:r w:rsidRPr="00D33725">
        <w:rPr>
          <w:rStyle w:val="Emphasis"/>
          <w:rFonts w:ascii="Arial" w:hAnsi="Arial" w:cs="Arial"/>
          <w:color w:val="000000" w:themeColor="text1"/>
          <w:sz w:val="20"/>
          <w:szCs w:val="20"/>
        </w:rPr>
        <w:t>Journal of Learning Analytics, 12</w:t>
      </w:r>
      <w:r w:rsidRPr="00D33725">
        <w:rPr>
          <w:rFonts w:ascii="Arial" w:hAnsi="Arial" w:cs="Arial"/>
          <w:color w:val="000000" w:themeColor="text1"/>
          <w:sz w:val="20"/>
          <w:szCs w:val="20"/>
        </w:rPr>
        <w:t xml:space="preserve">(2), 237–258. </w:t>
      </w:r>
      <w:hyperlink r:id="rId49" w:history="1">
        <w:r w:rsidRPr="00D33725">
          <w:rPr>
            <w:rStyle w:val="Hyperlink"/>
            <w:rFonts w:ascii="Arial" w:hAnsi="Arial" w:cs="Arial"/>
            <w:color w:val="000000" w:themeColor="text1"/>
            <w:sz w:val="20"/>
            <w:szCs w:val="20"/>
            <w:u w:val="none"/>
          </w:rPr>
          <w:t>https://doi.org/10.18608/jla.2025.8663</w:t>
        </w:r>
      </w:hyperlink>
    </w:p>
    <w:p w14:paraId="52C8D93D" w14:textId="41E7E8AD"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Paulsen, L., &amp; Lindsay, E. (2024). Learning analytics dashboards are increasingly becoming about learning and not just analytics—A systematic review. </w:t>
      </w:r>
      <w:r w:rsidRPr="00533DA4">
        <w:rPr>
          <w:rFonts w:ascii="Arial" w:hAnsi="Arial" w:cs="Arial"/>
          <w:i/>
          <w:iCs/>
          <w:color w:val="000000" w:themeColor="text1"/>
          <w:sz w:val="20"/>
          <w:szCs w:val="20"/>
        </w:rPr>
        <w:t>Education and Information Technologies, 29</w:t>
      </w:r>
      <w:r w:rsidRPr="00533DA4">
        <w:rPr>
          <w:rFonts w:ascii="Arial" w:hAnsi="Arial" w:cs="Arial"/>
          <w:color w:val="000000" w:themeColor="text1"/>
          <w:sz w:val="20"/>
          <w:szCs w:val="20"/>
        </w:rPr>
        <w:t>, 14279–14308.</w:t>
      </w:r>
      <w:hyperlink r:id="rId50" w:history="1">
        <w:r w:rsidRPr="00533DA4">
          <w:rPr>
            <w:rStyle w:val="Hyperlink"/>
            <w:rFonts w:ascii="Arial" w:hAnsi="Arial" w:cs="Arial"/>
            <w:color w:val="000000" w:themeColor="text1"/>
            <w:sz w:val="20"/>
            <w:szCs w:val="20"/>
            <w:u w:val="none"/>
          </w:rPr>
          <w:t xml:space="preserve"> </w:t>
        </w:r>
      </w:hyperlink>
      <w:hyperlink r:id="rId51" w:history="1">
        <w:r w:rsidRPr="00533DA4">
          <w:rPr>
            <w:rStyle w:val="Hyperlink"/>
            <w:rFonts w:ascii="Arial" w:hAnsi="Arial" w:cs="Arial"/>
            <w:color w:val="000000" w:themeColor="text1"/>
            <w:sz w:val="20"/>
            <w:szCs w:val="20"/>
            <w:u w:val="none"/>
          </w:rPr>
          <w:t>https://doi.org/10.1007/s10639-023-12401-4</w:t>
        </w:r>
      </w:hyperlink>
    </w:p>
    <w:p w14:paraId="7E42E7FA"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Reeve, J., Basarkod, G., Jang, H.-R., Gargurevich, R., Jang, H., &amp; Cheon, S. H. (2025). Specialized purpose of each type of student engagement: A meta-analysis. </w:t>
      </w:r>
      <w:r w:rsidRPr="00533DA4">
        <w:rPr>
          <w:rFonts w:ascii="Arial" w:hAnsi="Arial" w:cs="Arial"/>
          <w:i/>
          <w:iCs/>
          <w:color w:val="000000" w:themeColor="text1"/>
          <w:sz w:val="20"/>
          <w:szCs w:val="20"/>
        </w:rPr>
        <w:t>Educational Psychology Review, 37</w:t>
      </w:r>
      <w:r w:rsidRPr="00533DA4">
        <w:rPr>
          <w:rFonts w:ascii="Arial" w:hAnsi="Arial" w:cs="Arial"/>
          <w:color w:val="000000" w:themeColor="text1"/>
          <w:sz w:val="20"/>
          <w:szCs w:val="20"/>
        </w:rPr>
        <w:t>, Article 13.</w:t>
      </w:r>
      <w:hyperlink r:id="rId52" w:history="1">
        <w:r w:rsidRPr="00533DA4">
          <w:rPr>
            <w:rStyle w:val="Hyperlink"/>
            <w:rFonts w:ascii="Arial" w:hAnsi="Arial" w:cs="Arial"/>
            <w:color w:val="000000" w:themeColor="text1"/>
            <w:sz w:val="20"/>
            <w:szCs w:val="20"/>
            <w:u w:val="none"/>
          </w:rPr>
          <w:t xml:space="preserve"> </w:t>
        </w:r>
      </w:hyperlink>
      <w:hyperlink r:id="rId53" w:history="1">
        <w:r w:rsidRPr="00533DA4">
          <w:rPr>
            <w:rStyle w:val="Hyperlink"/>
            <w:rFonts w:ascii="Arial" w:hAnsi="Arial" w:cs="Arial"/>
            <w:color w:val="000000" w:themeColor="text1"/>
            <w:sz w:val="20"/>
            <w:szCs w:val="20"/>
            <w:u w:val="none"/>
          </w:rPr>
          <w:t>https://doi.org/10.1007/s10648-025-09989-z</w:t>
        </w:r>
      </w:hyperlink>
    </w:p>
    <w:p w14:paraId="67CA5475"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Uzun, Y., Suraworachet, W., Zhou, Q., Gauthier, A., &amp; Cukurova, M. (2025). Engagement with analytics feedback and its relationship to self-regulated learning competence and course performance. </w:t>
      </w:r>
      <w:r w:rsidRPr="00533DA4">
        <w:rPr>
          <w:rFonts w:ascii="Arial" w:hAnsi="Arial" w:cs="Arial"/>
          <w:i/>
          <w:iCs/>
          <w:color w:val="000000" w:themeColor="text1"/>
          <w:sz w:val="20"/>
          <w:szCs w:val="20"/>
        </w:rPr>
        <w:t>International Journal of Educational Technology in Higher Education, 22</w:t>
      </w:r>
      <w:r w:rsidRPr="00533DA4">
        <w:rPr>
          <w:rFonts w:ascii="Arial" w:hAnsi="Arial" w:cs="Arial"/>
          <w:color w:val="000000" w:themeColor="text1"/>
          <w:sz w:val="20"/>
          <w:szCs w:val="20"/>
        </w:rPr>
        <w:t>, Article 17.</w:t>
      </w:r>
      <w:hyperlink r:id="rId54" w:history="1">
        <w:r w:rsidRPr="00533DA4">
          <w:rPr>
            <w:rStyle w:val="Hyperlink"/>
            <w:rFonts w:ascii="Arial" w:hAnsi="Arial" w:cs="Arial"/>
            <w:color w:val="000000" w:themeColor="text1"/>
            <w:sz w:val="20"/>
            <w:szCs w:val="20"/>
            <w:u w:val="none"/>
          </w:rPr>
          <w:t xml:space="preserve"> https://doi.org/10.1186/s41239-025-00515-3</w:t>
        </w:r>
      </w:hyperlink>
    </w:p>
    <w:p w14:paraId="58170942"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Wang, S., Sun, Z., Wang, H., Yang, D., &amp; Zhang, C. (2025). Enhancing student acceptance of artificial intelligence-driven hybrid learning in business education: Interaction between self-efficacy, playfulness, emotional engagement, and university support. </w:t>
      </w:r>
      <w:r w:rsidRPr="00533DA4">
        <w:rPr>
          <w:rFonts w:ascii="Arial" w:hAnsi="Arial" w:cs="Arial"/>
          <w:i/>
          <w:iCs/>
          <w:color w:val="000000" w:themeColor="text1"/>
          <w:sz w:val="20"/>
          <w:szCs w:val="20"/>
        </w:rPr>
        <w:t>The International Journal of Management Education, 23</w:t>
      </w:r>
      <w:r w:rsidRPr="00533DA4">
        <w:rPr>
          <w:rFonts w:ascii="Arial" w:hAnsi="Arial" w:cs="Arial"/>
          <w:color w:val="000000" w:themeColor="text1"/>
          <w:sz w:val="20"/>
          <w:szCs w:val="20"/>
        </w:rPr>
        <w:t>(2), 101184.</w:t>
      </w:r>
      <w:hyperlink r:id="rId55" w:history="1">
        <w:r w:rsidRPr="00533DA4">
          <w:rPr>
            <w:rStyle w:val="Hyperlink"/>
            <w:rFonts w:ascii="Arial" w:hAnsi="Arial" w:cs="Arial"/>
            <w:color w:val="000000" w:themeColor="text1"/>
            <w:sz w:val="20"/>
            <w:szCs w:val="20"/>
            <w:u w:val="none"/>
          </w:rPr>
          <w:t xml:space="preserve"> https://doi.org/10.1016/j.ijme.2025.101184</w:t>
        </w:r>
      </w:hyperlink>
    </w:p>
    <w:p w14:paraId="06CB1361"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Wang, Y. (2025). Multimodal data-supported learning engagement analysis. </w:t>
      </w:r>
      <w:r w:rsidRPr="00533DA4">
        <w:rPr>
          <w:rFonts w:ascii="Arial" w:hAnsi="Arial" w:cs="Arial"/>
          <w:i/>
          <w:iCs/>
          <w:color w:val="000000" w:themeColor="text1"/>
          <w:sz w:val="20"/>
          <w:szCs w:val="20"/>
        </w:rPr>
        <w:t>Technology, Pedagogy and Education</w:t>
      </w:r>
      <w:r w:rsidRPr="00533DA4">
        <w:rPr>
          <w:rFonts w:ascii="Arial" w:hAnsi="Arial" w:cs="Arial"/>
          <w:color w:val="000000" w:themeColor="text1"/>
          <w:sz w:val="20"/>
          <w:szCs w:val="20"/>
        </w:rPr>
        <w:t xml:space="preserve">, </w:t>
      </w:r>
      <w:r w:rsidRPr="00533DA4">
        <w:rPr>
          <w:rFonts w:ascii="Arial" w:hAnsi="Arial" w:cs="Arial"/>
          <w:i/>
          <w:iCs/>
          <w:color w:val="000000" w:themeColor="text1"/>
          <w:sz w:val="20"/>
          <w:szCs w:val="20"/>
        </w:rPr>
        <w:t>34</w:t>
      </w:r>
      <w:r w:rsidRPr="00533DA4">
        <w:rPr>
          <w:rFonts w:ascii="Arial" w:hAnsi="Arial" w:cs="Arial"/>
          <w:color w:val="000000" w:themeColor="text1"/>
          <w:sz w:val="20"/>
          <w:szCs w:val="20"/>
        </w:rPr>
        <w:t xml:space="preserve">(4), 483–496. </w:t>
      </w:r>
      <w:hyperlink r:id="rId56" w:history="1">
        <w:r w:rsidRPr="00533DA4">
          <w:rPr>
            <w:rStyle w:val="Hyperlink"/>
            <w:rFonts w:ascii="Arial" w:hAnsi="Arial" w:cs="Arial"/>
            <w:color w:val="000000" w:themeColor="text1"/>
            <w:sz w:val="20"/>
            <w:szCs w:val="20"/>
            <w:u w:val="none"/>
          </w:rPr>
          <w:t>https://doi.org/10.1080/1475939X.2025.2465437</w:t>
        </w:r>
      </w:hyperlink>
    </w:p>
    <w:p w14:paraId="37B32104"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Winter, M., Mordel, J., Mendzheritskaya, J., Biedermann, D., Ciordas-Hertel, G.-P., Hahnel, C., Bengs, D., Wolter, I., Goldhammer, F., Drachsler, H., Artelt, C., &amp; Horz, H. (2024). Behavioral trace data in an online learning environment as indicators of learning engagement in university students. </w:t>
      </w:r>
      <w:r w:rsidRPr="00533DA4">
        <w:rPr>
          <w:rFonts w:ascii="Arial" w:hAnsi="Arial" w:cs="Arial"/>
          <w:i/>
          <w:iCs/>
          <w:color w:val="000000" w:themeColor="text1"/>
          <w:sz w:val="20"/>
          <w:szCs w:val="20"/>
        </w:rPr>
        <w:t>Frontiers in Psychology, 15</w:t>
      </w:r>
      <w:r w:rsidRPr="00533DA4">
        <w:rPr>
          <w:rFonts w:ascii="Arial" w:hAnsi="Arial" w:cs="Arial"/>
          <w:color w:val="000000" w:themeColor="text1"/>
          <w:sz w:val="20"/>
          <w:szCs w:val="20"/>
        </w:rPr>
        <w:t xml:space="preserve">, Article 1396881. </w:t>
      </w:r>
      <w:hyperlink r:id="rId57" w:history="1">
        <w:r w:rsidRPr="00533DA4">
          <w:rPr>
            <w:rStyle w:val="Hyperlink"/>
            <w:rFonts w:ascii="Arial" w:hAnsi="Arial" w:cs="Arial"/>
            <w:color w:val="000000" w:themeColor="text1"/>
            <w:sz w:val="20"/>
            <w:szCs w:val="20"/>
            <w:u w:val="none"/>
          </w:rPr>
          <w:t>https://doi.org/10.3389/fpsyg.2024.1396881</w:t>
        </w:r>
      </w:hyperlink>
    </w:p>
    <w:p w14:paraId="6E0679CE"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Yin, X., Ye, J., Yu, S., Li, H., Liu, Q., &amp; Zhao, G. (2025). The association between groups' interactions with the Visual-GenAI learning analytics feedback and student engagement in CSCL. </w:t>
      </w:r>
      <w:r w:rsidRPr="00533DA4">
        <w:rPr>
          <w:rFonts w:ascii="Arial" w:hAnsi="Arial" w:cs="Arial"/>
          <w:i/>
          <w:iCs/>
          <w:color w:val="000000" w:themeColor="text1"/>
          <w:sz w:val="20"/>
          <w:szCs w:val="20"/>
        </w:rPr>
        <w:t>Computers &amp; Education, 239</w:t>
      </w:r>
      <w:r w:rsidRPr="00533DA4">
        <w:rPr>
          <w:rFonts w:ascii="Arial" w:hAnsi="Arial" w:cs="Arial"/>
          <w:color w:val="000000" w:themeColor="text1"/>
          <w:sz w:val="20"/>
          <w:szCs w:val="20"/>
        </w:rPr>
        <w:t xml:space="preserve">, 105434. </w:t>
      </w:r>
      <w:hyperlink r:id="rId58" w:history="1">
        <w:r w:rsidRPr="00533DA4">
          <w:rPr>
            <w:rStyle w:val="Hyperlink"/>
            <w:rFonts w:ascii="Arial" w:hAnsi="Arial" w:cs="Arial"/>
            <w:color w:val="000000" w:themeColor="text1"/>
            <w:sz w:val="20"/>
            <w:szCs w:val="20"/>
            <w:u w:val="none"/>
          </w:rPr>
          <w:t>https://doi.org/10.1016/j.compedu.2025.105434</w:t>
        </w:r>
      </w:hyperlink>
    </w:p>
    <w:p w14:paraId="097BCE7F"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Zhang, W., Guan, Y., Hu, Z., Wang, C., Lu, D., &amp; Lu, H. (2025). Interplay of student characteristics, multidimensional engagement and influencing factors in online computer science education. </w:t>
      </w:r>
      <w:r w:rsidRPr="00533DA4">
        <w:rPr>
          <w:rFonts w:ascii="Arial" w:hAnsi="Arial" w:cs="Arial"/>
          <w:i/>
          <w:iCs/>
          <w:color w:val="000000" w:themeColor="text1"/>
          <w:sz w:val="20"/>
          <w:szCs w:val="20"/>
        </w:rPr>
        <w:t>Scientific Reports, 15</w:t>
      </w:r>
      <w:r w:rsidRPr="00533DA4">
        <w:rPr>
          <w:rFonts w:ascii="Arial" w:hAnsi="Arial" w:cs="Arial"/>
          <w:color w:val="000000" w:themeColor="text1"/>
          <w:sz w:val="20"/>
          <w:szCs w:val="20"/>
        </w:rPr>
        <w:t>, Article 6976. https://doi.org/10.1038/s41598-025-90142-9</w:t>
      </w:r>
    </w:p>
    <w:sectPr w:rsidR="00533DA4" w:rsidRPr="00533DA4" w:rsidSect="008A4597">
      <w:type w:val="continuous"/>
      <w:pgSz w:w="12240" w:h="15840"/>
      <w:pgMar w:top="72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B037B2" w14:textId="77777777" w:rsidR="00CD32C3" w:rsidRDefault="00CD32C3" w:rsidP="00C37E61">
      <w:r>
        <w:separator/>
      </w:r>
    </w:p>
  </w:endnote>
  <w:endnote w:type="continuationSeparator" w:id="0">
    <w:p w14:paraId="67F5217B" w14:textId="77777777" w:rsidR="00CD32C3" w:rsidRDefault="00CD32C3"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CC16E8" w14:textId="77777777" w:rsidR="006D4675" w:rsidRDefault="006D46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A6E93" w14:textId="77777777" w:rsidR="006D4675" w:rsidRDefault="006D46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961195" w14:textId="6EB8B1D8" w:rsidR="00754C9A" w:rsidRPr="006D4675" w:rsidRDefault="00754C9A" w:rsidP="006D46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412B2E"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48A4BF" w14:textId="77777777" w:rsidR="00CD32C3" w:rsidRDefault="00CD32C3" w:rsidP="00C37E61">
      <w:r>
        <w:separator/>
      </w:r>
    </w:p>
  </w:footnote>
  <w:footnote w:type="continuationSeparator" w:id="0">
    <w:p w14:paraId="77A24B9C" w14:textId="77777777" w:rsidR="00CD32C3" w:rsidRDefault="00CD32C3"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C0D12E" w14:textId="1804E38C" w:rsidR="006D4675" w:rsidRDefault="00CD32C3">
    <w:pPr>
      <w:pStyle w:val="Header"/>
    </w:pPr>
    <w:r>
      <w:rPr>
        <w:noProof/>
      </w:rPr>
      <w:pict w14:anchorId="36D53F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7" o:spid="_x0000_s1033" type="#_x0000_t136" alt="" style="position:absolute;margin-left:0;margin-top:0;width:520.65pt;height:57.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F2FB57" w14:textId="25C24439" w:rsidR="006D4675" w:rsidRDefault="00CD32C3">
    <w:pPr>
      <w:pStyle w:val="Header"/>
    </w:pPr>
    <w:r>
      <w:rPr>
        <w:noProof/>
      </w:rPr>
      <w:pict w14:anchorId="7AC59C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8" o:spid="_x0000_s1032" type="#_x0000_t136" alt="" style="position:absolute;margin-left:0;margin-top:0;width:520.65pt;height:57.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9D0D1" w14:textId="49589070" w:rsidR="00296529" w:rsidRPr="00296529" w:rsidRDefault="00CD32C3" w:rsidP="00296529">
    <w:pPr>
      <w:ind w:left="2160"/>
      <w:jc w:val="center"/>
      <w:rPr>
        <w:rFonts w:eastAsia="Calibri"/>
        <w:i/>
        <w:sz w:val="18"/>
        <w:szCs w:val="22"/>
      </w:rPr>
    </w:pPr>
    <w:r>
      <w:rPr>
        <w:noProof/>
      </w:rPr>
      <w:pict w14:anchorId="0D4392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6" o:spid="_x0000_s1031" type="#_x0000_t136" alt="" style="position:absolute;left:0;text-align:left;margin-left:0;margin-top:0;width:520.65pt;height:57.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7F4CF0E3" w14:textId="77777777" w:rsidR="00296529" w:rsidRPr="00296529" w:rsidRDefault="00754C9A" w:rsidP="00296529">
    <w:pPr>
      <w:ind w:left="4320"/>
      <w:rPr>
        <w:rFonts w:eastAsia="Calibri"/>
        <w:i/>
        <w:sz w:val="18"/>
        <w:szCs w:val="22"/>
      </w:rPr>
    </w:pPr>
    <w:r>
      <w:rPr>
        <w:rFonts w:eastAsia="Calibri"/>
        <w:i/>
        <w:sz w:val="18"/>
        <w:szCs w:val="22"/>
      </w:rPr>
      <w:t>.</w:t>
    </w:r>
    <w:r w:rsidR="00296529" w:rsidRPr="00296529">
      <w:rPr>
        <w:rFonts w:eastAsia="Calibri"/>
        <w:i/>
        <w:sz w:val="18"/>
        <w:szCs w:val="22"/>
      </w:rPr>
      <w:t xml:space="preserve">     </w:t>
    </w:r>
  </w:p>
  <w:p w14:paraId="45C2242F" w14:textId="77777777" w:rsidR="00296529" w:rsidRPr="00296529" w:rsidRDefault="00754C9A" w:rsidP="00296529">
    <w:pPr>
      <w:jc w:val="center"/>
      <w:rPr>
        <w:rFonts w:eastAsia="Calibri"/>
        <w:i/>
        <w:sz w:val="18"/>
        <w:szCs w:val="22"/>
      </w:rPr>
    </w:pPr>
    <w:r>
      <w:rPr>
        <w:rFonts w:eastAsia="Calibri"/>
        <w:i/>
        <w:sz w:val="18"/>
        <w:szCs w:val="22"/>
      </w:rPr>
      <w:t>.</w:t>
    </w:r>
  </w:p>
  <w:p w14:paraId="43F2F252" w14:textId="77777777" w:rsidR="00296529" w:rsidRPr="00296529" w:rsidRDefault="00296529" w:rsidP="00296529">
    <w:pPr>
      <w:spacing w:after="200"/>
      <w:jc w:val="center"/>
      <w:rPr>
        <w:rFonts w:eastAsia="Calibri"/>
        <w:b/>
        <w:i/>
        <w:sz w:val="32"/>
        <w:szCs w:val="22"/>
      </w:rPr>
    </w:pPr>
    <w:r w:rsidRPr="00296529">
      <w:rPr>
        <w:rFonts w:eastAsia="Calibri"/>
        <w:b/>
        <w:i/>
        <w:sz w:val="32"/>
        <w:szCs w:val="22"/>
      </w:rPr>
      <w:t xml:space="preserve">              </w:t>
    </w:r>
    <w:r w:rsidR="00754C9A">
      <w:rPr>
        <w:rFonts w:eastAsia="Calibri"/>
        <w:b/>
        <w:i/>
        <w:sz w:val="32"/>
        <w:szCs w:val="22"/>
      </w:rPr>
      <w:t>.</w:t>
    </w:r>
    <w:r w:rsidRPr="00296529">
      <w:rPr>
        <w:rFonts w:eastAsia="Calibri"/>
        <w:b/>
        <w:i/>
        <w:sz w:val="32"/>
        <w:szCs w:val="22"/>
      </w:rPr>
      <w:t xml:space="preserve"> </w:t>
    </w:r>
  </w:p>
  <w:p w14:paraId="5A47060F" w14:textId="77777777" w:rsidR="00296529" w:rsidRDefault="00296529" w:rsidP="00296529">
    <w:pPr>
      <w:jc w:val="center"/>
      <w:rPr>
        <w:rFonts w:eastAsia="Calibri"/>
        <w:i/>
        <w:sz w:val="18"/>
        <w:szCs w:val="22"/>
      </w:rPr>
    </w:pPr>
    <w:r w:rsidRPr="00296529">
      <w:rPr>
        <w:rFonts w:eastAsia="Calibri"/>
        <w:i/>
        <w:sz w:val="18"/>
        <w:szCs w:val="22"/>
      </w:rPr>
      <w:t xml:space="preserve">                     </w:t>
    </w:r>
  </w:p>
  <w:p w14:paraId="71C05838" w14:textId="77777777" w:rsidR="00296529" w:rsidRDefault="00296529" w:rsidP="00296529">
    <w:pPr>
      <w:tabs>
        <w:tab w:val="left" w:pos="2145"/>
      </w:tabs>
      <w:rPr>
        <w:rFonts w:eastAsia="Calibri"/>
        <w:i/>
        <w:sz w:val="18"/>
        <w:szCs w:val="22"/>
      </w:rPr>
    </w:pPr>
    <w:r>
      <w:rPr>
        <w:rFonts w:eastAsia="Calibri"/>
        <w:i/>
        <w:sz w:val="18"/>
        <w:szCs w:val="22"/>
      </w:rPr>
      <w:tab/>
    </w:r>
    <w:r w:rsidR="00754C9A">
      <w:rPr>
        <w:rFonts w:eastAsia="Calibri"/>
        <w:i/>
        <w:sz w:val="18"/>
        <w:szCs w:val="22"/>
      </w:rPr>
      <w:t>.</w:t>
    </w:r>
  </w:p>
  <w:p w14:paraId="7B055653"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14E7C4" w14:textId="12F16ABA" w:rsidR="006D4675" w:rsidRDefault="00CD32C3">
    <w:pPr>
      <w:pStyle w:val="Header"/>
    </w:pPr>
    <w:r>
      <w:rPr>
        <w:noProof/>
      </w:rPr>
      <w:pict w14:anchorId="1CA44F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10" o:spid="_x0000_s1030" type="#_x0000_t136" alt="" style="position:absolute;margin-left:0;margin-top:0;width:520.65pt;height:57.85pt;rotation:315;z-index:-2516449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1A8F632B">
        <v:shape id="_x0000_s1029" type="#_x0000_t136" alt="" style="position:absolute;margin-left:0;margin-top:0;width:520.65pt;height:57.85pt;rotation:315;z-index:-2516469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7C0C72" w14:textId="4843DE6C" w:rsidR="006D4675" w:rsidRDefault="00CD32C3">
    <w:pPr>
      <w:pStyle w:val="Header"/>
    </w:pPr>
    <w:r>
      <w:rPr>
        <w:noProof/>
      </w:rPr>
      <w:pict w14:anchorId="7FEC53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11" o:spid="_x0000_s1028" type="#_x0000_t136" alt="" style="position:absolute;margin-left:0;margin-top:0;width:520.65pt;height:57.85pt;rotation:315;z-index:-2516408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4BD56B2A">
        <v:shape id="_x0000_s1027" type="#_x0000_t136" alt="" style="position:absolute;margin-left:0;margin-top:0;width:520.65pt;height:57.85pt;rotation:315;z-index:-2516428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88CE0B" w14:textId="450BC842" w:rsidR="006D4675" w:rsidRPr="00296529" w:rsidRDefault="00CD32C3" w:rsidP="00296529">
    <w:pPr>
      <w:ind w:left="2160"/>
      <w:jc w:val="center"/>
      <w:rPr>
        <w:rFonts w:eastAsia="Calibri"/>
        <w:i/>
        <w:sz w:val="18"/>
        <w:szCs w:val="22"/>
      </w:rPr>
    </w:pPr>
    <w:r>
      <w:rPr>
        <w:noProof/>
      </w:rPr>
      <w:pict w14:anchorId="11F5E5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9" o:spid="_x0000_s1026" type="#_x0000_t136" alt="" style="position:absolute;left:0;text-align:left;margin-left:0;margin-top:0;width:520.65pt;height:57.85pt;rotation:315;z-index:-2516490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183A5C91">
        <v:shape id="_x0000_s1025" type="#_x0000_t136" alt="" style="position:absolute;left:0;text-align:left;margin-left:0;margin-top:0;width:520.65pt;height:57.85pt;rotation:315;z-index:-2516510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4A556EDC" w14:textId="77777777" w:rsidR="006D4675" w:rsidRPr="00296529" w:rsidRDefault="006D4675" w:rsidP="00296529">
    <w:pPr>
      <w:ind w:left="4320"/>
      <w:rPr>
        <w:rFonts w:eastAsia="Calibri"/>
        <w:i/>
        <w:sz w:val="18"/>
        <w:szCs w:val="22"/>
      </w:rPr>
    </w:pPr>
    <w:r>
      <w:rPr>
        <w:rFonts w:eastAsia="Calibri"/>
        <w:i/>
        <w:sz w:val="18"/>
        <w:szCs w:val="22"/>
      </w:rPr>
      <w:t>.</w:t>
    </w:r>
    <w:r w:rsidRPr="00296529">
      <w:rPr>
        <w:rFonts w:eastAsia="Calibri"/>
        <w:i/>
        <w:sz w:val="18"/>
        <w:szCs w:val="22"/>
      </w:rPr>
      <w:t xml:space="preserve">     </w:t>
    </w:r>
  </w:p>
  <w:p w14:paraId="4A8AD94B" w14:textId="77777777" w:rsidR="006D4675" w:rsidRPr="00296529" w:rsidRDefault="006D4675" w:rsidP="00296529">
    <w:pPr>
      <w:jc w:val="center"/>
      <w:rPr>
        <w:rFonts w:eastAsia="Calibri"/>
        <w:i/>
        <w:sz w:val="18"/>
        <w:szCs w:val="22"/>
      </w:rPr>
    </w:pPr>
    <w:r>
      <w:rPr>
        <w:rFonts w:eastAsia="Calibri"/>
        <w:i/>
        <w:sz w:val="18"/>
        <w:szCs w:val="22"/>
      </w:rPr>
      <w:t>.</w:t>
    </w:r>
  </w:p>
  <w:p w14:paraId="4BBEF740" w14:textId="77777777" w:rsidR="006D4675" w:rsidRPr="00296529" w:rsidRDefault="006D4675" w:rsidP="00296529">
    <w:pPr>
      <w:spacing w:after="200"/>
      <w:jc w:val="center"/>
      <w:rPr>
        <w:rFonts w:eastAsia="Calibri"/>
        <w:b/>
        <w:i/>
        <w:sz w:val="32"/>
        <w:szCs w:val="22"/>
      </w:rPr>
    </w:pPr>
    <w:r w:rsidRPr="00296529">
      <w:rPr>
        <w:rFonts w:eastAsia="Calibri"/>
        <w:b/>
        <w:i/>
        <w:sz w:val="32"/>
        <w:szCs w:val="22"/>
      </w:rPr>
      <w:t xml:space="preserve">              </w:t>
    </w:r>
    <w:r>
      <w:rPr>
        <w:rFonts w:eastAsia="Calibri"/>
        <w:b/>
        <w:i/>
        <w:sz w:val="32"/>
        <w:szCs w:val="22"/>
      </w:rPr>
      <w:t>.</w:t>
    </w:r>
    <w:r w:rsidRPr="00296529">
      <w:rPr>
        <w:rFonts w:eastAsia="Calibri"/>
        <w:b/>
        <w:i/>
        <w:sz w:val="32"/>
        <w:szCs w:val="22"/>
      </w:rPr>
      <w:t xml:space="preserve"> </w:t>
    </w:r>
  </w:p>
  <w:p w14:paraId="78202664" w14:textId="77777777" w:rsidR="006D4675" w:rsidRDefault="006D4675" w:rsidP="00296529">
    <w:pPr>
      <w:jc w:val="center"/>
      <w:rPr>
        <w:rFonts w:eastAsia="Calibri"/>
        <w:i/>
        <w:sz w:val="18"/>
        <w:szCs w:val="22"/>
      </w:rPr>
    </w:pPr>
    <w:r w:rsidRPr="00296529">
      <w:rPr>
        <w:rFonts w:eastAsia="Calibri"/>
        <w:i/>
        <w:sz w:val="18"/>
        <w:szCs w:val="22"/>
      </w:rPr>
      <w:t xml:space="preserve">                     </w:t>
    </w:r>
  </w:p>
  <w:p w14:paraId="046DC9DC" w14:textId="77777777" w:rsidR="006D4675" w:rsidRDefault="006D4675" w:rsidP="00296529">
    <w:pPr>
      <w:tabs>
        <w:tab w:val="left" w:pos="2145"/>
      </w:tabs>
      <w:rPr>
        <w:rFonts w:eastAsia="Calibri"/>
        <w:i/>
        <w:sz w:val="18"/>
        <w:szCs w:val="22"/>
      </w:rPr>
    </w:pPr>
    <w:r>
      <w:rPr>
        <w:rFonts w:eastAsia="Calibri"/>
        <w:i/>
        <w:sz w:val="18"/>
        <w:szCs w:val="22"/>
      </w:rPr>
      <w:tab/>
      <w:t>.</w:t>
    </w:r>
  </w:p>
  <w:p w14:paraId="02E5B665" w14:textId="77777777" w:rsidR="006D4675" w:rsidRDefault="006D4675">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7E207B"/>
    <w:multiLevelType w:val="multilevel"/>
    <w:tmpl w:val="AB542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C6106"/>
    <w:multiLevelType w:val="multilevel"/>
    <w:tmpl w:val="C1F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5FF7BCF"/>
    <w:multiLevelType w:val="multilevel"/>
    <w:tmpl w:val="2B5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38384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88452369">
    <w:abstractNumId w:val="17"/>
  </w:num>
  <w:num w:numId="3" w16cid:durableId="25179208">
    <w:abstractNumId w:val="25"/>
  </w:num>
  <w:num w:numId="4" w16cid:durableId="165217807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1482475">
    <w:abstractNumId w:val="7"/>
  </w:num>
  <w:num w:numId="6" w16cid:durableId="541678199">
    <w:abstractNumId w:val="6"/>
  </w:num>
  <w:num w:numId="7" w16cid:durableId="1753699232">
    <w:abstractNumId w:val="1"/>
  </w:num>
  <w:num w:numId="8" w16cid:durableId="592710641">
    <w:abstractNumId w:val="14"/>
  </w:num>
  <w:num w:numId="9" w16cid:durableId="976835453">
    <w:abstractNumId w:val="28"/>
  </w:num>
  <w:num w:numId="10" w16cid:durableId="249659283">
    <w:abstractNumId w:val="2"/>
  </w:num>
  <w:num w:numId="11" w16cid:durableId="1732656361">
    <w:abstractNumId w:val="20"/>
  </w:num>
  <w:num w:numId="12" w16cid:durableId="1657537769">
    <w:abstractNumId w:val="3"/>
  </w:num>
  <w:num w:numId="13" w16cid:durableId="1538161017">
    <w:abstractNumId w:val="19"/>
  </w:num>
  <w:num w:numId="14" w16cid:durableId="1156144008">
    <w:abstractNumId w:val="8"/>
  </w:num>
  <w:num w:numId="15" w16cid:durableId="283007475">
    <w:abstractNumId w:val="23"/>
  </w:num>
  <w:num w:numId="16" w16cid:durableId="1659307781">
    <w:abstractNumId w:val="5"/>
  </w:num>
  <w:num w:numId="17" w16cid:durableId="1898470046">
    <w:abstractNumId w:val="24"/>
  </w:num>
  <w:num w:numId="18" w16cid:durableId="73864778">
    <w:abstractNumId w:val="16"/>
  </w:num>
  <w:num w:numId="19" w16cid:durableId="713584812">
    <w:abstractNumId w:val="31"/>
  </w:num>
  <w:num w:numId="20" w16cid:durableId="453714349">
    <w:abstractNumId w:val="13"/>
  </w:num>
  <w:num w:numId="21" w16cid:durableId="1178041074">
    <w:abstractNumId w:val="10"/>
  </w:num>
  <w:num w:numId="22" w16cid:durableId="359479019">
    <w:abstractNumId w:val="15"/>
  </w:num>
  <w:num w:numId="23" w16cid:durableId="644360971">
    <w:abstractNumId w:val="21"/>
  </w:num>
  <w:num w:numId="24" w16cid:durableId="874537813">
    <w:abstractNumId w:val="29"/>
  </w:num>
  <w:num w:numId="25" w16cid:durableId="1393698916">
    <w:abstractNumId w:val="4"/>
  </w:num>
  <w:num w:numId="26" w16cid:durableId="629020859">
    <w:abstractNumId w:val="18"/>
  </w:num>
  <w:num w:numId="27" w16cid:durableId="1995836081">
    <w:abstractNumId w:val="22"/>
  </w:num>
  <w:num w:numId="28" w16cid:durableId="493186585">
    <w:abstractNumId w:val="30"/>
  </w:num>
  <w:num w:numId="29" w16cid:durableId="1522937024">
    <w:abstractNumId w:val="27"/>
  </w:num>
  <w:num w:numId="30" w16cid:durableId="319311731">
    <w:abstractNumId w:val="11"/>
  </w:num>
  <w:num w:numId="31" w16cid:durableId="855971305">
    <w:abstractNumId w:val="9"/>
  </w:num>
  <w:num w:numId="32" w16cid:durableId="206531686">
    <w:abstractNumId w:val="26"/>
  </w:num>
  <w:num w:numId="33" w16cid:durableId="1325476200">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45C72"/>
    <w:rsid w:val="00094EDE"/>
    <w:rsid w:val="000A47FA"/>
    <w:rsid w:val="000A65D3"/>
    <w:rsid w:val="000B1E33"/>
    <w:rsid w:val="000B5B2A"/>
    <w:rsid w:val="000D689F"/>
    <w:rsid w:val="000E7B7B"/>
    <w:rsid w:val="000E7D62"/>
    <w:rsid w:val="00102507"/>
    <w:rsid w:val="00103357"/>
    <w:rsid w:val="001064A5"/>
    <w:rsid w:val="0011613A"/>
    <w:rsid w:val="00123C9F"/>
    <w:rsid w:val="00126190"/>
    <w:rsid w:val="00130F17"/>
    <w:rsid w:val="001320BF"/>
    <w:rsid w:val="00163BC4"/>
    <w:rsid w:val="001739B2"/>
    <w:rsid w:val="00191062"/>
    <w:rsid w:val="00192B72"/>
    <w:rsid w:val="001A29D8"/>
    <w:rsid w:val="001A5CAA"/>
    <w:rsid w:val="001B0427"/>
    <w:rsid w:val="001C63E6"/>
    <w:rsid w:val="001D3A51"/>
    <w:rsid w:val="001E10D2"/>
    <w:rsid w:val="001E25B4"/>
    <w:rsid w:val="001E44FE"/>
    <w:rsid w:val="001F7BD8"/>
    <w:rsid w:val="00200595"/>
    <w:rsid w:val="0020183E"/>
    <w:rsid w:val="00204835"/>
    <w:rsid w:val="00226ED3"/>
    <w:rsid w:val="00231920"/>
    <w:rsid w:val="0023195C"/>
    <w:rsid w:val="002368A7"/>
    <w:rsid w:val="0024282C"/>
    <w:rsid w:val="00244F25"/>
    <w:rsid w:val="002460DC"/>
    <w:rsid w:val="00250985"/>
    <w:rsid w:val="002556F6"/>
    <w:rsid w:val="0026707F"/>
    <w:rsid w:val="002815E6"/>
    <w:rsid w:val="00283105"/>
    <w:rsid w:val="00284C4C"/>
    <w:rsid w:val="002856DD"/>
    <w:rsid w:val="00287E68"/>
    <w:rsid w:val="00294FFC"/>
    <w:rsid w:val="00296529"/>
    <w:rsid w:val="002B27FB"/>
    <w:rsid w:val="002B685A"/>
    <w:rsid w:val="002C57D2"/>
    <w:rsid w:val="002E0D56"/>
    <w:rsid w:val="00312CEB"/>
    <w:rsid w:val="00315186"/>
    <w:rsid w:val="00333201"/>
    <w:rsid w:val="0033343E"/>
    <w:rsid w:val="003512C2"/>
    <w:rsid w:val="00360E33"/>
    <w:rsid w:val="00371FB6"/>
    <w:rsid w:val="003763C1"/>
    <w:rsid w:val="00376BBE"/>
    <w:rsid w:val="00386261"/>
    <w:rsid w:val="0039224F"/>
    <w:rsid w:val="003A43A4"/>
    <w:rsid w:val="003A7E18"/>
    <w:rsid w:val="003C4C86"/>
    <w:rsid w:val="003C6258"/>
    <w:rsid w:val="003E2904"/>
    <w:rsid w:val="003E57AA"/>
    <w:rsid w:val="00401927"/>
    <w:rsid w:val="0041027F"/>
    <w:rsid w:val="00412475"/>
    <w:rsid w:val="00423789"/>
    <w:rsid w:val="0042734B"/>
    <w:rsid w:val="00440F43"/>
    <w:rsid w:val="00441B6F"/>
    <w:rsid w:val="00446221"/>
    <w:rsid w:val="00450E62"/>
    <w:rsid w:val="004539DB"/>
    <w:rsid w:val="00471A80"/>
    <w:rsid w:val="00472000"/>
    <w:rsid w:val="004C2541"/>
    <w:rsid w:val="004C6910"/>
    <w:rsid w:val="004D305E"/>
    <w:rsid w:val="004D3E28"/>
    <w:rsid w:val="004D4277"/>
    <w:rsid w:val="004D6473"/>
    <w:rsid w:val="005014AD"/>
    <w:rsid w:val="00502516"/>
    <w:rsid w:val="00505F06"/>
    <w:rsid w:val="00506828"/>
    <w:rsid w:val="0053056E"/>
    <w:rsid w:val="00533DA4"/>
    <w:rsid w:val="005477F9"/>
    <w:rsid w:val="00554FDA"/>
    <w:rsid w:val="00557081"/>
    <w:rsid w:val="005C784C"/>
    <w:rsid w:val="005D17F6"/>
    <w:rsid w:val="005E5539"/>
    <w:rsid w:val="00602BF5"/>
    <w:rsid w:val="00617FDD"/>
    <w:rsid w:val="00633614"/>
    <w:rsid w:val="00633F68"/>
    <w:rsid w:val="00636EB2"/>
    <w:rsid w:val="006375B8"/>
    <w:rsid w:val="00656B77"/>
    <w:rsid w:val="0066510A"/>
    <w:rsid w:val="00673F9F"/>
    <w:rsid w:val="006764F1"/>
    <w:rsid w:val="00686953"/>
    <w:rsid w:val="00687DEA"/>
    <w:rsid w:val="00687E67"/>
    <w:rsid w:val="006909DC"/>
    <w:rsid w:val="006967F7"/>
    <w:rsid w:val="006A250C"/>
    <w:rsid w:val="006A65A5"/>
    <w:rsid w:val="006B21D3"/>
    <w:rsid w:val="006B57D0"/>
    <w:rsid w:val="006C20C3"/>
    <w:rsid w:val="006D30FF"/>
    <w:rsid w:val="006D4675"/>
    <w:rsid w:val="006D6940"/>
    <w:rsid w:val="006F11EC"/>
    <w:rsid w:val="0070082C"/>
    <w:rsid w:val="00725077"/>
    <w:rsid w:val="007369E6"/>
    <w:rsid w:val="00746E59"/>
    <w:rsid w:val="00754C9A"/>
    <w:rsid w:val="0075599A"/>
    <w:rsid w:val="00761D52"/>
    <w:rsid w:val="0077749E"/>
    <w:rsid w:val="007825ED"/>
    <w:rsid w:val="00790ADA"/>
    <w:rsid w:val="007D2288"/>
    <w:rsid w:val="007E088F"/>
    <w:rsid w:val="007F7B32"/>
    <w:rsid w:val="00803527"/>
    <w:rsid w:val="00804BC2"/>
    <w:rsid w:val="0081431A"/>
    <w:rsid w:val="00825174"/>
    <w:rsid w:val="0083216F"/>
    <w:rsid w:val="00841EBD"/>
    <w:rsid w:val="00856782"/>
    <w:rsid w:val="00860000"/>
    <w:rsid w:val="00863BD3"/>
    <w:rsid w:val="008641ED"/>
    <w:rsid w:val="00866D66"/>
    <w:rsid w:val="008671C6"/>
    <w:rsid w:val="00875803"/>
    <w:rsid w:val="008810D3"/>
    <w:rsid w:val="008A4597"/>
    <w:rsid w:val="008A5658"/>
    <w:rsid w:val="008B3F0D"/>
    <w:rsid w:val="008B459E"/>
    <w:rsid w:val="008E13AE"/>
    <w:rsid w:val="008E1506"/>
    <w:rsid w:val="008E710C"/>
    <w:rsid w:val="008F69D6"/>
    <w:rsid w:val="00902823"/>
    <w:rsid w:val="00915CA6"/>
    <w:rsid w:val="00927834"/>
    <w:rsid w:val="009500A6"/>
    <w:rsid w:val="00957C18"/>
    <w:rsid w:val="00964D0D"/>
    <w:rsid w:val="009659BA"/>
    <w:rsid w:val="00975A41"/>
    <w:rsid w:val="00983040"/>
    <w:rsid w:val="009B3FB9"/>
    <w:rsid w:val="009B6B47"/>
    <w:rsid w:val="009C2465"/>
    <w:rsid w:val="009D35A0"/>
    <w:rsid w:val="009D7EB7"/>
    <w:rsid w:val="009E048A"/>
    <w:rsid w:val="009E08E9"/>
    <w:rsid w:val="009E3DB9"/>
    <w:rsid w:val="009E6E35"/>
    <w:rsid w:val="009F0EDA"/>
    <w:rsid w:val="00A03B96"/>
    <w:rsid w:val="00A05B19"/>
    <w:rsid w:val="00A1134E"/>
    <w:rsid w:val="00A12423"/>
    <w:rsid w:val="00A24E7E"/>
    <w:rsid w:val="00A258C3"/>
    <w:rsid w:val="00A347C0"/>
    <w:rsid w:val="00A51431"/>
    <w:rsid w:val="00A539AD"/>
    <w:rsid w:val="00A643A7"/>
    <w:rsid w:val="00A9037D"/>
    <w:rsid w:val="00A94063"/>
    <w:rsid w:val="00AA6219"/>
    <w:rsid w:val="00AA74E0"/>
    <w:rsid w:val="00AB1E31"/>
    <w:rsid w:val="00AB703F"/>
    <w:rsid w:val="00AC6BB8"/>
    <w:rsid w:val="00AE008F"/>
    <w:rsid w:val="00B01FCD"/>
    <w:rsid w:val="00B1776C"/>
    <w:rsid w:val="00B2615A"/>
    <w:rsid w:val="00B52583"/>
    <w:rsid w:val="00B52896"/>
    <w:rsid w:val="00B57BC1"/>
    <w:rsid w:val="00B95236"/>
    <w:rsid w:val="00B96BD9"/>
    <w:rsid w:val="00BA1B01"/>
    <w:rsid w:val="00BA2641"/>
    <w:rsid w:val="00BB37AA"/>
    <w:rsid w:val="00BC53A0"/>
    <w:rsid w:val="00BE20E1"/>
    <w:rsid w:val="00BE62AD"/>
    <w:rsid w:val="00BF121F"/>
    <w:rsid w:val="00BF1F80"/>
    <w:rsid w:val="00BF5421"/>
    <w:rsid w:val="00C166EF"/>
    <w:rsid w:val="00C17EB0"/>
    <w:rsid w:val="00C200E0"/>
    <w:rsid w:val="00C27F5F"/>
    <w:rsid w:val="00C30A0F"/>
    <w:rsid w:val="00C37E61"/>
    <w:rsid w:val="00C42725"/>
    <w:rsid w:val="00C70F1B"/>
    <w:rsid w:val="00C71A47"/>
    <w:rsid w:val="00C71B86"/>
    <w:rsid w:val="00C7464C"/>
    <w:rsid w:val="00C85588"/>
    <w:rsid w:val="00CD32C3"/>
    <w:rsid w:val="00CD6755"/>
    <w:rsid w:val="00CD6856"/>
    <w:rsid w:val="00CE0089"/>
    <w:rsid w:val="00CE793C"/>
    <w:rsid w:val="00CF193C"/>
    <w:rsid w:val="00D173F1"/>
    <w:rsid w:val="00D33725"/>
    <w:rsid w:val="00D348E9"/>
    <w:rsid w:val="00D74CB0"/>
    <w:rsid w:val="00D8295D"/>
    <w:rsid w:val="00D848F2"/>
    <w:rsid w:val="00D9201F"/>
    <w:rsid w:val="00D939C4"/>
    <w:rsid w:val="00DA05CD"/>
    <w:rsid w:val="00DC2A65"/>
    <w:rsid w:val="00DE15F0"/>
    <w:rsid w:val="00DE5663"/>
    <w:rsid w:val="00DE78AA"/>
    <w:rsid w:val="00E053D0"/>
    <w:rsid w:val="00E15994"/>
    <w:rsid w:val="00E16642"/>
    <w:rsid w:val="00E21C57"/>
    <w:rsid w:val="00E24FB2"/>
    <w:rsid w:val="00E3114E"/>
    <w:rsid w:val="00E31A70"/>
    <w:rsid w:val="00E35B02"/>
    <w:rsid w:val="00E379DE"/>
    <w:rsid w:val="00E57BDA"/>
    <w:rsid w:val="00E66496"/>
    <w:rsid w:val="00E66B35"/>
    <w:rsid w:val="00E66E10"/>
    <w:rsid w:val="00E769F6"/>
    <w:rsid w:val="00E8407C"/>
    <w:rsid w:val="00E84F3C"/>
    <w:rsid w:val="00EA012C"/>
    <w:rsid w:val="00EC6A55"/>
    <w:rsid w:val="00ED0288"/>
    <w:rsid w:val="00EE52CB"/>
    <w:rsid w:val="00EE631C"/>
    <w:rsid w:val="00EF581D"/>
    <w:rsid w:val="00EF7FD8"/>
    <w:rsid w:val="00F06F59"/>
    <w:rsid w:val="00F17988"/>
    <w:rsid w:val="00F469F0"/>
    <w:rsid w:val="00F53273"/>
    <w:rsid w:val="00F755E4"/>
    <w:rsid w:val="00F77D02"/>
    <w:rsid w:val="00FB3A86"/>
    <w:rsid w:val="00FC4AE7"/>
    <w:rsid w:val="00FD36C8"/>
    <w:rsid w:val="00FE1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F4AE36"/>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201"/>
    <w:rPr>
      <w:sz w:val="24"/>
      <w:szCs w:val="24"/>
      <w:lang w:val="en-PH"/>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10250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57BC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B2615A"/>
    <w:pPr>
      <w:spacing w:before="100" w:beforeAutospacing="1" w:after="100" w:afterAutospacing="1"/>
    </w:pPr>
  </w:style>
  <w:style w:type="character" w:customStyle="1" w:styleId="Heading3Char">
    <w:name w:val="Heading 3 Char"/>
    <w:basedOn w:val="DefaultParagraphFont"/>
    <w:link w:val="Heading3"/>
    <w:uiPriority w:val="9"/>
    <w:rsid w:val="00B57BC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964D0D"/>
    <w:rPr>
      <w:rFonts w:ascii="Arial" w:hAnsi="Arial"/>
      <w:b/>
      <w:kern w:val="28"/>
      <w:sz w:val="28"/>
    </w:rPr>
  </w:style>
  <w:style w:type="character" w:styleId="Strong">
    <w:name w:val="Strong"/>
    <w:basedOn w:val="DefaultParagraphFont"/>
    <w:uiPriority w:val="22"/>
    <w:qFormat/>
    <w:rsid w:val="004C2541"/>
    <w:rPr>
      <w:b/>
      <w:bCs/>
    </w:rPr>
  </w:style>
  <w:style w:type="character" w:customStyle="1" w:styleId="contents">
    <w:name w:val="contents"/>
    <w:basedOn w:val="DefaultParagraphFont"/>
    <w:rsid w:val="0026707F"/>
  </w:style>
  <w:style w:type="paragraph" w:customStyle="1" w:styleId="my-2">
    <w:name w:val="my-2"/>
    <w:basedOn w:val="Normal"/>
    <w:rsid w:val="004D3E28"/>
    <w:pPr>
      <w:spacing w:before="100" w:beforeAutospacing="1" w:after="100" w:afterAutospacing="1"/>
    </w:pPr>
  </w:style>
  <w:style w:type="character" w:customStyle="1" w:styleId="inline-block">
    <w:name w:val="inline-block"/>
    <w:basedOn w:val="DefaultParagraphFont"/>
    <w:rsid w:val="004D3E28"/>
  </w:style>
  <w:style w:type="paragraph" w:customStyle="1" w:styleId="py-0">
    <w:name w:val="py-0"/>
    <w:basedOn w:val="Normal"/>
    <w:rsid w:val="00E24FB2"/>
    <w:pPr>
      <w:spacing w:before="100" w:beforeAutospacing="1" w:after="100" w:afterAutospacing="1"/>
    </w:pPr>
  </w:style>
  <w:style w:type="character" w:styleId="HTMLCode">
    <w:name w:val="HTML Code"/>
    <w:basedOn w:val="DefaultParagraphFont"/>
    <w:uiPriority w:val="99"/>
    <w:semiHidden/>
    <w:unhideWhenUsed/>
    <w:rsid w:val="00E24FB2"/>
    <w:rPr>
      <w:rFonts w:ascii="Courier New" w:eastAsia="Times New Roman" w:hAnsi="Courier New" w:cs="Courier New"/>
      <w:sz w:val="20"/>
      <w:szCs w:val="20"/>
    </w:rPr>
  </w:style>
  <w:style w:type="character" w:customStyle="1" w:styleId="Heading2Char">
    <w:name w:val="Heading 2 Char"/>
    <w:basedOn w:val="DefaultParagraphFont"/>
    <w:link w:val="Heading2"/>
    <w:semiHidden/>
    <w:rsid w:val="00102507"/>
    <w:rPr>
      <w:rFonts w:asciiTheme="majorHAnsi" w:eastAsiaTheme="majorEastAsia" w:hAnsiTheme="majorHAnsi" w:cstheme="majorBidi"/>
      <w:color w:val="365F91" w:themeColor="accent1" w:themeShade="BF"/>
      <w:sz w:val="26"/>
      <w:szCs w:val="26"/>
      <w:lang w:val="en-PH"/>
    </w:rPr>
  </w:style>
  <w:style w:type="paragraph" w:customStyle="1" w:styleId="pdq2pgselectionanchorcontainer">
    <w:name w:val="pdq2pg_selectionanchorcontainer"/>
    <w:basedOn w:val="Normal"/>
    <w:rsid w:val="00825174"/>
    <w:pPr>
      <w:spacing w:before="100" w:beforeAutospacing="1" w:after="100" w:afterAutospacing="1"/>
    </w:pPr>
  </w:style>
  <w:style w:type="character" w:customStyle="1" w:styleId="apple-converted-space">
    <w:name w:val="apple-converted-space"/>
    <w:basedOn w:val="DefaultParagraphFont"/>
    <w:rsid w:val="00285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16/j.glmedi.2024.100051?utm_source=chatgpt.com" TargetMode="External"/><Relationship Id="rId26" Type="http://schemas.openxmlformats.org/officeDocument/2006/relationships/hyperlink" Target="https://doi.org/10.18608/jla.2024.8529?utm_source=chatgpt.com" TargetMode="External"/><Relationship Id="rId39" Type="http://schemas.openxmlformats.org/officeDocument/2006/relationships/hyperlink" Target="https://doi.org/10.1007/s10639-024-12978-4" TargetMode="External"/><Relationship Id="rId21" Type="http://schemas.openxmlformats.org/officeDocument/2006/relationships/hyperlink" Target="https://help.anthology.com/blackboard/instructor/en/analytics/student-activity-log.html?utm_source=chatgpt.com" TargetMode="External"/><Relationship Id="rId34" Type="http://schemas.openxmlformats.org/officeDocument/2006/relationships/hyperlink" Target="https://developerdocs.instructure.com/services/canvas/resources/analytics?utm_source=chatgpt.com" TargetMode="External"/><Relationship Id="rId42" Type="http://schemas.openxmlformats.org/officeDocument/2006/relationships/hyperlink" Target="https://doi.org/10.1007/s12528-025-09432-w?utm_source=chatgpt.com" TargetMode="External"/><Relationship Id="rId47" Type="http://schemas.openxmlformats.org/officeDocument/2006/relationships/hyperlink" Target="https://docs.moodle.org/500/en/Learning_analytics" TargetMode="External"/><Relationship Id="rId50" Type="http://schemas.openxmlformats.org/officeDocument/2006/relationships/hyperlink" Target="https://doi.org/10.1007/s10639-023-12401-4?utm_source=chatgpt.com" TargetMode="External"/><Relationship Id="rId55" Type="http://schemas.openxmlformats.org/officeDocument/2006/relationships/hyperlink" Target="https://doi.org/10.1016/j.ijme.2025.10118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doi.org/10.1111/jcal.13088" TargetMode="External"/><Relationship Id="rId11" Type="http://schemas.openxmlformats.org/officeDocument/2006/relationships/footer" Target="footer2.xml"/><Relationship Id="rId24" Type="http://schemas.openxmlformats.org/officeDocument/2006/relationships/hyperlink" Target="https://doi.org/10.1037/edu0000890" TargetMode="External"/><Relationship Id="rId32" Type="http://schemas.openxmlformats.org/officeDocument/2006/relationships/hyperlink" Target="https://doi.org/10.1016/j.ssaho.2023.100794" TargetMode="External"/><Relationship Id="rId37" Type="http://schemas.openxmlformats.org/officeDocument/2006/relationships/hyperlink" Target="https://doi.org/10.1007/s10459-024-10358-8?utm_source=chatgpt.com" TargetMode="External"/><Relationship Id="rId40" Type="http://schemas.openxmlformats.org/officeDocument/2006/relationships/hyperlink" Target="https://doi.org/10.1007/s12528-024-09416-2?utm_source=chatgpt.com" TargetMode="External"/><Relationship Id="rId45" Type="http://schemas.openxmlformats.org/officeDocument/2006/relationships/hyperlink" Target="https://doi.org/10.1080/2331186X.2024.2345939" TargetMode="External"/><Relationship Id="rId53" Type="http://schemas.openxmlformats.org/officeDocument/2006/relationships/hyperlink" Target="https://doi.org/10.1007/s10648-025-09989-z" TargetMode="External"/><Relationship Id="rId58" Type="http://schemas.openxmlformats.org/officeDocument/2006/relationships/hyperlink" Target="https://doi.org/10.1016/j.compedu.2025.105434" TargetMode="External"/><Relationship Id="rId5" Type="http://schemas.openxmlformats.org/officeDocument/2006/relationships/webSettings" Target="webSettings.xml"/><Relationship Id="rId19" Type="http://schemas.openxmlformats.org/officeDocument/2006/relationships/hyperlink" Target="https://doi.org/10.1016/j.glmedi.2024.10005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doi.org/10.1016/j.caeai.2024.100232" TargetMode="External"/><Relationship Id="rId27" Type="http://schemas.openxmlformats.org/officeDocument/2006/relationships/hyperlink" Target="https://doi.org/10.1111/jcal.70015" TargetMode="External"/><Relationship Id="rId30" Type="http://schemas.openxmlformats.org/officeDocument/2006/relationships/hyperlink" Target="https://doi.org/10.1007/s40692-025-00358-x?utm_source=chatgpt.com" TargetMode="External"/><Relationship Id="rId35" Type="http://schemas.openxmlformats.org/officeDocument/2006/relationships/hyperlink" Target="https://doi.org/10.30940/JQI.2024.10.3.25" TargetMode="External"/><Relationship Id="rId43" Type="http://schemas.openxmlformats.org/officeDocument/2006/relationships/hyperlink" Target="https://doi.org/10.1007/s12528-025-09432-w" TargetMode="External"/><Relationship Id="rId48" Type="http://schemas.openxmlformats.org/officeDocument/2006/relationships/hyperlink" Target="https://doi.org/10.1177/16094069241236603" TargetMode="External"/><Relationship Id="rId56" Type="http://schemas.openxmlformats.org/officeDocument/2006/relationships/hyperlink" Target="https://doi.org/10.1080/1475939X.2025.2465437" TargetMode="External"/><Relationship Id="rId8" Type="http://schemas.openxmlformats.org/officeDocument/2006/relationships/header" Target="header1.xml"/><Relationship Id="rId51" Type="http://schemas.openxmlformats.org/officeDocument/2006/relationships/hyperlink" Target="https://doi.org/10.1007/s10639-023-12401-4"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community.d2l.com/brightspace/kb/articles/4545-engagement-dashboard?utm_source=chatgpt.com" TargetMode="External"/><Relationship Id="rId33" Type="http://schemas.openxmlformats.org/officeDocument/2006/relationships/hyperlink" Target="https://doi.org/10.1177/1049732305276687?utm_source=chatgpt.com" TargetMode="External"/><Relationship Id="rId38" Type="http://schemas.openxmlformats.org/officeDocument/2006/relationships/hyperlink" Target="https://doi.org/10.1007/s10459-024-10358-8" TargetMode="External"/><Relationship Id="rId46" Type="http://schemas.openxmlformats.org/officeDocument/2006/relationships/hyperlink" Target="https://docs.moodle.org/500/en/Learning_analytics?utm_source=chatgpt.com" TargetMode="External"/><Relationship Id="rId59" Type="http://schemas.openxmlformats.org/officeDocument/2006/relationships/fontTable" Target="fontTable.xml"/><Relationship Id="rId20" Type="http://schemas.openxmlformats.org/officeDocument/2006/relationships/hyperlink" Target="https://doi.org/10.1111/jcal.12982" TargetMode="External"/><Relationship Id="rId41" Type="http://schemas.openxmlformats.org/officeDocument/2006/relationships/hyperlink" Target="https://doi.org/10.1007/s12528-024-09416-2" TargetMode="External"/><Relationship Id="rId54" Type="http://schemas.openxmlformats.org/officeDocument/2006/relationships/hyperlink" Target="https://doi.org/10.1186/s41239-025-00515-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doi.org/10.1186/s41239-024-00493-y" TargetMode="External"/><Relationship Id="rId28" Type="http://schemas.openxmlformats.org/officeDocument/2006/relationships/hyperlink" Target="https://doi.org/10.1111/jcal.12894" TargetMode="External"/><Relationship Id="rId36" Type="http://schemas.openxmlformats.org/officeDocument/2006/relationships/hyperlink" Target="https://doi.org/10.1016/j.compedu.2025.105280" TargetMode="External"/><Relationship Id="rId49" Type="http://schemas.openxmlformats.org/officeDocument/2006/relationships/hyperlink" Target="https://doi.org/10.18608/jla.2025.8663" TargetMode="External"/><Relationship Id="rId57" Type="http://schemas.openxmlformats.org/officeDocument/2006/relationships/hyperlink" Target="https://doi.org/10.3389/fpsyg.2024.1396881" TargetMode="External"/><Relationship Id="rId10" Type="http://schemas.openxmlformats.org/officeDocument/2006/relationships/footer" Target="footer1.xml"/><Relationship Id="rId31" Type="http://schemas.openxmlformats.org/officeDocument/2006/relationships/hyperlink" Target="https://doi.org/10.1007/s40692-025-00358-x" TargetMode="External"/><Relationship Id="rId44" Type="http://schemas.openxmlformats.org/officeDocument/2006/relationships/hyperlink" Target="https://doi.org/10.1016/j.learninstruc.2025.102120" TargetMode="External"/><Relationship Id="rId52" Type="http://schemas.openxmlformats.org/officeDocument/2006/relationships/hyperlink" Target="https://doi.org/10.1007/s10648-025-09989-z?utm_source=chatgpt.com" TargetMode="External"/><Relationship Id="rId6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Settings\logan\Local Settings\Temporary Internet Files\OLK35\2007 paper template.dot</Template>
  <TotalTime>25</TotalTime>
  <Pages>18</Pages>
  <Words>10629</Words>
  <Characters>60588</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71075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LEO SANTIAGO III ARRABACA</cp:lastModifiedBy>
  <cp:revision>27</cp:revision>
  <cp:lastPrinted>1999-07-06T11:00:00Z</cp:lastPrinted>
  <dcterms:created xsi:type="dcterms:W3CDTF">2026-09-08T18:57:00Z</dcterms:created>
  <dcterms:modified xsi:type="dcterms:W3CDTF">2026-09-11T17:20:00Z</dcterms:modified>
</cp:coreProperties>
</file>